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41B68" w14:textId="0B942ADE" w:rsidR="002C656C" w:rsidRPr="00BD22C2" w:rsidRDefault="002C656C" w:rsidP="00D40AC7">
      <w:bookmarkStart w:id="0" w:name="_Toc347842335"/>
    </w:p>
    <w:p w14:paraId="009F980B" w14:textId="4041D852" w:rsidR="00ED1B90" w:rsidRPr="00BD22C2" w:rsidRDefault="00ED1B90" w:rsidP="00D40AC7"/>
    <w:p w14:paraId="2C1454DF" w14:textId="64694B67" w:rsidR="000D667A" w:rsidRPr="00BD22C2" w:rsidRDefault="000D667A" w:rsidP="00D40AC7"/>
    <w:p w14:paraId="200BC787" w14:textId="0873D8D3" w:rsidR="000D667A" w:rsidRPr="00BD22C2" w:rsidRDefault="000D667A" w:rsidP="00D40AC7"/>
    <w:p w14:paraId="332C1809" w14:textId="2E708592" w:rsidR="002C656C" w:rsidRPr="00BD22C2" w:rsidRDefault="002C656C" w:rsidP="00D40AC7"/>
    <w:p w14:paraId="68E9CC98" w14:textId="304BD319" w:rsidR="00612D68" w:rsidRPr="00BD22C2" w:rsidRDefault="00612D68" w:rsidP="00D40AC7"/>
    <w:p w14:paraId="320D8185" w14:textId="77777777" w:rsidR="000D667A" w:rsidRPr="00BD22C2" w:rsidRDefault="000D667A" w:rsidP="00D40AC7"/>
    <w:p w14:paraId="531BF3E6" w14:textId="304E3E71" w:rsidR="000D667A" w:rsidRPr="00BD22C2" w:rsidRDefault="000D667A" w:rsidP="00D40AC7"/>
    <w:p w14:paraId="57FDA343" w14:textId="15289716" w:rsidR="008379C6" w:rsidRPr="00BD22C2" w:rsidRDefault="002C656C" w:rsidP="00381BDA">
      <w:pPr>
        <w:jc w:val="center"/>
        <w:rPr>
          <w:rFonts w:eastAsia="Calibri"/>
          <w:b/>
          <w:bCs/>
          <w:lang w:eastAsia="en-US"/>
        </w:rPr>
      </w:pPr>
      <w:r w:rsidRPr="00BD22C2">
        <w:rPr>
          <w:b/>
          <w:bCs/>
        </w:rPr>
        <w:t xml:space="preserve">MÉMOIRE </w:t>
      </w:r>
      <w:r w:rsidR="003477C1" w:rsidRPr="00BD22C2">
        <w:rPr>
          <w:b/>
          <w:bCs/>
        </w:rPr>
        <w:t>AU</w:t>
      </w:r>
      <w:r w:rsidR="00670B9E" w:rsidRPr="00BD22C2">
        <w:rPr>
          <w:b/>
          <w:bCs/>
        </w:rPr>
        <w:t xml:space="preserve"> C</w:t>
      </w:r>
      <w:r w:rsidR="003477C1" w:rsidRPr="00BD22C2">
        <w:rPr>
          <w:b/>
          <w:bCs/>
        </w:rPr>
        <w:t xml:space="preserve">OMITÉ </w:t>
      </w:r>
      <w:r w:rsidR="003477C1" w:rsidRPr="00904CCB">
        <w:rPr>
          <w:b/>
          <w:bCs/>
        </w:rPr>
        <w:t>DE S</w:t>
      </w:r>
      <w:r w:rsidR="003477C1" w:rsidRPr="00BD22C2">
        <w:rPr>
          <w:b/>
          <w:bCs/>
        </w:rPr>
        <w:t>AGES</w:t>
      </w:r>
      <w:r w:rsidR="00670B9E" w:rsidRPr="00BD22C2">
        <w:rPr>
          <w:b/>
          <w:bCs/>
        </w:rPr>
        <w:br/>
      </w:r>
      <w:r w:rsidR="003477C1" w:rsidRPr="00BD22C2">
        <w:rPr>
          <w:b/>
          <w:bCs/>
        </w:rPr>
        <w:t xml:space="preserve">SUR </w:t>
      </w:r>
      <w:r w:rsidR="003477C1" w:rsidRPr="00BD22C2">
        <w:rPr>
          <w:rFonts w:eastAsia="Calibri" w:cs="Open Sans"/>
          <w:b/>
          <w:bCs/>
          <w:color w:val="000000"/>
          <w:szCs w:val="21"/>
          <w:lang w:eastAsia="en-US"/>
        </w:rPr>
        <w:t>L’IDENTITÉ DE GENRE</w:t>
      </w:r>
      <w:r w:rsidR="00381BDA" w:rsidRPr="00BD22C2">
        <w:rPr>
          <w:rFonts w:eastAsia="Calibri" w:cs="Open Sans"/>
          <w:color w:val="000000"/>
          <w:szCs w:val="21"/>
          <w:lang w:eastAsia="en-US"/>
        </w:rPr>
        <w:br/>
      </w:r>
    </w:p>
    <w:p w14:paraId="4F000B21" w14:textId="19F0FED6" w:rsidR="008379C6" w:rsidRPr="00BD22C2" w:rsidRDefault="00C86070" w:rsidP="00C86070">
      <w:pPr>
        <w:pStyle w:val="Paragraphe"/>
        <w:tabs>
          <w:tab w:val="left" w:pos="6360"/>
        </w:tabs>
        <w:rPr>
          <w:rFonts w:eastAsia="Calibri"/>
          <w:lang w:val="fr-CA" w:eastAsia="en-US"/>
        </w:rPr>
      </w:pPr>
      <w:r w:rsidRPr="00BD22C2">
        <w:rPr>
          <w:rFonts w:eastAsia="Calibri"/>
          <w:lang w:val="fr-CA" w:eastAsia="en-US"/>
        </w:rPr>
        <w:tab/>
      </w:r>
    </w:p>
    <w:p w14:paraId="0F35C758" w14:textId="34B004B4" w:rsidR="00212F94" w:rsidRPr="00BD22C2" w:rsidRDefault="00C86070" w:rsidP="00C86070">
      <w:pPr>
        <w:pStyle w:val="Corpsdetexte"/>
        <w:tabs>
          <w:tab w:val="left" w:pos="5540"/>
        </w:tabs>
        <w:rPr>
          <w:rFonts w:eastAsia="Calibri"/>
          <w:lang w:eastAsia="en-US"/>
        </w:rPr>
      </w:pPr>
      <w:r w:rsidRPr="00BD22C2">
        <w:rPr>
          <w:rFonts w:eastAsia="Calibri"/>
          <w:lang w:eastAsia="en-US"/>
        </w:rPr>
        <w:tab/>
      </w:r>
    </w:p>
    <w:p w14:paraId="59F84CA9" w14:textId="77777777" w:rsidR="008379C6" w:rsidRPr="00BD22C2" w:rsidRDefault="008379C6" w:rsidP="00381BDA">
      <w:pPr>
        <w:pStyle w:val="Paragraphe"/>
        <w:rPr>
          <w:rFonts w:eastAsia="Calibri"/>
          <w:lang w:val="fr-CA" w:eastAsia="en-US"/>
        </w:rPr>
      </w:pPr>
    </w:p>
    <w:p w14:paraId="4AAEF499" w14:textId="77777777" w:rsidR="008379C6" w:rsidRPr="00BD22C2" w:rsidRDefault="008379C6" w:rsidP="00381BDA">
      <w:pPr>
        <w:pStyle w:val="Paragraphe"/>
        <w:rPr>
          <w:rFonts w:eastAsia="Calibri"/>
          <w:lang w:val="fr-CA" w:eastAsia="en-US"/>
        </w:rPr>
      </w:pPr>
    </w:p>
    <w:p w14:paraId="20B4B992" w14:textId="77777777" w:rsidR="008379C6" w:rsidRPr="00BD22C2" w:rsidRDefault="008379C6" w:rsidP="00381BDA">
      <w:pPr>
        <w:pStyle w:val="Paragraphe"/>
        <w:rPr>
          <w:rFonts w:eastAsia="Calibri"/>
          <w:lang w:val="fr-CA" w:eastAsia="en-US"/>
        </w:rPr>
      </w:pPr>
    </w:p>
    <w:p w14:paraId="3E4D0EA5" w14:textId="77777777" w:rsidR="008379C6" w:rsidRPr="00BD22C2" w:rsidRDefault="008379C6" w:rsidP="00381BDA">
      <w:pPr>
        <w:pStyle w:val="Paragraphe"/>
        <w:rPr>
          <w:rFonts w:eastAsia="Calibri"/>
          <w:lang w:val="fr-CA" w:eastAsia="en-US"/>
        </w:rPr>
      </w:pPr>
    </w:p>
    <w:p w14:paraId="4C3F8667" w14:textId="6C552622" w:rsidR="008379C6" w:rsidRPr="00BD22C2" w:rsidRDefault="008379C6" w:rsidP="00381BDA">
      <w:pPr>
        <w:pStyle w:val="Paragraphe"/>
        <w:rPr>
          <w:rFonts w:eastAsia="Calibri"/>
          <w:lang w:val="fr-CA" w:eastAsia="en-US"/>
        </w:rPr>
      </w:pPr>
    </w:p>
    <w:p w14:paraId="19A4E3AC" w14:textId="65BEFC59" w:rsidR="00E228C1" w:rsidRPr="00BD22C2" w:rsidRDefault="00E228C1" w:rsidP="00381BDA">
      <w:pPr>
        <w:pStyle w:val="Paragraphe"/>
        <w:rPr>
          <w:rFonts w:eastAsia="Calibri"/>
          <w:lang w:val="fr-CA" w:eastAsia="en-US"/>
        </w:rPr>
      </w:pPr>
    </w:p>
    <w:p w14:paraId="6AE3CB61" w14:textId="3FFE3B67" w:rsidR="00E228C1" w:rsidRPr="00BD22C2" w:rsidRDefault="00E228C1" w:rsidP="00381BDA">
      <w:pPr>
        <w:pStyle w:val="Paragraphe"/>
        <w:rPr>
          <w:rFonts w:eastAsia="Calibri"/>
          <w:lang w:val="fr-CA" w:eastAsia="en-US"/>
        </w:rPr>
      </w:pPr>
    </w:p>
    <w:p w14:paraId="4697A720" w14:textId="42F35AF4" w:rsidR="00E46C46" w:rsidRPr="00BD22C2" w:rsidRDefault="00E46C46" w:rsidP="00381BDA">
      <w:pPr>
        <w:pStyle w:val="Paragraphe"/>
        <w:rPr>
          <w:rFonts w:eastAsia="Calibri"/>
          <w:lang w:val="fr-CA" w:eastAsia="en-US"/>
        </w:rPr>
      </w:pPr>
    </w:p>
    <w:p w14:paraId="0CF524CD" w14:textId="77777777" w:rsidR="00E46C46" w:rsidRPr="00BD22C2" w:rsidRDefault="00E46C46" w:rsidP="00381BDA">
      <w:pPr>
        <w:pStyle w:val="Paragraphe"/>
        <w:rPr>
          <w:rFonts w:eastAsia="Calibri"/>
          <w:lang w:val="fr-CA" w:eastAsia="en-US"/>
        </w:rPr>
      </w:pPr>
    </w:p>
    <w:p w14:paraId="6A053574" w14:textId="77777777" w:rsidR="00212F94" w:rsidRPr="00BD22C2" w:rsidRDefault="00212F94" w:rsidP="00212F94">
      <w:pPr>
        <w:pStyle w:val="Corpsdetexte"/>
        <w:rPr>
          <w:rFonts w:eastAsia="Calibri"/>
          <w:lang w:eastAsia="en-US"/>
        </w:rPr>
      </w:pPr>
    </w:p>
    <w:p w14:paraId="6E0361F9" w14:textId="00D905DD" w:rsidR="00C740FB" w:rsidRPr="00BD22C2" w:rsidRDefault="00FD6A42" w:rsidP="00BA1A09">
      <w:pPr>
        <w:jc w:val="center"/>
        <w:rPr>
          <w:rFonts w:eastAsia="Calibri"/>
          <w:lang w:eastAsia="en-US"/>
        </w:rPr>
        <w:sectPr w:rsidR="00C740FB" w:rsidRPr="00BD22C2" w:rsidSect="00EA15B4">
          <w:headerReference w:type="even" r:id="rId12"/>
          <w:footerReference w:type="even" r:id="rId13"/>
          <w:footerReference w:type="default" r:id="rId14"/>
          <w:headerReference w:type="first" r:id="rId15"/>
          <w:footerReference w:type="first" r:id="rId16"/>
          <w:type w:val="evenPage"/>
          <w:pgSz w:w="12240" w:h="15840" w:code="122"/>
          <w:pgMar w:top="1871" w:right="1440" w:bottom="1440" w:left="1440" w:header="709" w:footer="709" w:gutter="0"/>
          <w:pgNumType w:start="1"/>
          <w:cols w:space="708"/>
          <w:titlePg/>
          <w:docGrid w:linePitch="360"/>
        </w:sectPr>
      </w:pPr>
      <w:r>
        <w:rPr>
          <w:rFonts w:eastAsia="Calibri"/>
          <w:lang w:eastAsia="en-US"/>
        </w:rPr>
        <w:t>Juin</w:t>
      </w:r>
      <w:r w:rsidR="004B76B0" w:rsidRPr="00BD22C2">
        <w:rPr>
          <w:rFonts w:eastAsia="Calibri"/>
          <w:lang w:eastAsia="en-US"/>
        </w:rPr>
        <w:t xml:space="preserve"> </w:t>
      </w:r>
      <w:r w:rsidR="003477C1" w:rsidRPr="00BD22C2">
        <w:rPr>
          <w:rFonts w:eastAsia="Calibri"/>
          <w:lang w:eastAsia="en-US"/>
        </w:rPr>
        <w:t>2024</w:t>
      </w:r>
    </w:p>
    <w:p w14:paraId="004BECA3" w14:textId="77777777" w:rsidR="00B92595" w:rsidRPr="006E1020" w:rsidRDefault="00B92595" w:rsidP="004867BF">
      <w:pPr>
        <w:spacing w:line="240" w:lineRule="auto"/>
        <w:rPr>
          <w:rFonts w:cs="Arial"/>
          <w:szCs w:val="22"/>
        </w:rPr>
      </w:pPr>
      <w:r w:rsidRPr="006E1020">
        <w:rPr>
          <w:rFonts w:cs="Arial"/>
          <w:szCs w:val="22"/>
        </w:rPr>
        <w:lastRenderedPageBreak/>
        <w:t xml:space="preserve">Document adopté à la </w:t>
      </w:r>
      <w:r>
        <w:rPr>
          <w:rFonts w:cs="Arial"/>
          <w:szCs w:val="22"/>
        </w:rPr>
        <w:t>723</w:t>
      </w:r>
      <w:r w:rsidRPr="006E1020">
        <w:rPr>
          <w:rFonts w:cs="Arial"/>
          <w:szCs w:val="22"/>
          <w:vertAlign w:val="superscript"/>
        </w:rPr>
        <w:t>e</w:t>
      </w:r>
      <w:r w:rsidRPr="006E1020">
        <w:rPr>
          <w:rFonts w:cs="Arial"/>
          <w:szCs w:val="22"/>
        </w:rPr>
        <w:t xml:space="preserve"> séance de la Commission,</w:t>
      </w:r>
    </w:p>
    <w:p w14:paraId="7BC1D7BE" w14:textId="14F9D5B0" w:rsidR="00B92595" w:rsidRPr="006E1020" w:rsidRDefault="00B92595" w:rsidP="004867BF">
      <w:pPr>
        <w:spacing w:line="240" w:lineRule="auto"/>
        <w:rPr>
          <w:rFonts w:cs="Arial"/>
          <w:szCs w:val="22"/>
        </w:rPr>
      </w:pPr>
      <w:r w:rsidRPr="006E1020">
        <w:rPr>
          <w:rFonts w:cs="Arial"/>
          <w:szCs w:val="22"/>
        </w:rPr>
        <w:t xml:space="preserve">tenue le </w:t>
      </w:r>
      <w:r>
        <w:rPr>
          <w:rFonts w:cs="Arial"/>
          <w:szCs w:val="22"/>
        </w:rPr>
        <w:t>10 mai 2024</w:t>
      </w:r>
      <w:r w:rsidRPr="006E1020">
        <w:rPr>
          <w:rFonts w:cs="Arial"/>
          <w:szCs w:val="22"/>
        </w:rPr>
        <w:t>, par sa résolution COM-</w:t>
      </w:r>
      <w:r w:rsidRPr="007678C1">
        <w:rPr>
          <w:rFonts w:cs="Arial"/>
          <w:szCs w:val="22"/>
        </w:rPr>
        <w:t>723-4.1.</w:t>
      </w:r>
      <w:r w:rsidR="00C17DDA">
        <w:rPr>
          <w:rFonts w:cs="Arial"/>
          <w:szCs w:val="22"/>
        </w:rPr>
        <w:t>2</w:t>
      </w:r>
    </w:p>
    <w:p w14:paraId="567E8C82" w14:textId="77777777" w:rsidR="00B92595" w:rsidRPr="006E1020" w:rsidRDefault="00B92595" w:rsidP="004867BF">
      <w:pPr>
        <w:spacing w:line="240" w:lineRule="auto"/>
        <w:rPr>
          <w:rFonts w:cs="Arial"/>
          <w:szCs w:val="22"/>
        </w:rPr>
      </w:pPr>
    </w:p>
    <w:p w14:paraId="4FE14273" w14:textId="1A1FAFD7" w:rsidR="00B92595" w:rsidRPr="006E1020" w:rsidRDefault="004E02A7" w:rsidP="004867BF">
      <w:pPr>
        <w:spacing w:line="240" w:lineRule="auto"/>
        <w:rPr>
          <w:rFonts w:cs="Arial"/>
          <w:szCs w:val="22"/>
        </w:rPr>
      </w:pPr>
      <w:r>
        <w:rPr>
          <w:rStyle w:val="wacimagecontainer"/>
          <w:rFonts w:ascii="Segoe UI" w:hAnsi="Segoe UI" w:cs="Segoe UI"/>
          <w:noProof/>
          <w:color w:val="000000"/>
          <w:sz w:val="18"/>
          <w:szCs w:val="18"/>
          <w:shd w:val="clear" w:color="auto" w:fill="FFFFFF"/>
        </w:rPr>
        <w:drawing>
          <wp:inline distT="0" distB="0" distL="0" distR="0" wp14:anchorId="3B039212" wp14:editId="4CAF3551">
            <wp:extent cx="1209675" cy="352425"/>
            <wp:effectExtent l="0" t="0" r="9525" b="9525"/>
            <wp:docPr id="610056892" name="Image 4" descr="Une image contenant croquis, dessin, Dessin d’enf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croquis, dessin, Dessin d’enfant, Dessin au trait&#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inline>
        </w:drawing>
      </w:r>
    </w:p>
    <w:p w14:paraId="364E622F" w14:textId="77777777" w:rsidR="00B92595" w:rsidRPr="006E1020" w:rsidRDefault="00B92595" w:rsidP="004867BF">
      <w:pPr>
        <w:spacing w:line="240" w:lineRule="auto"/>
        <w:rPr>
          <w:rFonts w:cs="Arial"/>
          <w:szCs w:val="22"/>
        </w:rPr>
      </w:pPr>
      <w:r w:rsidRPr="006E1020">
        <w:rPr>
          <w:rFonts w:cs="Arial"/>
          <w:szCs w:val="22"/>
        </w:rPr>
        <w:t>Jean-François Trudel</w:t>
      </w:r>
    </w:p>
    <w:p w14:paraId="78198009" w14:textId="77777777" w:rsidR="00B92595" w:rsidRPr="006E1020" w:rsidRDefault="00B92595" w:rsidP="004867BF">
      <w:pPr>
        <w:spacing w:line="240" w:lineRule="auto"/>
        <w:rPr>
          <w:rFonts w:cs="Arial"/>
          <w:szCs w:val="22"/>
        </w:rPr>
      </w:pPr>
      <w:r w:rsidRPr="006E1020">
        <w:rPr>
          <w:rFonts w:cs="Arial"/>
          <w:szCs w:val="22"/>
        </w:rPr>
        <w:t>Secrétaire de la Commission</w:t>
      </w:r>
    </w:p>
    <w:p w14:paraId="0551C6BE" w14:textId="77777777" w:rsidR="00B92595" w:rsidRPr="006E1020" w:rsidRDefault="00B92595" w:rsidP="004867BF">
      <w:pPr>
        <w:spacing w:line="240" w:lineRule="auto"/>
        <w:rPr>
          <w:rFonts w:cs="Arial"/>
          <w:szCs w:val="22"/>
        </w:rPr>
      </w:pPr>
    </w:p>
    <w:p w14:paraId="2D422909" w14:textId="77777777" w:rsidR="00B92595" w:rsidRDefault="00B92595" w:rsidP="004867BF">
      <w:pPr>
        <w:spacing w:line="240" w:lineRule="auto"/>
        <w:rPr>
          <w:rFonts w:cs="Arial"/>
          <w:szCs w:val="22"/>
        </w:rPr>
      </w:pPr>
    </w:p>
    <w:p w14:paraId="5E2D1915" w14:textId="77777777" w:rsidR="00B92595" w:rsidRPr="006E1020" w:rsidRDefault="00B92595" w:rsidP="004867BF">
      <w:pPr>
        <w:spacing w:line="240" w:lineRule="auto"/>
        <w:rPr>
          <w:rFonts w:cs="Arial"/>
          <w:szCs w:val="22"/>
        </w:rPr>
      </w:pPr>
    </w:p>
    <w:p w14:paraId="03281A2B" w14:textId="540216E1" w:rsidR="00B92595" w:rsidRPr="005972A1" w:rsidRDefault="000125A5" w:rsidP="004867BF">
      <w:pPr>
        <w:spacing w:line="240" w:lineRule="auto"/>
        <w:rPr>
          <w:rFonts w:cs="Arial"/>
          <w:szCs w:val="22"/>
        </w:rPr>
      </w:pPr>
      <w:r>
        <w:rPr>
          <w:rFonts w:cs="Arial"/>
          <w:szCs w:val="22"/>
        </w:rPr>
        <w:t>L</w:t>
      </w:r>
      <w:r w:rsidR="00B92595" w:rsidRPr="005972A1">
        <w:rPr>
          <w:rFonts w:cs="Arial"/>
          <w:szCs w:val="22"/>
        </w:rPr>
        <w:t>es membres</w:t>
      </w:r>
      <w:r>
        <w:rPr>
          <w:rFonts w:cs="Arial"/>
          <w:szCs w:val="22"/>
        </w:rPr>
        <w:t xml:space="preserve"> nommés par l’Assemblée nationale sont :</w:t>
      </w:r>
    </w:p>
    <w:p w14:paraId="34808770" w14:textId="77777777" w:rsidR="00B92595" w:rsidRPr="005972A1" w:rsidRDefault="00B92595" w:rsidP="004867BF">
      <w:pPr>
        <w:spacing w:line="240" w:lineRule="auto"/>
        <w:rPr>
          <w:rFonts w:cs="Arial"/>
          <w:szCs w:val="22"/>
        </w:rPr>
      </w:pPr>
    </w:p>
    <w:p w14:paraId="41D8A6C9" w14:textId="77777777" w:rsidR="00B92595" w:rsidRDefault="00B92595" w:rsidP="004867BF">
      <w:pPr>
        <w:spacing w:line="240" w:lineRule="auto"/>
        <w:rPr>
          <w:rFonts w:cs="Arial"/>
          <w:szCs w:val="22"/>
        </w:rPr>
      </w:pPr>
      <w:r w:rsidRPr="005972A1">
        <w:rPr>
          <w:rFonts w:cs="Arial"/>
          <w:i/>
          <w:iCs/>
          <w:szCs w:val="22"/>
        </w:rPr>
        <w:t>Philippe-André Tessier</w:t>
      </w:r>
      <w:r w:rsidRPr="005972A1">
        <w:rPr>
          <w:rFonts w:cs="Arial"/>
          <w:szCs w:val="22"/>
        </w:rPr>
        <w:t>, président</w:t>
      </w:r>
    </w:p>
    <w:p w14:paraId="6D56BE30" w14:textId="1D843C38" w:rsidR="00516325" w:rsidRPr="005972A1" w:rsidRDefault="00516325" w:rsidP="004867BF">
      <w:pPr>
        <w:spacing w:line="240" w:lineRule="auto"/>
        <w:rPr>
          <w:rFonts w:cs="Arial"/>
          <w:szCs w:val="22"/>
        </w:rPr>
      </w:pPr>
      <w:r w:rsidRPr="002177B4">
        <w:rPr>
          <w:rFonts w:cs="Arial"/>
          <w:i/>
          <w:iCs/>
          <w:szCs w:val="22"/>
        </w:rPr>
        <w:t>Myrlande Pierre</w:t>
      </w:r>
      <w:r w:rsidRPr="002177B4">
        <w:rPr>
          <w:rFonts w:cs="Arial"/>
          <w:szCs w:val="22"/>
        </w:rPr>
        <w:t>, vice-présidente responsable du mandat Charte</w:t>
      </w:r>
    </w:p>
    <w:p w14:paraId="2F83485C" w14:textId="77777777" w:rsidR="00B92595" w:rsidRDefault="00B92595" w:rsidP="004867BF">
      <w:pPr>
        <w:spacing w:line="240" w:lineRule="auto"/>
        <w:rPr>
          <w:rFonts w:cs="Arial"/>
          <w:szCs w:val="22"/>
        </w:rPr>
      </w:pPr>
      <w:r w:rsidRPr="005972A1">
        <w:rPr>
          <w:rFonts w:cs="Arial"/>
          <w:i/>
          <w:iCs/>
          <w:szCs w:val="22"/>
        </w:rPr>
        <w:t>Suzanne Arpin</w:t>
      </w:r>
      <w:r w:rsidRPr="005972A1">
        <w:rPr>
          <w:rFonts w:cs="Arial"/>
          <w:szCs w:val="22"/>
        </w:rPr>
        <w:t xml:space="preserve">, vice-présidente responsable du mandat </w:t>
      </w:r>
      <w:r>
        <w:rPr>
          <w:rFonts w:cs="Arial"/>
          <w:szCs w:val="22"/>
        </w:rPr>
        <w:t>J</w:t>
      </w:r>
      <w:r w:rsidRPr="005972A1">
        <w:rPr>
          <w:rFonts w:cs="Arial"/>
          <w:szCs w:val="22"/>
        </w:rPr>
        <w:t>eunesse</w:t>
      </w:r>
    </w:p>
    <w:p w14:paraId="5B915974" w14:textId="77777777" w:rsidR="008339F3" w:rsidRPr="005972A1" w:rsidRDefault="008339F3" w:rsidP="004867BF">
      <w:pPr>
        <w:spacing w:line="240" w:lineRule="auto"/>
        <w:rPr>
          <w:rFonts w:cs="Arial"/>
          <w:szCs w:val="22"/>
        </w:rPr>
      </w:pPr>
    </w:p>
    <w:p w14:paraId="06190DB0" w14:textId="77777777" w:rsidR="00B17E41" w:rsidRDefault="00B17E41" w:rsidP="004867BF">
      <w:pPr>
        <w:spacing w:line="240" w:lineRule="auto"/>
        <w:rPr>
          <w:rFonts w:cs="Arial"/>
          <w:b/>
          <w:bCs/>
          <w:szCs w:val="22"/>
        </w:rPr>
        <w:sectPr w:rsidR="00B17E41" w:rsidSect="00770952">
          <w:headerReference w:type="even" r:id="rId18"/>
          <w:headerReference w:type="default" r:id="rId19"/>
          <w:headerReference w:type="first" r:id="rId20"/>
          <w:type w:val="continuous"/>
          <w:pgSz w:w="12240" w:h="15840" w:code="1"/>
          <w:pgMar w:top="1985" w:right="1797" w:bottom="1440" w:left="1797" w:header="720" w:footer="720" w:gutter="0"/>
          <w:cols w:space="720"/>
          <w:titlePg/>
          <w:docGrid w:linePitch="360"/>
        </w:sectPr>
      </w:pPr>
    </w:p>
    <w:p w14:paraId="15D83143" w14:textId="77777777" w:rsidR="005D766B" w:rsidRDefault="005D766B" w:rsidP="004867BF">
      <w:pPr>
        <w:spacing w:line="240" w:lineRule="auto"/>
        <w:rPr>
          <w:rFonts w:cs="Arial"/>
          <w:b/>
          <w:bCs/>
          <w:szCs w:val="22"/>
        </w:rPr>
      </w:pPr>
    </w:p>
    <w:p w14:paraId="3F9AC553" w14:textId="77777777" w:rsidR="00AE632E" w:rsidRPr="005972A1" w:rsidRDefault="00AE632E" w:rsidP="00AE632E">
      <w:pPr>
        <w:spacing w:line="240" w:lineRule="auto"/>
        <w:rPr>
          <w:rFonts w:cs="Arial"/>
          <w:szCs w:val="22"/>
        </w:rPr>
      </w:pPr>
      <w:r w:rsidRPr="005972A1">
        <w:rPr>
          <w:rFonts w:cs="Arial"/>
          <w:szCs w:val="22"/>
        </w:rPr>
        <w:t>Habib El-</w:t>
      </w:r>
      <w:proofErr w:type="spellStart"/>
      <w:r w:rsidRPr="005972A1">
        <w:rPr>
          <w:rFonts w:cs="Arial"/>
          <w:szCs w:val="22"/>
        </w:rPr>
        <w:t>Hage</w:t>
      </w:r>
      <w:proofErr w:type="spellEnd"/>
    </w:p>
    <w:p w14:paraId="2F90C9E9" w14:textId="77777777" w:rsidR="00AE632E" w:rsidRPr="005972A1" w:rsidRDefault="00AE632E" w:rsidP="00AE632E">
      <w:pPr>
        <w:spacing w:line="240" w:lineRule="auto"/>
        <w:rPr>
          <w:rFonts w:cs="Arial"/>
          <w:szCs w:val="22"/>
        </w:rPr>
      </w:pPr>
      <w:r w:rsidRPr="005972A1">
        <w:rPr>
          <w:rFonts w:cs="Arial"/>
          <w:szCs w:val="22"/>
        </w:rPr>
        <w:t>Stéphanie Gareau</w:t>
      </w:r>
    </w:p>
    <w:p w14:paraId="609EB16E" w14:textId="77777777" w:rsidR="00AE632E" w:rsidRPr="005972A1" w:rsidRDefault="00AE632E" w:rsidP="00AE632E">
      <w:pPr>
        <w:spacing w:line="240" w:lineRule="auto"/>
        <w:rPr>
          <w:rFonts w:cs="Arial"/>
          <w:szCs w:val="22"/>
        </w:rPr>
      </w:pPr>
      <w:proofErr w:type="spellStart"/>
      <w:r w:rsidRPr="005972A1">
        <w:rPr>
          <w:rFonts w:cs="Arial"/>
          <w:szCs w:val="22"/>
        </w:rPr>
        <w:t>Lizette</w:t>
      </w:r>
      <w:proofErr w:type="spellEnd"/>
      <w:r w:rsidRPr="005972A1">
        <w:rPr>
          <w:rFonts w:cs="Arial"/>
          <w:szCs w:val="22"/>
        </w:rPr>
        <w:t xml:space="preserve"> Gauvreau</w:t>
      </w:r>
    </w:p>
    <w:p w14:paraId="4309B53C" w14:textId="77777777" w:rsidR="00AE632E" w:rsidRPr="005972A1" w:rsidRDefault="00AE632E" w:rsidP="00AE632E">
      <w:pPr>
        <w:spacing w:line="240" w:lineRule="auto"/>
        <w:rPr>
          <w:rFonts w:cs="Arial"/>
          <w:szCs w:val="22"/>
        </w:rPr>
      </w:pPr>
      <w:r w:rsidRPr="005972A1">
        <w:rPr>
          <w:rFonts w:cs="Arial"/>
          <w:szCs w:val="22"/>
        </w:rPr>
        <w:t>Marie-Laure Leclercq</w:t>
      </w:r>
    </w:p>
    <w:p w14:paraId="667A8454" w14:textId="77777777" w:rsidR="00AE632E" w:rsidRPr="005972A1" w:rsidRDefault="00AE632E" w:rsidP="00AE632E">
      <w:pPr>
        <w:spacing w:line="240" w:lineRule="auto"/>
        <w:rPr>
          <w:rFonts w:cs="Arial"/>
          <w:szCs w:val="22"/>
        </w:rPr>
      </w:pPr>
      <w:r w:rsidRPr="005972A1">
        <w:rPr>
          <w:rFonts w:cs="Arial"/>
          <w:szCs w:val="22"/>
        </w:rPr>
        <w:t>Sylvain Le May</w:t>
      </w:r>
    </w:p>
    <w:p w14:paraId="053379F0" w14:textId="77777777" w:rsidR="00AE632E" w:rsidRDefault="00AE632E" w:rsidP="00AE632E">
      <w:pPr>
        <w:spacing w:line="240" w:lineRule="auto"/>
        <w:rPr>
          <w:rFonts w:cs="Arial"/>
          <w:szCs w:val="22"/>
        </w:rPr>
      </w:pPr>
    </w:p>
    <w:p w14:paraId="22D9A37D" w14:textId="77777777" w:rsidR="00AE632E" w:rsidRDefault="00AE632E" w:rsidP="00AE632E">
      <w:pPr>
        <w:spacing w:line="240" w:lineRule="auto"/>
        <w:rPr>
          <w:rFonts w:cs="Arial"/>
          <w:szCs w:val="22"/>
        </w:rPr>
      </w:pPr>
      <w:r>
        <w:rPr>
          <w:rFonts w:cs="Arial"/>
          <w:szCs w:val="22"/>
        </w:rPr>
        <w:br w:type="column"/>
      </w:r>
    </w:p>
    <w:p w14:paraId="1261A7D6" w14:textId="77777777" w:rsidR="00AE632E" w:rsidRPr="005972A1" w:rsidRDefault="00AE632E" w:rsidP="00AE632E">
      <w:pPr>
        <w:spacing w:line="240" w:lineRule="auto"/>
        <w:rPr>
          <w:rFonts w:cs="Arial"/>
          <w:szCs w:val="22"/>
        </w:rPr>
      </w:pPr>
      <w:r w:rsidRPr="005972A1">
        <w:rPr>
          <w:rFonts w:cs="Arial"/>
          <w:szCs w:val="22"/>
        </w:rPr>
        <w:t>Martine Roy</w:t>
      </w:r>
    </w:p>
    <w:p w14:paraId="477083C6" w14:textId="77777777" w:rsidR="00AE632E" w:rsidRPr="005972A1" w:rsidRDefault="00AE632E" w:rsidP="00AE632E">
      <w:pPr>
        <w:spacing w:line="240" w:lineRule="auto"/>
        <w:rPr>
          <w:rFonts w:cs="Arial"/>
          <w:szCs w:val="22"/>
        </w:rPr>
      </w:pPr>
      <w:r w:rsidRPr="005972A1">
        <w:rPr>
          <w:rFonts w:cs="Arial"/>
          <w:szCs w:val="22"/>
        </w:rPr>
        <w:t xml:space="preserve">Anne-Marie </w:t>
      </w:r>
      <w:proofErr w:type="spellStart"/>
      <w:r w:rsidRPr="005972A1">
        <w:rPr>
          <w:rFonts w:cs="Arial"/>
          <w:szCs w:val="22"/>
        </w:rPr>
        <w:t>Santorineos</w:t>
      </w:r>
      <w:proofErr w:type="spellEnd"/>
    </w:p>
    <w:p w14:paraId="427C2443" w14:textId="77777777" w:rsidR="00AE632E" w:rsidRPr="005972A1" w:rsidRDefault="00AE632E" w:rsidP="00AE632E">
      <w:pPr>
        <w:spacing w:line="240" w:lineRule="auto"/>
        <w:rPr>
          <w:rFonts w:cs="Arial"/>
          <w:szCs w:val="22"/>
        </w:rPr>
      </w:pPr>
      <w:r w:rsidRPr="005972A1">
        <w:rPr>
          <w:rFonts w:cs="Arial"/>
          <w:szCs w:val="22"/>
        </w:rPr>
        <w:t xml:space="preserve">Bruno </w:t>
      </w:r>
      <w:proofErr w:type="spellStart"/>
      <w:r w:rsidRPr="005972A1">
        <w:rPr>
          <w:rFonts w:cs="Arial"/>
          <w:szCs w:val="22"/>
        </w:rPr>
        <w:t>Sioui</w:t>
      </w:r>
      <w:proofErr w:type="spellEnd"/>
    </w:p>
    <w:p w14:paraId="2F87F64F" w14:textId="77777777" w:rsidR="00AE632E" w:rsidRPr="005972A1" w:rsidRDefault="00AE632E" w:rsidP="00AE632E">
      <w:pPr>
        <w:spacing w:line="240" w:lineRule="auto"/>
        <w:rPr>
          <w:rFonts w:cs="Arial"/>
          <w:szCs w:val="22"/>
        </w:rPr>
      </w:pPr>
      <w:r w:rsidRPr="005972A1">
        <w:rPr>
          <w:rFonts w:cs="Arial"/>
          <w:szCs w:val="22"/>
        </w:rPr>
        <w:t xml:space="preserve">Nadine </w:t>
      </w:r>
      <w:proofErr w:type="spellStart"/>
      <w:r w:rsidRPr="005972A1">
        <w:rPr>
          <w:rFonts w:cs="Arial"/>
          <w:szCs w:val="22"/>
        </w:rPr>
        <w:t>Vollant</w:t>
      </w:r>
      <w:proofErr w:type="spellEnd"/>
      <w:r w:rsidRPr="005972A1">
        <w:rPr>
          <w:rFonts w:cs="Arial"/>
          <w:szCs w:val="22"/>
        </w:rPr>
        <w:t xml:space="preserve"> </w:t>
      </w:r>
    </w:p>
    <w:p w14:paraId="0E00F19F" w14:textId="77777777" w:rsidR="00AE632E" w:rsidRDefault="00AE632E" w:rsidP="00AE632E">
      <w:pPr>
        <w:spacing w:line="240" w:lineRule="auto"/>
        <w:rPr>
          <w:rFonts w:cs="Arial"/>
          <w:szCs w:val="22"/>
        </w:rPr>
      </w:pPr>
      <w:r w:rsidRPr="005972A1">
        <w:rPr>
          <w:rFonts w:cs="Arial"/>
          <w:szCs w:val="22"/>
        </w:rPr>
        <w:t>Marjorie Villefranche</w:t>
      </w:r>
    </w:p>
    <w:p w14:paraId="554207B9" w14:textId="77777777" w:rsidR="00AE632E" w:rsidRDefault="00AE632E" w:rsidP="00AE632E">
      <w:pPr>
        <w:spacing w:line="240" w:lineRule="auto"/>
        <w:rPr>
          <w:rFonts w:cs="Arial"/>
          <w:szCs w:val="22"/>
        </w:rPr>
      </w:pPr>
    </w:p>
    <w:p w14:paraId="612F2F6D" w14:textId="77777777" w:rsidR="00AE632E" w:rsidRDefault="00AE632E" w:rsidP="00AE632E">
      <w:pPr>
        <w:spacing w:line="240" w:lineRule="auto"/>
        <w:rPr>
          <w:rFonts w:cs="Arial"/>
          <w:szCs w:val="22"/>
        </w:rPr>
        <w:sectPr w:rsidR="00AE632E" w:rsidSect="00AE632E">
          <w:type w:val="continuous"/>
          <w:pgSz w:w="12240" w:h="15840" w:code="1"/>
          <w:pgMar w:top="1985" w:right="1797" w:bottom="1440" w:left="1797" w:header="720" w:footer="720" w:gutter="0"/>
          <w:cols w:num="2" w:space="720"/>
          <w:titlePg/>
          <w:docGrid w:linePitch="360"/>
        </w:sectPr>
      </w:pPr>
    </w:p>
    <w:p w14:paraId="6A3B6606" w14:textId="77777777" w:rsidR="00AE632E" w:rsidRDefault="00AE632E" w:rsidP="00AE632E">
      <w:pPr>
        <w:spacing w:line="240" w:lineRule="auto"/>
        <w:rPr>
          <w:rFonts w:eastAsia="MS Mincho"/>
        </w:rPr>
      </w:pPr>
    </w:p>
    <w:p w14:paraId="03C5F6EF" w14:textId="77777777" w:rsidR="00AE632E" w:rsidRDefault="00AE632E" w:rsidP="00AE632E">
      <w:pPr>
        <w:spacing w:line="240" w:lineRule="auto"/>
        <w:rPr>
          <w:rFonts w:eastAsia="MS Mincho"/>
        </w:rPr>
      </w:pPr>
    </w:p>
    <w:p w14:paraId="5C9EE0E0" w14:textId="77777777" w:rsidR="00AE632E" w:rsidRPr="00BD22C2" w:rsidRDefault="00AE632E" w:rsidP="00921F50">
      <w:pPr>
        <w:spacing w:line="240" w:lineRule="auto"/>
        <w:ind w:left="284"/>
        <w:rPr>
          <w:rFonts w:eastAsia="MS Mincho"/>
        </w:rPr>
      </w:pPr>
      <w:r w:rsidRPr="00BD22C2">
        <w:rPr>
          <w:rFonts w:eastAsia="MS Mincho"/>
        </w:rPr>
        <w:t>Analyse, recherche et rédaction :</w:t>
      </w:r>
    </w:p>
    <w:p w14:paraId="5625D81A" w14:textId="77777777" w:rsidR="00AE632E" w:rsidRPr="00BD22C2" w:rsidRDefault="00AE632E" w:rsidP="00AE632E">
      <w:pPr>
        <w:spacing w:line="240" w:lineRule="auto"/>
        <w:rPr>
          <w:rFonts w:eastAsia="Calibri"/>
          <w:lang w:eastAsia="en-US"/>
        </w:rPr>
      </w:pPr>
    </w:p>
    <w:p w14:paraId="04E0386A"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iCs/>
          <w:lang w:eastAsia="en-US"/>
        </w:rPr>
        <w:t>Samuel Blouin</w:t>
      </w:r>
      <w:r w:rsidRPr="00BD22C2">
        <w:rPr>
          <w:rFonts w:eastAsia="Calibri"/>
          <w:lang w:eastAsia="en-US"/>
        </w:rPr>
        <w:t>, chercheur</w:t>
      </w:r>
    </w:p>
    <w:p w14:paraId="28E0DB41"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iCs/>
          <w:lang w:eastAsia="en-US"/>
        </w:rPr>
        <w:t>Jean-Sébastien Imbeault</w:t>
      </w:r>
      <w:r w:rsidRPr="00BD22C2">
        <w:rPr>
          <w:rFonts w:eastAsia="Calibri"/>
          <w:lang w:eastAsia="en-US"/>
        </w:rPr>
        <w:t>, chercheur</w:t>
      </w:r>
    </w:p>
    <w:p w14:paraId="55480E8D"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iCs/>
          <w:lang w:eastAsia="en-US"/>
        </w:rPr>
        <w:t>M</w:t>
      </w:r>
      <w:r w:rsidRPr="00BD22C2">
        <w:rPr>
          <w:rFonts w:eastAsia="Calibri"/>
          <w:i/>
          <w:iCs/>
          <w:vertAlign w:val="superscript"/>
          <w:lang w:eastAsia="en-US"/>
        </w:rPr>
        <w:t>e</w:t>
      </w:r>
      <w:r w:rsidRPr="00BD22C2">
        <w:rPr>
          <w:rFonts w:eastAsia="Calibri"/>
          <w:i/>
          <w:iCs/>
          <w:lang w:eastAsia="en-US"/>
        </w:rPr>
        <w:t xml:space="preserve"> Arianne Martel</w:t>
      </w:r>
      <w:r w:rsidRPr="00BD22C2">
        <w:rPr>
          <w:rFonts w:eastAsia="Calibri"/>
          <w:lang w:eastAsia="en-US"/>
        </w:rPr>
        <w:t>, conseillère juridique</w:t>
      </w:r>
    </w:p>
    <w:p w14:paraId="48630B11"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iCs/>
          <w:lang w:eastAsia="en-US"/>
        </w:rPr>
        <w:t>M</w:t>
      </w:r>
      <w:r w:rsidRPr="00BD22C2">
        <w:rPr>
          <w:rFonts w:eastAsia="Calibri"/>
          <w:i/>
          <w:iCs/>
          <w:vertAlign w:val="superscript"/>
          <w:lang w:eastAsia="en-US"/>
        </w:rPr>
        <w:t>e</w:t>
      </w:r>
      <w:r w:rsidRPr="00BD22C2">
        <w:rPr>
          <w:rFonts w:eastAsia="Calibri"/>
          <w:i/>
          <w:iCs/>
          <w:lang w:eastAsia="en-US"/>
        </w:rPr>
        <w:t xml:space="preserve"> Evelyne Pedneault</w:t>
      </w:r>
      <w:r w:rsidRPr="00BD22C2">
        <w:rPr>
          <w:rFonts w:eastAsia="Calibri"/>
          <w:lang w:eastAsia="en-US"/>
        </w:rPr>
        <w:t>, conseillère juridique</w:t>
      </w:r>
    </w:p>
    <w:p w14:paraId="1AAC6ED5"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iCs/>
          <w:lang w:eastAsia="en-US"/>
        </w:rPr>
        <w:t>M</w:t>
      </w:r>
      <w:r w:rsidRPr="00BD22C2">
        <w:rPr>
          <w:rFonts w:eastAsia="Calibri"/>
          <w:i/>
          <w:iCs/>
          <w:vertAlign w:val="superscript"/>
          <w:lang w:eastAsia="en-US"/>
        </w:rPr>
        <w:t>e</w:t>
      </w:r>
      <w:r w:rsidRPr="00BD22C2">
        <w:rPr>
          <w:rFonts w:eastAsia="Calibri"/>
          <w:i/>
          <w:iCs/>
          <w:lang w:eastAsia="en-US"/>
        </w:rPr>
        <w:t xml:space="preserve"> Geneviève St-Laurent</w:t>
      </w:r>
      <w:r w:rsidRPr="00BD22C2">
        <w:rPr>
          <w:rFonts w:eastAsia="Calibri"/>
          <w:lang w:eastAsia="en-US"/>
        </w:rPr>
        <w:t>, conseillère juridique</w:t>
      </w:r>
    </w:p>
    <w:p w14:paraId="6424AB2E" w14:textId="77777777" w:rsidR="00AE632E" w:rsidRPr="00BD22C2" w:rsidRDefault="00AE632E" w:rsidP="00AE632E">
      <w:pPr>
        <w:spacing w:line="240" w:lineRule="auto"/>
      </w:pPr>
      <w:r w:rsidRPr="00BD22C2">
        <w:tab/>
        <w:t>Direction de la recherche</w:t>
      </w:r>
    </w:p>
    <w:p w14:paraId="6DC800B0" w14:textId="77777777" w:rsidR="00AE632E" w:rsidRPr="00BD22C2" w:rsidRDefault="00AE632E" w:rsidP="00AE632E">
      <w:pPr>
        <w:spacing w:line="240" w:lineRule="auto"/>
      </w:pPr>
    </w:p>
    <w:p w14:paraId="2CCF5F3E" w14:textId="77777777" w:rsidR="00AE632E" w:rsidRPr="00BD22C2" w:rsidRDefault="00AE632E" w:rsidP="00921F50">
      <w:pPr>
        <w:spacing w:line="240" w:lineRule="auto"/>
        <w:ind w:left="284"/>
        <w:rPr>
          <w:rFonts w:eastAsia="Calibri"/>
          <w:lang w:eastAsia="en-US"/>
        </w:rPr>
      </w:pPr>
      <w:r w:rsidRPr="00BD22C2">
        <w:rPr>
          <w:rFonts w:eastAsia="Calibri"/>
          <w:lang w:eastAsia="en-US"/>
        </w:rPr>
        <w:t>Collaboration</w:t>
      </w:r>
      <w:r w:rsidRPr="00BD22C2">
        <w:rPr>
          <w:rFonts w:eastAsiaTheme="minorHAnsi"/>
          <w:lang w:eastAsia="en-US"/>
        </w:rPr>
        <w:t xml:space="preserve"> à la recherche :</w:t>
      </w:r>
    </w:p>
    <w:p w14:paraId="2A859861" w14:textId="77777777" w:rsidR="00AE632E" w:rsidRPr="00BD22C2" w:rsidRDefault="00AE632E" w:rsidP="00AE632E">
      <w:pPr>
        <w:spacing w:line="240" w:lineRule="auto"/>
        <w:rPr>
          <w:rFonts w:eastAsia="Calibri"/>
          <w:lang w:eastAsia="en-US"/>
        </w:rPr>
      </w:pPr>
    </w:p>
    <w:p w14:paraId="62338652"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iCs/>
          <w:lang w:eastAsia="en-US"/>
        </w:rPr>
        <w:t>Qurat-Ul Ain</w:t>
      </w:r>
      <w:r w:rsidRPr="00BD22C2">
        <w:rPr>
          <w:rFonts w:eastAsia="Calibri"/>
          <w:lang w:eastAsia="en-US"/>
        </w:rPr>
        <w:t>, stagiaire</w:t>
      </w:r>
    </w:p>
    <w:p w14:paraId="6DB4E3C2" w14:textId="77777777" w:rsidR="00AE632E" w:rsidRPr="00BD22C2" w:rsidRDefault="00AE632E" w:rsidP="00AE632E">
      <w:pPr>
        <w:spacing w:line="240" w:lineRule="auto"/>
        <w:rPr>
          <w:rFonts w:eastAsia="Calibri"/>
          <w:lang w:eastAsia="en-US"/>
        </w:rPr>
      </w:pPr>
      <w:r w:rsidRPr="00BD22C2">
        <w:rPr>
          <w:rFonts w:eastAsia="Calibri"/>
          <w:lang w:eastAsia="en-US"/>
        </w:rPr>
        <w:tab/>
      </w:r>
      <w:r w:rsidRPr="00BD22C2">
        <w:rPr>
          <w:rFonts w:eastAsia="Calibri"/>
          <w:i/>
          <w:lang w:eastAsia="en-US"/>
        </w:rPr>
        <w:t xml:space="preserve">Emmanuel </w:t>
      </w:r>
      <w:r>
        <w:rPr>
          <w:rFonts w:eastAsia="Calibri"/>
          <w:i/>
          <w:lang w:eastAsia="en-US"/>
        </w:rPr>
        <w:t xml:space="preserve">D. </w:t>
      </w:r>
      <w:r w:rsidRPr="00BD22C2">
        <w:rPr>
          <w:rFonts w:eastAsia="Calibri"/>
          <w:i/>
          <w:lang w:eastAsia="en-US"/>
        </w:rPr>
        <w:t>Bance</w:t>
      </w:r>
      <w:r w:rsidRPr="00BD22C2">
        <w:rPr>
          <w:rFonts w:eastAsia="Calibri"/>
          <w:lang w:eastAsia="en-US"/>
        </w:rPr>
        <w:t>, technicien en recherche</w:t>
      </w:r>
    </w:p>
    <w:p w14:paraId="4F927FDD" w14:textId="77777777" w:rsidR="00AE632E" w:rsidRPr="00BD22C2" w:rsidRDefault="00AE632E" w:rsidP="00AE632E">
      <w:pPr>
        <w:spacing w:line="240" w:lineRule="auto"/>
      </w:pPr>
      <w:r w:rsidRPr="00BD22C2">
        <w:tab/>
        <w:t>Direction de la recherche</w:t>
      </w:r>
    </w:p>
    <w:p w14:paraId="42401AD3" w14:textId="77777777" w:rsidR="00AE632E" w:rsidRPr="00BD22C2" w:rsidRDefault="00AE632E" w:rsidP="00AE632E">
      <w:pPr>
        <w:spacing w:line="240" w:lineRule="auto"/>
        <w:rPr>
          <w:rFonts w:eastAsia="Calibri"/>
          <w:lang w:eastAsia="en-US"/>
        </w:rPr>
      </w:pPr>
    </w:p>
    <w:p w14:paraId="3051ECD1" w14:textId="77777777" w:rsidR="00AE632E" w:rsidRPr="00BD22C2" w:rsidRDefault="00AE632E" w:rsidP="00921F50">
      <w:pPr>
        <w:spacing w:line="240" w:lineRule="auto"/>
        <w:ind w:left="284"/>
        <w:rPr>
          <w:rFonts w:eastAsia="MS Mincho"/>
        </w:rPr>
      </w:pPr>
      <w:r w:rsidRPr="00BD22C2">
        <w:rPr>
          <w:rFonts w:eastAsia="MS Mincho"/>
        </w:rPr>
        <w:t>Traitement de texte :</w:t>
      </w:r>
    </w:p>
    <w:p w14:paraId="51F6D16F" w14:textId="77777777" w:rsidR="00AE632E" w:rsidRPr="00BD22C2" w:rsidRDefault="00AE632E" w:rsidP="00AE632E">
      <w:pPr>
        <w:spacing w:line="240" w:lineRule="auto"/>
        <w:rPr>
          <w:rFonts w:eastAsia="MS Mincho"/>
        </w:rPr>
      </w:pPr>
    </w:p>
    <w:p w14:paraId="04CD826B" w14:textId="77777777" w:rsidR="00AE632E" w:rsidRDefault="00AE632E" w:rsidP="00AE632E">
      <w:pPr>
        <w:spacing w:line="240" w:lineRule="auto"/>
        <w:rPr>
          <w:rFonts w:eastAsia="MS Mincho"/>
          <w:i/>
          <w:iCs/>
        </w:rPr>
      </w:pPr>
      <w:r w:rsidRPr="00BD22C2">
        <w:rPr>
          <w:rFonts w:eastAsia="MS Mincho"/>
        </w:rPr>
        <w:tab/>
      </w:r>
      <w:r w:rsidRPr="00BD22C2">
        <w:rPr>
          <w:rFonts w:eastAsia="MS Mincho"/>
          <w:i/>
          <w:iCs/>
        </w:rPr>
        <w:t>Sylvie Durand</w:t>
      </w:r>
    </w:p>
    <w:p w14:paraId="5B10F658" w14:textId="77777777" w:rsidR="00AE632E" w:rsidRPr="00061794" w:rsidRDefault="00AE632E" w:rsidP="00AE632E">
      <w:pPr>
        <w:spacing w:line="240" w:lineRule="auto"/>
        <w:rPr>
          <w:rFonts w:eastAsia="MS Mincho"/>
          <w:i/>
          <w:iCs/>
        </w:rPr>
      </w:pPr>
      <w:r w:rsidRPr="00BD22C2">
        <w:rPr>
          <w:rFonts w:eastAsia="MS Mincho"/>
        </w:rPr>
        <w:tab/>
      </w:r>
      <w:r w:rsidRPr="00061794">
        <w:rPr>
          <w:rFonts w:eastAsia="MS Mincho"/>
          <w:i/>
          <w:iCs/>
        </w:rPr>
        <w:t>Emmanuel D. Bance</w:t>
      </w:r>
    </w:p>
    <w:p w14:paraId="34C78601" w14:textId="77777777" w:rsidR="00AE632E" w:rsidRPr="00BD22C2" w:rsidRDefault="00AE632E" w:rsidP="00AE632E">
      <w:pPr>
        <w:spacing w:line="240" w:lineRule="auto"/>
        <w:rPr>
          <w:rFonts w:eastAsia="MS Mincho"/>
        </w:rPr>
        <w:sectPr w:rsidR="00AE632E" w:rsidRPr="00BD22C2" w:rsidSect="00AE632E">
          <w:headerReference w:type="even" r:id="rId21"/>
          <w:headerReference w:type="default" r:id="rId22"/>
          <w:footerReference w:type="even" r:id="rId23"/>
          <w:headerReference w:type="first" r:id="rId24"/>
          <w:footerReference w:type="first" r:id="rId25"/>
          <w:type w:val="continuous"/>
          <w:pgSz w:w="12240" w:h="15840" w:code="1"/>
          <w:pgMar w:top="1871" w:right="1440" w:bottom="1440" w:left="1440" w:header="709" w:footer="709" w:gutter="0"/>
          <w:pgNumType w:start="1"/>
          <w:cols w:space="708"/>
          <w:titlePg/>
          <w:docGrid w:linePitch="360"/>
        </w:sectPr>
      </w:pPr>
      <w:r w:rsidRPr="00BD22C2">
        <w:rPr>
          <w:rFonts w:eastAsia="MS Mincho"/>
        </w:rPr>
        <w:tab/>
        <w:t>Direction de la recherche</w:t>
      </w:r>
    </w:p>
    <w:p w14:paraId="3FE09621" w14:textId="77777777" w:rsidR="00B17E41" w:rsidRDefault="00B17E41" w:rsidP="004867BF">
      <w:pPr>
        <w:spacing w:line="240" w:lineRule="auto"/>
        <w:rPr>
          <w:rFonts w:cs="Arial"/>
          <w:b/>
          <w:bCs/>
          <w:szCs w:val="22"/>
        </w:rPr>
      </w:pPr>
    </w:p>
    <w:p w14:paraId="7471A057" w14:textId="77777777" w:rsidR="00B17E41" w:rsidRDefault="00B17E41" w:rsidP="004867BF">
      <w:pPr>
        <w:spacing w:line="240" w:lineRule="auto"/>
        <w:rPr>
          <w:rFonts w:cs="Arial"/>
          <w:b/>
          <w:bCs/>
          <w:szCs w:val="22"/>
        </w:rPr>
      </w:pPr>
    </w:p>
    <w:p w14:paraId="2C1BE2DA" w14:textId="77777777" w:rsidR="005D766B" w:rsidRDefault="005D766B" w:rsidP="004867BF">
      <w:pPr>
        <w:spacing w:line="240" w:lineRule="auto"/>
        <w:rPr>
          <w:rFonts w:cs="Arial"/>
          <w:b/>
          <w:bCs/>
          <w:szCs w:val="22"/>
        </w:rPr>
        <w:sectPr w:rsidR="005D766B" w:rsidSect="00770952">
          <w:type w:val="continuous"/>
          <w:pgSz w:w="12240" w:h="15840" w:code="1"/>
          <w:pgMar w:top="1985" w:right="1797" w:bottom="1440" w:left="1797" w:header="720" w:footer="720" w:gutter="0"/>
          <w:cols w:space="720"/>
          <w:titlePg/>
          <w:docGrid w:linePitch="360"/>
        </w:sectPr>
      </w:pPr>
    </w:p>
    <w:p w14:paraId="737BD250" w14:textId="7028083C" w:rsidR="00B92595" w:rsidRPr="00BD22C2" w:rsidRDefault="00B92595" w:rsidP="00B92595">
      <w:pPr>
        <w:spacing w:line="240" w:lineRule="auto"/>
        <w:rPr>
          <w:rFonts w:eastAsia="MS Mincho"/>
        </w:rPr>
        <w:sectPr w:rsidR="00B92595" w:rsidRPr="00BD22C2" w:rsidSect="00B92595">
          <w:headerReference w:type="even" r:id="rId26"/>
          <w:headerReference w:type="default" r:id="rId27"/>
          <w:footerReference w:type="even" r:id="rId28"/>
          <w:headerReference w:type="first" r:id="rId29"/>
          <w:footerReference w:type="first" r:id="rId30"/>
          <w:type w:val="continuous"/>
          <w:pgSz w:w="12240" w:h="15840" w:code="1"/>
          <w:pgMar w:top="1871" w:right="1440" w:bottom="1440" w:left="1440" w:header="709" w:footer="709" w:gutter="0"/>
          <w:pgNumType w:start="1"/>
          <w:cols w:space="708"/>
          <w:titlePg/>
          <w:docGrid w:linePitch="360"/>
        </w:sectPr>
      </w:pPr>
    </w:p>
    <w:p w14:paraId="21F475DE" w14:textId="52428E6A" w:rsidR="00A72F4A" w:rsidRPr="00BD22C2" w:rsidRDefault="00BB10A7" w:rsidP="00D254F3">
      <w:pPr>
        <w:pBdr>
          <w:bottom w:val="single" w:sz="4" w:space="1" w:color="auto"/>
        </w:pBdr>
        <w:rPr>
          <w:rFonts w:eastAsia="Calibri"/>
          <w:b/>
          <w:bCs/>
        </w:rPr>
      </w:pPr>
      <w:r w:rsidRPr="00BD22C2">
        <w:rPr>
          <w:rFonts w:eastAsia="Calibri"/>
          <w:b/>
          <w:bCs/>
        </w:rPr>
        <w:lastRenderedPageBreak/>
        <w:t>TABLE DES MATIÈRES</w:t>
      </w:r>
    </w:p>
    <w:p w14:paraId="3E8ED3A6" w14:textId="77777777" w:rsidR="00A72F4A" w:rsidRPr="00BD22C2" w:rsidRDefault="00A72F4A" w:rsidP="001E26FD">
      <w:pPr>
        <w:spacing w:line="240" w:lineRule="auto"/>
        <w:jc w:val="left"/>
        <w:rPr>
          <w:rFonts w:eastAsia="Calibri" w:cs="Arial"/>
          <w:sz w:val="20"/>
          <w:szCs w:val="20"/>
          <w:lang w:eastAsia="en-US"/>
        </w:rPr>
      </w:pPr>
    </w:p>
    <w:p w14:paraId="02F5AFEC" w14:textId="77777777" w:rsidR="001E26FD" w:rsidRPr="00BD22C2" w:rsidRDefault="001E26FD" w:rsidP="001E26FD">
      <w:pPr>
        <w:spacing w:line="240" w:lineRule="auto"/>
        <w:jc w:val="left"/>
        <w:rPr>
          <w:rFonts w:eastAsia="Calibri" w:cs="Arial"/>
          <w:sz w:val="20"/>
          <w:szCs w:val="20"/>
          <w:lang w:eastAsia="en-US"/>
        </w:rPr>
      </w:pPr>
    </w:p>
    <w:p w14:paraId="25D06448" w14:textId="1321EBFB" w:rsidR="001E26FD" w:rsidRPr="00BD22C2" w:rsidRDefault="001E26FD" w:rsidP="001E26FD">
      <w:pPr>
        <w:pStyle w:val="TM1"/>
        <w:tabs>
          <w:tab w:val="clear" w:pos="9350"/>
          <w:tab w:val="right" w:leader="dot" w:pos="9356"/>
        </w:tabs>
        <w:spacing w:after="0"/>
        <w:rPr>
          <w:rStyle w:val="Lienhypertexte"/>
          <w:noProof/>
          <w:color w:val="auto"/>
        </w:rPr>
      </w:pPr>
      <w:r w:rsidRPr="00BD22C2">
        <w:rPr>
          <w:rFonts w:eastAsia="Calibri" w:cs="Arial"/>
          <w:sz w:val="20"/>
          <w:szCs w:val="20"/>
          <w:lang w:eastAsia="en-US"/>
        </w:rPr>
        <w:fldChar w:fldCharType="begin"/>
      </w:r>
      <w:r w:rsidRPr="00BD22C2">
        <w:rPr>
          <w:rFonts w:eastAsia="Calibri" w:cs="Arial"/>
          <w:sz w:val="20"/>
          <w:szCs w:val="20"/>
          <w:lang w:eastAsia="en-US"/>
        </w:rPr>
        <w:instrText xml:space="preserve"> TOC \h \z \u \t "Titre 1;2;Titre 2;3;Titre 3;4;Titre 4;5;Titre 5;6;Titre;1" </w:instrText>
      </w:r>
      <w:r w:rsidRPr="00BD22C2">
        <w:rPr>
          <w:rFonts w:eastAsia="Calibri" w:cs="Arial"/>
          <w:sz w:val="20"/>
          <w:szCs w:val="20"/>
          <w:lang w:eastAsia="en-US"/>
        </w:rPr>
        <w:fldChar w:fldCharType="separate"/>
      </w:r>
      <w:hyperlink w:anchor="_Toc165636089" w:history="1">
        <w:r w:rsidRPr="00BD22C2">
          <w:rPr>
            <w:rStyle w:val="Lienhypertexte"/>
            <w:rFonts w:eastAsia="Calibri"/>
            <w:noProof/>
            <w:color w:val="auto"/>
            <w:lang w:eastAsia="en-US"/>
          </w:rPr>
          <w:t>Sommaire</w:t>
        </w:r>
        <w:r w:rsidRPr="00BD22C2">
          <w:rPr>
            <w:noProof/>
            <w:webHidden/>
          </w:rPr>
          <w:tab/>
        </w:r>
        <w:r w:rsidRPr="00BD22C2">
          <w:rPr>
            <w:noProof/>
            <w:webHidden/>
          </w:rPr>
          <w:fldChar w:fldCharType="begin"/>
        </w:r>
        <w:r w:rsidRPr="00BD22C2">
          <w:rPr>
            <w:noProof/>
            <w:webHidden/>
          </w:rPr>
          <w:instrText xml:space="preserve"> PAGEREF _Toc165636089 \h </w:instrText>
        </w:r>
        <w:r w:rsidRPr="00BD22C2">
          <w:rPr>
            <w:noProof/>
            <w:webHidden/>
          </w:rPr>
        </w:r>
        <w:r w:rsidRPr="00BD22C2">
          <w:rPr>
            <w:noProof/>
            <w:webHidden/>
          </w:rPr>
          <w:fldChar w:fldCharType="separate"/>
        </w:r>
        <w:r w:rsidR="008D397D">
          <w:rPr>
            <w:noProof/>
            <w:webHidden/>
          </w:rPr>
          <w:t>i</w:t>
        </w:r>
        <w:r w:rsidRPr="00BD22C2">
          <w:rPr>
            <w:noProof/>
            <w:webHidden/>
          </w:rPr>
          <w:fldChar w:fldCharType="end"/>
        </w:r>
      </w:hyperlink>
    </w:p>
    <w:p w14:paraId="33252319"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46A3F72C" w14:textId="59B2B4F6" w:rsidR="001E26FD" w:rsidRPr="00BD22C2" w:rsidRDefault="001E26FD" w:rsidP="001E26FD">
      <w:pPr>
        <w:pStyle w:val="TM1"/>
        <w:tabs>
          <w:tab w:val="clear" w:pos="9350"/>
          <w:tab w:val="right" w:leader="dot" w:pos="9356"/>
        </w:tabs>
        <w:spacing w:after="0"/>
        <w:rPr>
          <w:rStyle w:val="Lienhypertexte"/>
          <w:noProof/>
          <w:color w:val="auto"/>
        </w:rPr>
      </w:pPr>
      <w:hyperlink w:anchor="_Toc165636090" w:history="1">
        <w:r w:rsidRPr="00BD22C2">
          <w:rPr>
            <w:rStyle w:val="Lienhypertexte"/>
            <w:rFonts w:eastAsia="Calibri"/>
            <w:noProof/>
            <w:color w:val="auto"/>
            <w:lang w:eastAsia="en-US"/>
          </w:rPr>
          <w:t xml:space="preserve">Avant-propos </w:t>
        </w:r>
        <w:r w:rsidRPr="00BD22C2">
          <w:rPr>
            <w:rStyle w:val="Lienhypertexte"/>
            <w:rFonts w:eastAsia="Calibri" w:hint="eastAsia"/>
            <w:noProof/>
            <w:color w:val="auto"/>
            <w:lang w:eastAsia="en-US"/>
          </w:rPr>
          <w:t>—</w:t>
        </w:r>
        <w:r w:rsidRPr="00BD22C2">
          <w:rPr>
            <w:rStyle w:val="Lienhypertexte"/>
            <w:rFonts w:eastAsia="Calibri"/>
            <w:noProof/>
            <w:color w:val="auto"/>
            <w:lang w:eastAsia="en-US"/>
          </w:rPr>
          <w:t xml:space="preserve"> la commission et les droits des personnes LgbTq+</w:t>
        </w:r>
        <w:r w:rsidRPr="00BD22C2">
          <w:rPr>
            <w:noProof/>
            <w:webHidden/>
          </w:rPr>
          <w:tab/>
        </w:r>
        <w:r w:rsidRPr="00BD22C2">
          <w:rPr>
            <w:noProof/>
            <w:webHidden/>
          </w:rPr>
          <w:fldChar w:fldCharType="begin"/>
        </w:r>
        <w:r w:rsidRPr="00BD22C2">
          <w:rPr>
            <w:noProof/>
            <w:webHidden/>
          </w:rPr>
          <w:instrText xml:space="preserve"> PAGEREF _Toc165636090 \h </w:instrText>
        </w:r>
        <w:r w:rsidRPr="00BD22C2">
          <w:rPr>
            <w:noProof/>
            <w:webHidden/>
          </w:rPr>
        </w:r>
        <w:r w:rsidRPr="00BD22C2">
          <w:rPr>
            <w:noProof/>
            <w:webHidden/>
          </w:rPr>
          <w:fldChar w:fldCharType="separate"/>
        </w:r>
        <w:r w:rsidR="008D397D">
          <w:rPr>
            <w:noProof/>
            <w:webHidden/>
          </w:rPr>
          <w:t>viii</w:t>
        </w:r>
        <w:r w:rsidRPr="00BD22C2">
          <w:rPr>
            <w:noProof/>
            <w:webHidden/>
          </w:rPr>
          <w:fldChar w:fldCharType="end"/>
        </w:r>
      </w:hyperlink>
    </w:p>
    <w:p w14:paraId="59DA6988"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1B4E24BC" w14:textId="07DD36C5" w:rsidR="001E26FD" w:rsidRPr="00BD22C2" w:rsidRDefault="001E26FD" w:rsidP="001E26FD">
      <w:pPr>
        <w:pStyle w:val="TM1"/>
        <w:tabs>
          <w:tab w:val="clear" w:pos="9350"/>
          <w:tab w:val="right" w:leader="dot" w:pos="9356"/>
        </w:tabs>
        <w:spacing w:after="0"/>
        <w:rPr>
          <w:rStyle w:val="Lienhypertexte"/>
          <w:noProof/>
          <w:color w:val="auto"/>
        </w:rPr>
      </w:pPr>
      <w:hyperlink w:anchor="_Toc165636091" w:history="1">
        <w:r w:rsidRPr="00BD22C2">
          <w:rPr>
            <w:rStyle w:val="Lienhypertexte"/>
            <w:rFonts w:eastAsia="Calibri"/>
            <w:noProof/>
            <w:color w:val="auto"/>
            <w:lang w:eastAsia="en-US"/>
          </w:rPr>
          <w:t xml:space="preserve">Introduction </w:t>
        </w:r>
        <w:r w:rsidRPr="00BD22C2">
          <w:rPr>
            <w:rStyle w:val="Lienhypertexte"/>
            <w:rFonts w:eastAsia="Calibri" w:hint="eastAsia"/>
            <w:noProof/>
            <w:color w:val="auto"/>
            <w:lang w:eastAsia="en-US"/>
          </w:rPr>
          <w:t>—</w:t>
        </w:r>
        <w:r w:rsidRPr="00BD22C2">
          <w:rPr>
            <w:rStyle w:val="Lienhypertexte"/>
            <w:rFonts w:eastAsia="Calibri"/>
            <w:noProof/>
            <w:color w:val="auto"/>
            <w:lang w:eastAsia="en-US"/>
          </w:rPr>
          <w:t xml:space="preserve"> R</w:t>
        </w:r>
        <w:r w:rsidRPr="00BD22C2">
          <w:rPr>
            <w:rStyle w:val="Lienhypertexte"/>
            <w:rFonts w:eastAsia="Calibri" w:hint="eastAsia"/>
            <w:noProof/>
            <w:color w:val="auto"/>
            <w:lang w:eastAsia="en-US"/>
          </w:rPr>
          <w:t>É</w:t>
        </w:r>
        <w:r w:rsidRPr="00BD22C2">
          <w:rPr>
            <w:rStyle w:val="Lienhypertexte"/>
            <w:rFonts w:eastAsia="Calibri"/>
            <w:noProof/>
            <w:color w:val="auto"/>
            <w:lang w:eastAsia="en-US"/>
          </w:rPr>
          <w:t>AFFIRMER L</w:t>
        </w:r>
        <w:r w:rsidR="00F602C3">
          <w:rPr>
            <w:rStyle w:val="Lienhypertexte"/>
            <w:rFonts w:eastAsia="Calibri"/>
            <w:noProof/>
            <w:color w:val="auto"/>
            <w:lang w:eastAsia="en-US"/>
          </w:rPr>
          <w:t>’</w:t>
        </w:r>
        <w:r w:rsidRPr="00BD22C2">
          <w:rPr>
            <w:rStyle w:val="Lienhypertexte"/>
            <w:rFonts w:eastAsia="Calibri"/>
            <w:noProof/>
            <w:color w:val="auto"/>
            <w:lang w:eastAsia="en-US"/>
          </w:rPr>
          <w:t>ENGAGEMENT DU QU</w:t>
        </w:r>
        <w:r w:rsidRPr="00BD22C2">
          <w:rPr>
            <w:rStyle w:val="Lienhypertexte"/>
            <w:rFonts w:eastAsia="Calibri" w:hint="eastAsia"/>
            <w:noProof/>
            <w:color w:val="auto"/>
            <w:lang w:eastAsia="en-US"/>
          </w:rPr>
          <w:t>É</w:t>
        </w:r>
        <w:r w:rsidRPr="00BD22C2">
          <w:rPr>
            <w:rStyle w:val="Lienhypertexte"/>
            <w:rFonts w:eastAsia="Calibri"/>
            <w:noProof/>
            <w:color w:val="auto"/>
            <w:lang w:eastAsia="en-US"/>
          </w:rPr>
          <w:t>BEC</w:t>
        </w:r>
        <w:r w:rsidRPr="00BD22C2">
          <w:rPr>
            <w:noProof/>
            <w:webHidden/>
          </w:rPr>
          <w:tab/>
        </w:r>
        <w:r w:rsidRPr="00BD22C2">
          <w:rPr>
            <w:noProof/>
            <w:webHidden/>
          </w:rPr>
          <w:fldChar w:fldCharType="begin"/>
        </w:r>
        <w:r w:rsidRPr="00BD22C2">
          <w:rPr>
            <w:noProof/>
            <w:webHidden/>
          </w:rPr>
          <w:instrText xml:space="preserve"> PAGEREF _Toc165636091 \h </w:instrText>
        </w:r>
        <w:r w:rsidRPr="00BD22C2">
          <w:rPr>
            <w:noProof/>
            <w:webHidden/>
          </w:rPr>
        </w:r>
        <w:r w:rsidRPr="00BD22C2">
          <w:rPr>
            <w:noProof/>
            <w:webHidden/>
          </w:rPr>
          <w:fldChar w:fldCharType="separate"/>
        </w:r>
        <w:r w:rsidR="008D397D">
          <w:rPr>
            <w:noProof/>
            <w:webHidden/>
          </w:rPr>
          <w:t>1</w:t>
        </w:r>
        <w:r w:rsidRPr="00BD22C2">
          <w:rPr>
            <w:noProof/>
            <w:webHidden/>
          </w:rPr>
          <w:fldChar w:fldCharType="end"/>
        </w:r>
      </w:hyperlink>
    </w:p>
    <w:p w14:paraId="4860119B"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1FE3FA4B" w14:textId="07E0F638" w:rsidR="001E26FD" w:rsidRPr="00BD22C2" w:rsidRDefault="001E26FD" w:rsidP="001E26FD">
      <w:pPr>
        <w:pStyle w:val="TM1"/>
        <w:tabs>
          <w:tab w:val="clear" w:pos="9350"/>
          <w:tab w:val="right" w:leader="dot" w:pos="9356"/>
        </w:tabs>
        <w:spacing w:after="0"/>
        <w:rPr>
          <w:rStyle w:val="Lienhypertexte"/>
          <w:noProof/>
          <w:color w:val="auto"/>
        </w:rPr>
      </w:pPr>
      <w:hyperlink w:anchor="_Toc165636092" w:history="1">
        <w:r w:rsidRPr="00BD22C2">
          <w:rPr>
            <w:rStyle w:val="Lienhypertexte"/>
            <w:rFonts w:eastAsia="Calibri"/>
            <w:noProof/>
            <w:color w:val="auto"/>
            <w:lang w:eastAsia="en-US"/>
          </w:rPr>
          <w:t>Partie</w:t>
        </w:r>
        <w:r w:rsidRPr="00BD22C2">
          <w:rPr>
            <w:rStyle w:val="Lienhypertexte"/>
            <w:rFonts w:eastAsia="Calibri" w:hint="eastAsia"/>
            <w:noProof/>
            <w:color w:val="auto"/>
            <w:lang w:eastAsia="en-US"/>
          </w:rPr>
          <w:t> </w:t>
        </w:r>
        <w:r w:rsidRPr="00BD22C2">
          <w:rPr>
            <w:rStyle w:val="Lienhypertexte"/>
            <w:rFonts w:eastAsia="Calibri"/>
            <w:noProof/>
            <w:color w:val="auto"/>
            <w:lang w:eastAsia="en-US"/>
          </w:rPr>
          <w:t xml:space="preserve">1 </w:t>
        </w:r>
        <w:r w:rsidRPr="00BD22C2">
          <w:rPr>
            <w:rStyle w:val="Lienhypertexte"/>
            <w:rFonts w:eastAsia="Calibri" w:hint="eastAsia"/>
            <w:noProof/>
            <w:color w:val="auto"/>
            <w:lang w:eastAsia="en-US"/>
          </w:rPr>
          <w:t>—</w:t>
        </w:r>
        <w:r w:rsidRPr="00BD22C2">
          <w:rPr>
            <w:rStyle w:val="Lienhypertexte"/>
            <w:rFonts w:eastAsia="Calibri"/>
            <w:noProof/>
            <w:color w:val="auto"/>
            <w:lang w:eastAsia="en-US"/>
          </w:rPr>
          <w:t xml:space="preserve"> Quelques points de rep</w:t>
        </w:r>
        <w:r w:rsidRPr="00BD22C2">
          <w:rPr>
            <w:rStyle w:val="Lienhypertexte"/>
            <w:rFonts w:eastAsia="Calibri" w:hint="eastAsia"/>
            <w:noProof/>
            <w:color w:val="auto"/>
            <w:lang w:eastAsia="en-US"/>
          </w:rPr>
          <w:t>è</w:t>
        </w:r>
        <w:r w:rsidRPr="00BD22C2">
          <w:rPr>
            <w:rStyle w:val="Lienhypertexte"/>
            <w:rFonts w:eastAsia="Calibri"/>
            <w:noProof/>
            <w:color w:val="auto"/>
            <w:lang w:eastAsia="en-US"/>
          </w:rPr>
          <w:t>re</w:t>
        </w:r>
        <w:r w:rsidRPr="00BD22C2">
          <w:rPr>
            <w:noProof/>
            <w:webHidden/>
          </w:rPr>
          <w:tab/>
        </w:r>
        <w:r w:rsidRPr="00BD22C2">
          <w:rPr>
            <w:noProof/>
            <w:webHidden/>
          </w:rPr>
          <w:fldChar w:fldCharType="begin"/>
        </w:r>
        <w:r w:rsidRPr="00BD22C2">
          <w:rPr>
            <w:noProof/>
            <w:webHidden/>
          </w:rPr>
          <w:instrText xml:space="preserve"> PAGEREF _Toc165636092 \h </w:instrText>
        </w:r>
        <w:r w:rsidRPr="00BD22C2">
          <w:rPr>
            <w:noProof/>
            <w:webHidden/>
          </w:rPr>
        </w:r>
        <w:r w:rsidRPr="00BD22C2">
          <w:rPr>
            <w:noProof/>
            <w:webHidden/>
          </w:rPr>
          <w:fldChar w:fldCharType="separate"/>
        </w:r>
        <w:r w:rsidR="008D397D">
          <w:rPr>
            <w:noProof/>
            <w:webHidden/>
          </w:rPr>
          <w:t>10</w:t>
        </w:r>
        <w:r w:rsidRPr="00BD22C2">
          <w:rPr>
            <w:noProof/>
            <w:webHidden/>
          </w:rPr>
          <w:fldChar w:fldCharType="end"/>
        </w:r>
      </w:hyperlink>
    </w:p>
    <w:p w14:paraId="61A78985" w14:textId="77777777" w:rsidR="001E26FD" w:rsidRPr="00BD22C2" w:rsidRDefault="001E26FD" w:rsidP="001E26FD">
      <w:pPr>
        <w:pStyle w:val="Paragraphe"/>
        <w:tabs>
          <w:tab w:val="right" w:leader="dot" w:pos="9356"/>
        </w:tabs>
        <w:spacing w:before="0" w:after="0" w:line="240" w:lineRule="auto"/>
        <w:rPr>
          <w:noProof/>
          <w:lang w:val="fr-CA"/>
        </w:rPr>
      </w:pPr>
    </w:p>
    <w:p w14:paraId="0805D95B" w14:textId="6489F36C" w:rsidR="001E26FD" w:rsidRPr="00DB7567" w:rsidRDefault="001E26FD" w:rsidP="001E26FD">
      <w:pPr>
        <w:pStyle w:val="TM2"/>
        <w:rPr>
          <w:rStyle w:val="Lienhypertexte"/>
          <w:color w:val="auto"/>
        </w:rPr>
      </w:pPr>
      <w:hyperlink w:anchor="_Toc165636093" w:history="1">
        <w:r w:rsidRPr="00DB7567">
          <w:rPr>
            <w:rStyle w:val="Lienhypertexte"/>
            <w:color w:val="auto"/>
          </w:rPr>
          <w:t>1</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Apprendre de l’histoire</w:t>
        </w:r>
        <w:r w:rsidRPr="00DB7567">
          <w:rPr>
            <w:webHidden/>
          </w:rPr>
          <w:tab/>
        </w:r>
        <w:r w:rsidRPr="00DB7567">
          <w:rPr>
            <w:webHidden/>
          </w:rPr>
          <w:fldChar w:fldCharType="begin"/>
        </w:r>
        <w:r w:rsidRPr="00DB7567">
          <w:rPr>
            <w:webHidden/>
          </w:rPr>
          <w:instrText xml:space="preserve"> PAGEREF _Toc165636093 \h </w:instrText>
        </w:r>
        <w:r w:rsidRPr="00DB7567">
          <w:rPr>
            <w:webHidden/>
          </w:rPr>
        </w:r>
        <w:r w:rsidRPr="00DB7567">
          <w:rPr>
            <w:webHidden/>
          </w:rPr>
          <w:fldChar w:fldCharType="separate"/>
        </w:r>
        <w:r w:rsidR="008D397D">
          <w:rPr>
            <w:webHidden/>
          </w:rPr>
          <w:t>10</w:t>
        </w:r>
        <w:r w:rsidRPr="00DB7567">
          <w:rPr>
            <w:webHidden/>
          </w:rPr>
          <w:fldChar w:fldCharType="end"/>
        </w:r>
      </w:hyperlink>
    </w:p>
    <w:p w14:paraId="63701DD2" w14:textId="5C2C9D9B"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094" w:history="1">
        <w:r w:rsidRPr="00BD22C2">
          <w:rPr>
            <w:rStyle w:val="Lienhypertexte"/>
            <w:noProof/>
            <w:color w:val="auto"/>
          </w:rPr>
          <w:t>1.1</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Les personnes trans existent depuis longtemps</w:t>
        </w:r>
        <w:r w:rsidRPr="00BD22C2">
          <w:rPr>
            <w:noProof/>
            <w:webHidden/>
          </w:rPr>
          <w:tab/>
        </w:r>
        <w:r w:rsidRPr="00BD22C2">
          <w:rPr>
            <w:noProof/>
            <w:webHidden/>
          </w:rPr>
          <w:fldChar w:fldCharType="begin"/>
        </w:r>
        <w:r w:rsidRPr="00BD22C2">
          <w:rPr>
            <w:noProof/>
            <w:webHidden/>
          </w:rPr>
          <w:instrText xml:space="preserve"> PAGEREF _Toc165636094 \h </w:instrText>
        </w:r>
        <w:r w:rsidRPr="00BD22C2">
          <w:rPr>
            <w:noProof/>
            <w:webHidden/>
          </w:rPr>
        </w:r>
        <w:r w:rsidRPr="00BD22C2">
          <w:rPr>
            <w:noProof/>
            <w:webHidden/>
          </w:rPr>
          <w:fldChar w:fldCharType="separate"/>
        </w:r>
        <w:r w:rsidR="008D397D">
          <w:rPr>
            <w:noProof/>
            <w:webHidden/>
          </w:rPr>
          <w:t>11</w:t>
        </w:r>
        <w:r w:rsidRPr="00BD22C2">
          <w:rPr>
            <w:noProof/>
            <w:webHidden/>
          </w:rPr>
          <w:fldChar w:fldCharType="end"/>
        </w:r>
      </w:hyperlink>
    </w:p>
    <w:p w14:paraId="5F34F01B" w14:textId="43A8D164"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095" w:history="1">
        <w:r w:rsidRPr="00BD22C2">
          <w:rPr>
            <w:rStyle w:val="Lienhypertexte"/>
            <w:noProof/>
            <w:color w:val="auto"/>
          </w:rPr>
          <w:t>1.2</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La pathologisation</w:t>
        </w:r>
        <w:r w:rsidRPr="00BD22C2">
          <w:rPr>
            <w:noProof/>
            <w:webHidden/>
          </w:rPr>
          <w:tab/>
        </w:r>
        <w:r w:rsidRPr="00BD22C2">
          <w:rPr>
            <w:noProof/>
            <w:webHidden/>
          </w:rPr>
          <w:fldChar w:fldCharType="begin"/>
        </w:r>
        <w:r w:rsidRPr="00BD22C2">
          <w:rPr>
            <w:noProof/>
            <w:webHidden/>
          </w:rPr>
          <w:instrText xml:space="preserve"> PAGEREF _Toc165636095 \h </w:instrText>
        </w:r>
        <w:r w:rsidRPr="00BD22C2">
          <w:rPr>
            <w:noProof/>
            <w:webHidden/>
          </w:rPr>
        </w:r>
        <w:r w:rsidRPr="00BD22C2">
          <w:rPr>
            <w:noProof/>
            <w:webHidden/>
          </w:rPr>
          <w:fldChar w:fldCharType="separate"/>
        </w:r>
        <w:r w:rsidR="008D397D">
          <w:rPr>
            <w:noProof/>
            <w:webHidden/>
          </w:rPr>
          <w:t>12</w:t>
        </w:r>
        <w:r w:rsidRPr="00BD22C2">
          <w:rPr>
            <w:noProof/>
            <w:webHidden/>
          </w:rPr>
          <w:fldChar w:fldCharType="end"/>
        </w:r>
      </w:hyperlink>
    </w:p>
    <w:p w14:paraId="0CEC2E74" w14:textId="473495A3" w:rsidR="001E26FD" w:rsidRPr="00BD22C2" w:rsidRDefault="001E26FD" w:rsidP="001E26FD">
      <w:pPr>
        <w:pStyle w:val="TM3"/>
        <w:rPr>
          <w:rStyle w:val="Lienhypertexte"/>
          <w:noProof/>
          <w:color w:val="auto"/>
        </w:rPr>
      </w:pPr>
      <w:hyperlink w:anchor="_Toc165636096" w:history="1">
        <w:r w:rsidRPr="00BD22C2">
          <w:rPr>
            <w:rStyle w:val="Lienhypertexte"/>
            <w:noProof/>
            <w:color w:val="auto"/>
          </w:rPr>
          <w:t>1.3</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 profilage discriminatoire</w:t>
        </w:r>
        <w:r w:rsidRPr="00BD22C2">
          <w:rPr>
            <w:noProof/>
            <w:webHidden/>
          </w:rPr>
          <w:tab/>
        </w:r>
        <w:r w:rsidRPr="00BD22C2">
          <w:rPr>
            <w:noProof/>
            <w:webHidden/>
          </w:rPr>
          <w:fldChar w:fldCharType="begin"/>
        </w:r>
        <w:r w:rsidRPr="00BD22C2">
          <w:rPr>
            <w:noProof/>
            <w:webHidden/>
          </w:rPr>
          <w:instrText xml:space="preserve"> PAGEREF _Toc165636096 \h </w:instrText>
        </w:r>
        <w:r w:rsidRPr="00BD22C2">
          <w:rPr>
            <w:noProof/>
            <w:webHidden/>
          </w:rPr>
        </w:r>
        <w:r w:rsidRPr="00BD22C2">
          <w:rPr>
            <w:noProof/>
            <w:webHidden/>
          </w:rPr>
          <w:fldChar w:fldCharType="separate"/>
        </w:r>
        <w:r w:rsidR="008D397D">
          <w:rPr>
            <w:noProof/>
            <w:webHidden/>
          </w:rPr>
          <w:t>14</w:t>
        </w:r>
        <w:r w:rsidRPr="00BD22C2">
          <w:rPr>
            <w:noProof/>
            <w:webHidden/>
          </w:rPr>
          <w:fldChar w:fldCharType="end"/>
        </w:r>
      </w:hyperlink>
    </w:p>
    <w:p w14:paraId="7CB4ABEB" w14:textId="77777777" w:rsidR="001E26FD" w:rsidRPr="00BD22C2" w:rsidRDefault="001E26FD" w:rsidP="001E26FD">
      <w:pPr>
        <w:tabs>
          <w:tab w:val="right" w:leader="dot" w:pos="9356"/>
        </w:tabs>
        <w:spacing w:line="240" w:lineRule="auto"/>
        <w:jc w:val="left"/>
        <w:rPr>
          <w:rFonts w:eastAsiaTheme="minorEastAsia"/>
          <w:noProof/>
        </w:rPr>
      </w:pPr>
    </w:p>
    <w:p w14:paraId="5BBEC82B" w14:textId="661FEABD" w:rsidR="001E26FD" w:rsidRPr="00DB7567" w:rsidRDefault="001E26FD" w:rsidP="001E26FD">
      <w:pPr>
        <w:pStyle w:val="TM2"/>
        <w:rPr>
          <w:rStyle w:val="Lienhypertexte"/>
          <w:color w:val="auto"/>
        </w:rPr>
      </w:pPr>
      <w:hyperlink w:anchor="_Toc165636097" w:history="1">
        <w:r w:rsidRPr="00DB7567">
          <w:rPr>
            <w:rStyle w:val="Lienhypertexte"/>
            <w:color w:val="auto"/>
          </w:rPr>
          <w:t>2</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Précisions terminologiques</w:t>
        </w:r>
        <w:r w:rsidRPr="00DB7567">
          <w:rPr>
            <w:webHidden/>
          </w:rPr>
          <w:tab/>
        </w:r>
        <w:r w:rsidRPr="00DB7567">
          <w:rPr>
            <w:webHidden/>
          </w:rPr>
          <w:fldChar w:fldCharType="begin"/>
        </w:r>
        <w:r w:rsidRPr="00DB7567">
          <w:rPr>
            <w:webHidden/>
          </w:rPr>
          <w:instrText xml:space="preserve"> PAGEREF _Toc165636097 \h </w:instrText>
        </w:r>
        <w:r w:rsidRPr="00DB7567">
          <w:rPr>
            <w:webHidden/>
          </w:rPr>
        </w:r>
        <w:r w:rsidRPr="00DB7567">
          <w:rPr>
            <w:webHidden/>
          </w:rPr>
          <w:fldChar w:fldCharType="separate"/>
        </w:r>
        <w:r w:rsidR="008D397D">
          <w:rPr>
            <w:webHidden/>
          </w:rPr>
          <w:t>18</w:t>
        </w:r>
        <w:r w:rsidRPr="00DB7567">
          <w:rPr>
            <w:webHidden/>
          </w:rPr>
          <w:fldChar w:fldCharType="end"/>
        </w:r>
      </w:hyperlink>
    </w:p>
    <w:p w14:paraId="41120405" w14:textId="6C50A071" w:rsidR="001E26FD" w:rsidRPr="00BD22C2" w:rsidRDefault="001E26FD" w:rsidP="001E26FD">
      <w:pPr>
        <w:pStyle w:val="TM3"/>
        <w:rPr>
          <w:rStyle w:val="Lienhypertexte"/>
          <w:noProof/>
          <w:color w:val="auto"/>
        </w:rPr>
      </w:pPr>
      <w:hyperlink w:anchor="_Toc165636098" w:history="1">
        <w:r w:rsidRPr="00BD22C2">
          <w:rPr>
            <w:rStyle w:val="Lienhypertexte"/>
            <w:noProof/>
            <w:color w:val="auto"/>
          </w:rPr>
          <w:t>2.1</w:t>
        </w:r>
        <w:r w:rsidRPr="00BD22C2">
          <w:rPr>
            <w:rStyle w:val="Lienhypertexte"/>
            <w:noProof/>
            <w:color w:val="auto"/>
          </w:rPr>
          <w:tab/>
          <w:t>Le sexe et l’identité de genre comme motifs interdits de discrimination</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_Toc165636098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18</w:t>
        </w:r>
        <w:r w:rsidRPr="00BD22C2">
          <w:rPr>
            <w:rStyle w:val="Lienhypertexte"/>
            <w:noProof/>
            <w:webHidden/>
            <w:color w:val="auto"/>
          </w:rPr>
          <w:fldChar w:fldCharType="end"/>
        </w:r>
      </w:hyperlink>
    </w:p>
    <w:p w14:paraId="6B310AF5" w14:textId="578D85FB" w:rsidR="001E26FD" w:rsidRPr="00BD22C2" w:rsidRDefault="001E26FD" w:rsidP="001E26FD">
      <w:pPr>
        <w:pStyle w:val="TM3"/>
        <w:rPr>
          <w:rStyle w:val="Lienhypertexte"/>
          <w:noProof/>
          <w:color w:val="auto"/>
        </w:rPr>
      </w:pPr>
      <w:hyperlink w:anchor="_Toc165636099" w:history="1">
        <w:r w:rsidRPr="00BD22C2">
          <w:rPr>
            <w:rStyle w:val="Lienhypertexte"/>
            <w:noProof/>
            <w:color w:val="auto"/>
          </w:rPr>
          <w:t>2.2</w:t>
        </w:r>
        <w:r w:rsidRPr="00BD22C2">
          <w:rPr>
            <w:rStyle w:val="Lienhypertexte"/>
            <w:noProof/>
            <w:color w:val="auto"/>
          </w:rPr>
          <w:tab/>
          <w:t>Le sexe et l’identité de genre en lien avec l’état civil</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_Toc165636099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21</w:t>
        </w:r>
        <w:r w:rsidRPr="00BD22C2">
          <w:rPr>
            <w:rStyle w:val="Lienhypertexte"/>
            <w:noProof/>
            <w:webHidden/>
            <w:color w:val="auto"/>
          </w:rPr>
          <w:fldChar w:fldCharType="end"/>
        </w:r>
      </w:hyperlink>
    </w:p>
    <w:p w14:paraId="537E3C5C" w14:textId="6F63D3F3" w:rsidR="001E26FD" w:rsidRPr="00BD22C2" w:rsidRDefault="001E26FD" w:rsidP="001E26FD">
      <w:pPr>
        <w:pStyle w:val="TM3"/>
        <w:rPr>
          <w:rStyle w:val="Lienhypertexte"/>
          <w:noProof/>
          <w:color w:val="auto"/>
        </w:rPr>
      </w:pPr>
      <w:hyperlink w:anchor="_Toc165636100" w:history="1">
        <w:r w:rsidRPr="00BD22C2">
          <w:rPr>
            <w:rStyle w:val="Lienhypertexte"/>
            <w:noProof/>
            <w:color w:val="auto"/>
          </w:rPr>
          <w:t>2.3</w:t>
        </w:r>
        <w:r w:rsidRPr="00BD22C2">
          <w:rPr>
            <w:rStyle w:val="Lienhypertexte"/>
            <w:noProof/>
            <w:color w:val="auto"/>
          </w:rPr>
          <w:tab/>
          <w:t>Le sexe et l’identité de genre comme renseignements personnels</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_Toc165636100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23</w:t>
        </w:r>
        <w:r w:rsidRPr="00BD22C2">
          <w:rPr>
            <w:rStyle w:val="Lienhypertexte"/>
            <w:noProof/>
            <w:webHidden/>
            <w:color w:val="auto"/>
          </w:rPr>
          <w:fldChar w:fldCharType="end"/>
        </w:r>
      </w:hyperlink>
    </w:p>
    <w:p w14:paraId="2CDE69DE" w14:textId="67976630" w:rsidR="001E26FD" w:rsidRPr="00BD22C2" w:rsidRDefault="001E26FD" w:rsidP="001E26FD">
      <w:pPr>
        <w:pStyle w:val="TM3"/>
        <w:rPr>
          <w:rStyle w:val="Lienhypertexte"/>
          <w:noProof/>
          <w:color w:val="auto"/>
        </w:rPr>
      </w:pPr>
      <w:hyperlink w:anchor="_Toc165636101" w:history="1">
        <w:r w:rsidRPr="00BD22C2">
          <w:rPr>
            <w:rStyle w:val="Lienhypertexte"/>
            <w:noProof/>
            <w:color w:val="auto"/>
          </w:rPr>
          <w:t>2.4</w:t>
        </w:r>
        <w:r w:rsidRPr="00BD22C2">
          <w:rPr>
            <w:rStyle w:val="Lienhypertexte"/>
            <w:noProof/>
            <w:color w:val="auto"/>
          </w:rPr>
          <w:tab/>
          <w:t>Utiliser les bons termes aux bonnes fins</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_Toc165636101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23</w:t>
        </w:r>
        <w:r w:rsidRPr="00BD22C2">
          <w:rPr>
            <w:rStyle w:val="Lienhypertexte"/>
            <w:noProof/>
            <w:webHidden/>
            <w:color w:val="auto"/>
          </w:rPr>
          <w:fldChar w:fldCharType="end"/>
        </w:r>
      </w:hyperlink>
    </w:p>
    <w:p w14:paraId="6A9B5B2F" w14:textId="77777777" w:rsidR="001E26FD" w:rsidRPr="00BD22C2" w:rsidRDefault="001E26FD" w:rsidP="001E26FD">
      <w:pPr>
        <w:tabs>
          <w:tab w:val="right" w:leader="dot" w:pos="9356"/>
        </w:tabs>
        <w:spacing w:line="240" w:lineRule="auto"/>
        <w:jc w:val="left"/>
        <w:rPr>
          <w:rFonts w:eastAsiaTheme="minorEastAsia"/>
          <w:noProof/>
        </w:rPr>
      </w:pPr>
    </w:p>
    <w:p w14:paraId="6B903852" w14:textId="2211A040" w:rsidR="001E26FD" w:rsidRPr="00DB7567" w:rsidRDefault="001E26FD" w:rsidP="001E26FD">
      <w:pPr>
        <w:pStyle w:val="TM2"/>
        <w:rPr>
          <w:rStyle w:val="Lienhypertexte"/>
          <w:color w:val="auto"/>
        </w:rPr>
      </w:pPr>
      <w:hyperlink w:anchor="_Toc165636102" w:history="1">
        <w:r w:rsidRPr="00DB7567">
          <w:rPr>
            <w:rStyle w:val="Lienhypertexte"/>
            <w:color w:val="auto"/>
          </w:rPr>
          <w:t>3</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Bref portrait statistique de la situation des personnes trans et non binaires au Québec</w:t>
        </w:r>
        <w:r w:rsidRPr="00DB7567">
          <w:rPr>
            <w:webHidden/>
          </w:rPr>
          <w:tab/>
        </w:r>
        <w:r w:rsidRPr="00DB7567">
          <w:rPr>
            <w:webHidden/>
          </w:rPr>
          <w:fldChar w:fldCharType="begin"/>
        </w:r>
        <w:r w:rsidRPr="00DB7567">
          <w:rPr>
            <w:webHidden/>
          </w:rPr>
          <w:instrText xml:space="preserve"> PAGEREF _Toc165636102 \h </w:instrText>
        </w:r>
        <w:r w:rsidRPr="00DB7567">
          <w:rPr>
            <w:webHidden/>
          </w:rPr>
        </w:r>
        <w:r w:rsidRPr="00DB7567">
          <w:rPr>
            <w:webHidden/>
          </w:rPr>
          <w:fldChar w:fldCharType="separate"/>
        </w:r>
        <w:r w:rsidR="008D397D">
          <w:rPr>
            <w:webHidden/>
          </w:rPr>
          <w:t>24</w:t>
        </w:r>
        <w:r w:rsidRPr="00DB7567">
          <w:rPr>
            <w:webHidden/>
          </w:rPr>
          <w:fldChar w:fldCharType="end"/>
        </w:r>
      </w:hyperlink>
    </w:p>
    <w:p w14:paraId="16CD975B" w14:textId="6716F201"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03" w:history="1">
        <w:r w:rsidRPr="00BD22C2">
          <w:rPr>
            <w:rStyle w:val="Lienhypertexte"/>
            <w:noProof/>
            <w:color w:val="auto"/>
          </w:rPr>
          <w:t>3.1</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 nombre de personnes trans et non binaires au Québec</w:t>
        </w:r>
        <w:r w:rsidRPr="00BD22C2">
          <w:rPr>
            <w:noProof/>
            <w:webHidden/>
          </w:rPr>
          <w:tab/>
        </w:r>
        <w:r w:rsidRPr="00BD22C2">
          <w:rPr>
            <w:noProof/>
            <w:webHidden/>
          </w:rPr>
          <w:fldChar w:fldCharType="begin"/>
        </w:r>
        <w:r w:rsidRPr="00BD22C2">
          <w:rPr>
            <w:noProof/>
            <w:webHidden/>
          </w:rPr>
          <w:instrText xml:space="preserve"> PAGEREF _Toc165636103 \h </w:instrText>
        </w:r>
        <w:r w:rsidRPr="00BD22C2">
          <w:rPr>
            <w:noProof/>
            <w:webHidden/>
          </w:rPr>
        </w:r>
        <w:r w:rsidRPr="00BD22C2">
          <w:rPr>
            <w:noProof/>
            <w:webHidden/>
          </w:rPr>
          <w:fldChar w:fldCharType="separate"/>
        </w:r>
        <w:r w:rsidR="008D397D">
          <w:rPr>
            <w:noProof/>
            <w:webHidden/>
          </w:rPr>
          <w:t>24</w:t>
        </w:r>
        <w:r w:rsidRPr="00BD22C2">
          <w:rPr>
            <w:noProof/>
            <w:webHidden/>
          </w:rPr>
          <w:fldChar w:fldCharType="end"/>
        </w:r>
      </w:hyperlink>
    </w:p>
    <w:p w14:paraId="68343162" w14:textId="4EAC2558"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04" w:history="1">
        <w:r w:rsidRPr="00BD22C2">
          <w:rPr>
            <w:rStyle w:val="Lienhypertexte"/>
            <w:rFonts w:eastAsia="Calibri"/>
            <w:noProof/>
            <w:color w:val="auto"/>
            <w:lang w:eastAsia="en-US"/>
          </w:rPr>
          <w:t>3.2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La situation de vulnérabilité des personnes trans et non binaires</w:t>
        </w:r>
        <w:r w:rsidRPr="00BD22C2">
          <w:rPr>
            <w:noProof/>
            <w:webHidden/>
          </w:rPr>
          <w:tab/>
        </w:r>
        <w:r w:rsidRPr="00BD22C2">
          <w:rPr>
            <w:noProof/>
            <w:webHidden/>
          </w:rPr>
          <w:fldChar w:fldCharType="begin"/>
        </w:r>
        <w:r w:rsidRPr="00BD22C2">
          <w:rPr>
            <w:noProof/>
            <w:webHidden/>
          </w:rPr>
          <w:instrText xml:space="preserve"> PAGEREF _Toc165636104 \h </w:instrText>
        </w:r>
        <w:r w:rsidRPr="00BD22C2">
          <w:rPr>
            <w:noProof/>
            <w:webHidden/>
          </w:rPr>
        </w:r>
        <w:r w:rsidRPr="00BD22C2">
          <w:rPr>
            <w:noProof/>
            <w:webHidden/>
          </w:rPr>
          <w:fldChar w:fldCharType="separate"/>
        </w:r>
        <w:r w:rsidR="008D397D">
          <w:rPr>
            <w:noProof/>
            <w:webHidden/>
          </w:rPr>
          <w:t>26</w:t>
        </w:r>
        <w:r w:rsidRPr="00BD22C2">
          <w:rPr>
            <w:noProof/>
            <w:webHidden/>
          </w:rPr>
          <w:fldChar w:fldCharType="end"/>
        </w:r>
      </w:hyperlink>
    </w:p>
    <w:p w14:paraId="355766B3" w14:textId="48B06607" w:rsidR="001E26FD" w:rsidRPr="00BD22C2" w:rsidRDefault="001E26FD" w:rsidP="001E26FD">
      <w:pPr>
        <w:pStyle w:val="TM3"/>
        <w:rPr>
          <w:rStyle w:val="Lienhypertexte"/>
          <w:noProof/>
          <w:color w:val="auto"/>
        </w:rPr>
      </w:pPr>
      <w:hyperlink w:anchor="_Toc165636105" w:history="1">
        <w:r w:rsidRPr="00BD22C2">
          <w:rPr>
            <w:rStyle w:val="Lienhypertexte"/>
            <w:rFonts w:eastAsia="Calibri"/>
            <w:noProof/>
            <w:color w:val="auto"/>
            <w:lang w:eastAsia="en-US"/>
          </w:rPr>
          <w:t>3.3</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Collecte de données désagrégées</w:t>
        </w:r>
        <w:r w:rsidRPr="00BD22C2">
          <w:rPr>
            <w:noProof/>
            <w:webHidden/>
          </w:rPr>
          <w:tab/>
        </w:r>
        <w:r w:rsidRPr="00BD22C2">
          <w:rPr>
            <w:noProof/>
            <w:webHidden/>
          </w:rPr>
          <w:fldChar w:fldCharType="begin"/>
        </w:r>
        <w:r w:rsidRPr="00BD22C2">
          <w:rPr>
            <w:noProof/>
            <w:webHidden/>
          </w:rPr>
          <w:instrText xml:space="preserve"> PAGEREF _Toc165636105 \h </w:instrText>
        </w:r>
        <w:r w:rsidRPr="00BD22C2">
          <w:rPr>
            <w:noProof/>
            <w:webHidden/>
          </w:rPr>
        </w:r>
        <w:r w:rsidRPr="00BD22C2">
          <w:rPr>
            <w:noProof/>
            <w:webHidden/>
          </w:rPr>
          <w:fldChar w:fldCharType="separate"/>
        </w:r>
        <w:r w:rsidR="008D397D">
          <w:rPr>
            <w:noProof/>
            <w:webHidden/>
          </w:rPr>
          <w:t>28</w:t>
        </w:r>
        <w:r w:rsidRPr="00BD22C2">
          <w:rPr>
            <w:noProof/>
            <w:webHidden/>
          </w:rPr>
          <w:fldChar w:fldCharType="end"/>
        </w:r>
      </w:hyperlink>
    </w:p>
    <w:p w14:paraId="1A3D2799" w14:textId="77777777" w:rsidR="001E26FD" w:rsidRPr="00BD22C2" w:rsidRDefault="001E26FD" w:rsidP="001E26FD">
      <w:pPr>
        <w:tabs>
          <w:tab w:val="right" w:leader="dot" w:pos="9356"/>
        </w:tabs>
        <w:spacing w:line="240" w:lineRule="auto"/>
        <w:jc w:val="left"/>
        <w:rPr>
          <w:rFonts w:eastAsiaTheme="minorEastAsia"/>
          <w:noProof/>
        </w:rPr>
      </w:pPr>
    </w:p>
    <w:p w14:paraId="1BC61554" w14:textId="77777777" w:rsidR="001E26FD" w:rsidRPr="00BD22C2" w:rsidRDefault="001E26FD" w:rsidP="001E26FD">
      <w:pPr>
        <w:tabs>
          <w:tab w:val="right" w:leader="dot" w:pos="9356"/>
        </w:tabs>
        <w:spacing w:line="240" w:lineRule="auto"/>
        <w:jc w:val="left"/>
        <w:rPr>
          <w:rFonts w:eastAsiaTheme="minorEastAsia"/>
          <w:noProof/>
        </w:rPr>
      </w:pPr>
    </w:p>
    <w:p w14:paraId="750BC2A8" w14:textId="64F23E1A" w:rsidR="001E26FD" w:rsidRPr="00BD22C2" w:rsidRDefault="001E26FD" w:rsidP="001E26FD">
      <w:pPr>
        <w:pStyle w:val="TM1"/>
        <w:tabs>
          <w:tab w:val="clear" w:pos="9350"/>
          <w:tab w:val="right" w:leader="dot" w:pos="9356"/>
        </w:tabs>
        <w:spacing w:after="0"/>
        <w:rPr>
          <w:rStyle w:val="Lienhypertexte"/>
          <w:noProof/>
          <w:color w:val="auto"/>
        </w:rPr>
      </w:pPr>
      <w:hyperlink w:anchor="_Toc165636106" w:history="1">
        <w:r w:rsidRPr="00BD22C2">
          <w:rPr>
            <w:rStyle w:val="Lienhypertexte"/>
            <w:rFonts w:eastAsia="Calibri"/>
            <w:noProof/>
            <w:color w:val="auto"/>
            <w:lang w:eastAsia="en-US"/>
          </w:rPr>
          <w:t>Partie</w:t>
        </w:r>
        <w:r w:rsidRPr="00BD22C2">
          <w:rPr>
            <w:rStyle w:val="Lienhypertexte"/>
            <w:rFonts w:eastAsia="Calibri" w:hint="eastAsia"/>
            <w:noProof/>
            <w:color w:val="auto"/>
            <w:lang w:eastAsia="en-US"/>
          </w:rPr>
          <w:t> </w:t>
        </w:r>
        <w:r w:rsidRPr="00BD22C2">
          <w:rPr>
            <w:rStyle w:val="Lienhypertexte"/>
            <w:rFonts w:eastAsia="Calibri"/>
            <w:noProof/>
            <w:color w:val="auto"/>
            <w:lang w:eastAsia="en-US"/>
          </w:rPr>
          <w:t xml:space="preserve">2 </w:t>
        </w:r>
        <w:r w:rsidRPr="00BD22C2">
          <w:rPr>
            <w:rStyle w:val="Lienhypertexte"/>
            <w:rFonts w:eastAsia="Calibri" w:hint="eastAsia"/>
            <w:noProof/>
            <w:color w:val="auto"/>
            <w:lang w:eastAsia="en-US"/>
          </w:rPr>
          <w:t>—</w:t>
        </w:r>
        <w:r w:rsidRPr="00BD22C2">
          <w:rPr>
            <w:rStyle w:val="Lienhypertexte"/>
            <w:rFonts w:eastAsia="Calibri"/>
            <w:noProof/>
            <w:color w:val="auto"/>
            <w:lang w:eastAsia="en-US"/>
          </w:rPr>
          <w:t xml:space="preserve"> La charte et l</w:t>
        </w:r>
        <w:r w:rsidR="00F602C3">
          <w:rPr>
            <w:rStyle w:val="Lienhypertexte"/>
            <w:rFonts w:eastAsia="Calibri"/>
            <w:noProof/>
            <w:color w:val="auto"/>
            <w:lang w:eastAsia="en-US"/>
          </w:rPr>
          <w:t>’</w:t>
        </w:r>
        <w:r w:rsidRPr="00BD22C2">
          <w:rPr>
            <w:rStyle w:val="Lienhypertexte"/>
            <w:rFonts w:eastAsia="Calibri"/>
            <w:noProof/>
            <w:color w:val="auto"/>
            <w:lang w:eastAsia="en-US"/>
          </w:rPr>
          <w:t>approche des droits de l</w:t>
        </w:r>
        <w:r w:rsidR="000277C8">
          <w:rPr>
            <w:rStyle w:val="Lienhypertexte"/>
            <w:rFonts w:eastAsia="Calibri"/>
            <w:noProof/>
            <w:color w:val="auto"/>
            <w:lang w:eastAsia="en-US"/>
          </w:rPr>
          <w:t>’</w:t>
        </w:r>
        <w:r w:rsidRPr="00BD22C2">
          <w:rPr>
            <w:rStyle w:val="Lienhypertexte"/>
            <w:rFonts w:eastAsia="Calibri"/>
            <w:noProof/>
            <w:color w:val="auto"/>
            <w:lang w:eastAsia="en-US"/>
          </w:rPr>
          <w:t>enfant pour garder le cap</w:t>
        </w:r>
        <w:r w:rsidRPr="00BD22C2">
          <w:rPr>
            <w:noProof/>
            <w:webHidden/>
          </w:rPr>
          <w:tab/>
        </w:r>
        <w:r w:rsidRPr="00BD22C2">
          <w:rPr>
            <w:noProof/>
            <w:webHidden/>
          </w:rPr>
          <w:fldChar w:fldCharType="begin"/>
        </w:r>
        <w:r w:rsidRPr="00BD22C2">
          <w:rPr>
            <w:noProof/>
            <w:webHidden/>
          </w:rPr>
          <w:instrText xml:space="preserve"> PAGEREF _Toc165636106 \h </w:instrText>
        </w:r>
        <w:r w:rsidRPr="00BD22C2">
          <w:rPr>
            <w:noProof/>
            <w:webHidden/>
          </w:rPr>
        </w:r>
        <w:r w:rsidRPr="00BD22C2">
          <w:rPr>
            <w:noProof/>
            <w:webHidden/>
          </w:rPr>
          <w:fldChar w:fldCharType="separate"/>
        </w:r>
        <w:r w:rsidR="008D397D">
          <w:rPr>
            <w:noProof/>
            <w:webHidden/>
          </w:rPr>
          <w:t>31</w:t>
        </w:r>
        <w:r w:rsidRPr="00BD22C2">
          <w:rPr>
            <w:noProof/>
            <w:webHidden/>
          </w:rPr>
          <w:fldChar w:fldCharType="end"/>
        </w:r>
      </w:hyperlink>
    </w:p>
    <w:p w14:paraId="6C879533"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5F379ADE" w14:textId="4C066A95" w:rsidR="001E26FD" w:rsidRPr="00DB7567" w:rsidRDefault="001E26FD" w:rsidP="001E26FD">
      <w:pPr>
        <w:pStyle w:val="TM2"/>
        <w:rPr>
          <w:rStyle w:val="Lienhypertexte"/>
          <w:color w:val="auto"/>
        </w:rPr>
      </w:pPr>
      <w:hyperlink w:anchor="_Toc165636107" w:history="1">
        <w:r w:rsidRPr="00DB7567">
          <w:rPr>
            <w:rStyle w:val="Lienhypertexte"/>
            <w:color w:val="auto"/>
          </w:rPr>
          <w:t>4</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Le cadre de la charte québécoise</w:t>
        </w:r>
        <w:r w:rsidRPr="00DB7567">
          <w:rPr>
            <w:webHidden/>
          </w:rPr>
          <w:tab/>
        </w:r>
        <w:r w:rsidRPr="00DB7567">
          <w:rPr>
            <w:webHidden/>
          </w:rPr>
          <w:fldChar w:fldCharType="begin"/>
        </w:r>
        <w:r w:rsidRPr="00DB7567">
          <w:rPr>
            <w:webHidden/>
          </w:rPr>
          <w:instrText xml:space="preserve"> PAGEREF _Toc165636107 \h </w:instrText>
        </w:r>
        <w:r w:rsidRPr="00DB7567">
          <w:rPr>
            <w:webHidden/>
          </w:rPr>
        </w:r>
        <w:r w:rsidRPr="00DB7567">
          <w:rPr>
            <w:webHidden/>
          </w:rPr>
          <w:fldChar w:fldCharType="separate"/>
        </w:r>
        <w:r w:rsidR="008D397D">
          <w:rPr>
            <w:webHidden/>
          </w:rPr>
          <w:t>31</w:t>
        </w:r>
        <w:r w:rsidRPr="00DB7567">
          <w:rPr>
            <w:webHidden/>
          </w:rPr>
          <w:fldChar w:fldCharType="end"/>
        </w:r>
      </w:hyperlink>
    </w:p>
    <w:p w14:paraId="733D2FF4" w14:textId="346DFDB2"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08" w:history="1">
        <w:r w:rsidRPr="00BD22C2">
          <w:rPr>
            <w:rStyle w:val="Lienhypertexte"/>
            <w:rFonts w:eastAsia="Calibri"/>
            <w:noProof/>
            <w:color w:val="auto"/>
            <w:lang w:eastAsia="en-US"/>
          </w:rPr>
          <w:t>4.1</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Une protection générale offerte par un document unique</w:t>
        </w:r>
        <w:r w:rsidRPr="00BD22C2">
          <w:rPr>
            <w:noProof/>
            <w:webHidden/>
          </w:rPr>
          <w:tab/>
        </w:r>
        <w:r w:rsidRPr="00BD22C2">
          <w:rPr>
            <w:noProof/>
            <w:webHidden/>
          </w:rPr>
          <w:fldChar w:fldCharType="begin"/>
        </w:r>
        <w:r w:rsidRPr="00BD22C2">
          <w:rPr>
            <w:noProof/>
            <w:webHidden/>
          </w:rPr>
          <w:instrText xml:space="preserve"> PAGEREF _Toc165636108 \h </w:instrText>
        </w:r>
        <w:r w:rsidRPr="00BD22C2">
          <w:rPr>
            <w:noProof/>
            <w:webHidden/>
          </w:rPr>
        </w:r>
        <w:r w:rsidRPr="00BD22C2">
          <w:rPr>
            <w:noProof/>
            <w:webHidden/>
          </w:rPr>
          <w:fldChar w:fldCharType="separate"/>
        </w:r>
        <w:r w:rsidR="008D397D">
          <w:rPr>
            <w:noProof/>
            <w:webHidden/>
          </w:rPr>
          <w:t>31</w:t>
        </w:r>
        <w:r w:rsidRPr="00BD22C2">
          <w:rPr>
            <w:noProof/>
            <w:webHidden/>
          </w:rPr>
          <w:fldChar w:fldCharType="end"/>
        </w:r>
      </w:hyperlink>
    </w:p>
    <w:p w14:paraId="0D65A6C5" w14:textId="766AC635"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09" w:history="1">
        <w:r w:rsidRPr="00BD22C2">
          <w:rPr>
            <w:rStyle w:val="Lienhypertexte"/>
            <w:rFonts w:eastAsia="Calibri"/>
            <w:noProof/>
            <w:color w:val="auto"/>
            <w:lang w:eastAsia="en-US"/>
          </w:rPr>
          <w:t>4.2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Une protection spécifique contre la discrimination</w:t>
        </w:r>
        <w:r w:rsidRPr="00BD22C2">
          <w:rPr>
            <w:noProof/>
            <w:webHidden/>
          </w:rPr>
          <w:tab/>
        </w:r>
        <w:r w:rsidRPr="00BD22C2">
          <w:rPr>
            <w:noProof/>
            <w:webHidden/>
          </w:rPr>
          <w:fldChar w:fldCharType="begin"/>
        </w:r>
        <w:r w:rsidRPr="00BD22C2">
          <w:rPr>
            <w:noProof/>
            <w:webHidden/>
          </w:rPr>
          <w:instrText xml:space="preserve"> PAGEREF _Toc165636109 \h </w:instrText>
        </w:r>
        <w:r w:rsidRPr="00BD22C2">
          <w:rPr>
            <w:noProof/>
            <w:webHidden/>
          </w:rPr>
        </w:r>
        <w:r w:rsidRPr="00BD22C2">
          <w:rPr>
            <w:noProof/>
            <w:webHidden/>
          </w:rPr>
          <w:fldChar w:fldCharType="separate"/>
        </w:r>
        <w:r w:rsidR="008D397D">
          <w:rPr>
            <w:noProof/>
            <w:webHidden/>
          </w:rPr>
          <w:t>32</w:t>
        </w:r>
        <w:r w:rsidRPr="00BD22C2">
          <w:rPr>
            <w:noProof/>
            <w:webHidden/>
          </w:rPr>
          <w:fldChar w:fldCharType="end"/>
        </w:r>
      </w:hyperlink>
    </w:p>
    <w:p w14:paraId="0FBB8240" w14:textId="12BA7D54"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10" w:history="1">
        <w:r w:rsidRPr="00BD22C2">
          <w:rPr>
            <w:rStyle w:val="Lienhypertexte"/>
            <w:noProof/>
            <w:color w:val="auto"/>
            <w:lang w:eastAsia="en-US"/>
          </w:rPr>
          <w:t>4.3</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lang w:eastAsia="en-US"/>
          </w:rPr>
          <w:t>Des outils de mise en œuvre et d’équilibre des droits</w:t>
        </w:r>
        <w:r w:rsidRPr="00BD22C2">
          <w:rPr>
            <w:noProof/>
            <w:webHidden/>
          </w:rPr>
          <w:tab/>
        </w:r>
        <w:r w:rsidRPr="00BD22C2">
          <w:rPr>
            <w:noProof/>
            <w:webHidden/>
          </w:rPr>
          <w:fldChar w:fldCharType="begin"/>
        </w:r>
        <w:r w:rsidRPr="00BD22C2">
          <w:rPr>
            <w:noProof/>
            <w:webHidden/>
          </w:rPr>
          <w:instrText xml:space="preserve"> PAGEREF _Toc165636110 \h </w:instrText>
        </w:r>
        <w:r w:rsidRPr="00BD22C2">
          <w:rPr>
            <w:noProof/>
            <w:webHidden/>
          </w:rPr>
        </w:r>
        <w:r w:rsidRPr="00BD22C2">
          <w:rPr>
            <w:noProof/>
            <w:webHidden/>
          </w:rPr>
          <w:fldChar w:fldCharType="separate"/>
        </w:r>
        <w:r w:rsidR="008D397D">
          <w:rPr>
            <w:noProof/>
            <w:webHidden/>
          </w:rPr>
          <w:t>33</w:t>
        </w:r>
        <w:r w:rsidRPr="00BD22C2">
          <w:rPr>
            <w:noProof/>
            <w:webHidden/>
          </w:rPr>
          <w:fldChar w:fldCharType="end"/>
        </w:r>
      </w:hyperlink>
    </w:p>
    <w:p w14:paraId="27808AF2" w14:textId="58D9985C"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11" w:history="1">
        <w:r w:rsidRPr="00BD22C2">
          <w:rPr>
            <w:rStyle w:val="Lienhypertexte"/>
            <w:noProof/>
            <w:color w:val="auto"/>
            <w:lang w:eastAsia="en-US"/>
          </w:rPr>
          <w:t>4.3.1</w:t>
        </w:r>
        <w:r w:rsidRPr="00BD22C2">
          <w:rPr>
            <w:rStyle w:val="Lienhypertexte"/>
            <w:noProof/>
            <w:color w:val="auto"/>
            <w:lang w:eastAsia="en-US"/>
          </w:rPr>
          <w:tab/>
          <w:t>Le droit à l’égalité et à la non-discrimination</w:t>
        </w:r>
        <w:r w:rsidRPr="00BD22C2">
          <w:rPr>
            <w:noProof/>
            <w:webHidden/>
          </w:rPr>
          <w:tab/>
        </w:r>
        <w:r w:rsidRPr="00BD22C2">
          <w:rPr>
            <w:noProof/>
            <w:webHidden/>
          </w:rPr>
          <w:fldChar w:fldCharType="begin"/>
        </w:r>
        <w:r w:rsidRPr="00BD22C2">
          <w:rPr>
            <w:noProof/>
            <w:webHidden/>
          </w:rPr>
          <w:instrText xml:space="preserve"> PAGEREF _Toc165636111 \h </w:instrText>
        </w:r>
        <w:r w:rsidRPr="00BD22C2">
          <w:rPr>
            <w:noProof/>
            <w:webHidden/>
          </w:rPr>
        </w:r>
        <w:r w:rsidRPr="00BD22C2">
          <w:rPr>
            <w:noProof/>
            <w:webHidden/>
          </w:rPr>
          <w:fldChar w:fldCharType="separate"/>
        </w:r>
        <w:r w:rsidR="008D397D">
          <w:rPr>
            <w:noProof/>
            <w:webHidden/>
          </w:rPr>
          <w:t>33</w:t>
        </w:r>
        <w:r w:rsidRPr="00BD22C2">
          <w:rPr>
            <w:noProof/>
            <w:webHidden/>
          </w:rPr>
          <w:fldChar w:fldCharType="end"/>
        </w:r>
      </w:hyperlink>
    </w:p>
    <w:p w14:paraId="095F3A83" w14:textId="39C11719" w:rsidR="001E26FD" w:rsidRPr="00BD22C2" w:rsidRDefault="001E26FD" w:rsidP="001E26FD">
      <w:pPr>
        <w:pStyle w:val="TM5"/>
        <w:tabs>
          <w:tab w:val="clear" w:pos="1701"/>
          <w:tab w:val="clear" w:pos="9350"/>
          <w:tab w:val="left" w:pos="2694"/>
          <w:tab w:val="right" w:leader="dot" w:pos="9356"/>
        </w:tabs>
        <w:ind w:left="2127"/>
        <w:rPr>
          <w:rFonts w:asciiTheme="minorHAnsi" w:eastAsiaTheme="minorEastAsia" w:hAnsiTheme="minorHAnsi" w:cstheme="minorBidi"/>
          <w:noProof/>
          <w:kern w:val="2"/>
          <w:sz w:val="24"/>
          <w14:ligatures w14:val="standardContextual"/>
        </w:rPr>
      </w:pPr>
      <w:hyperlink w:anchor="_Toc165636112" w:history="1">
        <w:r w:rsidRPr="00BD22C2">
          <w:rPr>
            <w:rStyle w:val="Lienhypertexte"/>
            <w:noProof/>
            <w:color w:val="auto"/>
          </w:rPr>
          <w:t>A.</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L’accommodement raisonnable et la contrainte excessive</w:t>
        </w:r>
        <w:r w:rsidRPr="00BD22C2">
          <w:rPr>
            <w:noProof/>
            <w:webHidden/>
          </w:rPr>
          <w:tab/>
        </w:r>
        <w:r w:rsidRPr="00BD22C2">
          <w:rPr>
            <w:noProof/>
            <w:webHidden/>
          </w:rPr>
          <w:fldChar w:fldCharType="begin"/>
        </w:r>
        <w:r w:rsidRPr="00BD22C2">
          <w:rPr>
            <w:noProof/>
            <w:webHidden/>
          </w:rPr>
          <w:instrText xml:space="preserve"> PAGEREF _Toc165636112 \h </w:instrText>
        </w:r>
        <w:r w:rsidRPr="00BD22C2">
          <w:rPr>
            <w:noProof/>
            <w:webHidden/>
          </w:rPr>
        </w:r>
        <w:r w:rsidRPr="00BD22C2">
          <w:rPr>
            <w:noProof/>
            <w:webHidden/>
          </w:rPr>
          <w:fldChar w:fldCharType="separate"/>
        </w:r>
        <w:r w:rsidR="008D397D">
          <w:rPr>
            <w:noProof/>
            <w:webHidden/>
          </w:rPr>
          <w:t>34</w:t>
        </w:r>
        <w:r w:rsidRPr="00BD22C2">
          <w:rPr>
            <w:noProof/>
            <w:webHidden/>
          </w:rPr>
          <w:fldChar w:fldCharType="end"/>
        </w:r>
      </w:hyperlink>
    </w:p>
    <w:p w14:paraId="255469D7" w14:textId="732D1B22" w:rsidR="001E26FD" w:rsidRPr="00BD22C2" w:rsidRDefault="001E26FD" w:rsidP="001E26FD">
      <w:pPr>
        <w:pStyle w:val="TM5"/>
        <w:tabs>
          <w:tab w:val="clear" w:pos="1701"/>
          <w:tab w:val="clear" w:pos="9350"/>
          <w:tab w:val="left" w:pos="2694"/>
          <w:tab w:val="right" w:leader="dot" w:pos="9356"/>
        </w:tabs>
        <w:ind w:left="2127"/>
        <w:rPr>
          <w:rFonts w:asciiTheme="minorHAnsi" w:eastAsiaTheme="minorEastAsia" w:hAnsiTheme="minorHAnsi" w:cstheme="minorBidi"/>
          <w:noProof/>
          <w:kern w:val="2"/>
          <w:sz w:val="24"/>
          <w14:ligatures w14:val="standardContextual"/>
        </w:rPr>
      </w:pPr>
      <w:hyperlink w:anchor="_Toc165636113" w:history="1">
        <w:r w:rsidRPr="00BD22C2">
          <w:rPr>
            <w:rStyle w:val="Lienhypertexte"/>
            <w:noProof/>
            <w:color w:val="auto"/>
          </w:rPr>
          <w:t>B.</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 second volet de l’article 20 de la Charte : une exception liée à la mission de l’organisme</w:t>
        </w:r>
        <w:r w:rsidRPr="00BD22C2">
          <w:rPr>
            <w:noProof/>
            <w:webHidden/>
          </w:rPr>
          <w:tab/>
        </w:r>
        <w:r w:rsidRPr="00BD22C2">
          <w:rPr>
            <w:noProof/>
            <w:webHidden/>
          </w:rPr>
          <w:fldChar w:fldCharType="begin"/>
        </w:r>
        <w:r w:rsidRPr="00BD22C2">
          <w:rPr>
            <w:noProof/>
            <w:webHidden/>
          </w:rPr>
          <w:instrText xml:space="preserve"> PAGEREF _Toc165636113 \h </w:instrText>
        </w:r>
        <w:r w:rsidRPr="00BD22C2">
          <w:rPr>
            <w:noProof/>
            <w:webHidden/>
          </w:rPr>
        </w:r>
        <w:r w:rsidRPr="00BD22C2">
          <w:rPr>
            <w:noProof/>
            <w:webHidden/>
          </w:rPr>
          <w:fldChar w:fldCharType="separate"/>
        </w:r>
        <w:r w:rsidR="008D397D">
          <w:rPr>
            <w:noProof/>
            <w:webHidden/>
          </w:rPr>
          <w:t>35</w:t>
        </w:r>
        <w:r w:rsidRPr="00BD22C2">
          <w:rPr>
            <w:noProof/>
            <w:webHidden/>
          </w:rPr>
          <w:fldChar w:fldCharType="end"/>
        </w:r>
      </w:hyperlink>
    </w:p>
    <w:p w14:paraId="326D2410" w14:textId="7DB865B2" w:rsidR="001E26FD" w:rsidRPr="00BD22C2" w:rsidRDefault="001E26FD" w:rsidP="001E26FD">
      <w:pPr>
        <w:pStyle w:val="TM5"/>
        <w:tabs>
          <w:tab w:val="clear" w:pos="1701"/>
          <w:tab w:val="clear" w:pos="9350"/>
          <w:tab w:val="left" w:pos="2694"/>
          <w:tab w:val="right" w:leader="dot" w:pos="9356"/>
        </w:tabs>
        <w:ind w:left="2127"/>
        <w:rPr>
          <w:rFonts w:asciiTheme="minorHAnsi" w:eastAsiaTheme="minorEastAsia" w:hAnsiTheme="minorHAnsi" w:cstheme="minorBidi"/>
          <w:noProof/>
          <w:kern w:val="2"/>
          <w:sz w:val="24"/>
          <w14:ligatures w14:val="standardContextual"/>
        </w:rPr>
      </w:pPr>
      <w:hyperlink w:anchor="_Toc165636114" w:history="1">
        <w:r w:rsidRPr="00BD22C2">
          <w:rPr>
            <w:rStyle w:val="Lienhypertexte"/>
            <w:noProof/>
            <w:color w:val="auto"/>
          </w:rPr>
          <w:t>C.</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 premier volet de l’article 20 : une exception liée aux exigences particulières d’un emploi</w:t>
        </w:r>
        <w:r w:rsidRPr="00BD22C2">
          <w:rPr>
            <w:noProof/>
            <w:webHidden/>
          </w:rPr>
          <w:tab/>
        </w:r>
        <w:r w:rsidRPr="00BD22C2">
          <w:rPr>
            <w:noProof/>
            <w:webHidden/>
          </w:rPr>
          <w:fldChar w:fldCharType="begin"/>
        </w:r>
        <w:r w:rsidRPr="00BD22C2">
          <w:rPr>
            <w:noProof/>
            <w:webHidden/>
          </w:rPr>
          <w:instrText xml:space="preserve"> PAGEREF _Toc165636114 \h </w:instrText>
        </w:r>
        <w:r w:rsidRPr="00BD22C2">
          <w:rPr>
            <w:noProof/>
            <w:webHidden/>
          </w:rPr>
        </w:r>
        <w:r w:rsidRPr="00BD22C2">
          <w:rPr>
            <w:noProof/>
            <w:webHidden/>
          </w:rPr>
          <w:fldChar w:fldCharType="separate"/>
        </w:r>
        <w:r w:rsidR="008D397D">
          <w:rPr>
            <w:noProof/>
            <w:webHidden/>
          </w:rPr>
          <w:t>37</w:t>
        </w:r>
        <w:r w:rsidRPr="00BD22C2">
          <w:rPr>
            <w:noProof/>
            <w:webHidden/>
          </w:rPr>
          <w:fldChar w:fldCharType="end"/>
        </w:r>
      </w:hyperlink>
    </w:p>
    <w:p w14:paraId="0A383FAA" w14:textId="0ECE46F4" w:rsidR="001E26FD" w:rsidRPr="00B10810" w:rsidRDefault="001E26FD" w:rsidP="00B10810">
      <w:pPr>
        <w:pStyle w:val="TM4"/>
        <w:rPr>
          <w:noProof/>
          <w:u w:val="single"/>
        </w:rPr>
      </w:pPr>
      <w:hyperlink w:anchor="_Toc165636115" w:history="1">
        <w:r w:rsidRPr="00BD22C2">
          <w:rPr>
            <w:rStyle w:val="Lienhypertexte"/>
            <w:rFonts w:eastAsia="Calibri"/>
            <w:noProof/>
            <w:color w:val="auto"/>
            <w:lang w:eastAsia="en-US"/>
          </w:rPr>
          <w:t>4.3.2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L’article 9.1 de la Charte : un outil pour guider la limitation ou la conciliation des droits</w:t>
        </w:r>
        <w:r w:rsidRPr="00BD22C2">
          <w:rPr>
            <w:noProof/>
            <w:webHidden/>
          </w:rPr>
          <w:tab/>
        </w:r>
        <w:r w:rsidRPr="00BD22C2">
          <w:rPr>
            <w:noProof/>
            <w:webHidden/>
          </w:rPr>
          <w:fldChar w:fldCharType="begin"/>
        </w:r>
        <w:r w:rsidRPr="00BD22C2">
          <w:rPr>
            <w:noProof/>
            <w:webHidden/>
          </w:rPr>
          <w:instrText xml:space="preserve"> PAGEREF _Toc165636115 \h </w:instrText>
        </w:r>
        <w:r w:rsidRPr="00BD22C2">
          <w:rPr>
            <w:noProof/>
            <w:webHidden/>
          </w:rPr>
        </w:r>
        <w:r w:rsidRPr="00BD22C2">
          <w:rPr>
            <w:noProof/>
            <w:webHidden/>
          </w:rPr>
          <w:fldChar w:fldCharType="separate"/>
        </w:r>
        <w:r w:rsidR="008D397D">
          <w:rPr>
            <w:noProof/>
            <w:webHidden/>
          </w:rPr>
          <w:t>40</w:t>
        </w:r>
        <w:r w:rsidRPr="00BD22C2">
          <w:rPr>
            <w:noProof/>
            <w:webHidden/>
          </w:rPr>
          <w:fldChar w:fldCharType="end"/>
        </w:r>
      </w:hyperlink>
    </w:p>
    <w:p w14:paraId="3A631E6F" w14:textId="719204F8" w:rsidR="001E26FD" w:rsidRPr="00DB7567" w:rsidRDefault="001E26FD" w:rsidP="001E26FD">
      <w:pPr>
        <w:pStyle w:val="TM2"/>
        <w:rPr>
          <w:rStyle w:val="Lienhypertexte"/>
          <w:color w:val="auto"/>
        </w:rPr>
      </w:pPr>
      <w:hyperlink w:anchor="_Toc165636116" w:history="1">
        <w:r w:rsidRPr="00DB7567">
          <w:rPr>
            <w:rStyle w:val="Lienhypertexte"/>
            <w:color w:val="auto"/>
          </w:rPr>
          <w:t>5</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Les droits des enfants trans et non binaires</w:t>
        </w:r>
        <w:r w:rsidRPr="00DB7567">
          <w:rPr>
            <w:webHidden/>
          </w:rPr>
          <w:tab/>
        </w:r>
        <w:r w:rsidRPr="00DB7567">
          <w:rPr>
            <w:webHidden/>
          </w:rPr>
          <w:fldChar w:fldCharType="begin"/>
        </w:r>
        <w:r w:rsidRPr="00DB7567">
          <w:rPr>
            <w:webHidden/>
          </w:rPr>
          <w:instrText xml:space="preserve"> PAGEREF _Toc165636116 \h </w:instrText>
        </w:r>
        <w:r w:rsidRPr="00DB7567">
          <w:rPr>
            <w:webHidden/>
          </w:rPr>
        </w:r>
        <w:r w:rsidRPr="00DB7567">
          <w:rPr>
            <w:webHidden/>
          </w:rPr>
          <w:fldChar w:fldCharType="separate"/>
        </w:r>
        <w:r w:rsidR="008D397D">
          <w:rPr>
            <w:webHidden/>
          </w:rPr>
          <w:t>42</w:t>
        </w:r>
        <w:r w:rsidRPr="00DB7567">
          <w:rPr>
            <w:webHidden/>
          </w:rPr>
          <w:fldChar w:fldCharType="end"/>
        </w:r>
      </w:hyperlink>
    </w:p>
    <w:p w14:paraId="07936B3C" w14:textId="636E780C" w:rsidR="001E26FD" w:rsidRPr="00BD22C2" w:rsidRDefault="001E26FD" w:rsidP="001E26FD">
      <w:pPr>
        <w:pStyle w:val="TM3"/>
        <w:rPr>
          <w:rStyle w:val="Lienhypertexte"/>
          <w:rFonts w:eastAsia="Calibri"/>
          <w:noProof/>
          <w:color w:val="auto"/>
          <w:lang w:eastAsia="en-US"/>
        </w:rPr>
      </w:pPr>
      <w:hyperlink w:anchor="_Toc165636117" w:history="1">
        <w:r w:rsidRPr="00BD22C2">
          <w:rPr>
            <w:rStyle w:val="Lienhypertexte"/>
            <w:rFonts w:eastAsia="Calibri"/>
            <w:noProof/>
            <w:color w:val="auto"/>
            <w:lang w:eastAsia="en-US"/>
          </w:rPr>
          <w:t>5.1</w:t>
        </w:r>
        <w:r w:rsidRPr="00BD22C2">
          <w:rPr>
            <w:rStyle w:val="Lienhypertexte"/>
            <w:rFonts w:eastAsia="Calibri"/>
            <w:noProof/>
            <w:color w:val="auto"/>
            <w:lang w:eastAsia="en-US"/>
          </w:rPr>
          <w:tab/>
          <w:t xml:space="preserve">L’approche fondée sur les droits de l’enfant : essentielle pour traiter des enjeux </w:t>
        </w:r>
        <w:r w:rsidRPr="00BD22C2">
          <w:rPr>
            <w:rStyle w:val="Lienhypertexte"/>
            <w:rFonts w:eastAsia="Calibri"/>
            <w:noProof/>
            <w:color w:val="auto"/>
            <w:lang w:eastAsia="en-US"/>
          </w:rPr>
          <w:tab/>
          <w:t>soumis au Comité de sages</w:t>
        </w:r>
        <w:r w:rsidRPr="00BD22C2">
          <w:rPr>
            <w:rStyle w:val="Lienhypertexte"/>
            <w:rFonts w:eastAsia="Calibri"/>
            <w:noProof/>
            <w:webHidden/>
            <w:color w:val="auto"/>
            <w:lang w:eastAsia="en-US"/>
          </w:rPr>
          <w:tab/>
        </w:r>
        <w:r w:rsidRPr="00BD22C2">
          <w:rPr>
            <w:rStyle w:val="Lienhypertexte"/>
            <w:rFonts w:eastAsia="Calibri"/>
            <w:noProof/>
            <w:webHidden/>
            <w:color w:val="auto"/>
            <w:lang w:eastAsia="en-US"/>
          </w:rPr>
          <w:fldChar w:fldCharType="begin"/>
        </w:r>
        <w:r w:rsidRPr="00BD22C2">
          <w:rPr>
            <w:rStyle w:val="Lienhypertexte"/>
            <w:rFonts w:eastAsia="Calibri"/>
            <w:noProof/>
            <w:webHidden/>
            <w:color w:val="auto"/>
            <w:lang w:eastAsia="en-US"/>
          </w:rPr>
          <w:instrText xml:space="preserve"> PAGEREF _Toc165636117 \h </w:instrText>
        </w:r>
        <w:r w:rsidRPr="00BD22C2">
          <w:rPr>
            <w:rStyle w:val="Lienhypertexte"/>
            <w:rFonts w:eastAsia="Calibri"/>
            <w:noProof/>
            <w:webHidden/>
            <w:color w:val="auto"/>
            <w:lang w:eastAsia="en-US"/>
          </w:rPr>
        </w:r>
        <w:r w:rsidRPr="00BD22C2">
          <w:rPr>
            <w:rStyle w:val="Lienhypertexte"/>
            <w:rFonts w:eastAsia="Calibri"/>
            <w:noProof/>
            <w:webHidden/>
            <w:color w:val="auto"/>
            <w:lang w:eastAsia="en-US"/>
          </w:rPr>
          <w:fldChar w:fldCharType="separate"/>
        </w:r>
        <w:r w:rsidR="008D397D">
          <w:rPr>
            <w:rStyle w:val="Lienhypertexte"/>
            <w:rFonts w:eastAsia="Calibri"/>
            <w:noProof/>
            <w:webHidden/>
            <w:color w:val="auto"/>
            <w:lang w:eastAsia="en-US"/>
          </w:rPr>
          <w:t>42</w:t>
        </w:r>
        <w:r w:rsidRPr="00BD22C2">
          <w:rPr>
            <w:rStyle w:val="Lienhypertexte"/>
            <w:rFonts w:eastAsia="Calibri"/>
            <w:noProof/>
            <w:webHidden/>
            <w:color w:val="auto"/>
            <w:lang w:eastAsia="en-US"/>
          </w:rPr>
          <w:fldChar w:fldCharType="end"/>
        </w:r>
      </w:hyperlink>
    </w:p>
    <w:p w14:paraId="3D858748" w14:textId="461C8827"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18" w:history="1">
        <w:r w:rsidRPr="00BD22C2">
          <w:rPr>
            <w:rStyle w:val="Lienhypertexte"/>
            <w:rFonts w:eastAsia="Calibri"/>
            <w:noProof/>
            <w:color w:val="auto"/>
            <w:lang w:eastAsia="en-US"/>
          </w:rPr>
          <w:t>5.1.1</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L’intérêt supérieur de l’enfant</w:t>
        </w:r>
        <w:r w:rsidRPr="00BD22C2">
          <w:rPr>
            <w:noProof/>
            <w:webHidden/>
          </w:rPr>
          <w:tab/>
        </w:r>
        <w:r w:rsidRPr="00BD22C2">
          <w:rPr>
            <w:noProof/>
            <w:webHidden/>
          </w:rPr>
          <w:fldChar w:fldCharType="begin"/>
        </w:r>
        <w:r w:rsidRPr="00BD22C2">
          <w:rPr>
            <w:noProof/>
            <w:webHidden/>
          </w:rPr>
          <w:instrText xml:space="preserve"> PAGEREF _Toc165636118 \h </w:instrText>
        </w:r>
        <w:r w:rsidRPr="00BD22C2">
          <w:rPr>
            <w:noProof/>
            <w:webHidden/>
          </w:rPr>
        </w:r>
        <w:r w:rsidRPr="00BD22C2">
          <w:rPr>
            <w:noProof/>
            <w:webHidden/>
          </w:rPr>
          <w:fldChar w:fldCharType="separate"/>
        </w:r>
        <w:r w:rsidR="008D397D">
          <w:rPr>
            <w:noProof/>
            <w:webHidden/>
          </w:rPr>
          <w:t>43</w:t>
        </w:r>
        <w:r w:rsidRPr="00BD22C2">
          <w:rPr>
            <w:noProof/>
            <w:webHidden/>
          </w:rPr>
          <w:fldChar w:fldCharType="end"/>
        </w:r>
      </w:hyperlink>
    </w:p>
    <w:p w14:paraId="46A3AE9F" w14:textId="4E03DA06"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19" w:history="1">
        <w:r w:rsidRPr="00BD22C2">
          <w:rPr>
            <w:rStyle w:val="Lienhypertexte"/>
            <w:rFonts w:eastAsia="Calibri"/>
            <w:noProof/>
            <w:color w:val="auto"/>
            <w:lang w:eastAsia="en-US"/>
          </w:rPr>
          <w:t>5.1.2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La participation des enfants et le droit d’être entendu</w:t>
        </w:r>
        <w:r w:rsidRPr="00BD22C2">
          <w:rPr>
            <w:noProof/>
            <w:webHidden/>
          </w:rPr>
          <w:tab/>
        </w:r>
        <w:r w:rsidRPr="00BD22C2">
          <w:rPr>
            <w:noProof/>
            <w:webHidden/>
          </w:rPr>
          <w:fldChar w:fldCharType="begin"/>
        </w:r>
        <w:r w:rsidRPr="00BD22C2">
          <w:rPr>
            <w:noProof/>
            <w:webHidden/>
          </w:rPr>
          <w:instrText xml:space="preserve"> PAGEREF _Toc165636119 \h </w:instrText>
        </w:r>
        <w:r w:rsidRPr="00BD22C2">
          <w:rPr>
            <w:noProof/>
            <w:webHidden/>
          </w:rPr>
        </w:r>
        <w:r w:rsidRPr="00BD22C2">
          <w:rPr>
            <w:noProof/>
            <w:webHidden/>
          </w:rPr>
          <w:fldChar w:fldCharType="separate"/>
        </w:r>
        <w:r w:rsidR="008D397D">
          <w:rPr>
            <w:noProof/>
            <w:webHidden/>
          </w:rPr>
          <w:t>45</w:t>
        </w:r>
        <w:r w:rsidRPr="00BD22C2">
          <w:rPr>
            <w:noProof/>
            <w:webHidden/>
          </w:rPr>
          <w:fldChar w:fldCharType="end"/>
        </w:r>
      </w:hyperlink>
    </w:p>
    <w:p w14:paraId="106EDEF5" w14:textId="3AD780B8"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20" w:history="1">
        <w:r w:rsidRPr="00BD22C2">
          <w:rPr>
            <w:rStyle w:val="Lienhypertexte"/>
            <w:rFonts w:eastAsia="Calibri"/>
            <w:noProof/>
            <w:color w:val="auto"/>
            <w:lang w:eastAsia="en-US"/>
          </w:rPr>
          <w:t>5.1.3</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La non-discrimination</w:t>
        </w:r>
        <w:r w:rsidRPr="00BD22C2">
          <w:rPr>
            <w:noProof/>
            <w:webHidden/>
          </w:rPr>
          <w:tab/>
        </w:r>
        <w:r w:rsidRPr="00BD22C2">
          <w:rPr>
            <w:noProof/>
            <w:webHidden/>
          </w:rPr>
          <w:fldChar w:fldCharType="begin"/>
        </w:r>
        <w:r w:rsidRPr="00BD22C2">
          <w:rPr>
            <w:noProof/>
            <w:webHidden/>
          </w:rPr>
          <w:instrText xml:space="preserve"> PAGEREF _Toc165636120 \h </w:instrText>
        </w:r>
        <w:r w:rsidRPr="00BD22C2">
          <w:rPr>
            <w:noProof/>
            <w:webHidden/>
          </w:rPr>
        </w:r>
        <w:r w:rsidRPr="00BD22C2">
          <w:rPr>
            <w:noProof/>
            <w:webHidden/>
          </w:rPr>
          <w:fldChar w:fldCharType="separate"/>
        </w:r>
        <w:r w:rsidR="008D397D">
          <w:rPr>
            <w:noProof/>
            <w:webHidden/>
          </w:rPr>
          <w:t>46</w:t>
        </w:r>
        <w:r w:rsidRPr="00BD22C2">
          <w:rPr>
            <w:noProof/>
            <w:webHidden/>
          </w:rPr>
          <w:fldChar w:fldCharType="end"/>
        </w:r>
      </w:hyperlink>
    </w:p>
    <w:p w14:paraId="086C24A4" w14:textId="4424B7AC"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21" w:history="1">
        <w:r w:rsidRPr="00BD22C2">
          <w:rPr>
            <w:rStyle w:val="Lienhypertexte"/>
            <w:rFonts w:eastAsia="Calibri"/>
            <w:noProof/>
            <w:color w:val="auto"/>
            <w:lang w:eastAsia="en-US"/>
          </w:rPr>
          <w:t>5.1.4</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Le droit à la vie, à la survie et au développement</w:t>
        </w:r>
        <w:r w:rsidRPr="00BD22C2">
          <w:rPr>
            <w:noProof/>
            <w:webHidden/>
          </w:rPr>
          <w:tab/>
        </w:r>
        <w:r w:rsidRPr="00BD22C2">
          <w:rPr>
            <w:noProof/>
            <w:webHidden/>
          </w:rPr>
          <w:fldChar w:fldCharType="begin"/>
        </w:r>
        <w:r w:rsidRPr="00BD22C2">
          <w:rPr>
            <w:noProof/>
            <w:webHidden/>
          </w:rPr>
          <w:instrText xml:space="preserve"> PAGEREF _Toc165636121 \h </w:instrText>
        </w:r>
        <w:r w:rsidRPr="00BD22C2">
          <w:rPr>
            <w:noProof/>
            <w:webHidden/>
          </w:rPr>
        </w:r>
        <w:r w:rsidRPr="00BD22C2">
          <w:rPr>
            <w:noProof/>
            <w:webHidden/>
          </w:rPr>
          <w:fldChar w:fldCharType="separate"/>
        </w:r>
        <w:r w:rsidR="008D397D">
          <w:rPr>
            <w:noProof/>
            <w:webHidden/>
          </w:rPr>
          <w:t>46</w:t>
        </w:r>
        <w:r w:rsidRPr="00BD22C2">
          <w:rPr>
            <w:noProof/>
            <w:webHidden/>
          </w:rPr>
          <w:fldChar w:fldCharType="end"/>
        </w:r>
      </w:hyperlink>
    </w:p>
    <w:p w14:paraId="37C64D91" w14:textId="56B3A923" w:rsidR="001E26FD" w:rsidRPr="00BD22C2" w:rsidRDefault="001E26FD" w:rsidP="001E26FD">
      <w:pPr>
        <w:pStyle w:val="TM3"/>
        <w:ind w:left="986" w:hanging="560"/>
        <w:rPr>
          <w:rFonts w:asciiTheme="minorHAnsi" w:eastAsiaTheme="minorEastAsia" w:hAnsiTheme="minorHAnsi" w:cstheme="minorBidi"/>
          <w:noProof/>
          <w:kern w:val="2"/>
          <w:sz w:val="24"/>
          <w14:ligatures w14:val="standardContextual"/>
        </w:rPr>
      </w:pPr>
      <w:hyperlink w:anchor="_Toc165636122" w:history="1">
        <w:r w:rsidRPr="00BD22C2">
          <w:rPr>
            <w:rStyle w:val="Lienhypertexte"/>
            <w:rFonts w:eastAsia="Calibri"/>
            <w:noProof/>
            <w:color w:val="auto"/>
            <w:lang w:eastAsia="en-US"/>
          </w:rPr>
          <w:t>5.2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L’articulation du rôle premier des parents, de l’intérêt et des droits de l’enfant et des obligations de l’État</w:t>
        </w:r>
        <w:r w:rsidRPr="00BD22C2">
          <w:rPr>
            <w:noProof/>
            <w:webHidden/>
          </w:rPr>
          <w:tab/>
        </w:r>
        <w:r w:rsidRPr="00BD22C2">
          <w:rPr>
            <w:noProof/>
            <w:webHidden/>
          </w:rPr>
          <w:fldChar w:fldCharType="begin"/>
        </w:r>
        <w:r w:rsidRPr="00BD22C2">
          <w:rPr>
            <w:noProof/>
            <w:webHidden/>
          </w:rPr>
          <w:instrText xml:space="preserve"> PAGEREF _Toc165636122 \h </w:instrText>
        </w:r>
        <w:r w:rsidRPr="00BD22C2">
          <w:rPr>
            <w:noProof/>
            <w:webHidden/>
          </w:rPr>
        </w:r>
        <w:r w:rsidRPr="00BD22C2">
          <w:rPr>
            <w:noProof/>
            <w:webHidden/>
          </w:rPr>
          <w:fldChar w:fldCharType="separate"/>
        </w:r>
        <w:r w:rsidR="008D397D">
          <w:rPr>
            <w:noProof/>
            <w:webHidden/>
          </w:rPr>
          <w:t>47</w:t>
        </w:r>
        <w:r w:rsidRPr="00BD22C2">
          <w:rPr>
            <w:noProof/>
            <w:webHidden/>
          </w:rPr>
          <w:fldChar w:fldCharType="end"/>
        </w:r>
      </w:hyperlink>
    </w:p>
    <w:p w14:paraId="4D9A9109" w14:textId="6F27B619" w:rsidR="001E26FD" w:rsidRPr="00BD22C2" w:rsidRDefault="001E26FD" w:rsidP="001E26FD">
      <w:pPr>
        <w:pStyle w:val="TM3"/>
        <w:ind w:left="986" w:hanging="560"/>
        <w:rPr>
          <w:rFonts w:asciiTheme="minorHAnsi" w:eastAsiaTheme="minorEastAsia" w:hAnsiTheme="minorHAnsi" w:cstheme="minorBidi"/>
          <w:noProof/>
          <w:kern w:val="2"/>
          <w:sz w:val="24"/>
          <w14:ligatures w14:val="standardContextual"/>
        </w:rPr>
      </w:pPr>
      <w:hyperlink w:anchor="_Toc165636123" w:history="1">
        <w:r w:rsidRPr="00BD22C2">
          <w:rPr>
            <w:rStyle w:val="Lienhypertexte"/>
            <w:rFonts w:eastAsia="Calibri"/>
            <w:noProof/>
            <w:color w:val="auto"/>
            <w:lang w:eastAsia="en-US"/>
          </w:rPr>
          <w:t>5.3</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Le respect de l’identité de genre des enfants et des jeunes : intimement lié à leur éducation et à leur développement sain</w:t>
        </w:r>
        <w:r w:rsidRPr="00BD22C2">
          <w:rPr>
            <w:noProof/>
            <w:webHidden/>
          </w:rPr>
          <w:tab/>
        </w:r>
        <w:r w:rsidRPr="00BD22C2">
          <w:rPr>
            <w:noProof/>
            <w:webHidden/>
          </w:rPr>
          <w:fldChar w:fldCharType="begin"/>
        </w:r>
        <w:r w:rsidRPr="00BD22C2">
          <w:rPr>
            <w:noProof/>
            <w:webHidden/>
          </w:rPr>
          <w:instrText xml:space="preserve"> PAGEREF _Toc165636123 \h </w:instrText>
        </w:r>
        <w:r w:rsidRPr="00BD22C2">
          <w:rPr>
            <w:noProof/>
            <w:webHidden/>
          </w:rPr>
        </w:r>
        <w:r w:rsidRPr="00BD22C2">
          <w:rPr>
            <w:noProof/>
            <w:webHidden/>
          </w:rPr>
          <w:fldChar w:fldCharType="separate"/>
        </w:r>
        <w:r w:rsidR="008D397D">
          <w:rPr>
            <w:noProof/>
            <w:webHidden/>
          </w:rPr>
          <w:t>50</w:t>
        </w:r>
        <w:r w:rsidRPr="00BD22C2">
          <w:rPr>
            <w:noProof/>
            <w:webHidden/>
          </w:rPr>
          <w:fldChar w:fldCharType="end"/>
        </w:r>
      </w:hyperlink>
    </w:p>
    <w:p w14:paraId="3DBAEC8C" w14:textId="4D721282" w:rsidR="001E26FD" w:rsidRPr="00BD22C2" w:rsidRDefault="001E26FD" w:rsidP="001E26FD">
      <w:pPr>
        <w:pStyle w:val="TM3"/>
        <w:rPr>
          <w:rStyle w:val="Lienhypertexte"/>
          <w:noProof/>
          <w:color w:val="auto"/>
        </w:rPr>
      </w:pPr>
      <w:hyperlink w:anchor="_Toc165636124" w:history="1">
        <w:r w:rsidRPr="00BD22C2">
          <w:rPr>
            <w:rStyle w:val="Lienhypertexte"/>
            <w:rFonts w:eastAsia="Calibri"/>
            <w:noProof/>
            <w:color w:val="auto"/>
            <w:lang w:eastAsia="en-US"/>
          </w:rPr>
          <w:t>5.4</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Les soins destinés aux jeunes trans et non binaires</w:t>
        </w:r>
        <w:r w:rsidRPr="00BD22C2">
          <w:rPr>
            <w:noProof/>
            <w:webHidden/>
          </w:rPr>
          <w:tab/>
        </w:r>
        <w:r w:rsidRPr="00BD22C2">
          <w:rPr>
            <w:noProof/>
            <w:webHidden/>
          </w:rPr>
          <w:fldChar w:fldCharType="begin"/>
        </w:r>
        <w:r w:rsidRPr="00BD22C2">
          <w:rPr>
            <w:noProof/>
            <w:webHidden/>
          </w:rPr>
          <w:instrText xml:space="preserve"> PAGEREF _Toc165636124 \h </w:instrText>
        </w:r>
        <w:r w:rsidRPr="00BD22C2">
          <w:rPr>
            <w:noProof/>
            <w:webHidden/>
          </w:rPr>
        </w:r>
        <w:r w:rsidRPr="00BD22C2">
          <w:rPr>
            <w:noProof/>
            <w:webHidden/>
          </w:rPr>
          <w:fldChar w:fldCharType="separate"/>
        </w:r>
        <w:r w:rsidR="008D397D">
          <w:rPr>
            <w:noProof/>
            <w:webHidden/>
          </w:rPr>
          <w:t>54</w:t>
        </w:r>
        <w:r w:rsidRPr="00BD22C2">
          <w:rPr>
            <w:noProof/>
            <w:webHidden/>
          </w:rPr>
          <w:fldChar w:fldCharType="end"/>
        </w:r>
      </w:hyperlink>
    </w:p>
    <w:p w14:paraId="4BC6C0AF" w14:textId="77777777" w:rsidR="001E26FD" w:rsidRPr="00BD22C2" w:rsidRDefault="001E26FD" w:rsidP="001E26FD">
      <w:pPr>
        <w:tabs>
          <w:tab w:val="right" w:leader="dot" w:pos="9356"/>
        </w:tabs>
        <w:spacing w:line="240" w:lineRule="auto"/>
        <w:jc w:val="left"/>
        <w:rPr>
          <w:rFonts w:eastAsiaTheme="minorEastAsia"/>
          <w:noProof/>
        </w:rPr>
      </w:pPr>
    </w:p>
    <w:p w14:paraId="47118E60" w14:textId="37577490" w:rsidR="001E26FD" w:rsidRPr="00DB7567" w:rsidRDefault="001E26FD" w:rsidP="001E26FD">
      <w:pPr>
        <w:pStyle w:val="TM2"/>
        <w:rPr>
          <w:rStyle w:val="Lienhypertexte"/>
          <w:color w:val="auto"/>
        </w:rPr>
      </w:pPr>
      <w:hyperlink w:anchor="_Toc165636125" w:history="1">
        <w:r w:rsidRPr="00DB7567">
          <w:rPr>
            <w:rStyle w:val="Lienhypertexte"/>
            <w:color w:val="auto"/>
          </w:rPr>
          <w:t>6</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Les droits des personnes trans et non binaires en contexte de non-mixité</w:t>
        </w:r>
        <w:r w:rsidRPr="00DB7567">
          <w:rPr>
            <w:webHidden/>
          </w:rPr>
          <w:tab/>
        </w:r>
        <w:r w:rsidRPr="00DB7567">
          <w:rPr>
            <w:webHidden/>
          </w:rPr>
          <w:fldChar w:fldCharType="begin"/>
        </w:r>
        <w:r w:rsidRPr="00DB7567">
          <w:rPr>
            <w:webHidden/>
          </w:rPr>
          <w:instrText xml:space="preserve"> PAGEREF _Toc165636125 \h </w:instrText>
        </w:r>
        <w:r w:rsidRPr="00DB7567">
          <w:rPr>
            <w:webHidden/>
          </w:rPr>
        </w:r>
        <w:r w:rsidRPr="00DB7567">
          <w:rPr>
            <w:webHidden/>
          </w:rPr>
          <w:fldChar w:fldCharType="separate"/>
        </w:r>
        <w:r w:rsidR="008D397D">
          <w:rPr>
            <w:webHidden/>
          </w:rPr>
          <w:t>62</w:t>
        </w:r>
        <w:r w:rsidRPr="00DB7567">
          <w:rPr>
            <w:webHidden/>
          </w:rPr>
          <w:fldChar w:fldCharType="end"/>
        </w:r>
      </w:hyperlink>
    </w:p>
    <w:p w14:paraId="4043974D" w14:textId="77777777" w:rsidR="001E26FD" w:rsidRPr="00BD22C2" w:rsidRDefault="001E26FD" w:rsidP="001E26FD">
      <w:pPr>
        <w:tabs>
          <w:tab w:val="right" w:leader="dot" w:pos="9356"/>
        </w:tabs>
        <w:spacing w:line="240" w:lineRule="auto"/>
        <w:jc w:val="left"/>
        <w:rPr>
          <w:rFonts w:eastAsiaTheme="minorEastAsia"/>
          <w:noProof/>
          <w:lang w:eastAsia="en-US"/>
        </w:rPr>
      </w:pPr>
    </w:p>
    <w:p w14:paraId="078FD8B6" w14:textId="21F7A232"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26" w:history="1">
        <w:r w:rsidRPr="00BD22C2">
          <w:rPr>
            <w:rStyle w:val="Lienhypertexte"/>
            <w:noProof/>
            <w:color w:val="auto"/>
          </w:rPr>
          <w:t>6.1</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 cadre juridique applicable aux situations de non-mixité</w:t>
        </w:r>
        <w:r w:rsidRPr="00BD22C2">
          <w:rPr>
            <w:noProof/>
            <w:webHidden/>
          </w:rPr>
          <w:tab/>
        </w:r>
        <w:r w:rsidRPr="00BD22C2">
          <w:rPr>
            <w:noProof/>
            <w:webHidden/>
          </w:rPr>
          <w:fldChar w:fldCharType="begin"/>
        </w:r>
        <w:r w:rsidRPr="00BD22C2">
          <w:rPr>
            <w:noProof/>
            <w:webHidden/>
          </w:rPr>
          <w:instrText xml:space="preserve"> PAGEREF _Toc165636126 \h </w:instrText>
        </w:r>
        <w:r w:rsidRPr="00BD22C2">
          <w:rPr>
            <w:noProof/>
            <w:webHidden/>
          </w:rPr>
        </w:r>
        <w:r w:rsidRPr="00BD22C2">
          <w:rPr>
            <w:noProof/>
            <w:webHidden/>
          </w:rPr>
          <w:fldChar w:fldCharType="separate"/>
        </w:r>
        <w:r w:rsidR="008D397D">
          <w:rPr>
            <w:noProof/>
            <w:webHidden/>
          </w:rPr>
          <w:t>63</w:t>
        </w:r>
        <w:r w:rsidRPr="00BD22C2">
          <w:rPr>
            <w:noProof/>
            <w:webHidden/>
          </w:rPr>
          <w:fldChar w:fldCharType="end"/>
        </w:r>
      </w:hyperlink>
    </w:p>
    <w:p w14:paraId="34797DCF" w14:textId="5207C7DB"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27" w:history="1">
        <w:r w:rsidRPr="00BD22C2">
          <w:rPr>
            <w:rStyle w:val="Lienhypertexte"/>
            <w:rFonts w:eastAsia="Calibri"/>
            <w:noProof/>
            <w:color w:val="auto"/>
          </w:rPr>
          <w:t>6.2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rPr>
          <w:t>L’identification du sexe ou du genre et le risque de profilage discriminatoire</w:t>
        </w:r>
        <w:r w:rsidRPr="00BD22C2">
          <w:rPr>
            <w:noProof/>
            <w:webHidden/>
          </w:rPr>
          <w:tab/>
        </w:r>
        <w:r w:rsidRPr="00BD22C2">
          <w:rPr>
            <w:noProof/>
            <w:webHidden/>
          </w:rPr>
          <w:fldChar w:fldCharType="begin"/>
        </w:r>
        <w:r w:rsidRPr="00BD22C2">
          <w:rPr>
            <w:noProof/>
            <w:webHidden/>
          </w:rPr>
          <w:instrText xml:space="preserve"> PAGEREF _Toc165636127 \h </w:instrText>
        </w:r>
        <w:r w:rsidRPr="00BD22C2">
          <w:rPr>
            <w:noProof/>
            <w:webHidden/>
          </w:rPr>
        </w:r>
        <w:r w:rsidRPr="00BD22C2">
          <w:rPr>
            <w:noProof/>
            <w:webHidden/>
          </w:rPr>
          <w:fldChar w:fldCharType="separate"/>
        </w:r>
        <w:r w:rsidR="008D397D">
          <w:rPr>
            <w:noProof/>
            <w:webHidden/>
          </w:rPr>
          <w:t>64</w:t>
        </w:r>
        <w:r w:rsidRPr="00BD22C2">
          <w:rPr>
            <w:noProof/>
            <w:webHidden/>
          </w:rPr>
          <w:fldChar w:fldCharType="end"/>
        </w:r>
      </w:hyperlink>
    </w:p>
    <w:p w14:paraId="33DC30D0" w14:textId="6015E47E"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28" w:history="1">
        <w:r w:rsidRPr="00BD22C2">
          <w:rPr>
            <w:rStyle w:val="Lienhypertexte"/>
            <w:noProof/>
            <w:color w:val="auto"/>
          </w:rPr>
          <w:t>6.3</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Les toilettes et vestiaires</w:t>
        </w:r>
        <w:r w:rsidRPr="00BD22C2">
          <w:rPr>
            <w:noProof/>
            <w:webHidden/>
          </w:rPr>
          <w:tab/>
        </w:r>
        <w:r w:rsidRPr="00BD22C2">
          <w:rPr>
            <w:noProof/>
            <w:webHidden/>
          </w:rPr>
          <w:fldChar w:fldCharType="begin"/>
        </w:r>
        <w:r w:rsidRPr="00BD22C2">
          <w:rPr>
            <w:noProof/>
            <w:webHidden/>
          </w:rPr>
          <w:instrText xml:space="preserve"> PAGEREF _Toc165636128 \h </w:instrText>
        </w:r>
        <w:r w:rsidRPr="00BD22C2">
          <w:rPr>
            <w:noProof/>
            <w:webHidden/>
          </w:rPr>
        </w:r>
        <w:r w:rsidRPr="00BD22C2">
          <w:rPr>
            <w:noProof/>
            <w:webHidden/>
          </w:rPr>
          <w:fldChar w:fldCharType="separate"/>
        </w:r>
        <w:r w:rsidR="008D397D">
          <w:rPr>
            <w:noProof/>
            <w:webHidden/>
          </w:rPr>
          <w:t>67</w:t>
        </w:r>
        <w:r w:rsidRPr="00BD22C2">
          <w:rPr>
            <w:noProof/>
            <w:webHidden/>
          </w:rPr>
          <w:fldChar w:fldCharType="end"/>
        </w:r>
      </w:hyperlink>
    </w:p>
    <w:p w14:paraId="21496166" w14:textId="66553923" w:rsidR="001E26FD" w:rsidRPr="00BD22C2" w:rsidRDefault="001E26FD" w:rsidP="001E26FD">
      <w:pPr>
        <w:pStyle w:val="TM3"/>
        <w:rPr>
          <w:rStyle w:val="Lienhypertexte"/>
          <w:noProof/>
          <w:color w:val="auto"/>
        </w:rPr>
      </w:pPr>
      <w:hyperlink w:anchor="_Toc165636129" w:history="1">
        <w:r w:rsidRPr="00BD22C2">
          <w:rPr>
            <w:rStyle w:val="Lienhypertexte"/>
            <w:noProof/>
            <w:color w:val="auto"/>
          </w:rPr>
          <w:t>6.4</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Les établissements de détention</w:t>
        </w:r>
        <w:r w:rsidRPr="00BD22C2">
          <w:rPr>
            <w:noProof/>
            <w:webHidden/>
          </w:rPr>
          <w:tab/>
        </w:r>
        <w:r w:rsidRPr="00BD22C2">
          <w:rPr>
            <w:noProof/>
            <w:webHidden/>
          </w:rPr>
          <w:fldChar w:fldCharType="begin"/>
        </w:r>
        <w:r w:rsidRPr="00BD22C2">
          <w:rPr>
            <w:noProof/>
            <w:webHidden/>
          </w:rPr>
          <w:instrText xml:space="preserve"> PAGEREF _Toc165636129 \h </w:instrText>
        </w:r>
        <w:r w:rsidRPr="00BD22C2">
          <w:rPr>
            <w:noProof/>
            <w:webHidden/>
          </w:rPr>
        </w:r>
        <w:r w:rsidRPr="00BD22C2">
          <w:rPr>
            <w:noProof/>
            <w:webHidden/>
          </w:rPr>
          <w:fldChar w:fldCharType="separate"/>
        </w:r>
        <w:r w:rsidR="008D397D">
          <w:rPr>
            <w:noProof/>
            <w:webHidden/>
          </w:rPr>
          <w:t>71</w:t>
        </w:r>
        <w:r w:rsidRPr="00BD22C2">
          <w:rPr>
            <w:noProof/>
            <w:webHidden/>
          </w:rPr>
          <w:fldChar w:fldCharType="end"/>
        </w:r>
      </w:hyperlink>
    </w:p>
    <w:p w14:paraId="5B5C4A96" w14:textId="77777777" w:rsidR="001E26FD" w:rsidRPr="00BD22C2" w:rsidRDefault="001E26FD" w:rsidP="001E26FD">
      <w:pPr>
        <w:tabs>
          <w:tab w:val="right" w:leader="dot" w:pos="9356"/>
        </w:tabs>
        <w:spacing w:line="240" w:lineRule="auto"/>
        <w:jc w:val="left"/>
        <w:rPr>
          <w:rFonts w:eastAsiaTheme="minorEastAsia"/>
          <w:noProof/>
        </w:rPr>
      </w:pPr>
    </w:p>
    <w:p w14:paraId="172A449F" w14:textId="70EF30F2" w:rsidR="001E26FD" w:rsidRPr="00DB7567" w:rsidRDefault="001E26FD" w:rsidP="001E26FD">
      <w:pPr>
        <w:pStyle w:val="TM2"/>
        <w:rPr>
          <w:rStyle w:val="Lienhypertexte"/>
          <w:color w:val="auto"/>
        </w:rPr>
      </w:pPr>
      <w:hyperlink w:anchor="_Toc165636130" w:history="1">
        <w:r w:rsidRPr="00DB7567">
          <w:rPr>
            <w:rStyle w:val="Lienhypertexte"/>
            <w:color w:val="auto"/>
          </w:rPr>
          <w:t>7</w:t>
        </w:r>
        <w:r w:rsidRPr="00DB7567">
          <w:rPr>
            <w:rFonts w:asciiTheme="minorHAnsi" w:eastAsiaTheme="minorEastAsia" w:hAnsiTheme="minorHAnsi" w:cstheme="minorBidi"/>
            <w:kern w:val="2"/>
            <w:sz w:val="24"/>
            <w:lang w:eastAsia="fr-CA"/>
            <w14:ligatures w14:val="standardContextual"/>
          </w:rPr>
          <w:tab/>
        </w:r>
        <w:r w:rsidRPr="00DB7567">
          <w:rPr>
            <w:rStyle w:val="Lienhypertexte"/>
            <w:color w:val="auto"/>
          </w:rPr>
          <w:t>L’éducation aux droits et libertés et l’inclusion dans les institutions communes</w:t>
        </w:r>
        <w:r w:rsidRPr="00DB7567">
          <w:rPr>
            <w:webHidden/>
          </w:rPr>
          <w:tab/>
        </w:r>
        <w:r w:rsidRPr="00DB7567">
          <w:rPr>
            <w:webHidden/>
          </w:rPr>
          <w:fldChar w:fldCharType="begin"/>
        </w:r>
        <w:r w:rsidRPr="00DB7567">
          <w:rPr>
            <w:webHidden/>
          </w:rPr>
          <w:instrText xml:space="preserve"> PAGEREF _Toc165636130 \h </w:instrText>
        </w:r>
        <w:r w:rsidRPr="00DB7567">
          <w:rPr>
            <w:webHidden/>
          </w:rPr>
        </w:r>
        <w:r w:rsidRPr="00DB7567">
          <w:rPr>
            <w:webHidden/>
          </w:rPr>
          <w:fldChar w:fldCharType="separate"/>
        </w:r>
        <w:r w:rsidR="008D397D">
          <w:rPr>
            <w:webHidden/>
          </w:rPr>
          <w:t>74</w:t>
        </w:r>
        <w:r w:rsidRPr="00DB7567">
          <w:rPr>
            <w:webHidden/>
          </w:rPr>
          <w:fldChar w:fldCharType="end"/>
        </w:r>
      </w:hyperlink>
    </w:p>
    <w:p w14:paraId="4B9754F0" w14:textId="5CD045B7"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31" w:history="1">
        <w:r w:rsidRPr="00BD22C2">
          <w:rPr>
            <w:rStyle w:val="Lienhypertexte"/>
            <w:rFonts w:eastAsia="Calibri"/>
            <w:noProof/>
            <w:color w:val="auto"/>
            <w:lang w:eastAsia="en-US"/>
          </w:rPr>
          <w:t>7.1</w:t>
        </w:r>
        <w:r w:rsidRPr="00BD22C2">
          <w:rPr>
            <w:rFonts w:asciiTheme="minorHAnsi" w:eastAsiaTheme="minorEastAsia" w:hAnsiTheme="minorHAnsi" w:cstheme="minorBidi"/>
            <w:noProof/>
            <w:kern w:val="2"/>
            <w:sz w:val="24"/>
            <w14:ligatures w14:val="standardContextual"/>
          </w:rPr>
          <w:tab/>
        </w:r>
        <w:r w:rsidRPr="00BD22C2">
          <w:rPr>
            <w:rStyle w:val="Lienhypertexte"/>
            <w:rFonts w:cs="Arial"/>
            <w:noProof/>
            <w:color w:val="auto"/>
          </w:rPr>
          <w:t>La diffusion de l’éducation aux droits et libertés dans les institutions publiques</w:t>
        </w:r>
        <w:r w:rsidRPr="00BD22C2">
          <w:rPr>
            <w:noProof/>
            <w:webHidden/>
          </w:rPr>
          <w:tab/>
        </w:r>
        <w:r w:rsidRPr="00BD22C2">
          <w:rPr>
            <w:noProof/>
            <w:webHidden/>
          </w:rPr>
          <w:fldChar w:fldCharType="begin"/>
        </w:r>
        <w:r w:rsidRPr="00BD22C2">
          <w:rPr>
            <w:noProof/>
            <w:webHidden/>
          </w:rPr>
          <w:instrText xml:space="preserve"> PAGEREF _Toc165636131 \h </w:instrText>
        </w:r>
        <w:r w:rsidRPr="00BD22C2">
          <w:rPr>
            <w:noProof/>
            <w:webHidden/>
          </w:rPr>
        </w:r>
        <w:r w:rsidRPr="00BD22C2">
          <w:rPr>
            <w:noProof/>
            <w:webHidden/>
          </w:rPr>
          <w:fldChar w:fldCharType="separate"/>
        </w:r>
        <w:r w:rsidR="008D397D">
          <w:rPr>
            <w:noProof/>
            <w:webHidden/>
          </w:rPr>
          <w:t>76</w:t>
        </w:r>
        <w:r w:rsidRPr="00BD22C2">
          <w:rPr>
            <w:noProof/>
            <w:webHidden/>
          </w:rPr>
          <w:fldChar w:fldCharType="end"/>
        </w:r>
      </w:hyperlink>
    </w:p>
    <w:p w14:paraId="07A2587A" w14:textId="12983F51" w:rsidR="001E26FD" w:rsidRPr="00BD22C2" w:rsidRDefault="001E26FD" w:rsidP="001E26FD">
      <w:pPr>
        <w:pStyle w:val="TM3"/>
        <w:rPr>
          <w:rFonts w:asciiTheme="minorHAnsi" w:eastAsiaTheme="minorEastAsia" w:hAnsiTheme="minorHAnsi" w:cstheme="minorBidi"/>
          <w:noProof/>
          <w:kern w:val="2"/>
          <w:sz w:val="24"/>
          <w14:ligatures w14:val="standardContextual"/>
        </w:rPr>
      </w:pPr>
      <w:hyperlink w:anchor="_Toc165636132" w:history="1">
        <w:r w:rsidRPr="00BD22C2">
          <w:rPr>
            <w:rStyle w:val="Lienhypertexte"/>
            <w:rFonts w:eastAsia="Calibri"/>
            <w:noProof/>
            <w:color w:val="auto"/>
            <w:lang w:eastAsia="en-US"/>
          </w:rPr>
          <w:t>7.2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L’éducation aux droits et libertés et l’adaptation des normes et pratiques de l’école</w:t>
        </w:r>
        <w:r w:rsidRPr="00BD22C2">
          <w:rPr>
            <w:noProof/>
            <w:webHidden/>
          </w:rPr>
          <w:tab/>
        </w:r>
        <w:r w:rsidRPr="00BD22C2">
          <w:rPr>
            <w:noProof/>
            <w:webHidden/>
          </w:rPr>
          <w:fldChar w:fldCharType="begin"/>
        </w:r>
        <w:r w:rsidRPr="00BD22C2">
          <w:rPr>
            <w:noProof/>
            <w:webHidden/>
          </w:rPr>
          <w:instrText xml:space="preserve"> PAGEREF _Toc165636132 \h </w:instrText>
        </w:r>
        <w:r w:rsidRPr="00BD22C2">
          <w:rPr>
            <w:noProof/>
            <w:webHidden/>
          </w:rPr>
        </w:r>
        <w:r w:rsidRPr="00BD22C2">
          <w:rPr>
            <w:noProof/>
            <w:webHidden/>
          </w:rPr>
          <w:fldChar w:fldCharType="separate"/>
        </w:r>
        <w:r w:rsidR="008D397D">
          <w:rPr>
            <w:noProof/>
            <w:webHidden/>
          </w:rPr>
          <w:t>79</w:t>
        </w:r>
        <w:r w:rsidRPr="00BD22C2">
          <w:rPr>
            <w:noProof/>
            <w:webHidden/>
          </w:rPr>
          <w:fldChar w:fldCharType="end"/>
        </w:r>
      </w:hyperlink>
    </w:p>
    <w:p w14:paraId="7A28F943" w14:textId="22A41480"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33" w:history="1">
        <w:r w:rsidRPr="00BD22C2">
          <w:rPr>
            <w:rStyle w:val="Lienhypertexte"/>
            <w:rFonts w:eastAsia="Calibri"/>
            <w:noProof/>
            <w:color w:val="auto"/>
            <w:lang w:eastAsia="en-US"/>
          </w:rPr>
          <w:t>7.2.1</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Les apports d’une éducation aux droits acquise à travers la pratique</w:t>
        </w:r>
        <w:r w:rsidRPr="00BD22C2">
          <w:rPr>
            <w:noProof/>
            <w:webHidden/>
          </w:rPr>
          <w:tab/>
        </w:r>
        <w:r w:rsidRPr="00BD22C2">
          <w:rPr>
            <w:noProof/>
            <w:webHidden/>
          </w:rPr>
          <w:fldChar w:fldCharType="begin"/>
        </w:r>
        <w:r w:rsidRPr="00BD22C2">
          <w:rPr>
            <w:noProof/>
            <w:webHidden/>
          </w:rPr>
          <w:instrText xml:space="preserve"> PAGEREF _Toc165636133 \h </w:instrText>
        </w:r>
        <w:r w:rsidRPr="00BD22C2">
          <w:rPr>
            <w:noProof/>
            <w:webHidden/>
          </w:rPr>
        </w:r>
        <w:r w:rsidRPr="00BD22C2">
          <w:rPr>
            <w:noProof/>
            <w:webHidden/>
          </w:rPr>
          <w:fldChar w:fldCharType="separate"/>
        </w:r>
        <w:r w:rsidR="008D397D">
          <w:rPr>
            <w:noProof/>
            <w:webHidden/>
          </w:rPr>
          <w:t>81</w:t>
        </w:r>
        <w:r w:rsidRPr="00BD22C2">
          <w:rPr>
            <w:noProof/>
            <w:webHidden/>
          </w:rPr>
          <w:fldChar w:fldCharType="end"/>
        </w:r>
      </w:hyperlink>
    </w:p>
    <w:p w14:paraId="10EF8158" w14:textId="73EFAC0A"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34" w:history="1">
        <w:r w:rsidRPr="00BD22C2">
          <w:rPr>
            <w:rStyle w:val="Lienhypertexte"/>
            <w:rFonts w:eastAsia="Calibri"/>
            <w:noProof/>
            <w:color w:val="auto"/>
            <w:lang w:eastAsia="en-US"/>
          </w:rPr>
          <w:t>7.2.2</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Une éducation aux droits prenant en compte l’expérience des élèves trans ou non binaires</w:t>
        </w:r>
        <w:r w:rsidRPr="00BD22C2">
          <w:rPr>
            <w:noProof/>
            <w:webHidden/>
          </w:rPr>
          <w:tab/>
        </w:r>
        <w:r w:rsidRPr="00BD22C2">
          <w:rPr>
            <w:noProof/>
            <w:webHidden/>
          </w:rPr>
          <w:fldChar w:fldCharType="begin"/>
        </w:r>
        <w:r w:rsidRPr="00BD22C2">
          <w:rPr>
            <w:noProof/>
            <w:webHidden/>
          </w:rPr>
          <w:instrText xml:space="preserve"> PAGEREF _Toc165636134 \h </w:instrText>
        </w:r>
        <w:r w:rsidRPr="00BD22C2">
          <w:rPr>
            <w:noProof/>
            <w:webHidden/>
          </w:rPr>
        </w:r>
        <w:r w:rsidRPr="00BD22C2">
          <w:rPr>
            <w:noProof/>
            <w:webHidden/>
          </w:rPr>
          <w:fldChar w:fldCharType="separate"/>
        </w:r>
        <w:r w:rsidR="008D397D">
          <w:rPr>
            <w:noProof/>
            <w:webHidden/>
          </w:rPr>
          <w:t>83</w:t>
        </w:r>
        <w:r w:rsidRPr="00BD22C2">
          <w:rPr>
            <w:noProof/>
            <w:webHidden/>
          </w:rPr>
          <w:fldChar w:fldCharType="end"/>
        </w:r>
      </w:hyperlink>
    </w:p>
    <w:p w14:paraId="4F41C623" w14:textId="6266DEA5" w:rsidR="001E26FD" w:rsidRPr="00BD22C2" w:rsidRDefault="001E26FD" w:rsidP="001E26FD">
      <w:pPr>
        <w:pStyle w:val="TM5"/>
        <w:tabs>
          <w:tab w:val="clear" w:pos="1701"/>
          <w:tab w:val="clear" w:pos="9350"/>
          <w:tab w:val="left" w:pos="2694"/>
          <w:tab w:val="right" w:leader="dot" w:pos="9356"/>
        </w:tabs>
        <w:ind w:left="2127"/>
        <w:rPr>
          <w:rStyle w:val="Lienhypertexte"/>
          <w:noProof/>
          <w:color w:val="auto"/>
        </w:rPr>
      </w:pPr>
      <w:hyperlink w:anchor="_Toc165636135" w:history="1">
        <w:r w:rsidRPr="00BD22C2">
          <w:rPr>
            <w:rStyle w:val="Lienhypertexte"/>
            <w:noProof/>
            <w:color w:val="auto"/>
          </w:rPr>
          <w:t>A.</w:t>
        </w:r>
        <w:r w:rsidRPr="00BD22C2">
          <w:rPr>
            <w:rStyle w:val="Lienhypertexte"/>
            <w:noProof/>
            <w:color w:val="auto"/>
          </w:rPr>
          <w:tab/>
          <w:t>Le rôle du personnel scolaire et de la formation initiale</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_Toc165636135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83</w:t>
        </w:r>
        <w:r w:rsidRPr="00BD22C2">
          <w:rPr>
            <w:rStyle w:val="Lienhypertexte"/>
            <w:noProof/>
            <w:webHidden/>
            <w:color w:val="auto"/>
          </w:rPr>
          <w:fldChar w:fldCharType="end"/>
        </w:r>
      </w:hyperlink>
    </w:p>
    <w:p w14:paraId="295B1D42" w14:textId="63D74D9C" w:rsidR="001E26FD" w:rsidRPr="00BD22C2" w:rsidRDefault="001E26FD" w:rsidP="001E26FD">
      <w:pPr>
        <w:pStyle w:val="TM5"/>
        <w:tabs>
          <w:tab w:val="clear" w:pos="1701"/>
          <w:tab w:val="clear" w:pos="9350"/>
          <w:tab w:val="left" w:pos="2694"/>
          <w:tab w:val="right" w:leader="dot" w:pos="9356"/>
        </w:tabs>
        <w:ind w:left="2127"/>
        <w:rPr>
          <w:rStyle w:val="Lienhypertexte"/>
          <w:noProof/>
          <w:color w:val="auto"/>
        </w:rPr>
      </w:pPr>
      <w:hyperlink w:anchor="_Toc165636136" w:history="1">
        <w:r w:rsidRPr="00BD22C2">
          <w:rPr>
            <w:rStyle w:val="Lienhypertexte"/>
            <w:noProof/>
            <w:color w:val="auto"/>
          </w:rPr>
          <w:t>B.</w:t>
        </w:r>
        <w:r w:rsidRPr="00BD22C2">
          <w:rPr>
            <w:rStyle w:val="Lienhypertexte"/>
            <w:noProof/>
            <w:color w:val="auto"/>
          </w:rPr>
          <w:tab/>
          <w:t>L’importance de la formation continue et des encadrements normatifs pour adapter les pratiques de l’école et garantir les droits et l’inclusion des élèves trans et non binaires</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_Toc165636136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86</w:t>
        </w:r>
        <w:r w:rsidRPr="00BD22C2">
          <w:rPr>
            <w:rStyle w:val="Lienhypertexte"/>
            <w:noProof/>
            <w:webHidden/>
            <w:color w:val="auto"/>
          </w:rPr>
          <w:fldChar w:fldCharType="end"/>
        </w:r>
      </w:hyperlink>
    </w:p>
    <w:p w14:paraId="277E4013" w14:textId="2459884A" w:rsidR="001E26FD" w:rsidRPr="00BD22C2" w:rsidRDefault="001E26FD" w:rsidP="001E26FD">
      <w:pPr>
        <w:pStyle w:val="TM5"/>
        <w:tabs>
          <w:tab w:val="clear" w:pos="1701"/>
          <w:tab w:val="clear" w:pos="9350"/>
          <w:tab w:val="left" w:pos="2694"/>
          <w:tab w:val="right" w:leader="dot" w:pos="9356"/>
        </w:tabs>
        <w:ind w:left="2127"/>
        <w:rPr>
          <w:rStyle w:val="Lienhypertexte"/>
          <w:noProof/>
          <w:color w:val="auto"/>
        </w:rPr>
      </w:pPr>
      <w:hyperlink w:anchor="_Toc165636137" w:history="1">
        <w:r w:rsidRPr="00BD22C2">
          <w:rPr>
            <w:rStyle w:val="Lienhypertexte"/>
            <w:noProof/>
            <w:color w:val="auto"/>
          </w:rPr>
          <w:t>C.</w:t>
        </w:r>
        <w:r w:rsidRPr="00BD22C2">
          <w:rPr>
            <w:rStyle w:val="Lienhypertexte"/>
            <w:noProof/>
            <w:color w:val="auto"/>
          </w:rPr>
          <w:tab/>
          <w:t>Une formation continue favorisant l’auto-identification et le choix du prénom et du pronom usuels de l’élève</w:t>
        </w:r>
        <w:r w:rsidRPr="00BD22C2">
          <w:rPr>
            <w:rStyle w:val="Lienhypertexte"/>
            <w:noProof/>
            <w:webHidden/>
            <w:color w:val="auto"/>
          </w:rPr>
          <w:tab/>
        </w:r>
        <w:r w:rsidRPr="00BD22C2">
          <w:rPr>
            <w:rStyle w:val="Lienhypertexte"/>
            <w:noProof/>
            <w:webHidden/>
            <w:color w:val="auto"/>
          </w:rPr>
          <w:fldChar w:fldCharType="begin"/>
        </w:r>
        <w:r w:rsidRPr="00BD22C2">
          <w:rPr>
            <w:rStyle w:val="Lienhypertexte"/>
            <w:noProof/>
            <w:webHidden/>
            <w:color w:val="auto"/>
          </w:rPr>
          <w:instrText xml:space="preserve"> PAGEREF _Toc165636137 \h </w:instrText>
        </w:r>
        <w:r w:rsidRPr="00BD22C2">
          <w:rPr>
            <w:rStyle w:val="Lienhypertexte"/>
            <w:noProof/>
            <w:webHidden/>
            <w:color w:val="auto"/>
          </w:rPr>
        </w:r>
        <w:r w:rsidRPr="00BD22C2">
          <w:rPr>
            <w:rStyle w:val="Lienhypertexte"/>
            <w:noProof/>
            <w:webHidden/>
            <w:color w:val="auto"/>
          </w:rPr>
          <w:fldChar w:fldCharType="separate"/>
        </w:r>
        <w:r w:rsidR="008D397D">
          <w:rPr>
            <w:rStyle w:val="Lienhypertexte"/>
            <w:noProof/>
            <w:webHidden/>
            <w:color w:val="auto"/>
          </w:rPr>
          <w:t>88</w:t>
        </w:r>
        <w:r w:rsidRPr="00BD22C2">
          <w:rPr>
            <w:rStyle w:val="Lienhypertexte"/>
            <w:noProof/>
            <w:webHidden/>
            <w:color w:val="auto"/>
          </w:rPr>
          <w:fldChar w:fldCharType="end"/>
        </w:r>
      </w:hyperlink>
    </w:p>
    <w:p w14:paraId="316CDD3D" w14:textId="16C22159" w:rsidR="001E26FD" w:rsidRPr="00BD22C2" w:rsidRDefault="001E26FD" w:rsidP="001E26FD">
      <w:pPr>
        <w:pStyle w:val="TM4"/>
        <w:rPr>
          <w:rFonts w:asciiTheme="minorHAnsi" w:eastAsiaTheme="minorEastAsia" w:hAnsiTheme="minorHAnsi" w:cstheme="minorBidi"/>
          <w:noProof/>
          <w:kern w:val="2"/>
          <w:sz w:val="24"/>
          <w14:ligatures w14:val="standardContextual"/>
        </w:rPr>
      </w:pPr>
      <w:hyperlink w:anchor="_Toc165636138" w:history="1">
        <w:r w:rsidRPr="00BD22C2">
          <w:rPr>
            <w:rStyle w:val="Lienhypertexte"/>
            <w:rFonts w:eastAsia="Calibri"/>
            <w:noProof/>
            <w:color w:val="auto"/>
            <w:lang w:eastAsia="en-US"/>
          </w:rPr>
          <w:t>7.2.3</w:t>
        </w:r>
        <w:r w:rsidRPr="00BD22C2">
          <w:rPr>
            <w:rFonts w:asciiTheme="minorHAnsi" w:eastAsiaTheme="minorEastAsia" w:hAnsiTheme="minorHAnsi" w:cstheme="minorBidi"/>
            <w:noProof/>
            <w:kern w:val="2"/>
            <w:sz w:val="24"/>
            <w14:ligatures w14:val="standardContextual"/>
          </w:rPr>
          <w:tab/>
        </w:r>
        <w:r w:rsidRPr="00BD22C2">
          <w:rPr>
            <w:rStyle w:val="Lienhypertexte"/>
            <w:rFonts w:eastAsia="Calibri"/>
            <w:noProof/>
            <w:color w:val="auto"/>
            <w:lang w:eastAsia="en-US"/>
          </w:rPr>
          <w:t>Un programme d’enseignement et des apprentissages orientés par l’éducation aux droits</w:t>
        </w:r>
        <w:r w:rsidRPr="00BD22C2">
          <w:rPr>
            <w:noProof/>
            <w:webHidden/>
          </w:rPr>
          <w:tab/>
        </w:r>
        <w:r w:rsidRPr="00BD22C2">
          <w:rPr>
            <w:noProof/>
            <w:webHidden/>
          </w:rPr>
          <w:fldChar w:fldCharType="begin"/>
        </w:r>
        <w:r w:rsidRPr="00BD22C2">
          <w:rPr>
            <w:noProof/>
            <w:webHidden/>
          </w:rPr>
          <w:instrText xml:space="preserve"> PAGEREF _Toc165636138 \h </w:instrText>
        </w:r>
        <w:r w:rsidRPr="00BD22C2">
          <w:rPr>
            <w:noProof/>
            <w:webHidden/>
          </w:rPr>
        </w:r>
        <w:r w:rsidRPr="00BD22C2">
          <w:rPr>
            <w:noProof/>
            <w:webHidden/>
          </w:rPr>
          <w:fldChar w:fldCharType="separate"/>
        </w:r>
        <w:r w:rsidR="008D397D">
          <w:rPr>
            <w:noProof/>
            <w:webHidden/>
          </w:rPr>
          <w:t>90</w:t>
        </w:r>
        <w:r w:rsidRPr="00BD22C2">
          <w:rPr>
            <w:noProof/>
            <w:webHidden/>
          </w:rPr>
          <w:fldChar w:fldCharType="end"/>
        </w:r>
      </w:hyperlink>
    </w:p>
    <w:p w14:paraId="387039D0" w14:textId="20052D48" w:rsidR="001E26FD" w:rsidRPr="00BD22C2" w:rsidRDefault="001E26FD" w:rsidP="001E26FD">
      <w:pPr>
        <w:pStyle w:val="TM5"/>
        <w:tabs>
          <w:tab w:val="clear" w:pos="9350"/>
          <w:tab w:val="right" w:leader="dot" w:pos="9356"/>
        </w:tabs>
        <w:rPr>
          <w:rFonts w:asciiTheme="minorHAnsi" w:eastAsiaTheme="minorEastAsia" w:hAnsiTheme="minorHAnsi" w:cstheme="minorBidi"/>
          <w:noProof/>
          <w:kern w:val="2"/>
          <w:sz w:val="24"/>
          <w14:ligatures w14:val="standardContextual"/>
        </w:rPr>
      </w:pPr>
      <w:hyperlink w:anchor="_Toc165636139" w:history="1">
        <w:r w:rsidRPr="00BD22C2">
          <w:rPr>
            <w:rStyle w:val="Lienhypertexte"/>
            <w:noProof/>
            <w:color w:val="auto"/>
          </w:rPr>
          <w:t>A.</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Principes généraux</w:t>
        </w:r>
        <w:r w:rsidRPr="00BD22C2">
          <w:rPr>
            <w:noProof/>
            <w:webHidden/>
          </w:rPr>
          <w:tab/>
        </w:r>
        <w:r w:rsidRPr="00BD22C2">
          <w:rPr>
            <w:noProof/>
            <w:webHidden/>
          </w:rPr>
          <w:fldChar w:fldCharType="begin"/>
        </w:r>
        <w:r w:rsidRPr="00BD22C2">
          <w:rPr>
            <w:noProof/>
            <w:webHidden/>
          </w:rPr>
          <w:instrText xml:space="preserve"> PAGEREF _Toc165636139 \h </w:instrText>
        </w:r>
        <w:r w:rsidRPr="00BD22C2">
          <w:rPr>
            <w:noProof/>
            <w:webHidden/>
          </w:rPr>
        </w:r>
        <w:r w:rsidRPr="00BD22C2">
          <w:rPr>
            <w:noProof/>
            <w:webHidden/>
          </w:rPr>
          <w:fldChar w:fldCharType="separate"/>
        </w:r>
        <w:r w:rsidR="008D397D">
          <w:rPr>
            <w:noProof/>
            <w:webHidden/>
          </w:rPr>
          <w:t>90</w:t>
        </w:r>
        <w:r w:rsidRPr="00BD22C2">
          <w:rPr>
            <w:noProof/>
            <w:webHidden/>
          </w:rPr>
          <w:fldChar w:fldCharType="end"/>
        </w:r>
      </w:hyperlink>
    </w:p>
    <w:p w14:paraId="4466B36F" w14:textId="7859B876" w:rsidR="001E26FD" w:rsidRPr="00BD22C2" w:rsidRDefault="001E26FD" w:rsidP="001E26FD">
      <w:pPr>
        <w:pStyle w:val="TM5"/>
        <w:tabs>
          <w:tab w:val="clear" w:pos="9350"/>
          <w:tab w:val="right" w:leader="dot" w:pos="9356"/>
        </w:tabs>
        <w:rPr>
          <w:rStyle w:val="Lienhypertexte"/>
          <w:noProof/>
          <w:color w:val="auto"/>
        </w:rPr>
      </w:pPr>
      <w:hyperlink w:anchor="_Toc165636140" w:history="1">
        <w:r w:rsidRPr="00BD22C2">
          <w:rPr>
            <w:rStyle w:val="Lienhypertexte"/>
            <w:noProof/>
            <w:color w:val="auto"/>
          </w:rPr>
          <w:t>B.</w:t>
        </w:r>
        <w:r w:rsidRPr="00BD22C2">
          <w:rPr>
            <w:rFonts w:asciiTheme="minorHAnsi" w:eastAsiaTheme="minorEastAsia" w:hAnsiTheme="minorHAnsi" w:cstheme="minorBidi"/>
            <w:noProof/>
            <w:kern w:val="2"/>
            <w:sz w:val="24"/>
            <w14:ligatures w14:val="standardContextual"/>
          </w:rPr>
          <w:tab/>
        </w:r>
        <w:r w:rsidRPr="00BD22C2">
          <w:rPr>
            <w:rStyle w:val="Lienhypertexte"/>
            <w:noProof/>
            <w:color w:val="auto"/>
          </w:rPr>
          <w:t>L’’éducation aux droits et la prise en compte des questions relatives aux personnes trans et non binaires dans le nouveau programme de Culture et citoyenneté québécoise</w:t>
        </w:r>
        <w:r w:rsidRPr="00BD22C2">
          <w:rPr>
            <w:noProof/>
            <w:webHidden/>
          </w:rPr>
          <w:tab/>
        </w:r>
        <w:r w:rsidRPr="00BD22C2">
          <w:rPr>
            <w:noProof/>
            <w:webHidden/>
          </w:rPr>
          <w:fldChar w:fldCharType="begin"/>
        </w:r>
        <w:r w:rsidRPr="00BD22C2">
          <w:rPr>
            <w:noProof/>
            <w:webHidden/>
          </w:rPr>
          <w:instrText xml:space="preserve"> PAGEREF _Toc165636140 \h </w:instrText>
        </w:r>
        <w:r w:rsidRPr="00BD22C2">
          <w:rPr>
            <w:noProof/>
            <w:webHidden/>
          </w:rPr>
        </w:r>
        <w:r w:rsidRPr="00BD22C2">
          <w:rPr>
            <w:noProof/>
            <w:webHidden/>
          </w:rPr>
          <w:fldChar w:fldCharType="separate"/>
        </w:r>
        <w:r w:rsidR="008D397D">
          <w:rPr>
            <w:noProof/>
            <w:webHidden/>
          </w:rPr>
          <w:t>94</w:t>
        </w:r>
        <w:r w:rsidRPr="00BD22C2">
          <w:rPr>
            <w:noProof/>
            <w:webHidden/>
          </w:rPr>
          <w:fldChar w:fldCharType="end"/>
        </w:r>
      </w:hyperlink>
    </w:p>
    <w:p w14:paraId="3E95DF04" w14:textId="77777777" w:rsidR="001E26FD" w:rsidRPr="00BD22C2" w:rsidRDefault="001E26FD" w:rsidP="001E26FD">
      <w:pPr>
        <w:tabs>
          <w:tab w:val="right" w:leader="dot" w:pos="9356"/>
        </w:tabs>
        <w:spacing w:line="240" w:lineRule="auto"/>
        <w:jc w:val="left"/>
        <w:rPr>
          <w:rFonts w:eastAsiaTheme="minorEastAsia"/>
          <w:noProof/>
        </w:rPr>
      </w:pPr>
    </w:p>
    <w:p w14:paraId="32FE7F1E" w14:textId="042B5544" w:rsidR="001E26FD" w:rsidRPr="00BD22C2" w:rsidRDefault="001E26FD" w:rsidP="001E26FD">
      <w:pPr>
        <w:pStyle w:val="TM1"/>
        <w:tabs>
          <w:tab w:val="clear" w:pos="9350"/>
          <w:tab w:val="right" w:leader="dot" w:pos="9356"/>
        </w:tabs>
        <w:spacing w:after="0"/>
        <w:rPr>
          <w:rStyle w:val="Lienhypertexte"/>
          <w:noProof/>
          <w:color w:val="auto"/>
        </w:rPr>
      </w:pPr>
      <w:hyperlink w:anchor="_Toc165636141" w:history="1">
        <w:r w:rsidRPr="00BD22C2">
          <w:rPr>
            <w:rStyle w:val="Lienhypertexte"/>
            <w:rFonts w:eastAsia="Calibri"/>
            <w:noProof/>
            <w:color w:val="auto"/>
          </w:rPr>
          <w:t>Conclusion</w:t>
        </w:r>
        <w:r w:rsidRPr="00BD22C2">
          <w:rPr>
            <w:noProof/>
            <w:webHidden/>
          </w:rPr>
          <w:tab/>
        </w:r>
        <w:r w:rsidRPr="00BD22C2">
          <w:rPr>
            <w:noProof/>
            <w:webHidden/>
          </w:rPr>
          <w:fldChar w:fldCharType="begin"/>
        </w:r>
        <w:r w:rsidRPr="00BD22C2">
          <w:rPr>
            <w:noProof/>
            <w:webHidden/>
          </w:rPr>
          <w:instrText xml:space="preserve"> PAGEREF _Toc165636141 \h </w:instrText>
        </w:r>
        <w:r w:rsidRPr="00BD22C2">
          <w:rPr>
            <w:noProof/>
            <w:webHidden/>
          </w:rPr>
        </w:r>
        <w:r w:rsidRPr="00BD22C2">
          <w:rPr>
            <w:noProof/>
            <w:webHidden/>
          </w:rPr>
          <w:fldChar w:fldCharType="separate"/>
        </w:r>
        <w:r w:rsidR="008D397D">
          <w:rPr>
            <w:noProof/>
            <w:webHidden/>
          </w:rPr>
          <w:t>99</w:t>
        </w:r>
        <w:r w:rsidRPr="00BD22C2">
          <w:rPr>
            <w:noProof/>
            <w:webHidden/>
          </w:rPr>
          <w:fldChar w:fldCharType="end"/>
        </w:r>
      </w:hyperlink>
    </w:p>
    <w:p w14:paraId="18FCE5AE"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685F7AE9" w14:textId="06E9688D" w:rsidR="001E26FD" w:rsidRPr="00BD22C2" w:rsidRDefault="001E26FD" w:rsidP="001E26FD">
      <w:pPr>
        <w:pStyle w:val="TM1"/>
        <w:tabs>
          <w:tab w:val="clear" w:pos="9350"/>
          <w:tab w:val="right" w:leader="dot" w:pos="9356"/>
        </w:tabs>
        <w:spacing w:after="0"/>
        <w:rPr>
          <w:rStyle w:val="Lienhypertexte"/>
          <w:noProof/>
          <w:color w:val="auto"/>
        </w:rPr>
      </w:pPr>
      <w:hyperlink w:anchor="_Toc165636142" w:history="1">
        <w:r w:rsidRPr="00BD22C2">
          <w:rPr>
            <w:rStyle w:val="Lienhypertexte"/>
            <w:rFonts w:eastAsia="Calibri"/>
            <w:noProof/>
            <w:color w:val="auto"/>
            <w:lang w:eastAsia="en-US"/>
          </w:rPr>
          <w:t>Annexe</w:t>
        </w:r>
        <w:r w:rsidRPr="00BD22C2">
          <w:rPr>
            <w:rStyle w:val="Lienhypertexte"/>
            <w:rFonts w:eastAsia="Calibri" w:hint="eastAsia"/>
            <w:noProof/>
            <w:color w:val="auto"/>
            <w:lang w:eastAsia="en-US"/>
          </w:rPr>
          <w:t> </w:t>
        </w:r>
        <w:r w:rsidRPr="00BD22C2">
          <w:rPr>
            <w:rStyle w:val="Lienhypertexte"/>
            <w:rFonts w:eastAsia="Calibri"/>
            <w:noProof/>
            <w:color w:val="auto"/>
            <w:lang w:eastAsia="en-US"/>
          </w:rPr>
          <w:t xml:space="preserve">1 </w:t>
        </w:r>
        <w:r w:rsidRPr="00BD22C2">
          <w:rPr>
            <w:rStyle w:val="Lienhypertexte"/>
            <w:rFonts w:eastAsia="Calibri" w:hint="eastAsia"/>
            <w:noProof/>
            <w:color w:val="auto"/>
            <w:lang w:eastAsia="en-US"/>
          </w:rPr>
          <w:t>—</w:t>
        </w:r>
        <w:r w:rsidRPr="00BD22C2">
          <w:rPr>
            <w:rStyle w:val="Lienhypertexte"/>
            <w:rFonts w:eastAsia="Calibri"/>
            <w:noProof/>
            <w:color w:val="auto"/>
            <w:lang w:eastAsia="en-US"/>
          </w:rPr>
          <w:t xml:space="preserve"> Liste de documents produits par la Commission sur les droits des personnes LGBTQ+</w:t>
        </w:r>
        <w:r w:rsidRPr="00BD22C2">
          <w:rPr>
            <w:noProof/>
            <w:webHidden/>
          </w:rPr>
          <w:tab/>
        </w:r>
        <w:r w:rsidRPr="00BD22C2">
          <w:rPr>
            <w:noProof/>
            <w:webHidden/>
          </w:rPr>
          <w:fldChar w:fldCharType="begin"/>
        </w:r>
        <w:r w:rsidRPr="00BD22C2">
          <w:rPr>
            <w:noProof/>
            <w:webHidden/>
          </w:rPr>
          <w:instrText xml:space="preserve"> PAGEREF _Toc165636142 \h </w:instrText>
        </w:r>
        <w:r w:rsidRPr="00BD22C2">
          <w:rPr>
            <w:noProof/>
            <w:webHidden/>
          </w:rPr>
        </w:r>
        <w:r w:rsidRPr="00BD22C2">
          <w:rPr>
            <w:noProof/>
            <w:webHidden/>
          </w:rPr>
          <w:fldChar w:fldCharType="separate"/>
        </w:r>
        <w:r w:rsidR="008D397D">
          <w:rPr>
            <w:noProof/>
            <w:webHidden/>
          </w:rPr>
          <w:t>100</w:t>
        </w:r>
        <w:r w:rsidRPr="00BD22C2">
          <w:rPr>
            <w:noProof/>
            <w:webHidden/>
          </w:rPr>
          <w:fldChar w:fldCharType="end"/>
        </w:r>
      </w:hyperlink>
    </w:p>
    <w:p w14:paraId="44A62F33"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31FB34C1" w14:textId="52B233AC" w:rsidR="001E26FD" w:rsidRPr="00BD22C2" w:rsidRDefault="001E26FD" w:rsidP="001E26FD">
      <w:pPr>
        <w:pStyle w:val="TM1"/>
        <w:tabs>
          <w:tab w:val="clear" w:pos="9350"/>
          <w:tab w:val="right" w:leader="dot" w:pos="9356"/>
        </w:tabs>
        <w:spacing w:after="0"/>
        <w:rPr>
          <w:rStyle w:val="Lienhypertexte"/>
          <w:noProof/>
          <w:color w:val="auto"/>
        </w:rPr>
      </w:pPr>
      <w:hyperlink w:anchor="_Toc165636143" w:history="1">
        <w:r w:rsidRPr="00BD22C2">
          <w:rPr>
            <w:rStyle w:val="Lienhypertexte"/>
            <w:rFonts w:eastAsia="Calibri"/>
            <w:noProof/>
            <w:color w:val="auto"/>
            <w:lang w:eastAsia="en-US"/>
          </w:rPr>
          <w:t>Annexe</w:t>
        </w:r>
        <w:r w:rsidRPr="00BD22C2">
          <w:rPr>
            <w:rStyle w:val="Lienhypertexte"/>
            <w:rFonts w:eastAsia="Calibri" w:hint="eastAsia"/>
            <w:noProof/>
            <w:color w:val="auto"/>
            <w:lang w:eastAsia="en-US"/>
          </w:rPr>
          <w:t> </w:t>
        </w:r>
        <w:r w:rsidRPr="00BD22C2">
          <w:rPr>
            <w:rStyle w:val="Lienhypertexte"/>
            <w:rFonts w:eastAsia="Calibri"/>
            <w:noProof/>
            <w:color w:val="auto"/>
            <w:lang w:eastAsia="en-US"/>
          </w:rPr>
          <w:t xml:space="preserve">2 </w:t>
        </w:r>
        <w:r w:rsidRPr="00BD22C2">
          <w:rPr>
            <w:rStyle w:val="Lienhypertexte"/>
            <w:rFonts w:eastAsia="Calibri" w:hint="eastAsia"/>
            <w:noProof/>
            <w:color w:val="auto"/>
            <w:lang w:eastAsia="en-US"/>
          </w:rPr>
          <w:t>—</w:t>
        </w:r>
        <w:r w:rsidRPr="00BD22C2">
          <w:rPr>
            <w:rStyle w:val="Lienhypertexte"/>
            <w:rFonts w:eastAsia="Calibri"/>
            <w:noProof/>
            <w:color w:val="auto"/>
            <w:lang w:eastAsia="en-US"/>
          </w:rPr>
          <w:t xml:space="preserve"> Plaintes re</w:t>
        </w:r>
        <w:r w:rsidRPr="00BD22C2">
          <w:rPr>
            <w:rStyle w:val="Lienhypertexte"/>
            <w:rFonts w:eastAsia="Calibri" w:hint="eastAsia"/>
            <w:noProof/>
            <w:color w:val="auto"/>
            <w:lang w:eastAsia="en-US"/>
          </w:rPr>
          <w:t>ç</w:t>
        </w:r>
        <w:r w:rsidRPr="00BD22C2">
          <w:rPr>
            <w:rStyle w:val="Lienhypertexte"/>
            <w:rFonts w:eastAsia="Calibri"/>
            <w:noProof/>
            <w:color w:val="auto"/>
            <w:lang w:eastAsia="en-US"/>
          </w:rPr>
          <w:t>ues par la Commission pour discrimination sur la base de l</w:t>
        </w:r>
        <w:r w:rsidR="000277C8">
          <w:rPr>
            <w:rStyle w:val="Lienhypertexte"/>
            <w:rFonts w:eastAsia="Calibri"/>
            <w:noProof/>
            <w:color w:val="auto"/>
            <w:lang w:eastAsia="en-US"/>
          </w:rPr>
          <w:t>’</w:t>
        </w:r>
        <w:r w:rsidRPr="00BD22C2">
          <w:rPr>
            <w:rStyle w:val="Lienhypertexte"/>
            <w:rFonts w:eastAsia="Calibri"/>
            <w:noProof/>
            <w:color w:val="auto"/>
            <w:lang w:eastAsia="en-US"/>
          </w:rPr>
          <w:t>identit</w:t>
        </w:r>
        <w:r w:rsidRPr="00BD22C2">
          <w:rPr>
            <w:rStyle w:val="Lienhypertexte"/>
            <w:rFonts w:eastAsia="Calibri" w:hint="eastAsia"/>
            <w:noProof/>
            <w:color w:val="auto"/>
            <w:lang w:eastAsia="en-US"/>
          </w:rPr>
          <w:t>é</w:t>
        </w:r>
        <w:r w:rsidRPr="00BD22C2">
          <w:rPr>
            <w:rStyle w:val="Lienhypertexte"/>
            <w:rFonts w:eastAsia="Calibri"/>
            <w:noProof/>
            <w:color w:val="auto"/>
            <w:lang w:eastAsia="en-US"/>
          </w:rPr>
          <w:t xml:space="preserve"> ou l</w:t>
        </w:r>
        <w:r w:rsidR="000277C8">
          <w:rPr>
            <w:rStyle w:val="Lienhypertexte"/>
            <w:rFonts w:eastAsia="Calibri"/>
            <w:noProof/>
            <w:color w:val="auto"/>
            <w:lang w:eastAsia="en-US"/>
          </w:rPr>
          <w:t>’</w:t>
        </w:r>
        <w:r w:rsidRPr="00BD22C2">
          <w:rPr>
            <w:rStyle w:val="Lienhypertexte"/>
            <w:rFonts w:eastAsia="Calibri"/>
            <w:noProof/>
            <w:color w:val="auto"/>
            <w:lang w:eastAsia="en-US"/>
          </w:rPr>
          <w:t>expression de genre</w:t>
        </w:r>
        <w:r w:rsidRPr="00BD22C2">
          <w:rPr>
            <w:noProof/>
            <w:webHidden/>
          </w:rPr>
          <w:tab/>
        </w:r>
        <w:r w:rsidRPr="00BD22C2">
          <w:rPr>
            <w:noProof/>
            <w:webHidden/>
          </w:rPr>
          <w:fldChar w:fldCharType="begin"/>
        </w:r>
        <w:r w:rsidRPr="00BD22C2">
          <w:rPr>
            <w:noProof/>
            <w:webHidden/>
          </w:rPr>
          <w:instrText xml:space="preserve"> PAGEREF _Toc165636143 \h </w:instrText>
        </w:r>
        <w:r w:rsidRPr="00BD22C2">
          <w:rPr>
            <w:noProof/>
            <w:webHidden/>
          </w:rPr>
        </w:r>
        <w:r w:rsidRPr="00BD22C2">
          <w:rPr>
            <w:noProof/>
            <w:webHidden/>
          </w:rPr>
          <w:fldChar w:fldCharType="separate"/>
        </w:r>
        <w:r w:rsidR="008D397D">
          <w:rPr>
            <w:noProof/>
            <w:webHidden/>
          </w:rPr>
          <w:t>102</w:t>
        </w:r>
        <w:r w:rsidRPr="00BD22C2">
          <w:rPr>
            <w:noProof/>
            <w:webHidden/>
          </w:rPr>
          <w:fldChar w:fldCharType="end"/>
        </w:r>
      </w:hyperlink>
    </w:p>
    <w:p w14:paraId="2DD759EC" w14:textId="77777777" w:rsidR="001E26FD" w:rsidRPr="00BD22C2" w:rsidRDefault="001E26FD" w:rsidP="001E26FD">
      <w:pPr>
        <w:pStyle w:val="Paragraphe"/>
        <w:tabs>
          <w:tab w:val="right" w:leader="dot" w:pos="9356"/>
        </w:tabs>
        <w:spacing w:before="0" w:after="0" w:line="240" w:lineRule="auto"/>
        <w:rPr>
          <w:rFonts w:eastAsiaTheme="minorEastAsia"/>
          <w:noProof/>
          <w:color w:val="auto"/>
          <w:lang w:val="fr-CA"/>
        </w:rPr>
      </w:pPr>
    </w:p>
    <w:p w14:paraId="6FD707B2" w14:textId="4115EE6F" w:rsidR="00C10BC8" w:rsidRPr="00BD22C2" w:rsidRDefault="001E26FD" w:rsidP="001E26FD">
      <w:pPr>
        <w:pStyle w:val="TM1"/>
        <w:tabs>
          <w:tab w:val="clear" w:pos="9350"/>
          <w:tab w:val="right" w:leader="dot" w:pos="9356"/>
        </w:tabs>
        <w:spacing w:after="0"/>
        <w:rPr>
          <w:rFonts w:eastAsia="Calibri"/>
        </w:rPr>
        <w:sectPr w:rsidR="00C10BC8" w:rsidRPr="00BD22C2" w:rsidSect="00C25E8C">
          <w:headerReference w:type="even" r:id="rId31"/>
          <w:headerReference w:type="default" r:id="rId32"/>
          <w:footerReference w:type="even" r:id="rId33"/>
          <w:headerReference w:type="first" r:id="rId34"/>
          <w:footerReference w:type="first" r:id="rId35"/>
          <w:type w:val="evenPage"/>
          <w:pgSz w:w="12240" w:h="15840" w:code="1"/>
          <w:pgMar w:top="1872" w:right="1440" w:bottom="1440" w:left="1440" w:header="706" w:footer="706" w:gutter="0"/>
          <w:pgNumType w:start="1"/>
          <w:cols w:space="708"/>
          <w:titlePg/>
          <w:docGrid w:linePitch="360"/>
        </w:sectPr>
      </w:pPr>
      <w:hyperlink w:anchor="_Toc165636144" w:history="1">
        <w:r w:rsidRPr="00BD22C2">
          <w:rPr>
            <w:rStyle w:val="Lienhypertexte"/>
            <w:rFonts w:eastAsia="Calibri"/>
            <w:noProof/>
            <w:color w:val="auto"/>
            <w:lang w:eastAsia="en-US"/>
          </w:rPr>
          <w:t>R</w:t>
        </w:r>
        <w:r w:rsidRPr="00BD22C2">
          <w:rPr>
            <w:rStyle w:val="Lienhypertexte"/>
            <w:rFonts w:eastAsia="Calibri" w:hint="eastAsia"/>
            <w:noProof/>
            <w:color w:val="auto"/>
            <w:lang w:eastAsia="en-US"/>
          </w:rPr>
          <w:t>é</w:t>
        </w:r>
        <w:r w:rsidRPr="00BD22C2">
          <w:rPr>
            <w:rStyle w:val="Lienhypertexte"/>
            <w:rFonts w:eastAsia="Calibri"/>
            <w:noProof/>
            <w:color w:val="auto"/>
            <w:lang w:eastAsia="en-US"/>
          </w:rPr>
          <w:t>F</w:t>
        </w:r>
        <w:r w:rsidRPr="00BD22C2">
          <w:rPr>
            <w:rStyle w:val="Lienhypertexte"/>
            <w:rFonts w:eastAsia="Calibri" w:hint="eastAsia"/>
            <w:noProof/>
            <w:color w:val="auto"/>
            <w:lang w:eastAsia="en-US"/>
          </w:rPr>
          <w:t>é</w:t>
        </w:r>
        <w:r w:rsidRPr="00BD22C2">
          <w:rPr>
            <w:rStyle w:val="Lienhypertexte"/>
            <w:rFonts w:eastAsia="Calibri"/>
            <w:noProof/>
            <w:color w:val="auto"/>
            <w:lang w:eastAsia="en-US"/>
          </w:rPr>
          <w:t>rences</w:t>
        </w:r>
        <w:r w:rsidRPr="00BD22C2">
          <w:rPr>
            <w:noProof/>
            <w:webHidden/>
          </w:rPr>
          <w:tab/>
        </w:r>
        <w:r w:rsidRPr="00BD22C2">
          <w:rPr>
            <w:noProof/>
            <w:webHidden/>
          </w:rPr>
          <w:fldChar w:fldCharType="begin"/>
        </w:r>
        <w:r w:rsidRPr="00BD22C2">
          <w:rPr>
            <w:noProof/>
            <w:webHidden/>
          </w:rPr>
          <w:instrText xml:space="preserve"> PAGEREF _Toc165636144 \h </w:instrText>
        </w:r>
        <w:r w:rsidRPr="00BD22C2">
          <w:rPr>
            <w:noProof/>
            <w:webHidden/>
          </w:rPr>
        </w:r>
        <w:r w:rsidRPr="00BD22C2">
          <w:rPr>
            <w:noProof/>
            <w:webHidden/>
          </w:rPr>
          <w:fldChar w:fldCharType="separate"/>
        </w:r>
        <w:r w:rsidR="008D397D">
          <w:rPr>
            <w:noProof/>
            <w:webHidden/>
          </w:rPr>
          <w:t>A</w:t>
        </w:r>
        <w:r w:rsidRPr="00BD22C2">
          <w:rPr>
            <w:noProof/>
            <w:webHidden/>
          </w:rPr>
          <w:fldChar w:fldCharType="end"/>
        </w:r>
      </w:hyperlink>
      <w:r w:rsidRPr="00BD22C2">
        <w:rPr>
          <w:rFonts w:eastAsia="Calibri" w:cs="Arial"/>
          <w:sz w:val="20"/>
          <w:szCs w:val="20"/>
          <w:lang w:eastAsia="en-US"/>
        </w:rPr>
        <w:fldChar w:fldCharType="end"/>
      </w:r>
    </w:p>
    <w:p w14:paraId="2CDBDF9B" w14:textId="19DF849B" w:rsidR="00A12030" w:rsidRPr="00F277D5" w:rsidRDefault="00100038" w:rsidP="00005CCB">
      <w:pPr>
        <w:pStyle w:val="Titre"/>
        <w:rPr>
          <w:rFonts w:eastAsia="Calibri"/>
          <w:lang w:eastAsia="en-US"/>
        </w:rPr>
      </w:pPr>
      <w:bookmarkStart w:id="1" w:name="_Toc165301006"/>
      <w:bookmarkStart w:id="2" w:name="_Toc165636089"/>
      <w:bookmarkStart w:id="3" w:name="_Toc42091623"/>
      <w:bookmarkStart w:id="4" w:name="_Toc98163891"/>
      <w:r w:rsidRPr="006515B0">
        <w:rPr>
          <w:rFonts w:eastAsia="Calibri"/>
          <w:lang w:eastAsia="en-US"/>
        </w:rPr>
        <w:lastRenderedPageBreak/>
        <w:t>S</w:t>
      </w:r>
      <w:r w:rsidR="00AA391F" w:rsidRPr="006515B0">
        <w:rPr>
          <w:rFonts w:eastAsia="Calibri"/>
          <w:lang w:eastAsia="en-US"/>
        </w:rPr>
        <w:t>ommaire</w:t>
      </w:r>
      <w:bookmarkEnd w:id="1"/>
      <w:bookmarkEnd w:id="2"/>
      <w:r w:rsidR="00B007E4" w:rsidRPr="006515B0">
        <w:rPr>
          <w:rFonts w:eastAsia="Calibri"/>
          <w:lang w:eastAsia="en-US"/>
        </w:rPr>
        <w:t xml:space="preserve"> et liste des recommandations</w:t>
      </w:r>
    </w:p>
    <w:p w14:paraId="3FF7B824" w14:textId="6C76CEFE" w:rsidR="00A12030" w:rsidRPr="00BD22C2" w:rsidRDefault="002832E4" w:rsidP="00100038">
      <w:pPr>
        <w:pStyle w:val="Paragraphe"/>
        <w:rPr>
          <w:rFonts w:eastAsia="Calibri"/>
          <w:lang w:val="fr-CA" w:eastAsia="en-US"/>
        </w:rPr>
      </w:pPr>
      <w:r w:rsidRPr="00BD22C2">
        <w:rPr>
          <w:rFonts w:eastAsia="Calibri"/>
          <w:lang w:val="fr-CA" w:eastAsia="en-US"/>
        </w:rPr>
        <w:t>Au cours de ses près de 50</w:t>
      </w:r>
      <w:r w:rsidR="009D3E22">
        <w:rPr>
          <w:rFonts w:eastAsia="Calibri"/>
          <w:lang w:val="fr-CA" w:eastAsia="en-US"/>
        </w:rPr>
        <w:t> </w:t>
      </w:r>
      <w:r w:rsidRPr="00BD22C2">
        <w:rPr>
          <w:rFonts w:eastAsia="Calibri"/>
          <w:lang w:val="fr-CA" w:eastAsia="en-US"/>
        </w:rPr>
        <w:t xml:space="preserve">ans d’histoire, la Commission </w:t>
      </w:r>
      <w:r w:rsidR="00F12DB0" w:rsidRPr="00BD22C2">
        <w:rPr>
          <w:rFonts w:eastAsia="Calibri"/>
          <w:lang w:val="fr-CA" w:eastAsia="en-US"/>
        </w:rPr>
        <w:t xml:space="preserve">a </w:t>
      </w:r>
      <w:r w:rsidR="00222093" w:rsidRPr="00BD22C2">
        <w:rPr>
          <w:rFonts w:eastAsia="Calibri"/>
          <w:lang w:val="fr-CA" w:eastAsia="en-US"/>
        </w:rPr>
        <w:t>joué un rôle essentiel dans la reconnaissance des droits des personnes LGBTQ+ au Québec</w:t>
      </w:r>
      <w:r w:rsidR="006E0E11" w:rsidRPr="00BD22C2">
        <w:rPr>
          <w:rFonts w:eastAsia="Calibri"/>
          <w:lang w:val="fr-CA" w:eastAsia="en-US"/>
        </w:rPr>
        <w:t>.</w:t>
      </w:r>
      <w:r w:rsidR="00740815" w:rsidRPr="00BD22C2">
        <w:rPr>
          <w:rFonts w:eastAsia="Calibri"/>
          <w:lang w:val="fr-CA" w:eastAsia="en-US"/>
        </w:rPr>
        <w:t xml:space="preserve"> Le présent</w:t>
      </w:r>
      <w:r w:rsidR="00293A1F" w:rsidRPr="00BD22C2">
        <w:rPr>
          <w:rFonts w:eastAsia="Calibri"/>
          <w:lang w:val="fr-CA" w:eastAsia="en-US"/>
        </w:rPr>
        <w:t xml:space="preserve"> mémoire de la Commission à l’adresse du Comité de sages sur l’identité de genre </w:t>
      </w:r>
      <w:r w:rsidR="00162791" w:rsidRPr="00BD22C2">
        <w:rPr>
          <w:rFonts w:eastAsia="Calibri"/>
          <w:lang w:val="fr-CA" w:eastAsia="en-US"/>
        </w:rPr>
        <w:t xml:space="preserve">est </w:t>
      </w:r>
      <w:r w:rsidR="00740815" w:rsidRPr="00BD22C2">
        <w:rPr>
          <w:rFonts w:eastAsia="Calibri"/>
          <w:lang w:val="fr-CA" w:eastAsia="en-US"/>
        </w:rPr>
        <w:t>cependant le premier document</w:t>
      </w:r>
      <w:r w:rsidR="003A7137" w:rsidRPr="00BD22C2">
        <w:rPr>
          <w:rFonts w:eastAsia="Calibri"/>
          <w:lang w:val="fr-CA" w:eastAsia="en-US"/>
        </w:rPr>
        <w:t xml:space="preserve"> d’ampleur</w:t>
      </w:r>
      <w:r w:rsidR="00740815" w:rsidRPr="00BD22C2">
        <w:rPr>
          <w:rFonts w:eastAsia="Calibri"/>
          <w:lang w:val="fr-CA" w:eastAsia="en-US"/>
        </w:rPr>
        <w:t xml:space="preserve"> de la Commission </w:t>
      </w:r>
      <w:r w:rsidR="00CB64CE" w:rsidRPr="00BD22C2">
        <w:rPr>
          <w:rFonts w:eastAsia="Calibri"/>
          <w:lang w:val="fr-CA" w:eastAsia="en-US"/>
        </w:rPr>
        <w:t xml:space="preserve">consacré </w:t>
      </w:r>
      <w:r w:rsidR="00026C13" w:rsidRPr="00BD22C2">
        <w:rPr>
          <w:rFonts w:eastAsia="Calibri"/>
          <w:lang w:val="fr-CA" w:eastAsia="en-US"/>
        </w:rPr>
        <w:t xml:space="preserve">exclusivement </w:t>
      </w:r>
      <w:r w:rsidR="00CB64CE" w:rsidRPr="00BD22C2">
        <w:rPr>
          <w:rFonts w:eastAsia="Calibri"/>
          <w:lang w:val="fr-CA" w:eastAsia="en-US"/>
        </w:rPr>
        <w:t>aux enjeux de droits concernant spécifiquement les personnes trans et non binaires</w:t>
      </w:r>
      <w:r w:rsidR="00F32C47" w:rsidRPr="00BD22C2">
        <w:rPr>
          <w:rFonts w:eastAsia="Calibri"/>
          <w:lang w:val="fr-CA" w:eastAsia="en-US"/>
        </w:rPr>
        <w:t xml:space="preserve"> dans différents domaines de leur vie.</w:t>
      </w:r>
      <w:r w:rsidR="00743896" w:rsidRPr="00BD22C2">
        <w:rPr>
          <w:rFonts w:eastAsia="Calibri"/>
          <w:lang w:val="fr-CA" w:eastAsia="en-US"/>
        </w:rPr>
        <w:t xml:space="preserve"> </w:t>
      </w:r>
      <w:r w:rsidR="00EA675B" w:rsidRPr="00BD22C2">
        <w:rPr>
          <w:rFonts w:eastAsia="Calibri"/>
          <w:lang w:val="fr-CA" w:eastAsia="en-US"/>
        </w:rPr>
        <w:t>Ce mémoire est</w:t>
      </w:r>
      <w:r w:rsidR="007D77CA" w:rsidRPr="00BD22C2">
        <w:rPr>
          <w:rFonts w:eastAsia="Calibri"/>
          <w:lang w:val="fr-CA" w:eastAsia="en-US"/>
        </w:rPr>
        <w:t xml:space="preserve"> l’occasion pour la Commission </w:t>
      </w:r>
      <w:r w:rsidR="00EA675B" w:rsidRPr="00BD22C2">
        <w:rPr>
          <w:rFonts w:eastAsia="Calibri"/>
          <w:lang w:val="fr-CA" w:eastAsia="en-US"/>
        </w:rPr>
        <w:t xml:space="preserve">de </w:t>
      </w:r>
      <w:r w:rsidR="00774005" w:rsidRPr="00BD22C2">
        <w:rPr>
          <w:rFonts w:eastAsia="Calibri"/>
          <w:lang w:val="fr-CA" w:eastAsia="en-US"/>
        </w:rPr>
        <w:t>prendre acte des avancées encore relativement récentes dans la reconnaissance des droits de ces personnes, mais aussi</w:t>
      </w:r>
      <w:r w:rsidR="004B5AF1" w:rsidRPr="00BD22C2">
        <w:rPr>
          <w:rFonts w:eastAsia="Calibri"/>
          <w:lang w:val="fr-CA" w:eastAsia="en-US"/>
        </w:rPr>
        <w:t xml:space="preserve"> </w:t>
      </w:r>
      <w:r w:rsidR="004000A5" w:rsidRPr="00BD22C2">
        <w:rPr>
          <w:rFonts w:eastAsia="Calibri"/>
          <w:lang w:val="fr-CA" w:eastAsia="en-US"/>
        </w:rPr>
        <w:t>des violations de droits</w:t>
      </w:r>
      <w:r w:rsidR="00387FBF" w:rsidRPr="00BD22C2">
        <w:rPr>
          <w:rFonts w:eastAsia="Calibri"/>
          <w:lang w:val="fr-CA" w:eastAsia="en-US"/>
        </w:rPr>
        <w:t xml:space="preserve"> </w:t>
      </w:r>
      <w:r w:rsidR="004000A5" w:rsidRPr="00BD22C2">
        <w:rPr>
          <w:rFonts w:eastAsia="Calibri"/>
          <w:lang w:val="fr-CA" w:eastAsia="en-US"/>
        </w:rPr>
        <w:t>auxquelles elles sont toujours confrontées au quotidien</w:t>
      </w:r>
      <w:r w:rsidR="004B5AF1" w:rsidRPr="00BD22C2">
        <w:rPr>
          <w:rFonts w:eastAsia="Calibri"/>
          <w:lang w:val="fr-CA" w:eastAsia="en-US"/>
        </w:rPr>
        <w:t xml:space="preserve">, </w:t>
      </w:r>
      <w:r w:rsidR="00075F36" w:rsidRPr="00BD22C2">
        <w:rPr>
          <w:rFonts w:eastAsia="Calibri"/>
          <w:lang w:val="fr-CA" w:eastAsia="en-US"/>
        </w:rPr>
        <w:t>par exemple</w:t>
      </w:r>
      <w:r w:rsidR="007D5CA4" w:rsidRPr="00BD22C2">
        <w:rPr>
          <w:rFonts w:eastAsia="Calibri"/>
          <w:lang w:val="fr-CA" w:eastAsia="en-US"/>
        </w:rPr>
        <w:t xml:space="preserve"> en regard de la discrimination fondée sur </w:t>
      </w:r>
      <w:r w:rsidR="00B3033C" w:rsidRPr="00BD22C2">
        <w:rPr>
          <w:rFonts w:eastAsia="Calibri"/>
          <w:lang w:val="fr-CA" w:eastAsia="en-US"/>
        </w:rPr>
        <w:t>le motif</w:t>
      </w:r>
      <w:r w:rsidR="007D5CA4" w:rsidRPr="00BD22C2">
        <w:rPr>
          <w:rFonts w:eastAsia="Calibri"/>
          <w:lang w:val="fr-CA" w:eastAsia="en-US"/>
        </w:rPr>
        <w:t xml:space="preserve"> identité </w:t>
      </w:r>
      <w:r w:rsidR="00D46CC5" w:rsidRPr="00BD22C2">
        <w:rPr>
          <w:rFonts w:eastAsia="Calibri"/>
          <w:lang w:val="fr-CA" w:eastAsia="en-US"/>
        </w:rPr>
        <w:t>ou</w:t>
      </w:r>
      <w:r w:rsidR="007D5CA4" w:rsidRPr="00BD22C2">
        <w:rPr>
          <w:rFonts w:eastAsia="Calibri"/>
          <w:lang w:val="fr-CA" w:eastAsia="en-US"/>
        </w:rPr>
        <w:t xml:space="preserve"> expression de genre</w:t>
      </w:r>
      <w:r w:rsidR="00B3033C" w:rsidRPr="00BD22C2">
        <w:rPr>
          <w:rFonts w:eastAsia="Calibri"/>
          <w:lang w:val="fr-CA" w:eastAsia="en-US"/>
        </w:rPr>
        <w:t xml:space="preserve"> ou </w:t>
      </w:r>
      <w:r w:rsidR="00075F36" w:rsidRPr="00BD22C2">
        <w:rPr>
          <w:rFonts w:eastAsia="Calibri"/>
          <w:lang w:val="fr-CA" w:eastAsia="en-US"/>
        </w:rPr>
        <w:t>sur le croisement</w:t>
      </w:r>
      <w:r w:rsidR="00B3033C" w:rsidRPr="00BD22C2">
        <w:rPr>
          <w:rFonts w:eastAsia="Calibri"/>
          <w:lang w:val="fr-CA" w:eastAsia="en-US"/>
        </w:rPr>
        <w:t xml:space="preserve"> entre celui-ci et d’autres</w:t>
      </w:r>
      <w:r w:rsidR="00075F36" w:rsidRPr="00BD22C2">
        <w:rPr>
          <w:rFonts w:eastAsia="Calibri"/>
          <w:lang w:val="fr-CA" w:eastAsia="en-US"/>
        </w:rPr>
        <w:t xml:space="preserve"> motifs de discrimination comme le sexe, la «</w:t>
      </w:r>
      <w:r w:rsidR="00444FEB">
        <w:rPr>
          <w:rFonts w:eastAsia="Calibri"/>
          <w:lang w:val="fr-CA" w:eastAsia="en-US"/>
        </w:rPr>
        <w:t> </w:t>
      </w:r>
      <w:r w:rsidR="00075F36" w:rsidRPr="00BD22C2">
        <w:rPr>
          <w:rFonts w:eastAsia="Calibri"/>
          <w:lang w:val="fr-CA" w:eastAsia="en-US"/>
        </w:rPr>
        <w:t>race</w:t>
      </w:r>
      <w:r w:rsidR="00444FEB">
        <w:rPr>
          <w:rFonts w:eastAsia="Calibri"/>
          <w:lang w:val="fr-CA" w:eastAsia="en-US"/>
        </w:rPr>
        <w:t> </w:t>
      </w:r>
      <w:r w:rsidR="00075F36" w:rsidRPr="00BD22C2">
        <w:rPr>
          <w:rFonts w:eastAsia="Calibri"/>
          <w:lang w:val="fr-CA" w:eastAsia="en-US"/>
        </w:rPr>
        <w:t>», l’orientation sexuelle et la condition sociale</w:t>
      </w:r>
      <w:r w:rsidR="00A75050" w:rsidRPr="00BD22C2">
        <w:rPr>
          <w:rFonts w:eastAsia="Calibri"/>
          <w:lang w:val="fr-CA" w:eastAsia="en-US"/>
        </w:rPr>
        <w:t xml:space="preserve">. </w:t>
      </w:r>
      <w:r w:rsidR="0005620D" w:rsidRPr="00BD22C2">
        <w:rPr>
          <w:rFonts w:eastAsia="Calibri"/>
          <w:lang w:val="fr-CA" w:eastAsia="en-US"/>
        </w:rPr>
        <w:t>L</w:t>
      </w:r>
      <w:r w:rsidR="00B656F0" w:rsidRPr="00BD22C2">
        <w:rPr>
          <w:rFonts w:eastAsia="Calibri"/>
          <w:lang w:val="fr-CA" w:eastAsia="en-US"/>
        </w:rPr>
        <w:t>a Commission</w:t>
      </w:r>
      <w:r w:rsidR="00A75050" w:rsidRPr="00BD22C2">
        <w:rPr>
          <w:rFonts w:eastAsia="Calibri"/>
          <w:lang w:val="fr-CA" w:eastAsia="en-US"/>
        </w:rPr>
        <w:t xml:space="preserve"> s’inquiète également des</w:t>
      </w:r>
      <w:r w:rsidR="004B5AF1" w:rsidRPr="00BD22C2">
        <w:rPr>
          <w:rFonts w:eastAsia="Calibri"/>
          <w:lang w:val="fr-CA" w:eastAsia="en-US"/>
        </w:rPr>
        <w:t xml:space="preserve"> reculs </w:t>
      </w:r>
      <w:r w:rsidR="00C36EC6" w:rsidRPr="00BD22C2">
        <w:rPr>
          <w:rFonts w:eastAsia="Calibri"/>
          <w:lang w:val="fr-CA" w:eastAsia="en-US"/>
        </w:rPr>
        <w:t>dans la reconnaissance des droits de ces personnes</w:t>
      </w:r>
      <w:r w:rsidR="004B5AF1" w:rsidRPr="00BD22C2">
        <w:rPr>
          <w:rFonts w:eastAsia="Calibri"/>
          <w:lang w:val="fr-CA" w:eastAsia="en-US"/>
        </w:rPr>
        <w:t xml:space="preserve"> qui surviennent dans différents contextes en Amérique du Nord et en Europe</w:t>
      </w:r>
      <w:r w:rsidR="004000A5" w:rsidRPr="00BD22C2">
        <w:rPr>
          <w:rFonts w:eastAsia="Calibri"/>
          <w:lang w:val="fr-CA" w:eastAsia="en-US"/>
        </w:rPr>
        <w:t xml:space="preserve">. C’est pourquoi </w:t>
      </w:r>
      <w:r w:rsidR="00C36EC6" w:rsidRPr="00BD22C2">
        <w:rPr>
          <w:rFonts w:eastAsia="Calibri"/>
          <w:lang w:val="fr-CA" w:eastAsia="en-US"/>
        </w:rPr>
        <w:t>elle</w:t>
      </w:r>
      <w:r w:rsidR="004000A5" w:rsidRPr="00BD22C2">
        <w:rPr>
          <w:rFonts w:eastAsia="Calibri"/>
          <w:lang w:val="fr-CA" w:eastAsia="en-US"/>
        </w:rPr>
        <w:t xml:space="preserve"> </w:t>
      </w:r>
      <w:r w:rsidR="007D77CA" w:rsidRPr="00BD22C2">
        <w:rPr>
          <w:rFonts w:eastAsia="Calibri"/>
          <w:lang w:val="fr-CA" w:eastAsia="en-US"/>
        </w:rPr>
        <w:t xml:space="preserve">invite le Comité de sages et le gouvernement </w:t>
      </w:r>
      <w:r w:rsidR="003A63DD" w:rsidRPr="00BD22C2">
        <w:rPr>
          <w:rFonts w:eastAsia="Calibri"/>
          <w:lang w:val="fr-CA" w:eastAsia="en-US"/>
        </w:rPr>
        <w:t xml:space="preserve">à réaffirmer l’engagement du Québec en faveur de la réalisation des droits </w:t>
      </w:r>
      <w:r w:rsidR="00007FD2" w:rsidRPr="00BD22C2">
        <w:rPr>
          <w:rFonts w:eastAsia="Calibri"/>
          <w:lang w:val="fr-CA" w:eastAsia="en-US"/>
        </w:rPr>
        <w:t>des personnes trans et non binaires</w:t>
      </w:r>
      <w:r w:rsidR="009A2417" w:rsidRPr="00BD22C2">
        <w:rPr>
          <w:rFonts w:eastAsia="Calibri"/>
          <w:lang w:val="fr-CA" w:eastAsia="en-US"/>
        </w:rPr>
        <w:t xml:space="preserve"> par </w:t>
      </w:r>
      <w:r w:rsidR="00723D1F" w:rsidRPr="00BD22C2">
        <w:rPr>
          <w:rFonts w:eastAsia="Calibri"/>
          <w:lang w:val="fr-CA" w:eastAsia="en-US"/>
        </w:rPr>
        <w:t>l’adoption d’une nouvelle politique gouvernementale</w:t>
      </w:r>
      <w:r w:rsidR="00EB54C1" w:rsidRPr="00BD22C2">
        <w:rPr>
          <w:rFonts w:eastAsia="Calibri"/>
          <w:lang w:val="fr-CA" w:eastAsia="en-US"/>
        </w:rPr>
        <w:t xml:space="preserve"> </w:t>
      </w:r>
      <w:r w:rsidR="00AA6839" w:rsidRPr="00BD22C2">
        <w:rPr>
          <w:rFonts w:eastAsia="Calibri"/>
          <w:lang w:val="fr-CA" w:eastAsia="en-US"/>
        </w:rPr>
        <w:t xml:space="preserve">de lutte </w:t>
      </w:r>
      <w:r w:rsidR="00EB54C1" w:rsidRPr="00BD22C2">
        <w:rPr>
          <w:rFonts w:eastAsia="Calibri"/>
          <w:lang w:val="fr-CA" w:eastAsia="en-US"/>
        </w:rPr>
        <w:t>contre l’homophobie et la transphobie. Celle-ci contribuerait à</w:t>
      </w:r>
      <w:r w:rsidR="00DC06AB" w:rsidRPr="00BD22C2">
        <w:rPr>
          <w:rFonts w:eastAsia="Calibri"/>
          <w:lang w:val="fr-CA" w:eastAsia="en-US"/>
        </w:rPr>
        <w:t xml:space="preserve"> assurer</w:t>
      </w:r>
      <w:r w:rsidR="00B30471" w:rsidRPr="00BD22C2">
        <w:rPr>
          <w:rFonts w:eastAsia="Calibri"/>
          <w:lang w:val="fr-CA" w:eastAsia="en-US"/>
        </w:rPr>
        <w:t xml:space="preserve"> la cohérence et la pérennité de </w:t>
      </w:r>
      <w:r w:rsidR="00723D1F" w:rsidRPr="00BD22C2">
        <w:rPr>
          <w:rFonts w:eastAsia="Calibri"/>
          <w:lang w:val="fr-CA" w:eastAsia="en-US"/>
        </w:rPr>
        <w:t xml:space="preserve">l’action </w:t>
      </w:r>
      <w:r w:rsidR="00B30471" w:rsidRPr="00BD22C2">
        <w:rPr>
          <w:rFonts w:eastAsia="Calibri"/>
          <w:lang w:val="fr-CA" w:eastAsia="en-US"/>
        </w:rPr>
        <w:t>gouvernementale</w:t>
      </w:r>
      <w:r w:rsidR="00723D1F" w:rsidRPr="00BD22C2">
        <w:rPr>
          <w:rFonts w:eastAsia="Calibri"/>
          <w:lang w:val="fr-CA" w:eastAsia="en-US"/>
        </w:rPr>
        <w:t xml:space="preserve"> </w:t>
      </w:r>
      <w:r w:rsidR="00DC06AB" w:rsidRPr="00BD22C2">
        <w:rPr>
          <w:rFonts w:eastAsia="Calibri"/>
          <w:lang w:val="fr-CA" w:eastAsia="en-US"/>
        </w:rPr>
        <w:t>en matière de</w:t>
      </w:r>
      <w:r w:rsidR="008A5EC8" w:rsidRPr="00BD22C2">
        <w:rPr>
          <w:rFonts w:eastAsia="Calibri"/>
          <w:lang w:val="fr-CA" w:eastAsia="en-US"/>
        </w:rPr>
        <w:t xml:space="preserve"> réalisation </w:t>
      </w:r>
      <w:r w:rsidR="00B30471" w:rsidRPr="00BD22C2">
        <w:rPr>
          <w:rFonts w:eastAsia="Calibri"/>
          <w:lang w:val="fr-CA" w:eastAsia="en-US"/>
        </w:rPr>
        <w:t>des droits de toutes les personnes LGBTQ+</w:t>
      </w:r>
      <w:r w:rsidR="0043257E" w:rsidRPr="00BD22C2">
        <w:rPr>
          <w:rFonts w:eastAsia="Calibri"/>
          <w:lang w:val="fr-CA" w:eastAsia="en-US"/>
        </w:rPr>
        <w:t xml:space="preserve"> garantis par la Charte des droits et libertés de la personne, loi </w:t>
      </w:r>
      <w:r w:rsidR="00D96A1B" w:rsidRPr="00BD22C2">
        <w:rPr>
          <w:rFonts w:eastAsia="Calibri"/>
          <w:lang w:val="fr-CA" w:eastAsia="en-US"/>
        </w:rPr>
        <w:t>quasi</w:t>
      </w:r>
      <w:r w:rsidR="00190E76" w:rsidRPr="00BD22C2">
        <w:rPr>
          <w:rFonts w:eastAsia="Calibri"/>
          <w:lang w:val="fr-CA" w:eastAsia="en-US"/>
        </w:rPr>
        <w:t xml:space="preserve"> </w:t>
      </w:r>
      <w:r w:rsidR="00D96A1B" w:rsidRPr="00BD22C2">
        <w:rPr>
          <w:rFonts w:eastAsia="Calibri"/>
          <w:lang w:val="fr-CA" w:eastAsia="en-US"/>
        </w:rPr>
        <w:t>constitutionnelle du Québec</w:t>
      </w:r>
      <w:r w:rsidR="00B30471" w:rsidRPr="00BD22C2">
        <w:rPr>
          <w:rFonts w:eastAsia="Calibri"/>
          <w:lang w:val="fr-CA" w:eastAsia="en-US"/>
        </w:rPr>
        <w:t>.</w:t>
      </w:r>
    </w:p>
    <w:p w14:paraId="2EFFCBE6" w14:textId="118C0537" w:rsidR="0093666F" w:rsidRPr="00BD22C2" w:rsidRDefault="00B31720" w:rsidP="00A12030">
      <w:pPr>
        <w:pStyle w:val="Paragraphe"/>
        <w:rPr>
          <w:rFonts w:eastAsia="Calibri"/>
          <w:lang w:val="fr-CA" w:eastAsia="en-US"/>
        </w:rPr>
      </w:pPr>
      <w:r w:rsidRPr="00BD22C2">
        <w:rPr>
          <w:rFonts w:eastAsia="Calibri"/>
          <w:lang w:val="fr-CA" w:eastAsia="en-US"/>
        </w:rPr>
        <w:t>La première partie d</w:t>
      </w:r>
      <w:r w:rsidR="00EB6919" w:rsidRPr="00BD22C2">
        <w:rPr>
          <w:rFonts w:eastAsia="Calibri"/>
          <w:lang w:val="fr-CA" w:eastAsia="en-US"/>
        </w:rPr>
        <w:t xml:space="preserve">u mémoire fournit quelques points de repère </w:t>
      </w:r>
      <w:r w:rsidR="0093666F" w:rsidRPr="00BD22C2">
        <w:rPr>
          <w:rFonts w:eastAsia="Calibri"/>
          <w:lang w:val="fr-CA" w:eastAsia="en-US"/>
        </w:rPr>
        <w:t>– historiques, terminologiques et statistiques –</w:t>
      </w:r>
      <w:r w:rsidR="00B121E7" w:rsidRPr="00BD22C2">
        <w:rPr>
          <w:rFonts w:eastAsia="Calibri"/>
          <w:lang w:val="fr-CA" w:eastAsia="en-US"/>
        </w:rPr>
        <w:t> </w:t>
      </w:r>
      <w:r w:rsidR="006C5A3D" w:rsidRPr="00BD22C2">
        <w:rPr>
          <w:rFonts w:eastAsia="Calibri"/>
          <w:lang w:val="fr-CA" w:eastAsia="en-US"/>
        </w:rPr>
        <w:t xml:space="preserve">qui permettent de </w:t>
      </w:r>
      <w:r w:rsidR="00B235C0" w:rsidRPr="00BD22C2">
        <w:rPr>
          <w:rFonts w:eastAsia="Calibri"/>
          <w:lang w:val="fr-CA" w:eastAsia="en-US"/>
        </w:rPr>
        <w:t>baliser la réflexion collective en cours sur l’identité de genre.</w:t>
      </w:r>
      <w:r w:rsidR="002667FD" w:rsidRPr="00BD22C2">
        <w:rPr>
          <w:rFonts w:eastAsia="Calibri"/>
          <w:lang w:val="fr-CA" w:eastAsia="en-US"/>
        </w:rPr>
        <w:t xml:space="preserve"> </w:t>
      </w:r>
      <w:r w:rsidR="00A00CC8" w:rsidRPr="00BD22C2">
        <w:rPr>
          <w:rFonts w:eastAsia="Calibri"/>
          <w:lang w:val="fr-CA" w:eastAsia="en-US"/>
        </w:rPr>
        <w:t>La Commission y rappelle que l’histoire des personnes trans</w:t>
      </w:r>
      <w:r w:rsidR="00DA52AB" w:rsidRPr="00BD22C2">
        <w:rPr>
          <w:rFonts w:eastAsia="Calibri"/>
          <w:lang w:val="fr-CA" w:eastAsia="en-US"/>
        </w:rPr>
        <w:t>, comme celle des personnes LGBTQ+ plus largement,</w:t>
      </w:r>
      <w:r w:rsidR="00A00CC8" w:rsidRPr="00BD22C2">
        <w:rPr>
          <w:rFonts w:eastAsia="Calibri"/>
          <w:lang w:val="fr-CA" w:eastAsia="en-US"/>
        </w:rPr>
        <w:t xml:space="preserve"> </w:t>
      </w:r>
      <w:r w:rsidR="00DA52AB" w:rsidRPr="00BD22C2">
        <w:rPr>
          <w:rFonts w:eastAsia="Calibri"/>
          <w:lang w:val="fr-CA" w:eastAsia="en-US"/>
        </w:rPr>
        <w:t xml:space="preserve">est marquée par la pathologisation de leur existence et le profilage discriminatoire. Elle </w:t>
      </w:r>
      <w:r w:rsidR="004324F5" w:rsidRPr="00BD22C2">
        <w:rPr>
          <w:rFonts w:eastAsia="Calibri"/>
          <w:lang w:val="fr-CA" w:eastAsia="en-US"/>
        </w:rPr>
        <w:t xml:space="preserve">distingue ensuite les </w:t>
      </w:r>
      <w:r w:rsidR="0043257E" w:rsidRPr="00BD22C2">
        <w:rPr>
          <w:rFonts w:eastAsia="Calibri"/>
          <w:lang w:val="fr-CA" w:eastAsia="en-US"/>
        </w:rPr>
        <w:t xml:space="preserve">différents usages qui sont faits </w:t>
      </w:r>
      <w:r w:rsidR="004324F5" w:rsidRPr="00BD22C2">
        <w:rPr>
          <w:rFonts w:eastAsia="Calibri"/>
          <w:lang w:val="fr-CA" w:eastAsia="en-US"/>
        </w:rPr>
        <w:t>des notions de sexe et d’identité de genre dans le droit et les politiques publiques</w:t>
      </w:r>
      <w:r w:rsidR="0043257E" w:rsidRPr="00BD22C2">
        <w:rPr>
          <w:rFonts w:eastAsia="Calibri"/>
          <w:lang w:val="fr-CA" w:eastAsia="en-US"/>
        </w:rPr>
        <w:t>, et ce</w:t>
      </w:r>
      <w:r w:rsidR="005243D5" w:rsidRPr="00BD22C2">
        <w:rPr>
          <w:rFonts w:eastAsia="Calibri"/>
          <w:lang w:val="fr-CA" w:eastAsia="en-US"/>
        </w:rPr>
        <w:t>,</w:t>
      </w:r>
      <w:r w:rsidR="0043257E" w:rsidRPr="00BD22C2">
        <w:rPr>
          <w:rFonts w:eastAsia="Calibri"/>
          <w:lang w:val="fr-CA" w:eastAsia="en-US"/>
        </w:rPr>
        <w:t xml:space="preserve"> en tant que motifs interdits de discrimination, </w:t>
      </w:r>
      <w:r w:rsidR="007860FD" w:rsidRPr="00BD22C2">
        <w:rPr>
          <w:rFonts w:eastAsia="Calibri"/>
          <w:lang w:val="fr-CA" w:eastAsia="en-US"/>
        </w:rPr>
        <w:t>données</w:t>
      </w:r>
      <w:r w:rsidR="002421FD" w:rsidRPr="00BD22C2">
        <w:rPr>
          <w:rFonts w:eastAsia="Calibri"/>
          <w:lang w:val="fr-CA" w:eastAsia="en-US"/>
        </w:rPr>
        <w:t xml:space="preserve"> de l’état civil et renseignements personnels.</w:t>
      </w:r>
      <w:r w:rsidR="00006B4D" w:rsidRPr="00BD22C2">
        <w:rPr>
          <w:rFonts w:eastAsia="Calibri"/>
          <w:lang w:val="fr-CA" w:eastAsia="en-US"/>
        </w:rPr>
        <w:t xml:space="preserve"> Elle </w:t>
      </w:r>
      <w:r w:rsidR="008B1AEE" w:rsidRPr="00BD22C2">
        <w:rPr>
          <w:rFonts w:eastAsia="Calibri"/>
          <w:lang w:val="fr-CA" w:eastAsia="en-US"/>
        </w:rPr>
        <w:t xml:space="preserve">expose finalement </w:t>
      </w:r>
      <w:r w:rsidR="00B2213E" w:rsidRPr="00BD22C2">
        <w:rPr>
          <w:rFonts w:eastAsia="Calibri"/>
          <w:lang w:val="fr-CA" w:eastAsia="en-US"/>
        </w:rPr>
        <w:t>quelques</w:t>
      </w:r>
      <w:r w:rsidR="008B1AEE" w:rsidRPr="00BD22C2">
        <w:rPr>
          <w:rFonts w:eastAsia="Calibri"/>
          <w:lang w:val="fr-CA" w:eastAsia="en-US"/>
        </w:rPr>
        <w:t xml:space="preserve"> statistiques sur la population concernée </w:t>
      </w:r>
      <w:r w:rsidR="000F7D19" w:rsidRPr="00BD22C2">
        <w:rPr>
          <w:rFonts w:eastAsia="Calibri"/>
          <w:lang w:val="fr-CA" w:eastAsia="en-US"/>
        </w:rPr>
        <w:t>afin d’illustrer certains changements et visibiliser la situation de forte précarité que connaiss</w:t>
      </w:r>
      <w:r w:rsidR="008C13EE" w:rsidRPr="00BD22C2">
        <w:rPr>
          <w:rFonts w:eastAsia="Calibri"/>
          <w:lang w:val="fr-CA" w:eastAsia="en-US"/>
        </w:rPr>
        <w:t>e</w:t>
      </w:r>
      <w:r w:rsidR="000F7D19" w:rsidRPr="00BD22C2">
        <w:rPr>
          <w:rFonts w:eastAsia="Calibri"/>
          <w:lang w:val="fr-CA" w:eastAsia="en-US"/>
        </w:rPr>
        <w:t>nt les personnes trans et non binaire</w:t>
      </w:r>
      <w:r w:rsidR="006F1AF7" w:rsidRPr="00BD22C2">
        <w:rPr>
          <w:rFonts w:eastAsia="Calibri"/>
          <w:lang w:val="fr-CA" w:eastAsia="en-US"/>
        </w:rPr>
        <w:t>s</w:t>
      </w:r>
      <w:r w:rsidR="0090573A" w:rsidRPr="00BD22C2">
        <w:rPr>
          <w:rFonts w:eastAsia="Calibri"/>
          <w:lang w:val="fr-CA" w:eastAsia="en-US"/>
        </w:rPr>
        <w:t xml:space="preserve">, notamment </w:t>
      </w:r>
      <w:r w:rsidR="000F7D19" w:rsidRPr="00BD22C2">
        <w:rPr>
          <w:rFonts w:eastAsia="Calibri"/>
          <w:lang w:val="fr-CA" w:eastAsia="en-US"/>
        </w:rPr>
        <w:t>en matière d’emploi, de logement et de pauvreté</w:t>
      </w:r>
      <w:r w:rsidR="0090573A" w:rsidRPr="00BD22C2">
        <w:rPr>
          <w:rFonts w:eastAsia="Calibri"/>
          <w:lang w:val="fr-CA" w:eastAsia="en-US"/>
        </w:rPr>
        <w:t>, en plus des autres domaines couverts dans la suite du mémoire.</w:t>
      </w:r>
      <w:r w:rsidR="002C6EE9" w:rsidRPr="00BD22C2">
        <w:rPr>
          <w:rFonts w:eastAsia="Calibri"/>
          <w:lang w:val="fr-CA" w:eastAsia="en-US"/>
        </w:rPr>
        <w:t xml:space="preserve"> </w:t>
      </w:r>
      <w:r w:rsidR="00241416" w:rsidRPr="00BD22C2">
        <w:rPr>
          <w:rFonts w:eastAsia="Calibri"/>
          <w:lang w:val="fr-CA" w:eastAsia="en-US"/>
        </w:rPr>
        <w:t>À ce sujet, l</w:t>
      </w:r>
      <w:r w:rsidR="00B27587" w:rsidRPr="00BD22C2">
        <w:rPr>
          <w:rFonts w:eastAsia="Calibri"/>
          <w:lang w:val="fr-CA" w:eastAsia="en-US"/>
        </w:rPr>
        <w:t xml:space="preserve">a Commission </w:t>
      </w:r>
      <w:r w:rsidR="000536FA" w:rsidRPr="00BD22C2">
        <w:rPr>
          <w:rFonts w:eastAsia="Calibri"/>
          <w:lang w:val="fr-CA" w:eastAsia="en-US"/>
        </w:rPr>
        <w:t>souligne</w:t>
      </w:r>
      <w:r w:rsidR="00241416" w:rsidRPr="00BD22C2">
        <w:rPr>
          <w:rFonts w:eastAsia="Calibri"/>
          <w:lang w:val="fr-CA" w:eastAsia="en-US"/>
        </w:rPr>
        <w:t xml:space="preserve"> la nécessité de</w:t>
      </w:r>
      <w:r w:rsidR="00B33ACD" w:rsidRPr="00BD22C2">
        <w:rPr>
          <w:rFonts w:eastAsia="Calibri"/>
          <w:lang w:val="fr-CA" w:eastAsia="en-US"/>
        </w:rPr>
        <w:t xml:space="preserve"> combler </w:t>
      </w:r>
      <w:r w:rsidR="00B33ACD" w:rsidRPr="00BD22C2">
        <w:rPr>
          <w:rFonts w:eastAsia="Calibri"/>
          <w:lang w:val="fr-CA" w:eastAsia="en-US"/>
        </w:rPr>
        <w:lastRenderedPageBreak/>
        <w:t xml:space="preserve">les lacunes </w:t>
      </w:r>
      <w:r w:rsidR="000536FA" w:rsidRPr="00BD22C2">
        <w:rPr>
          <w:rFonts w:eastAsia="Calibri"/>
          <w:lang w:val="fr-CA" w:eastAsia="en-US"/>
        </w:rPr>
        <w:t>constatées</w:t>
      </w:r>
      <w:r w:rsidR="00B33ACD" w:rsidRPr="00BD22C2">
        <w:rPr>
          <w:rFonts w:eastAsia="Calibri"/>
          <w:lang w:val="fr-CA" w:eastAsia="en-US"/>
        </w:rPr>
        <w:t xml:space="preserve"> en matière de données en fa</w:t>
      </w:r>
      <w:r w:rsidR="00CD0FC0" w:rsidRPr="00BD22C2">
        <w:rPr>
          <w:rFonts w:eastAsia="Calibri"/>
          <w:lang w:val="fr-CA" w:eastAsia="en-US"/>
        </w:rPr>
        <w:t xml:space="preserve">vorisant leur collecte suivant des balises respectueuses </w:t>
      </w:r>
      <w:r w:rsidR="00C34404" w:rsidRPr="00BD22C2">
        <w:rPr>
          <w:rFonts w:eastAsia="Calibri"/>
          <w:lang w:val="fr-CA" w:eastAsia="en-US"/>
        </w:rPr>
        <w:t>de l’ensemble des droits et libertés de la personne</w:t>
      </w:r>
      <w:r w:rsidR="00E651F0" w:rsidRPr="00BD22C2">
        <w:rPr>
          <w:rFonts w:eastAsia="Calibri"/>
          <w:lang w:val="fr-CA" w:eastAsia="en-US"/>
        </w:rPr>
        <w:t>. Une telle collecte de données désagrégées devrait en outre s’appuyer</w:t>
      </w:r>
      <w:r w:rsidR="00C006BA" w:rsidRPr="00BD22C2">
        <w:rPr>
          <w:rFonts w:eastAsia="Calibri"/>
          <w:lang w:val="fr-CA" w:eastAsia="en-US"/>
        </w:rPr>
        <w:t xml:space="preserve"> </w:t>
      </w:r>
      <w:r w:rsidR="00BD76C6" w:rsidRPr="00BD22C2">
        <w:rPr>
          <w:rFonts w:eastAsia="Calibri"/>
          <w:lang w:val="fr-CA" w:eastAsia="en-US"/>
        </w:rPr>
        <w:t>sur la participation de personnes concernées</w:t>
      </w:r>
      <w:r w:rsidR="00177D78" w:rsidRPr="00BD22C2">
        <w:rPr>
          <w:rFonts w:eastAsia="Calibri"/>
          <w:lang w:val="fr-CA" w:eastAsia="en-US"/>
        </w:rPr>
        <w:t xml:space="preserve"> et l’apport de personnes expertes</w:t>
      </w:r>
      <w:r w:rsidR="00427C40" w:rsidRPr="00BD22C2">
        <w:rPr>
          <w:rFonts w:eastAsia="Calibri"/>
          <w:lang w:val="fr-CA" w:eastAsia="en-US"/>
        </w:rPr>
        <w:t xml:space="preserve"> en la matière</w:t>
      </w:r>
      <w:r w:rsidR="00BD76C6" w:rsidRPr="00BD22C2">
        <w:rPr>
          <w:rFonts w:eastAsia="Calibri"/>
          <w:lang w:val="fr-CA" w:eastAsia="en-US"/>
        </w:rPr>
        <w:t>.</w:t>
      </w:r>
    </w:p>
    <w:p w14:paraId="37C4071B" w14:textId="22CF95E1" w:rsidR="00B415C9" w:rsidRPr="00BD22C2" w:rsidRDefault="00A96633" w:rsidP="00B04FFF">
      <w:pPr>
        <w:pStyle w:val="Paragraphe"/>
        <w:rPr>
          <w:rFonts w:eastAsia="Calibri"/>
          <w:lang w:val="fr-CA" w:eastAsia="en-US"/>
        </w:rPr>
      </w:pPr>
      <w:r w:rsidRPr="00BD22C2">
        <w:rPr>
          <w:rFonts w:eastAsia="Calibri"/>
          <w:lang w:val="fr-CA" w:eastAsia="en-US"/>
        </w:rPr>
        <w:t>Dans l</w:t>
      </w:r>
      <w:r w:rsidR="0093666F" w:rsidRPr="00BD22C2">
        <w:rPr>
          <w:rFonts w:eastAsia="Calibri"/>
          <w:lang w:val="fr-CA" w:eastAsia="en-US"/>
        </w:rPr>
        <w:t>a seconde par</w:t>
      </w:r>
      <w:r w:rsidR="0090573A" w:rsidRPr="00BD22C2">
        <w:rPr>
          <w:rFonts w:eastAsia="Calibri"/>
          <w:lang w:val="fr-CA" w:eastAsia="en-US"/>
        </w:rPr>
        <w:t xml:space="preserve">tie </w:t>
      </w:r>
      <w:r w:rsidR="002A785B" w:rsidRPr="00BD22C2">
        <w:rPr>
          <w:rFonts w:eastAsia="Calibri"/>
          <w:lang w:val="fr-CA" w:eastAsia="en-US"/>
        </w:rPr>
        <w:t>du mémoire</w:t>
      </w:r>
      <w:r w:rsidRPr="00BD22C2">
        <w:rPr>
          <w:rFonts w:eastAsia="Calibri"/>
          <w:lang w:val="fr-CA" w:eastAsia="en-US"/>
        </w:rPr>
        <w:t>, la Commission présente d’abord</w:t>
      </w:r>
      <w:r w:rsidR="002A785B" w:rsidRPr="00BD22C2" w:rsidDel="00A96633">
        <w:rPr>
          <w:rFonts w:eastAsia="Calibri"/>
          <w:lang w:val="fr-CA" w:eastAsia="en-US"/>
        </w:rPr>
        <w:t xml:space="preserve"> </w:t>
      </w:r>
      <w:r w:rsidR="00A227E5" w:rsidRPr="00BD22C2">
        <w:rPr>
          <w:rFonts w:eastAsia="Calibri"/>
          <w:lang w:val="fr-CA" w:eastAsia="en-US"/>
        </w:rPr>
        <w:t>le cadre</w:t>
      </w:r>
      <w:r w:rsidR="003855A4" w:rsidRPr="00BD22C2">
        <w:rPr>
          <w:rFonts w:eastAsia="Calibri"/>
          <w:lang w:val="fr-CA" w:eastAsia="en-US"/>
        </w:rPr>
        <w:t xml:space="preserve"> de la Charte québécois</w:t>
      </w:r>
      <w:r w:rsidR="00931946" w:rsidRPr="00BD22C2">
        <w:rPr>
          <w:rFonts w:eastAsia="Calibri"/>
          <w:lang w:val="fr-CA" w:eastAsia="en-US"/>
        </w:rPr>
        <w:t>e et l’approche fondée sur les droits de l’enfant qu</w:t>
      </w:r>
      <w:r w:rsidR="008F6A5D" w:rsidRPr="00BD22C2">
        <w:rPr>
          <w:rFonts w:eastAsia="Calibri"/>
          <w:lang w:val="fr-CA" w:eastAsia="en-US"/>
        </w:rPr>
        <w:t>i sont incontournables pour aborder les sujets faisant l’objet du mandat du Comité de sages</w:t>
      </w:r>
      <w:r w:rsidR="00094DE8" w:rsidRPr="00BD22C2">
        <w:rPr>
          <w:rFonts w:eastAsia="Calibri"/>
          <w:lang w:val="fr-CA" w:eastAsia="en-US"/>
        </w:rPr>
        <w:t xml:space="preserve">. Ces </w:t>
      </w:r>
      <w:r w:rsidR="006E19B2" w:rsidRPr="00BD22C2">
        <w:rPr>
          <w:rFonts w:eastAsia="Calibri"/>
          <w:lang w:val="fr-CA" w:eastAsia="en-US"/>
        </w:rPr>
        <w:t>questions</w:t>
      </w:r>
      <w:r w:rsidR="00094DE8" w:rsidRPr="00BD22C2">
        <w:rPr>
          <w:rFonts w:eastAsia="Calibri"/>
          <w:lang w:val="fr-CA" w:eastAsia="en-US"/>
        </w:rPr>
        <w:t xml:space="preserve"> concernent en effet, à </w:t>
      </w:r>
      <w:r w:rsidR="008F6A5D" w:rsidRPr="00BD22C2">
        <w:rPr>
          <w:rFonts w:eastAsia="Calibri"/>
          <w:lang w:val="fr-CA" w:eastAsia="en-US"/>
        </w:rPr>
        <w:t>bien des égards, des personnes mineures</w:t>
      </w:r>
      <w:r w:rsidR="00280275" w:rsidRPr="00BD22C2">
        <w:rPr>
          <w:rFonts w:eastAsia="Calibri"/>
          <w:lang w:val="fr-CA" w:eastAsia="en-US"/>
        </w:rPr>
        <w:t xml:space="preserve"> au premier chef</w:t>
      </w:r>
      <w:r w:rsidR="009509F4" w:rsidRPr="00BD22C2">
        <w:rPr>
          <w:rFonts w:eastAsia="Calibri"/>
          <w:lang w:val="fr-CA" w:eastAsia="en-US"/>
        </w:rPr>
        <w:t xml:space="preserve">, ce qui a nécessité </w:t>
      </w:r>
      <w:r w:rsidR="00DA4673" w:rsidRPr="00BD22C2">
        <w:rPr>
          <w:rFonts w:eastAsia="Calibri"/>
          <w:lang w:val="fr-CA" w:eastAsia="en-US"/>
        </w:rPr>
        <w:t>de mettre en perspective leurs droits en regard d</w:t>
      </w:r>
      <w:r w:rsidR="00987583" w:rsidRPr="00BD22C2">
        <w:rPr>
          <w:rFonts w:eastAsia="Calibri"/>
          <w:lang w:val="fr-CA" w:eastAsia="en-US"/>
        </w:rPr>
        <w:t>es rôles</w:t>
      </w:r>
      <w:r w:rsidR="00DA4673" w:rsidRPr="00BD22C2">
        <w:rPr>
          <w:rFonts w:eastAsia="Calibri"/>
          <w:lang w:val="fr-CA" w:eastAsia="en-US"/>
        </w:rPr>
        <w:t xml:space="preserve"> </w:t>
      </w:r>
      <w:r w:rsidR="00441588" w:rsidRPr="00BD22C2">
        <w:rPr>
          <w:rFonts w:eastAsia="Calibri"/>
          <w:lang w:val="fr-CA" w:eastAsia="en-US"/>
        </w:rPr>
        <w:t>de leurs parents</w:t>
      </w:r>
      <w:r w:rsidR="00987583" w:rsidRPr="00BD22C2">
        <w:rPr>
          <w:rFonts w:eastAsia="Calibri"/>
          <w:lang w:val="fr-CA" w:eastAsia="en-US"/>
        </w:rPr>
        <w:t xml:space="preserve"> et de l’État</w:t>
      </w:r>
      <w:r w:rsidR="00996A00" w:rsidRPr="00BD22C2">
        <w:rPr>
          <w:rFonts w:eastAsia="Calibri"/>
          <w:lang w:val="fr-CA" w:eastAsia="en-US"/>
        </w:rPr>
        <w:t>.</w:t>
      </w:r>
      <w:r w:rsidR="00AE75E0" w:rsidRPr="00BD22C2">
        <w:rPr>
          <w:rFonts w:eastAsia="Calibri"/>
          <w:lang w:val="fr-CA" w:eastAsia="en-US"/>
        </w:rPr>
        <w:t xml:space="preserve"> </w:t>
      </w:r>
      <w:r w:rsidR="008D1B97" w:rsidRPr="00BD22C2">
        <w:rPr>
          <w:rFonts w:eastAsia="Calibri"/>
          <w:lang w:val="fr-CA" w:eastAsia="en-US"/>
        </w:rPr>
        <w:t>Plus largement</w:t>
      </w:r>
      <w:r w:rsidR="00AE75E0" w:rsidRPr="00BD22C2">
        <w:rPr>
          <w:rFonts w:eastAsia="Calibri"/>
          <w:lang w:val="fr-CA" w:eastAsia="en-US"/>
        </w:rPr>
        <w:t xml:space="preserve">, </w:t>
      </w:r>
      <w:r w:rsidR="005C57E4" w:rsidRPr="00BD22C2">
        <w:rPr>
          <w:rFonts w:eastAsia="Calibri"/>
          <w:lang w:val="fr-CA" w:eastAsia="en-US"/>
        </w:rPr>
        <w:t xml:space="preserve">la Commission insiste sur le fait que </w:t>
      </w:r>
      <w:r w:rsidR="000C0006" w:rsidRPr="00BD22C2">
        <w:rPr>
          <w:rFonts w:eastAsia="Calibri"/>
          <w:lang w:val="fr-CA" w:eastAsia="en-US"/>
        </w:rPr>
        <w:t>le cadre de la Charte</w:t>
      </w:r>
      <w:r w:rsidR="00AE75E0" w:rsidRPr="00BD22C2">
        <w:rPr>
          <w:rFonts w:eastAsia="Calibri"/>
          <w:lang w:val="fr-CA" w:eastAsia="en-US"/>
        </w:rPr>
        <w:t xml:space="preserve"> et </w:t>
      </w:r>
      <w:r w:rsidR="000C0006" w:rsidRPr="00BD22C2">
        <w:rPr>
          <w:rFonts w:eastAsia="Calibri"/>
          <w:lang w:val="fr-CA" w:eastAsia="en-US"/>
        </w:rPr>
        <w:t>l’approche fondée sur les droits de l’enfant</w:t>
      </w:r>
      <w:r w:rsidR="00AE75E0" w:rsidRPr="00BD22C2">
        <w:rPr>
          <w:rFonts w:eastAsia="Calibri"/>
          <w:lang w:val="fr-CA" w:eastAsia="en-US"/>
        </w:rPr>
        <w:t xml:space="preserve"> fournissent </w:t>
      </w:r>
      <w:r w:rsidR="008D1B97" w:rsidRPr="00BD22C2">
        <w:rPr>
          <w:rFonts w:eastAsia="Calibri"/>
          <w:lang w:val="fr-CA" w:eastAsia="en-US"/>
        </w:rPr>
        <w:t xml:space="preserve">tous </w:t>
      </w:r>
      <w:r w:rsidR="00AE75E0" w:rsidRPr="00BD22C2">
        <w:rPr>
          <w:rFonts w:eastAsia="Calibri"/>
          <w:lang w:val="fr-CA" w:eastAsia="en-US"/>
        </w:rPr>
        <w:t xml:space="preserve">les outils nécessaires </w:t>
      </w:r>
      <w:r w:rsidR="00DA3A4E" w:rsidRPr="00BD22C2">
        <w:rPr>
          <w:rFonts w:eastAsia="Calibri"/>
          <w:lang w:val="fr-CA" w:eastAsia="en-US"/>
        </w:rPr>
        <w:t>pour traiter</w:t>
      </w:r>
      <w:r w:rsidR="00FF7742" w:rsidRPr="00BD22C2">
        <w:rPr>
          <w:rFonts w:eastAsia="Calibri"/>
          <w:lang w:val="fr-CA" w:eastAsia="en-US"/>
        </w:rPr>
        <w:t xml:space="preserve"> </w:t>
      </w:r>
      <w:r w:rsidR="00CD20A9" w:rsidRPr="00BD22C2">
        <w:rPr>
          <w:rFonts w:eastAsia="Calibri"/>
          <w:lang w:val="fr-CA" w:eastAsia="en-US"/>
        </w:rPr>
        <w:t xml:space="preserve">plusieurs </w:t>
      </w:r>
      <w:r w:rsidR="00E52678" w:rsidRPr="00BD22C2">
        <w:rPr>
          <w:rFonts w:eastAsia="Calibri"/>
          <w:lang w:val="fr-CA" w:eastAsia="en-US"/>
        </w:rPr>
        <w:t xml:space="preserve">enjeux qui ont fait l’objet de controverses </w:t>
      </w:r>
      <w:r w:rsidR="002F03D1" w:rsidRPr="00BD22C2">
        <w:rPr>
          <w:rFonts w:eastAsia="Calibri"/>
          <w:lang w:val="fr-CA" w:eastAsia="en-US"/>
        </w:rPr>
        <w:t>récent</w:t>
      </w:r>
      <w:r w:rsidR="002515D4" w:rsidRPr="00BD22C2">
        <w:rPr>
          <w:rFonts w:eastAsia="Calibri"/>
          <w:lang w:val="fr-CA" w:eastAsia="en-US"/>
        </w:rPr>
        <w:t>e</w:t>
      </w:r>
      <w:r w:rsidR="00565D49" w:rsidRPr="00BD22C2">
        <w:rPr>
          <w:rFonts w:eastAsia="Calibri"/>
          <w:lang w:val="fr-CA" w:eastAsia="en-US"/>
        </w:rPr>
        <w:t xml:space="preserve">s. </w:t>
      </w:r>
      <w:r w:rsidR="00EB2392" w:rsidRPr="00BD22C2">
        <w:rPr>
          <w:rFonts w:eastAsia="Calibri"/>
          <w:lang w:val="fr-CA" w:eastAsia="en-US"/>
        </w:rPr>
        <w:t>D’une part</w:t>
      </w:r>
      <w:r w:rsidR="00C05B02" w:rsidRPr="00BD22C2">
        <w:rPr>
          <w:rFonts w:eastAsia="Calibri"/>
          <w:lang w:val="fr-CA" w:eastAsia="en-US"/>
        </w:rPr>
        <w:t>, ces enjeux</w:t>
      </w:r>
      <w:r w:rsidR="005D47BF" w:rsidRPr="00BD22C2">
        <w:rPr>
          <w:rFonts w:eastAsia="Calibri"/>
          <w:lang w:val="fr-CA" w:eastAsia="en-US"/>
        </w:rPr>
        <w:t xml:space="preserve"> </w:t>
      </w:r>
      <w:r w:rsidR="00827C1D" w:rsidRPr="00BD22C2">
        <w:rPr>
          <w:rFonts w:eastAsia="Calibri"/>
          <w:lang w:val="fr-CA" w:eastAsia="en-US"/>
        </w:rPr>
        <w:t>mettent en cause des droits</w:t>
      </w:r>
      <w:r w:rsidR="00722A7E" w:rsidRPr="00BD22C2">
        <w:rPr>
          <w:rFonts w:eastAsia="Calibri"/>
          <w:lang w:val="fr-CA" w:eastAsia="en-US"/>
        </w:rPr>
        <w:t xml:space="preserve"> </w:t>
      </w:r>
      <w:r w:rsidR="00343775" w:rsidRPr="00BD22C2">
        <w:rPr>
          <w:rFonts w:eastAsia="Calibri"/>
          <w:lang w:val="fr-CA" w:eastAsia="en-US"/>
        </w:rPr>
        <w:t>q</w:t>
      </w:r>
      <w:r w:rsidR="00070718" w:rsidRPr="00BD22C2">
        <w:rPr>
          <w:rFonts w:eastAsia="Calibri"/>
          <w:lang w:val="fr-CA" w:eastAsia="en-US"/>
        </w:rPr>
        <w:t xml:space="preserve">ue la Charte québécoise et l’approche fondée sur les droits de l’enfant nous engagent à respecter. </w:t>
      </w:r>
      <w:r w:rsidR="004654C3" w:rsidRPr="00BD22C2">
        <w:rPr>
          <w:rFonts w:eastAsia="Calibri"/>
          <w:lang w:val="fr-CA" w:eastAsia="en-US"/>
        </w:rPr>
        <w:t>D’autre part, les outils normatifs relatifs aux droits de la personne et aux droits de l’enfant incluent</w:t>
      </w:r>
      <w:r w:rsidR="001330B5" w:rsidRPr="00BD22C2">
        <w:rPr>
          <w:rFonts w:eastAsia="Calibri"/>
          <w:lang w:val="fr-CA" w:eastAsia="en-US"/>
        </w:rPr>
        <w:t xml:space="preserve"> tous</w:t>
      </w:r>
      <w:r w:rsidR="004654C3" w:rsidRPr="00BD22C2">
        <w:rPr>
          <w:rFonts w:eastAsia="Calibri"/>
          <w:lang w:val="fr-CA" w:eastAsia="en-US"/>
        </w:rPr>
        <w:t xml:space="preserve"> les mécanismes</w:t>
      </w:r>
      <w:r w:rsidR="00571DD7" w:rsidRPr="00BD22C2">
        <w:rPr>
          <w:rFonts w:eastAsia="Calibri"/>
          <w:lang w:val="fr-CA" w:eastAsia="en-US"/>
        </w:rPr>
        <w:t xml:space="preserve"> permettant d</w:t>
      </w:r>
      <w:r w:rsidR="00CA4DAE" w:rsidRPr="00BD22C2">
        <w:rPr>
          <w:rFonts w:eastAsia="Calibri"/>
          <w:lang w:val="fr-CA" w:eastAsia="en-US"/>
        </w:rPr>
        <w:t xml:space="preserve">’aménager l’exercice de ces droits ou de </w:t>
      </w:r>
      <w:r w:rsidR="00571DD7" w:rsidRPr="00BD22C2">
        <w:rPr>
          <w:rFonts w:eastAsia="Calibri"/>
          <w:lang w:val="fr-CA" w:eastAsia="en-US"/>
        </w:rPr>
        <w:t xml:space="preserve">concilier </w:t>
      </w:r>
      <w:r w:rsidR="00CA4DAE" w:rsidRPr="00BD22C2">
        <w:rPr>
          <w:rFonts w:eastAsia="Calibri"/>
          <w:lang w:val="fr-CA" w:eastAsia="en-US"/>
        </w:rPr>
        <w:t>ceux-ci</w:t>
      </w:r>
      <w:r w:rsidR="00571DD7" w:rsidRPr="00BD22C2">
        <w:rPr>
          <w:rFonts w:eastAsia="Calibri"/>
          <w:lang w:val="fr-CA" w:eastAsia="en-US"/>
        </w:rPr>
        <w:t xml:space="preserve"> avec les droits d’autrui</w:t>
      </w:r>
      <w:r w:rsidR="001330B5" w:rsidRPr="00BD22C2">
        <w:rPr>
          <w:rFonts w:eastAsia="Calibri"/>
          <w:lang w:val="fr-CA" w:eastAsia="en-US"/>
        </w:rPr>
        <w:t xml:space="preserve"> lorsque nécessaire.</w:t>
      </w:r>
      <w:r w:rsidR="00571DD7" w:rsidRPr="00BD22C2">
        <w:rPr>
          <w:rFonts w:eastAsia="Calibri"/>
          <w:lang w:val="fr-CA" w:eastAsia="en-US"/>
        </w:rPr>
        <w:t xml:space="preserve"> </w:t>
      </w:r>
      <w:r w:rsidR="00176408" w:rsidRPr="00BD22C2">
        <w:rPr>
          <w:rFonts w:eastAsia="Calibri"/>
          <w:lang w:val="fr-CA" w:eastAsia="en-US"/>
        </w:rPr>
        <w:t>La Commission s’attarde notamment</w:t>
      </w:r>
      <w:r w:rsidR="001330B5" w:rsidRPr="00BD22C2">
        <w:rPr>
          <w:rFonts w:eastAsia="Calibri"/>
          <w:lang w:val="fr-CA" w:eastAsia="en-US"/>
        </w:rPr>
        <w:t xml:space="preserve"> </w:t>
      </w:r>
      <w:r w:rsidR="00176408" w:rsidRPr="00BD22C2" w:rsidDel="00DB248D">
        <w:rPr>
          <w:rFonts w:eastAsia="Calibri"/>
          <w:lang w:val="fr-CA" w:eastAsia="en-US"/>
        </w:rPr>
        <w:t>aux</w:t>
      </w:r>
      <w:r w:rsidR="00176408" w:rsidRPr="00BD22C2">
        <w:rPr>
          <w:rFonts w:eastAsia="Calibri"/>
          <w:lang w:val="fr-CA" w:eastAsia="en-US"/>
        </w:rPr>
        <w:t xml:space="preserve"> notion</w:t>
      </w:r>
      <w:r w:rsidR="00176408" w:rsidRPr="00BD22C2" w:rsidDel="00DB248D">
        <w:rPr>
          <w:rFonts w:eastAsia="Calibri"/>
          <w:lang w:val="fr-CA" w:eastAsia="en-US"/>
        </w:rPr>
        <w:t>s</w:t>
      </w:r>
      <w:r w:rsidR="00A751AF" w:rsidRPr="00BD22C2">
        <w:rPr>
          <w:rFonts w:eastAsia="Calibri"/>
          <w:lang w:val="fr-CA" w:eastAsia="en-US"/>
        </w:rPr>
        <w:t xml:space="preserve"> </w:t>
      </w:r>
      <w:r w:rsidR="00176408" w:rsidRPr="00BD22C2">
        <w:rPr>
          <w:rFonts w:eastAsia="Calibri"/>
          <w:lang w:val="fr-CA" w:eastAsia="en-US"/>
        </w:rPr>
        <w:t>d</w:t>
      </w:r>
      <w:r w:rsidR="00A751AF" w:rsidRPr="00BD22C2">
        <w:rPr>
          <w:rFonts w:eastAsia="Calibri"/>
          <w:lang w:val="fr-CA" w:eastAsia="en-US"/>
        </w:rPr>
        <w:t xml:space="preserve">’accommodement raisonnable, </w:t>
      </w:r>
      <w:r w:rsidR="00176408" w:rsidRPr="00BD22C2">
        <w:rPr>
          <w:rFonts w:eastAsia="Calibri"/>
          <w:lang w:val="fr-CA" w:eastAsia="en-US"/>
        </w:rPr>
        <w:t>de</w:t>
      </w:r>
      <w:r w:rsidR="00A751AF" w:rsidRPr="00BD22C2">
        <w:rPr>
          <w:rFonts w:eastAsia="Calibri"/>
          <w:lang w:val="fr-CA" w:eastAsia="en-US"/>
        </w:rPr>
        <w:t xml:space="preserve"> conciliation des droits et </w:t>
      </w:r>
      <w:r w:rsidR="00176408" w:rsidRPr="00BD22C2">
        <w:rPr>
          <w:rFonts w:eastAsia="Calibri"/>
          <w:lang w:val="fr-CA" w:eastAsia="en-US"/>
        </w:rPr>
        <w:t>d</w:t>
      </w:r>
      <w:r w:rsidR="00A751AF" w:rsidRPr="00BD22C2">
        <w:rPr>
          <w:rFonts w:eastAsia="Calibri"/>
          <w:lang w:val="fr-CA" w:eastAsia="en-US"/>
        </w:rPr>
        <w:t>’intérêt de l’enfant</w:t>
      </w:r>
      <w:r w:rsidR="00C742EE" w:rsidRPr="00BD22C2">
        <w:rPr>
          <w:rFonts w:eastAsia="Calibri"/>
          <w:lang w:val="fr-CA" w:eastAsia="en-US"/>
        </w:rPr>
        <w:t>.</w:t>
      </w:r>
      <w:r w:rsidR="00591AFF" w:rsidRPr="00BD22C2">
        <w:rPr>
          <w:rFonts w:eastAsia="Calibri"/>
          <w:lang w:val="fr-CA" w:eastAsia="en-US"/>
        </w:rPr>
        <w:t xml:space="preserve"> </w:t>
      </w:r>
      <w:r w:rsidR="00176408" w:rsidRPr="00BD22C2">
        <w:rPr>
          <w:rFonts w:eastAsia="Calibri"/>
          <w:lang w:val="fr-CA" w:eastAsia="en-US"/>
        </w:rPr>
        <w:t>Celles</w:t>
      </w:r>
      <w:r w:rsidR="00591AFF" w:rsidRPr="00BD22C2">
        <w:rPr>
          <w:rFonts w:eastAsia="Calibri"/>
          <w:lang w:val="fr-CA" w:eastAsia="en-US"/>
        </w:rPr>
        <w:t xml:space="preserve">-ci ont en commun de </w:t>
      </w:r>
      <w:r w:rsidR="00AA7A0B" w:rsidRPr="00BD22C2">
        <w:rPr>
          <w:rFonts w:eastAsia="Calibri"/>
          <w:lang w:val="fr-CA" w:eastAsia="en-US"/>
        </w:rPr>
        <w:t xml:space="preserve">reposer sur des analyses </w:t>
      </w:r>
      <w:r w:rsidR="000920C2" w:rsidRPr="00BD22C2">
        <w:rPr>
          <w:rFonts w:eastAsia="Calibri"/>
          <w:lang w:val="fr-CA" w:eastAsia="en-US"/>
        </w:rPr>
        <w:t xml:space="preserve">au cas par cas </w:t>
      </w:r>
      <w:r w:rsidR="00AA7A0B" w:rsidRPr="00BD22C2">
        <w:rPr>
          <w:rFonts w:eastAsia="Calibri"/>
          <w:lang w:val="fr-CA" w:eastAsia="en-US"/>
        </w:rPr>
        <w:t>basé</w:t>
      </w:r>
      <w:r w:rsidR="000920C2" w:rsidRPr="00BD22C2">
        <w:rPr>
          <w:rFonts w:eastAsia="Calibri"/>
          <w:lang w:val="fr-CA" w:eastAsia="en-US"/>
        </w:rPr>
        <w:t>e</w:t>
      </w:r>
      <w:r w:rsidR="00AA7A0B" w:rsidRPr="00BD22C2">
        <w:rPr>
          <w:rFonts w:eastAsia="Calibri"/>
          <w:lang w:val="fr-CA" w:eastAsia="en-US"/>
        </w:rPr>
        <w:t>s sur des fait</w:t>
      </w:r>
      <w:r w:rsidR="00FD0588" w:rsidRPr="00BD22C2">
        <w:rPr>
          <w:rFonts w:eastAsia="Calibri"/>
          <w:lang w:val="fr-CA" w:eastAsia="en-US"/>
        </w:rPr>
        <w:t xml:space="preserve">s et </w:t>
      </w:r>
      <w:r w:rsidR="00F75C61" w:rsidRPr="00BD22C2">
        <w:rPr>
          <w:rFonts w:eastAsia="Calibri"/>
          <w:lang w:val="fr-CA" w:eastAsia="en-US"/>
        </w:rPr>
        <w:t xml:space="preserve">de favoriser la prise en compte des droits d’autrui </w:t>
      </w:r>
      <w:r w:rsidR="00D106E7" w:rsidRPr="00BD22C2">
        <w:rPr>
          <w:rFonts w:cs="Arial"/>
          <w:lang w:val="fr-CA"/>
        </w:rPr>
        <w:t>de façon à garantir les droits et libertés,</w:t>
      </w:r>
      <w:r w:rsidR="000D2CE6" w:rsidRPr="00BD22C2">
        <w:rPr>
          <w:rFonts w:cs="Arial"/>
          <w:lang w:val="fr-CA"/>
        </w:rPr>
        <w:t xml:space="preserve"> </w:t>
      </w:r>
      <w:r w:rsidR="005E4D64" w:rsidRPr="00BD22C2">
        <w:rPr>
          <w:rFonts w:cs="Arial"/>
          <w:lang w:val="fr-CA"/>
        </w:rPr>
        <w:t>ceux-ci étant</w:t>
      </w:r>
      <w:r w:rsidR="00D106E7" w:rsidRPr="00BD22C2">
        <w:rPr>
          <w:rFonts w:cs="Arial"/>
          <w:lang w:val="fr-CA"/>
        </w:rPr>
        <w:t xml:space="preserve"> intimement liés</w:t>
      </w:r>
      <w:r w:rsidR="005E4D64" w:rsidRPr="00BD22C2">
        <w:rPr>
          <w:rFonts w:cs="Arial"/>
          <w:lang w:val="fr-CA"/>
        </w:rPr>
        <w:t xml:space="preserve"> les uns aux autres</w:t>
      </w:r>
      <w:r w:rsidR="00D106E7" w:rsidRPr="00BD22C2">
        <w:rPr>
          <w:rFonts w:cs="Arial"/>
          <w:lang w:val="fr-CA"/>
        </w:rPr>
        <w:t>, de façon universelle, indivisible et interdépendante.</w:t>
      </w:r>
      <w:r w:rsidR="007A08C4" w:rsidRPr="00BD22C2">
        <w:rPr>
          <w:rFonts w:eastAsia="Calibri"/>
          <w:lang w:val="fr-CA" w:eastAsia="en-US"/>
        </w:rPr>
        <w:t xml:space="preserve"> </w:t>
      </w:r>
      <w:r w:rsidR="00680473" w:rsidRPr="00BD22C2">
        <w:rPr>
          <w:rFonts w:eastAsia="Calibri"/>
          <w:lang w:val="fr-CA" w:eastAsia="en-US"/>
        </w:rPr>
        <w:t>La Commission</w:t>
      </w:r>
      <w:r w:rsidR="00953AFA" w:rsidRPr="00BD22C2">
        <w:rPr>
          <w:rFonts w:eastAsia="Calibri"/>
          <w:lang w:val="fr-CA" w:eastAsia="en-US"/>
        </w:rPr>
        <w:t xml:space="preserve"> illustre ensuite </w:t>
      </w:r>
      <w:r w:rsidR="00EA2E09" w:rsidRPr="00BD22C2">
        <w:rPr>
          <w:rFonts w:eastAsia="Calibri"/>
          <w:lang w:val="fr-CA" w:eastAsia="en-US"/>
        </w:rPr>
        <w:t xml:space="preserve">comment ces outils </w:t>
      </w:r>
      <w:r w:rsidR="00D57676" w:rsidRPr="00BD22C2">
        <w:rPr>
          <w:rFonts w:eastAsia="Calibri"/>
          <w:lang w:val="fr-CA" w:eastAsia="en-US"/>
        </w:rPr>
        <w:t xml:space="preserve">peuvent </w:t>
      </w:r>
      <w:r w:rsidR="009B4556" w:rsidRPr="00BD22C2">
        <w:rPr>
          <w:rFonts w:eastAsia="Calibri"/>
          <w:lang w:val="fr-CA" w:eastAsia="en-US"/>
        </w:rPr>
        <w:t>être utilisés</w:t>
      </w:r>
      <w:r w:rsidR="00BB77EF" w:rsidRPr="00BD22C2">
        <w:rPr>
          <w:rFonts w:eastAsia="Calibri"/>
          <w:lang w:val="fr-CA" w:eastAsia="en-US"/>
        </w:rPr>
        <w:t xml:space="preserve"> à partir de situations ayant suscité des controverses</w:t>
      </w:r>
      <w:r w:rsidR="00716FF2" w:rsidRPr="00BD22C2">
        <w:rPr>
          <w:rFonts w:eastAsia="Calibri"/>
          <w:lang w:val="fr-CA" w:eastAsia="en-US"/>
        </w:rPr>
        <w:t> :</w:t>
      </w:r>
      <w:r w:rsidR="00BA1AAE" w:rsidRPr="00BD22C2">
        <w:rPr>
          <w:rFonts w:eastAsia="Calibri"/>
          <w:lang w:val="fr-CA" w:eastAsia="en-US"/>
        </w:rPr>
        <w:t xml:space="preserve"> l’</w:t>
      </w:r>
      <w:r w:rsidR="007A08C4" w:rsidRPr="00BD22C2">
        <w:rPr>
          <w:rFonts w:eastAsia="Calibri"/>
          <w:lang w:val="fr-CA" w:eastAsia="en-US"/>
        </w:rPr>
        <w:t>accompagnement offert aux</w:t>
      </w:r>
      <w:r w:rsidR="00B8452C" w:rsidRPr="00BD22C2">
        <w:rPr>
          <w:rFonts w:eastAsia="Calibri"/>
          <w:lang w:val="fr-CA" w:eastAsia="en-US"/>
        </w:rPr>
        <w:t xml:space="preserve"> enfants et jeunes</w:t>
      </w:r>
      <w:r w:rsidR="007A08C4" w:rsidRPr="00BD22C2">
        <w:rPr>
          <w:rFonts w:eastAsia="Calibri"/>
          <w:lang w:val="fr-CA" w:eastAsia="en-US"/>
        </w:rPr>
        <w:t xml:space="preserve"> trans et non binaires</w:t>
      </w:r>
      <w:r w:rsidR="00E96BF4" w:rsidRPr="00BD22C2">
        <w:rPr>
          <w:rFonts w:eastAsia="Calibri"/>
          <w:lang w:val="fr-CA" w:eastAsia="en-US"/>
        </w:rPr>
        <w:t xml:space="preserve">, </w:t>
      </w:r>
      <w:r w:rsidR="005E0FFB" w:rsidRPr="00BD22C2">
        <w:rPr>
          <w:rFonts w:eastAsia="Calibri"/>
          <w:lang w:val="fr-CA" w:eastAsia="en-US"/>
        </w:rPr>
        <w:t xml:space="preserve">et </w:t>
      </w:r>
      <w:r w:rsidR="000E1719" w:rsidRPr="00BD22C2">
        <w:rPr>
          <w:rFonts w:eastAsia="Calibri"/>
          <w:lang w:val="fr-CA" w:eastAsia="en-US"/>
        </w:rPr>
        <w:t xml:space="preserve">les </w:t>
      </w:r>
      <w:r w:rsidR="00E127AA" w:rsidRPr="00BD22C2">
        <w:rPr>
          <w:rFonts w:eastAsia="Calibri"/>
          <w:lang w:val="fr-CA" w:eastAsia="en-US"/>
        </w:rPr>
        <w:t xml:space="preserve">situations de non-mixité </w:t>
      </w:r>
      <w:r w:rsidR="00EE527F" w:rsidRPr="00BD22C2">
        <w:rPr>
          <w:rFonts w:eastAsia="Calibri"/>
          <w:lang w:val="fr-CA" w:eastAsia="en-US"/>
        </w:rPr>
        <w:t>sur le plan du sexe et du genre</w:t>
      </w:r>
      <w:r w:rsidR="00A9376C" w:rsidRPr="00BD22C2">
        <w:rPr>
          <w:rFonts w:eastAsia="Calibri"/>
          <w:lang w:val="fr-CA" w:eastAsia="en-US"/>
        </w:rPr>
        <w:t xml:space="preserve">, </w:t>
      </w:r>
      <w:r w:rsidR="00E9301D" w:rsidRPr="00BD22C2">
        <w:rPr>
          <w:rFonts w:eastAsia="Calibri"/>
          <w:lang w:val="fr-CA" w:eastAsia="en-US"/>
        </w:rPr>
        <w:t>en prenant</w:t>
      </w:r>
      <w:r w:rsidR="00E96BF4" w:rsidRPr="00BD22C2">
        <w:rPr>
          <w:rFonts w:eastAsia="Calibri"/>
          <w:lang w:val="fr-CA" w:eastAsia="en-US"/>
        </w:rPr>
        <w:t xml:space="preserve"> pour exemple</w:t>
      </w:r>
      <w:r w:rsidR="00087575" w:rsidRPr="00BD22C2">
        <w:rPr>
          <w:rFonts w:eastAsia="Calibri"/>
          <w:lang w:val="fr-CA" w:eastAsia="en-US"/>
        </w:rPr>
        <w:t>s</w:t>
      </w:r>
      <w:r w:rsidR="00E96BF4" w:rsidRPr="00BD22C2">
        <w:rPr>
          <w:rFonts w:eastAsia="Calibri"/>
          <w:lang w:val="fr-CA" w:eastAsia="en-US"/>
        </w:rPr>
        <w:t xml:space="preserve"> les toilettes et vestiaires de même que les prisons.</w:t>
      </w:r>
    </w:p>
    <w:p w14:paraId="71737241" w14:textId="7530EB91" w:rsidR="008C3030" w:rsidRPr="00BD22C2" w:rsidRDefault="002F65A2" w:rsidP="00874CBD">
      <w:pPr>
        <w:pStyle w:val="Paragraphe"/>
        <w:rPr>
          <w:rFonts w:eastAsia="Calibri"/>
          <w:lang w:val="fr-CA" w:eastAsia="en-US"/>
        </w:rPr>
      </w:pPr>
      <w:r w:rsidRPr="00BD22C2">
        <w:rPr>
          <w:rFonts w:eastAsia="Calibri"/>
          <w:lang w:val="fr-CA" w:eastAsia="en-US"/>
        </w:rPr>
        <w:t xml:space="preserve">En dernier lieu, la Commission </w:t>
      </w:r>
      <w:r w:rsidR="00166465" w:rsidRPr="00BD22C2">
        <w:rPr>
          <w:rFonts w:eastAsia="Calibri"/>
          <w:lang w:val="fr-CA" w:eastAsia="en-US"/>
        </w:rPr>
        <w:t>estim</w:t>
      </w:r>
      <w:r w:rsidR="00FB1006" w:rsidRPr="00BD22C2">
        <w:rPr>
          <w:rFonts w:eastAsia="Calibri"/>
          <w:lang w:val="fr-CA" w:eastAsia="en-US"/>
        </w:rPr>
        <w:t>e</w:t>
      </w:r>
      <w:r w:rsidR="00166465" w:rsidRPr="00BD22C2">
        <w:rPr>
          <w:rFonts w:eastAsia="Calibri"/>
          <w:lang w:val="fr-CA" w:eastAsia="en-US"/>
        </w:rPr>
        <w:t xml:space="preserve"> incontournable </w:t>
      </w:r>
      <w:r w:rsidR="0068317C" w:rsidRPr="00BD22C2">
        <w:rPr>
          <w:rFonts w:eastAsia="Calibri"/>
          <w:lang w:val="fr-CA" w:eastAsia="en-US"/>
        </w:rPr>
        <w:t>de rappeler l’importance de l’éducation aux droits et libertés</w:t>
      </w:r>
      <w:r w:rsidR="0071079D" w:rsidRPr="00BD22C2">
        <w:rPr>
          <w:rFonts w:eastAsia="Calibri"/>
          <w:lang w:val="fr-CA" w:eastAsia="en-US"/>
        </w:rPr>
        <w:t xml:space="preserve"> et de l’inclusion dans les institutions communes. </w:t>
      </w:r>
      <w:r w:rsidR="004841B9" w:rsidRPr="00BD22C2">
        <w:rPr>
          <w:rFonts w:eastAsia="Calibri"/>
          <w:lang w:val="fr-CA" w:eastAsia="en-US"/>
        </w:rPr>
        <w:t xml:space="preserve">Ces deux éléments sont des conditions </w:t>
      </w:r>
      <w:r w:rsidR="005F25CD" w:rsidRPr="00BD22C2">
        <w:rPr>
          <w:rFonts w:eastAsia="Calibri"/>
          <w:lang w:val="fr-CA" w:eastAsia="en-US"/>
        </w:rPr>
        <w:t>transversales</w:t>
      </w:r>
      <w:r w:rsidR="00C36824" w:rsidRPr="00BD22C2">
        <w:rPr>
          <w:rFonts w:eastAsia="Calibri"/>
          <w:lang w:val="fr-CA" w:eastAsia="en-US"/>
        </w:rPr>
        <w:t xml:space="preserve"> </w:t>
      </w:r>
      <w:r w:rsidR="00820652" w:rsidRPr="00BD22C2">
        <w:rPr>
          <w:rFonts w:eastAsia="Calibri"/>
          <w:lang w:val="fr-CA" w:eastAsia="en-US"/>
        </w:rPr>
        <w:t>nécessaires a</w:t>
      </w:r>
      <w:r w:rsidR="009B1387" w:rsidRPr="00BD22C2">
        <w:rPr>
          <w:rFonts w:eastAsia="Calibri"/>
          <w:lang w:val="fr-CA" w:eastAsia="en-US"/>
        </w:rPr>
        <w:t xml:space="preserve">u développement et au maintien d’un climat social propice </w:t>
      </w:r>
      <w:r w:rsidR="008C54C3" w:rsidRPr="00BD22C2">
        <w:rPr>
          <w:rFonts w:eastAsia="Calibri"/>
          <w:lang w:val="fr-CA" w:eastAsia="en-US"/>
        </w:rPr>
        <w:t xml:space="preserve">à la </w:t>
      </w:r>
      <w:r w:rsidR="003E77EC" w:rsidRPr="00BD22C2">
        <w:rPr>
          <w:rFonts w:eastAsia="Calibri"/>
          <w:lang w:val="fr-CA" w:eastAsia="en-US"/>
        </w:rPr>
        <w:t>réalisation des droits d</w:t>
      </w:r>
      <w:r w:rsidR="005B70F5" w:rsidRPr="00BD22C2">
        <w:rPr>
          <w:rFonts w:eastAsia="Calibri"/>
          <w:lang w:val="fr-CA" w:eastAsia="en-US"/>
        </w:rPr>
        <w:t>e la personne</w:t>
      </w:r>
      <w:r w:rsidR="00D559B1" w:rsidRPr="00BD22C2">
        <w:rPr>
          <w:rFonts w:eastAsia="Calibri"/>
          <w:lang w:val="fr-CA" w:eastAsia="en-US"/>
        </w:rPr>
        <w:t xml:space="preserve">, y compris ceux des personnes trans et non binaires. </w:t>
      </w:r>
      <w:r w:rsidR="00173C7E" w:rsidRPr="00BD22C2">
        <w:rPr>
          <w:rFonts w:eastAsia="Calibri"/>
          <w:lang w:val="fr-CA" w:eastAsia="en-US"/>
        </w:rPr>
        <w:t xml:space="preserve">Le plein respect du droit à l’égalité réelle de ces dernières requiert </w:t>
      </w:r>
      <w:r w:rsidR="00FF288A" w:rsidRPr="00BD22C2">
        <w:rPr>
          <w:rFonts w:eastAsia="Calibri"/>
          <w:lang w:val="fr-CA" w:eastAsia="en-US"/>
        </w:rPr>
        <w:t xml:space="preserve">en effet </w:t>
      </w:r>
      <w:r w:rsidR="00FF288A" w:rsidRPr="00BD22C2" w:rsidDel="007E2419">
        <w:rPr>
          <w:rFonts w:eastAsia="Calibri"/>
          <w:lang w:val="fr-CA" w:eastAsia="en-US"/>
        </w:rPr>
        <w:t>q</w:t>
      </w:r>
      <w:r w:rsidR="002541D9" w:rsidRPr="00BD22C2" w:rsidDel="007E2419">
        <w:rPr>
          <w:rFonts w:eastAsia="Calibri"/>
          <w:lang w:val="fr-CA" w:eastAsia="en-US"/>
        </w:rPr>
        <w:t xml:space="preserve">ue </w:t>
      </w:r>
      <w:r w:rsidR="007E2419" w:rsidRPr="00BD22C2">
        <w:rPr>
          <w:rFonts w:eastAsia="Calibri"/>
          <w:lang w:val="fr-CA" w:eastAsia="en-US"/>
        </w:rPr>
        <w:t>le</w:t>
      </w:r>
      <w:r w:rsidR="00444C9F" w:rsidRPr="00BD22C2">
        <w:rPr>
          <w:rFonts w:eastAsia="Calibri"/>
          <w:lang w:val="fr-CA" w:eastAsia="en-US"/>
        </w:rPr>
        <w:t>s</w:t>
      </w:r>
      <w:r w:rsidR="007E2419" w:rsidRPr="00BD22C2">
        <w:rPr>
          <w:rFonts w:eastAsia="Calibri"/>
          <w:lang w:val="fr-CA" w:eastAsia="en-US"/>
        </w:rPr>
        <w:t xml:space="preserve"> personnes</w:t>
      </w:r>
      <w:r w:rsidR="002541D9" w:rsidRPr="00BD22C2">
        <w:rPr>
          <w:rFonts w:eastAsia="Calibri"/>
          <w:lang w:val="fr-CA" w:eastAsia="en-US"/>
        </w:rPr>
        <w:t xml:space="preserve"> œuvrant dans </w:t>
      </w:r>
      <w:r w:rsidR="007E2419" w:rsidRPr="00BD22C2">
        <w:rPr>
          <w:rFonts w:eastAsia="Calibri"/>
          <w:lang w:val="fr-CA" w:eastAsia="en-US"/>
        </w:rPr>
        <w:t>les</w:t>
      </w:r>
      <w:r w:rsidR="002541D9" w:rsidRPr="00BD22C2">
        <w:rPr>
          <w:rFonts w:eastAsia="Calibri"/>
          <w:lang w:val="fr-CA" w:eastAsia="en-US"/>
        </w:rPr>
        <w:t xml:space="preserve"> i</w:t>
      </w:r>
      <w:r w:rsidR="00C41690" w:rsidRPr="00BD22C2">
        <w:rPr>
          <w:rFonts w:eastAsia="Calibri"/>
          <w:lang w:val="fr-CA" w:eastAsia="en-US"/>
        </w:rPr>
        <w:t>nstitutions publiques</w:t>
      </w:r>
      <w:r w:rsidR="002541D9" w:rsidRPr="00BD22C2">
        <w:rPr>
          <w:rFonts w:eastAsia="Calibri"/>
          <w:lang w:val="fr-CA" w:eastAsia="en-US"/>
        </w:rPr>
        <w:t>,</w:t>
      </w:r>
      <w:r w:rsidR="00C41690" w:rsidRPr="00BD22C2">
        <w:rPr>
          <w:rFonts w:eastAsia="Calibri"/>
          <w:lang w:val="fr-CA" w:eastAsia="en-US"/>
        </w:rPr>
        <w:t xml:space="preserve"> </w:t>
      </w:r>
      <w:r w:rsidR="007E2419" w:rsidRPr="00BD22C2">
        <w:rPr>
          <w:rFonts w:eastAsia="Calibri"/>
          <w:lang w:val="fr-CA" w:eastAsia="en-US"/>
        </w:rPr>
        <w:t xml:space="preserve">dont le personnel enseignant, </w:t>
      </w:r>
      <w:r w:rsidR="00C41690" w:rsidRPr="00BD22C2">
        <w:rPr>
          <w:rFonts w:eastAsia="Calibri"/>
          <w:lang w:val="fr-CA" w:eastAsia="en-US"/>
        </w:rPr>
        <w:t>soi</w:t>
      </w:r>
      <w:r w:rsidR="001915F9" w:rsidRPr="00BD22C2">
        <w:rPr>
          <w:rFonts w:eastAsia="Calibri"/>
          <w:lang w:val="fr-CA" w:eastAsia="en-US"/>
        </w:rPr>
        <w:t>en</w:t>
      </w:r>
      <w:r w:rsidR="00C41690" w:rsidRPr="00BD22C2">
        <w:rPr>
          <w:rFonts w:eastAsia="Calibri"/>
          <w:lang w:val="fr-CA" w:eastAsia="en-US"/>
        </w:rPr>
        <w:t>t adéquatement formé</w:t>
      </w:r>
      <w:r w:rsidR="00CC6895" w:rsidRPr="00BD22C2">
        <w:rPr>
          <w:rFonts w:eastAsia="Calibri"/>
          <w:lang w:val="fr-CA" w:eastAsia="en-US"/>
        </w:rPr>
        <w:t>es</w:t>
      </w:r>
      <w:r w:rsidR="00C41690" w:rsidRPr="00BD22C2">
        <w:rPr>
          <w:rFonts w:eastAsia="Calibri"/>
          <w:lang w:val="fr-CA" w:eastAsia="en-US"/>
        </w:rPr>
        <w:t xml:space="preserve"> en matière de droits et libertés, ainsi qu’au sujet des </w:t>
      </w:r>
      <w:r w:rsidR="004E4AFF" w:rsidRPr="00BD22C2">
        <w:rPr>
          <w:rFonts w:eastAsia="Calibri"/>
          <w:lang w:val="fr-CA" w:eastAsia="en-US"/>
        </w:rPr>
        <w:t>réalités et besoins des personnes trans et non binaires.</w:t>
      </w:r>
      <w:r w:rsidR="0058314B" w:rsidRPr="00BD22C2">
        <w:rPr>
          <w:rFonts w:eastAsia="Calibri"/>
          <w:lang w:val="fr-CA" w:eastAsia="en-US"/>
        </w:rPr>
        <w:t xml:space="preserve"> </w:t>
      </w:r>
      <w:r w:rsidR="00F07B83" w:rsidRPr="00BD22C2">
        <w:rPr>
          <w:rFonts w:eastAsia="Calibri"/>
          <w:lang w:val="fr-CA" w:eastAsia="en-US"/>
        </w:rPr>
        <w:t xml:space="preserve">La Commission insiste </w:t>
      </w:r>
      <w:r w:rsidR="007C19E2" w:rsidRPr="00BD22C2">
        <w:rPr>
          <w:rFonts w:eastAsia="Calibri"/>
          <w:lang w:val="fr-CA" w:eastAsia="en-US"/>
        </w:rPr>
        <w:t>entre autres sur l</w:t>
      </w:r>
      <w:r w:rsidR="00414CB5" w:rsidRPr="00BD22C2">
        <w:rPr>
          <w:rFonts w:eastAsia="Calibri"/>
          <w:lang w:val="fr-CA" w:eastAsia="en-US"/>
        </w:rPr>
        <w:t xml:space="preserve">e fait que </w:t>
      </w:r>
      <w:r w:rsidR="00414CB5" w:rsidRPr="00BD22C2">
        <w:rPr>
          <w:rFonts w:eastAsia="Calibri"/>
          <w:lang w:val="fr-CA" w:eastAsia="en-US"/>
        </w:rPr>
        <w:lastRenderedPageBreak/>
        <w:t xml:space="preserve">l’inclusion dans le milieu scolaire doit passer </w:t>
      </w:r>
      <w:r w:rsidR="00C22496" w:rsidRPr="00BD22C2">
        <w:rPr>
          <w:rFonts w:eastAsia="Calibri"/>
          <w:lang w:val="fr-CA" w:eastAsia="en-US"/>
        </w:rPr>
        <w:t>autant par le contenu enseigné que par les pratiques quotidiennes, dont le respect de l’identité et de l’expression de genre des élèves.</w:t>
      </w:r>
    </w:p>
    <w:p w14:paraId="323F90E0" w14:textId="753B5A62" w:rsidR="006D39E0" w:rsidRPr="00BD22C2" w:rsidRDefault="00501F6A" w:rsidP="006D39E0">
      <w:pPr>
        <w:pStyle w:val="Corpsdetexte"/>
        <w:rPr>
          <w:rFonts w:eastAsia="Calibri"/>
          <w:lang w:eastAsia="en-US"/>
        </w:rPr>
      </w:pPr>
      <w:r w:rsidRPr="00BD22C2">
        <w:rPr>
          <w:rFonts w:eastAsia="Calibri"/>
          <w:lang w:eastAsia="en-US"/>
        </w:rPr>
        <w:t xml:space="preserve">La Commission est consciente </w:t>
      </w:r>
      <w:r w:rsidR="004C45F6" w:rsidRPr="00BD22C2">
        <w:rPr>
          <w:rFonts w:eastAsia="Calibri"/>
          <w:lang w:eastAsia="en-US"/>
        </w:rPr>
        <w:t>qu’on ne peut sans doute offrir de réponses</w:t>
      </w:r>
      <w:r w:rsidRPr="00BD22C2">
        <w:rPr>
          <w:rFonts w:eastAsia="Calibri"/>
          <w:lang w:eastAsia="en-US"/>
        </w:rPr>
        <w:t xml:space="preserve"> définitives </w:t>
      </w:r>
      <w:r w:rsidR="004C45F6" w:rsidRPr="00BD22C2">
        <w:rPr>
          <w:rFonts w:eastAsia="Calibri"/>
          <w:lang w:eastAsia="en-US"/>
        </w:rPr>
        <w:t xml:space="preserve">aux </w:t>
      </w:r>
      <w:r w:rsidRPr="00BD22C2">
        <w:rPr>
          <w:rFonts w:eastAsia="Calibri"/>
          <w:lang w:eastAsia="en-US"/>
        </w:rPr>
        <w:t>questions complexes</w:t>
      </w:r>
      <w:r w:rsidR="004C45F6" w:rsidRPr="00BD22C2">
        <w:rPr>
          <w:rFonts w:eastAsia="Calibri"/>
          <w:lang w:eastAsia="en-US"/>
        </w:rPr>
        <w:t xml:space="preserve"> </w:t>
      </w:r>
      <w:r w:rsidR="00205A4D" w:rsidRPr="00BD22C2">
        <w:rPr>
          <w:rFonts w:eastAsia="Calibri"/>
          <w:lang w:eastAsia="en-US"/>
        </w:rPr>
        <w:t>sur lesquelles porte le mandat du Comité de sages</w:t>
      </w:r>
      <w:r w:rsidRPr="00BD22C2">
        <w:rPr>
          <w:rFonts w:eastAsia="Calibri"/>
          <w:lang w:eastAsia="en-US"/>
        </w:rPr>
        <w:t>.</w:t>
      </w:r>
      <w:r w:rsidR="00C22496" w:rsidRPr="00BD22C2">
        <w:rPr>
          <w:rFonts w:eastAsia="Calibri"/>
          <w:lang w:eastAsia="en-US"/>
        </w:rPr>
        <w:t xml:space="preserve"> Elle est toutefois confiante </w:t>
      </w:r>
      <w:r w:rsidR="00205A4D" w:rsidRPr="00BD22C2">
        <w:rPr>
          <w:rFonts w:eastAsia="Calibri"/>
          <w:lang w:eastAsia="en-US"/>
        </w:rPr>
        <w:t>que son mémoire</w:t>
      </w:r>
      <w:r w:rsidR="00C22496" w:rsidRPr="00BD22C2">
        <w:rPr>
          <w:rFonts w:eastAsia="Calibri"/>
          <w:lang w:eastAsia="en-US"/>
        </w:rPr>
        <w:t xml:space="preserve"> saura </w:t>
      </w:r>
      <w:r w:rsidR="00BC52B0" w:rsidRPr="00BD22C2">
        <w:rPr>
          <w:rFonts w:eastAsia="Calibri"/>
          <w:lang w:eastAsia="en-US"/>
        </w:rPr>
        <w:t xml:space="preserve">alimenter une </w:t>
      </w:r>
      <w:r w:rsidR="00372B46" w:rsidRPr="00BD22C2">
        <w:rPr>
          <w:rFonts w:eastAsia="Calibri"/>
          <w:lang w:eastAsia="en-US"/>
        </w:rPr>
        <w:t>réf</w:t>
      </w:r>
      <w:r w:rsidR="00AE3E34" w:rsidRPr="00BD22C2">
        <w:rPr>
          <w:rFonts w:eastAsia="Calibri"/>
          <w:lang w:eastAsia="en-US"/>
        </w:rPr>
        <w:t>le</w:t>
      </w:r>
      <w:r w:rsidR="00E2696C" w:rsidRPr="00BD22C2">
        <w:rPr>
          <w:rFonts w:eastAsia="Calibri"/>
          <w:lang w:eastAsia="en-US"/>
        </w:rPr>
        <w:t xml:space="preserve">xion </w:t>
      </w:r>
      <w:r w:rsidR="001C7C78" w:rsidRPr="00BD22C2">
        <w:rPr>
          <w:rFonts w:eastAsia="Calibri"/>
          <w:lang w:eastAsia="en-US"/>
        </w:rPr>
        <w:t>collective</w:t>
      </w:r>
      <w:r w:rsidR="00220D6F" w:rsidRPr="00BD22C2">
        <w:rPr>
          <w:rFonts w:eastAsia="Calibri"/>
          <w:lang w:eastAsia="en-US"/>
        </w:rPr>
        <w:t xml:space="preserve"> </w:t>
      </w:r>
      <w:r w:rsidR="001C7C78" w:rsidRPr="00BD22C2" w:rsidDel="00D83712">
        <w:rPr>
          <w:rFonts w:eastAsia="Calibri"/>
          <w:lang w:eastAsia="en-US"/>
        </w:rPr>
        <w:t>qui doit être</w:t>
      </w:r>
      <w:r w:rsidR="001C7C78" w:rsidRPr="00BD22C2">
        <w:rPr>
          <w:rFonts w:eastAsia="Calibri"/>
          <w:lang w:eastAsia="en-US"/>
        </w:rPr>
        <w:t xml:space="preserve"> fondée sur le respect des droits </w:t>
      </w:r>
      <w:r w:rsidR="007F7410" w:rsidRPr="00BD22C2">
        <w:rPr>
          <w:rFonts w:eastAsia="Calibri"/>
          <w:lang w:eastAsia="en-US"/>
        </w:rPr>
        <w:t>et liberté</w:t>
      </w:r>
      <w:r w:rsidR="00296BBA" w:rsidRPr="00BD22C2">
        <w:rPr>
          <w:rFonts w:eastAsia="Calibri"/>
          <w:lang w:eastAsia="en-US"/>
        </w:rPr>
        <w:t>s</w:t>
      </w:r>
      <w:r w:rsidR="00D83712" w:rsidRPr="00BD22C2">
        <w:rPr>
          <w:rFonts w:eastAsia="Calibri"/>
          <w:lang w:eastAsia="en-US"/>
        </w:rPr>
        <w:t xml:space="preserve"> consacrés </w:t>
      </w:r>
      <w:r w:rsidR="005F5929" w:rsidRPr="00BD22C2">
        <w:rPr>
          <w:rFonts w:eastAsia="Calibri"/>
          <w:lang w:eastAsia="en-US"/>
        </w:rPr>
        <w:t xml:space="preserve">dans la Charte </w:t>
      </w:r>
      <w:r w:rsidR="00A1377D" w:rsidRPr="00BD22C2">
        <w:rPr>
          <w:rFonts w:eastAsia="Calibri"/>
          <w:lang w:eastAsia="en-US"/>
        </w:rPr>
        <w:t>québécoise</w:t>
      </w:r>
      <w:r w:rsidR="00164279" w:rsidRPr="00BD22C2">
        <w:rPr>
          <w:rFonts w:eastAsia="Calibri"/>
          <w:lang w:eastAsia="en-US"/>
        </w:rPr>
        <w:t xml:space="preserve"> </w:t>
      </w:r>
      <w:r w:rsidR="001C7C78" w:rsidRPr="00BD22C2">
        <w:rPr>
          <w:rFonts w:eastAsia="Calibri"/>
          <w:lang w:eastAsia="en-US"/>
        </w:rPr>
        <w:t xml:space="preserve">et </w:t>
      </w:r>
      <w:r w:rsidR="00BF1285" w:rsidRPr="00BD22C2" w:rsidDel="00220D6F">
        <w:rPr>
          <w:rFonts w:eastAsia="Calibri"/>
          <w:lang w:eastAsia="en-US"/>
        </w:rPr>
        <w:t>menée avec ouverture</w:t>
      </w:r>
      <w:r w:rsidR="00BF1285" w:rsidRPr="00BD22C2">
        <w:rPr>
          <w:rFonts w:eastAsia="Calibri"/>
          <w:lang w:eastAsia="en-US"/>
        </w:rPr>
        <w:t>.</w:t>
      </w:r>
      <w:r w:rsidR="00C82E58" w:rsidRPr="00BD22C2">
        <w:rPr>
          <w:rFonts w:eastAsia="Calibri"/>
          <w:lang w:eastAsia="en-US"/>
        </w:rPr>
        <w:t xml:space="preserve"> </w:t>
      </w:r>
      <w:r w:rsidR="006D39E0" w:rsidRPr="00BD22C2">
        <w:rPr>
          <w:rFonts w:eastAsia="Calibri"/>
          <w:lang w:eastAsia="en-US"/>
        </w:rPr>
        <w:t>C’est dans cet esprit que la Commission formule les recommandations suivantes :</w:t>
      </w:r>
    </w:p>
    <w:p w14:paraId="310C0469" w14:textId="77777777" w:rsidR="007D41B4" w:rsidRPr="00BD22C2" w:rsidRDefault="007D41B4" w:rsidP="007D41B4">
      <w:pPr>
        <w:pStyle w:val="TitreRecommandation"/>
      </w:pPr>
      <w:r w:rsidRPr="00BD22C2">
        <w:t>RECOMMANDATION 1</w:t>
      </w:r>
    </w:p>
    <w:p w14:paraId="3511FD79" w14:textId="77777777" w:rsidR="007D41B4" w:rsidRPr="00BD22C2" w:rsidRDefault="007D41B4" w:rsidP="007D41B4">
      <w:pPr>
        <w:pStyle w:val="Texterecommandation"/>
        <w:ind w:left="706" w:firstLine="3"/>
      </w:pPr>
      <w:r w:rsidRPr="00BD22C2">
        <w:t>La Commission recommande que le Comité de sages sur l’identité de genre invite le gouvernement à réviser la Politique de lutte contre l’homophobie de façon à réaffirmer l’engagement du Québec en faveur du respect des droits des personnes LGBTQ+. Cette nouvelle version de la politique devrait notamment inclure les éléments suivants :</w:t>
      </w:r>
    </w:p>
    <w:p w14:paraId="0E35CFD2" w14:textId="77777777" w:rsidR="007D41B4" w:rsidRPr="00BD22C2" w:rsidRDefault="007D41B4" w:rsidP="007D41B4">
      <w:pPr>
        <w:pStyle w:val="Texterecommandation"/>
        <w:numPr>
          <w:ilvl w:val="0"/>
          <w:numId w:val="17"/>
        </w:numPr>
        <w:tabs>
          <w:tab w:val="clear" w:pos="709"/>
          <w:tab w:val="left" w:pos="1134"/>
        </w:tabs>
        <w:ind w:left="1134"/>
      </w:pPr>
      <w:r w:rsidRPr="00BD22C2">
        <w:t>La lutte contre l’homophobie et la transphobie ;</w:t>
      </w:r>
    </w:p>
    <w:p w14:paraId="41725BFE" w14:textId="77777777" w:rsidR="007D41B4" w:rsidRPr="00BD22C2" w:rsidRDefault="007D41B4" w:rsidP="007D41B4">
      <w:pPr>
        <w:pStyle w:val="Texterecommandation"/>
        <w:numPr>
          <w:ilvl w:val="0"/>
          <w:numId w:val="17"/>
        </w:numPr>
        <w:tabs>
          <w:tab w:val="clear" w:pos="709"/>
          <w:tab w:val="left" w:pos="1134"/>
        </w:tabs>
        <w:ind w:left="1134"/>
      </w:pPr>
      <w:r w:rsidRPr="00BD22C2">
        <w:t xml:space="preserve">L’objectif commun de garantir la réalisation des droits inscrits dans la </w:t>
      </w:r>
      <w:r w:rsidRPr="00BD22C2">
        <w:rPr>
          <w:i/>
        </w:rPr>
        <w:t>Charte</w:t>
      </w:r>
      <w:r w:rsidRPr="00BD22C2" w:rsidDel="00185315">
        <w:rPr>
          <w:i/>
        </w:rPr>
        <w:t xml:space="preserve"> </w:t>
      </w:r>
      <w:r w:rsidRPr="00BD22C2">
        <w:rPr>
          <w:i/>
        </w:rPr>
        <w:t>des droits et libert</w:t>
      </w:r>
      <w:r w:rsidRPr="00BD22C2">
        <w:rPr>
          <w:rFonts w:hint="eastAsia"/>
          <w:i/>
        </w:rPr>
        <w:t>é</w:t>
      </w:r>
      <w:r w:rsidRPr="00BD22C2">
        <w:rPr>
          <w:i/>
        </w:rPr>
        <w:t>s de la personne</w:t>
      </w:r>
      <w:r w:rsidRPr="00BD22C2" w:rsidDel="00185315">
        <w:t xml:space="preserve"> </w:t>
      </w:r>
      <w:r w:rsidRPr="00BD22C2">
        <w:t>en tenant compte de leur caractère universel, indissociable et interdépendant ;</w:t>
      </w:r>
    </w:p>
    <w:p w14:paraId="5B3FFBA9" w14:textId="77777777" w:rsidR="007D41B4" w:rsidRPr="00BD22C2" w:rsidRDefault="007D41B4" w:rsidP="007D41B4">
      <w:pPr>
        <w:pStyle w:val="Paragraphe"/>
        <w:numPr>
          <w:ilvl w:val="0"/>
          <w:numId w:val="17"/>
        </w:numPr>
        <w:spacing w:before="0" w:after="120" w:line="240" w:lineRule="auto"/>
        <w:ind w:left="1134" w:hanging="425"/>
        <w:rPr>
          <w:b/>
          <w:lang w:val="fr-CA"/>
        </w:rPr>
      </w:pPr>
      <w:r w:rsidRPr="00BD22C2">
        <w:rPr>
          <w:b/>
          <w:lang w:val="fr-CA"/>
        </w:rPr>
        <w:t xml:space="preserve">La mise en œuvre effective des droits de l’enfant ; </w:t>
      </w:r>
    </w:p>
    <w:p w14:paraId="40A65ACF" w14:textId="77777777" w:rsidR="007D41B4" w:rsidRPr="00BD22C2" w:rsidRDefault="007D41B4" w:rsidP="007D41B4">
      <w:pPr>
        <w:pStyle w:val="Texterecommandation"/>
        <w:numPr>
          <w:ilvl w:val="0"/>
          <w:numId w:val="17"/>
        </w:numPr>
        <w:tabs>
          <w:tab w:val="clear" w:pos="709"/>
          <w:tab w:val="left" w:pos="1134"/>
        </w:tabs>
        <w:ind w:left="1134"/>
      </w:pPr>
      <w:r w:rsidRPr="00BD22C2">
        <w:t>La reconnaissance du caractère systémique de la discrimination fondée sur l’orientation sexuelle et l’identité ou l’expression de genre que subissent les personnes concernées dans les différentes sphères de leur vie (travail, milieu de l’éducation, soins de santé et services sociaux, sécurité publique, vie familiale, protection de la jeunesse, justice et état civil, logement) ;</w:t>
      </w:r>
    </w:p>
    <w:p w14:paraId="48F69DED" w14:textId="65A039DA" w:rsidR="007D41B4" w:rsidRPr="00BD22C2" w:rsidRDefault="007D41B4" w:rsidP="007D41B4">
      <w:pPr>
        <w:pStyle w:val="Texterecommandation"/>
        <w:numPr>
          <w:ilvl w:val="0"/>
          <w:numId w:val="17"/>
        </w:numPr>
        <w:tabs>
          <w:tab w:val="clear" w:pos="709"/>
          <w:tab w:val="left" w:pos="1134"/>
        </w:tabs>
        <w:ind w:left="1134"/>
      </w:pPr>
      <w:r w:rsidRPr="00BD22C2">
        <w:t>La prise en compte de la situation différenciée des groupes appartenant aux minorités sexuelles et de genre, y compris suivant une approche intersectionnelle tenant compte de l’interaction des motifs de discrimination comme le sexe, la «</w:t>
      </w:r>
      <w:r w:rsidR="00444FEB">
        <w:t> </w:t>
      </w:r>
      <w:r w:rsidRPr="00BD22C2">
        <w:t>race</w:t>
      </w:r>
      <w:r w:rsidR="00444FEB">
        <w:t> </w:t>
      </w:r>
      <w:r w:rsidRPr="00BD22C2">
        <w:t>», l’origine ethnique ou nationale et la condition sociale ;</w:t>
      </w:r>
    </w:p>
    <w:p w14:paraId="38156810" w14:textId="77777777" w:rsidR="007D41B4" w:rsidRPr="00BD22C2" w:rsidRDefault="007D41B4" w:rsidP="007D41B4">
      <w:pPr>
        <w:pStyle w:val="Texterecommandation"/>
        <w:numPr>
          <w:ilvl w:val="0"/>
          <w:numId w:val="17"/>
        </w:numPr>
        <w:tabs>
          <w:tab w:val="clear" w:pos="709"/>
          <w:tab w:val="left" w:pos="1134"/>
        </w:tabs>
        <w:ind w:left="1134"/>
      </w:pPr>
      <w:r w:rsidRPr="00BD22C2">
        <w:t>La participation, la consultation et l’écoute des groupes communautaires LGBTQ+ et des personnes concernées au sujet de la définition et de la mise en œuvre des mesures ;</w:t>
      </w:r>
    </w:p>
    <w:p w14:paraId="2845F4EC" w14:textId="77777777" w:rsidR="007D41B4" w:rsidRPr="00BD22C2" w:rsidRDefault="007D41B4" w:rsidP="007D41B4">
      <w:pPr>
        <w:pStyle w:val="Texterecommandation"/>
        <w:numPr>
          <w:ilvl w:val="0"/>
          <w:numId w:val="17"/>
        </w:numPr>
        <w:tabs>
          <w:tab w:val="clear" w:pos="709"/>
          <w:tab w:val="left" w:pos="1134"/>
        </w:tabs>
        <w:ind w:left="1134"/>
      </w:pPr>
      <w:r w:rsidRPr="00BD22C2">
        <w:t>Le soutien financier pérenne aux organismes communautaires LGBTQ+ ;</w:t>
      </w:r>
    </w:p>
    <w:p w14:paraId="1ED1C3AC" w14:textId="77777777" w:rsidR="007D41B4" w:rsidRPr="00BD22C2" w:rsidRDefault="007D41B4" w:rsidP="007D41B4">
      <w:pPr>
        <w:pStyle w:val="Texterecommandation"/>
        <w:numPr>
          <w:ilvl w:val="0"/>
          <w:numId w:val="17"/>
        </w:numPr>
        <w:tabs>
          <w:tab w:val="clear" w:pos="709"/>
          <w:tab w:val="left" w:pos="1134"/>
        </w:tabs>
        <w:ind w:left="1134"/>
      </w:pPr>
      <w:r w:rsidRPr="00BD22C2">
        <w:t>Le soutien à la recherche sur les réalités et besoins des personnes LGBTQ+, ainsi que sur l’homophobie et la transphobie ;</w:t>
      </w:r>
    </w:p>
    <w:p w14:paraId="704C7154" w14:textId="77777777" w:rsidR="007D41B4" w:rsidRPr="00BD22C2" w:rsidRDefault="007D41B4" w:rsidP="007D41B4">
      <w:pPr>
        <w:pStyle w:val="Texterecommandation"/>
        <w:numPr>
          <w:ilvl w:val="0"/>
          <w:numId w:val="17"/>
        </w:numPr>
        <w:tabs>
          <w:tab w:val="clear" w:pos="709"/>
          <w:tab w:val="left" w:pos="1134"/>
        </w:tabs>
        <w:ind w:left="1134"/>
      </w:pPr>
      <w:r w:rsidRPr="00BD22C2">
        <w:t>L’élaboration de politiques publiques adaptées aux réalités des personnes LGBTQ+ et fondées sur la recherche ;</w:t>
      </w:r>
    </w:p>
    <w:p w14:paraId="3FA4872C" w14:textId="77777777" w:rsidR="007D41B4" w:rsidRPr="00BD22C2" w:rsidRDefault="007D41B4" w:rsidP="007D41B4">
      <w:pPr>
        <w:pStyle w:val="Texterecommandation"/>
        <w:numPr>
          <w:ilvl w:val="0"/>
          <w:numId w:val="17"/>
        </w:numPr>
        <w:tabs>
          <w:tab w:val="clear" w:pos="709"/>
          <w:tab w:val="left" w:pos="1134"/>
        </w:tabs>
        <w:ind w:left="1134"/>
      </w:pPr>
      <w:r w:rsidRPr="00BD22C2">
        <w:lastRenderedPageBreak/>
        <w:t>La concertation entre l’ensemble des ministères et organismes concernés par la lutte contre l’homophobie et la transphobie.</w:t>
      </w:r>
    </w:p>
    <w:p w14:paraId="7C9B9A28" w14:textId="77777777" w:rsidR="007D41B4" w:rsidRPr="00BD22C2" w:rsidRDefault="007D41B4" w:rsidP="007D41B4">
      <w:pPr>
        <w:pStyle w:val="TitreRecommandation"/>
        <w:rPr>
          <w:lang w:eastAsia="en-US"/>
        </w:rPr>
      </w:pPr>
      <w:r w:rsidRPr="00BD22C2">
        <w:rPr>
          <w:lang w:eastAsia="en-US"/>
        </w:rPr>
        <w:t>RECOMMANDATION 2</w:t>
      </w:r>
    </w:p>
    <w:p w14:paraId="7875F48D" w14:textId="77777777" w:rsidR="007D41B4" w:rsidRPr="00BD22C2" w:rsidRDefault="007D41B4" w:rsidP="007D41B4">
      <w:pPr>
        <w:pStyle w:val="Texterecommandation"/>
        <w:ind w:left="709" w:firstLine="0"/>
      </w:pPr>
      <w:r w:rsidRPr="00BD22C2">
        <w:t>La Commission recommande au Comité de sages sur l’identité de genre de tenir compte, pour l’ensemble des secteurs visés par son mandat, du caractère historique des discriminations à l’égard des personnes trans et non binaires qui sont notamment alimentées par leur pathologisation et le profilage discriminatoire, et ce, de façon à s’assurer de mieux lutter contre celles-ci.</w:t>
      </w:r>
    </w:p>
    <w:p w14:paraId="45AEFF6A" w14:textId="301F9C6A" w:rsidR="007D41B4" w:rsidRPr="00BD22C2" w:rsidRDefault="007D41B4" w:rsidP="007D41B4">
      <w:pPr>
        <w:pStyle w:val="TitreRecommandation"/>
        <w:rPr>
          <w:rFonts w:eastAsia="Calibri"/>
          <w:lang w:eastAsia="en-US"/>
        </w:rPr>
      </w:pPr>
      <w:r w:rsidRPr="00BD22C2">
        <w:rPr>
          <w:rFonts w:eastAsia="Calibri"/>
          <w:lang w:eastAsia="en-US"/>
        </w:rPr>
        <w:t>Recommandation</w:t>
      </w:r>
      <w:r w:rsidR="00EB7056">
        <w:rPr>
          <w:rFonts w:eastAsia="Calibri"/>
          <w:lang w:eastAsia="en-US"/>
        </w:rPr>
        <w:t> </w:t>
      </w:r>
      <w:r w:rsidRPr="00BD22C2">
        <w:rPr>
          <w:rFonts w:eastAsia="Calibri"/>
          <w:lang w:eastAsia="en-US"/>
        </w:rPr>
        <w:t>3</w:t>
      </w:r>
    </w:p>
    <w:p w14:paraId="6589693C" w14:textId="77777777" w:rsidR="007D41B4" w:rsidRPr="00BD22C2" w:rsidRDefault="007D41B4" w:rsidP="007D41B4">
      <w:pPr>
        <w:pStyle w:val="Texterecommandation"/>
        <w:ind w:left="709" w:firstLine="0"/>
      </w:pPr>
      <w:r w:rsidRPr="00BD22C2">
        <w:rPr>
          <w:lang w:eastAsia="en-US"/>
        </w:rPr>
        <w:t xml:space="preserve">La Commission recommande que </w:t>
      </w:r>
      <w:r w:rsidRPr="00BD22C2">
        <w:t>le Comité de sages sur l’identité de genre invite le gouvernement à fixer des balises relatives à la définition d’indicateurs uniformes ainsi qu’à une collecte de données désagrégées visant à déceler les manifestations et conséquences de la discrimination, notamment de la discrimination systémique, touchant plus particulièrement les personnes trans et non binaires. Une telle collecte devrait être respectueuse de l’ensemble des droits et libertés de la personne, particulièrement du droit au respect de sa vie privée, et être strictement encadrée à cette fin. Elle pourrait en outre être accompagnée de modalités complémentaires de suivi permettant de documenter de manière qualitative l’expérience de ces dernières.</w:t>
      </w:r>
    </w:p>
    <w:p w14:paraId="639719EE" w14:textId="77777777" w:rsidR="007D41B4" w:rsidRPr="00BD22C2" w:rsidRDefault="007D41B4" w:rsidP="007D41B4">
      <w:pPr>
        <w:pStyle w:val="Texterecommandation"/>
        <w:ind w:left="709" w:firstLine="0"/>
      </w:pPr>
      <w:r w:rsidRPr="00BD22C2">
        <w:t>La Commission recommande aussi que ces balises soient définies en fonction des paramètres déjà formulés par la Commission, compte tenu des adaptations nécessaires, ainsi qu’en collaboration avec des personnes expertes indépendantes en la matière et après consultation de personnes représentant les populations trans et non binaires.</w:t>
      </w:r>
    </w:p>
    <w:p w14:paraId="5719A886" w14:textId="48145A08" w:rsidR="007D41B4" w:rsidRPr="00BD22C2" w:rsidRDefault="007D41B4" w:rsidP="007D41B4">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Pr="00BD22C2">
        <w:rPr>
          <w:rFonts w:eastAsia="Calibri"/>
          <w:lang w:eastAsia="en-US"/>
        </w:rPr>
        <w:t>4</w:t>
      </w:r>
    </w:p>
    <w:p w14:paraId="0E63074E" w14:textId="77777777" w:rsidR="007D41B4" w:rsidRPr="00BD22C2" w:rsidRDefault="007D41B4" w:rsidP="007D41B4">
      <w:pPr>
        <w:pStyle w:val="Texterecommandation"/>
        <w:ind w:left="706" w:firstLine="3"/>
        <w:rPr>
          <w:lang w:eastAsia="en-US"/>
        </w:rPr>
      </w:pPr>
      <w:r w:rsidRPr="00BD22C2">
        <w:rPr>
          <w:lang w:eastAsia="en-US"/>
        </w:rPr>
        <w:t>La Commission recommande au Comité de sages sur l’identité de genre d’aborder l’ensemble des questions qui lui sont soumises et qui concernent les personnes mineures</w:t>
      </w:r>
      <w:r w:rsidRPr="00BD22C2" w:rsidDel="00EF46B6">
        <w:rPr>
          <w:lang w:eastAsia="en-US"/>
        </w:rPr>
        <w:t xml:space="preserve"> </w:t>
      </w:r>
      <w:r w:rsidRPr="00BD22C2">
        <w:rPr>
          <w:lang w:eastAsia="en-US"/>
        </w:rPr>
        <w:t xml:space="preserve">à la lumière de l’approche fondée sur les droits de l’enfant. </w:t>
      </w:r>
    </w:p>
    <w:p w14:paraId="081C0106" w14:textId="47B52B5D" w:rsidR="007D41B4" w:rsidRPr="00BD22C2" w:rsidRDefault="007D41B4" w:rsidP="007D41B4">
      <w:pPr>
        <w:pStyle w:val="TitreRecommandation"/>
        <w:rPr>
          <w:rFonts w:eastAsia="Calibri"/>
        </w:rPr>
      </w:pPr>
      <w:r w:rsidRPr="00BD22C2">
        <w:rPr>
          <w:rFonts w:eastAsia="Calibri"/>
        </w:rPr>
        <w:t>RECOMMANDATION</w:t>
      </w:r>
      <w:r w:rsidR="0091080B">
        <w:rPr>
          <w:rFonts w:eastAsia="Calibri"/>
        </w:rPr>
        <w:t> </w:t>
      </w:r>
      <w:r w:rsidRPr="00BD22C2">
        <w:rPr>
          <w:rFonts w:eastAsia="Calibri"/>
        </w:rPr>
        <w:t>5</w:t>
      </w:r>
    </w:p>
    <w:p w14:paraId="355FF3CF" w14:textId="68352925" w:rsidR="007D41B4" w:rsidRPr="00BD22C2" w:rsidRDefault="007D41B4" w:rsidP="007D41B4">
      <w:pPr>
        <w:pStyle w:val="Texterecommandation"/>
        <w:ind w:left="706" w:firstLine="3"/>
        <w:rPr>
          <w:lang w:eastAsia="en-US"/>
        </w:rPr>
      </w:pPr>
      <w:r w:rsidRPr="00BD22C2">
        <w:rPr>
          <w:lang w:eastAsia="en-US"/>
        </w:rPr>
        <w:t>La Commission recommande au Comité de sages sur l’identité de genre de mettre en place un mécanisme adapté pour recueillir la voix ou la perspective des enfants et des jeunes concernés par son mandat pour mieux tenir compte de leur opinion et d’identifier les enjeux à approfondir sur le sujet. Elle recommande incidemment au Comité de sages sur l’identité de genre d’inviter le gouvernement à prendre tous les moyens nécessaires pour tenir compte de l’opinion des enfants et des jeunes dans sa réponse à son rapport.</w:t>
      </w:r>
    </w:p>
    <w:p w14:paraId="424FC2D7" w14:textId="0FDBFD80" w:rsidR="007D41B4" w:rsidRPr="00BD22C2" w:rsidRDefault="007D41B4" w:rsidP="007D41B4">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Pr="00BD22C2">
        <w:rPr>
          <w:rFonts w:eastAsia="Calibri"/>
          <w:lang w:eastAsia="en-US"/>
        </w:rPr>
        <w:t>6</w:t>
      </w:r>
    </w:p>
    <w:p w14:paraId="08F27FF6" w14:textId="3B1EB065" w:rsidR="007D41B4" w:rsidRPr="00BD22C2" w:rsidRDefault="007D41B4" w:rsidP="007D41B4">
      <w:pPr>
        <w:pStyle w:val="Texterecommandation"/>
        <w:ind w:left="706" w:firstLine="3"/>
        <w:rPr>
          <w:lang w:eastAsia="en-US"/>
        </w:rPr>
      </w:pPr>
      <w:r w:rsidRPr="00BD22C2">
        <w:rPr>
          <w:bCs/>
          <w:lang w:eastAsia="en-US"/>
        </w:rPr>
        <w:t>La Commission recommande au Comité de sages sur l’identité de genre</w:t>
      </w:r>
      <w:r w:rsidRPr="00BD22C2">
        <w:rPr>
          <w:lang w:eastAsia="en-US"/>
        </w:rPr>
        <w:t xml:space="preserve"> d’accorder une attention particulière à l’amélioration du soutien disponible et à l</w:t>
      </w:r>
      <w:r w:rsidR="002315A0" w:rsidRPr="00BD22C2">
        <w:rPr>
          <w:lang w:eastAsia="en-US"/>
        </w:rPr>
        <w:t>’</w:t>
      </w:r>
      <w:r w:rsidRPr="00BD22C2">
        <w:rPr>
          <w:lang w:eastAsia="en-US"/>
        </w:rPr>
        <w:t xml:space="preserve">accès à celui-ci pour les enfants </w:t>
      </w:r>
      <w:r w:rsidR="001241E5" w:rsidRPr="00BD22C2">
        <w:rPr>
          <w:lang w:eastAsia="en-US"/>
        </w:rPr>
        <w:t>et</w:t>
      </w:r>
      <w:r w:rsidRPr="00BD22C2">
        <w:rPr>
          <w:lang w:eastAsia="en-US"/>
        </w:rPr>
        <w:t xml:space="preserve"> les jeunes trans et non binaires et </w:t>
      </w:r>
      <w:r w:rsidRPr="00BD22C2">
        <w:rPr>
          <w:bCs/>
          <w:lang w:eastAsia="en-US"/>
        </w:rPr>
        <w:t>leurs</w:t>
      </w:r>
      <w:r w:rsidRPr="00BD22C2">
        <w:rPr>
          <w:lang w:eastAsia="en-US"/>
        </w:rPr>
        <w:t xml:space="preserve"> parents, tout au long </w:t>
      </w:r>
      <w:r w:rsidRPr="00BD22C2">
        <w:rPr>
          <w:bCs/>
          <w:lang w:eastAsia="en-US"/>
        </w:rPr>
        <w:t>du</w:t>
      </w:r>
      <w:r w:rsidRPr="00BD22C2">
        <w:rPr>
          <w:lang w:eastAsia="en-US"/>
        </w:rPr>
        <w:t xml:space="preserve"> processus</w:t>
      </w:r>
      <w:r w:rsidRPr="00BD22C2">
        <w:rPr>
          <w:bCs/>
          <w:lang w:eastAsia="en-US"/>
        </w:rPr>
        <w:t xml:space="preserve"> d’affirmation de genre</w:t>
      </w:r>
      <w:r w:rsidRPr="00BD22C2">
        <w:rPr>
          <w:lang w:eastAsia="en-US"/>
        </w:rPr>
        <w:t xml:space="preserve">, et ce, dans l’ensemble </w:t>
      </w:r>
      <w:r w:rsidRPr="00BD22C2">
        <w:rPr>
          <w:lang w:eastAsia="en-US"/>
        </w:rPr>
        <w:lastRenderedPageBreak/>
        <w:t>des institutions que ces enfants et jeunes sont susceptibles de fréquenter</w:t>
      </w:r>
      <w:r w:rsidRPr="00BD22C2">
        <w:rPr>
          <w:bCs/>
          <w:lang w:eastAsia="en-US"/>
        </w:rPr>
        <w:t xml:space="preserve"> (santé et services sociaux, </w:t>
      </w:r>
      <w:r w:rsidRPr="00BD22C2">
        <w:rPr>
          <w:lang w:eastAsia="en-US"/>
        </w:rPr>
        <w:t>écoles</w:t>
      </w:r>
      <w:r w:rsidRPr="00BD22C2">
        <w:rPr>
          <w:bCs/>
          <w:lang w:eastAsia="en-US"/>
        </w:rPr>
        <w:t>, protection de la jeunesse, emploi, milieu communautaire, etc.)</w:t>
      </w:r>
      <w:r w:rsidRPr="00BD22C2">
        <w:rPr>
          <w:lang w:eastAsia="en-US"/>
        </w:rPr>
        <w:t>.</w:t>
      </w:r>
    </w:p>
    <w:p w14:paraId="5A23A947" w14:textId="51F1C784" w:rsidR="007D41B4" w:rsidRPr="00BD22C2" w:rsidRDefault="007D41B4" w:rsidP="007D41B4">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Pr="00BD22C2">
        <w:rPr>
          <w:rFonts w:eastAsia="Calibri"/>
          <w:lang w:eastAsia="en-US"/>
        </w:rPr>
        <w:t xml:space="preserve">7 </w:t>
      </w:r>
    </w:p>
    <w:p w14:paraId="2521E961" w14:textId="661EAF69" w:rsidR="007D41B4" w:rsidRPr="00BD22C2" w:rsidRDefault="007D41B4" w:rsidP="007D41B4">
      <w:pPr>
        <w:pStyle w:val="Texterecommandation"/>
        <w:ind w:left="576" w:firstLine="0"/>
        <w:rPr>
          <w:lang w:eastAsia="en-US"/>
        </w:rPr>
      </w:pPr>
      <w:r w:rsidRPr="00BD22C2">
        <w:rPr>
          <w:lang w:eastAsia="en-US"/>
        </w:rPr>
        <w:t>La Commission recommande que le Comit</w:t>
      </w:r>
      <w:r w:rsidRPr="00BD22C2">
        <w:rPr>
          <w:rFonts w:hint="eastAsia"/>
          <w:lang w:eastAsia="en-US"/>
        </w:rPr>
        <w:t>é</w:t>
      </w:r>
      <w:r w:rsidRPr="00BD22C2">
        <w:rPr>
          <w:lang w:eastAsia="en-US"/>
        </w:rPr>
        <w:t xml:space="preserve"> de sages sur l</w:t>
      </w:r>
      <w:r w:rsidR="006F5C82" w:rsidRPr="00BD22C2">
        <w:rPr>
          <w:lang w:eastAsia="en-US"/>
        </w:rPr>
        <w:t>’</w:t>
      </w:r>
      <w:r w:rsidRPr="00BD22C2">
        <w:rPr>
          <w:lang w:eastAsia="en-US"/>
        </w:rPr>
        <w:t>identit</w:t>
      </w:r>
      <w:r w:rsidRPr="00BD22C2">
        <w:rPr>
          <w:rFonts w:hint="eastAsia"/>
          <w:lang w:eastAsia="en-US"/>
        </w:rPr>
        <w:t>é</w:t>
      </w:r>
      <w:r w:rsidRPr="00BD22C2">
        <w:rPr>
          <w:lang w:eastAsia="en-US"/>
        </w:rPr>
        <w:t xml:space="preserve"> de genre </w:t>
      </w:r>
      <w:r w:rsidRPr="00BD22C2">
        <w:rPr>
          <w:rFonts w:hint="eastAsia"/>
          <w:lang w:eastAsia="en-US"/>
        </w:rPr>
        <w:t>é</w:t>
      </w:r>
      <w:r w:rsidRPr="00BD22C2">
        <w:rPr>
          <w:lang w:eastAsia="en-US"/>
        </w:rPr>
        <w:t>value la possibilit</w:t>
      </w:r>
      <w:r w:rsidRPr="00BD22C2">
        <w:rPr>
          <w:rFonts w:hint="eastAsia"/>
          <w:lang w:eastAsia="en-US"/>
        </w:rPr>
        <w:t>é</w:t>
      </w:r>
      <w:r w:rsidRPr="00BD22C2">
        <w:rPr>
          <w:lang w:eastAsia="en-US"/>
        </w:rPr>
        <w:t xml:space="preserve"> qu’une formation obligatoire soit dispensée à l</w:t>
      </w:r>
      <w:r w:rsidR="006F5C82" w:rsidRPr="00BD22C2">
        <w:rPr>
          <w:lang w:eastAsia="en-US"/>
        </w:rPr>
        <w:t>’</w:t>
      </w:r>
      <w:r w:rsidRPr="00BD22C2">
        <w:rPr>
          <w:lang w:eastAsia="en-US"/>
        </w:rPr>
        <w:t xml:space="preserve">ensemble du personnel offrant des services </w:t>
      </w:r>
      <w:r w:rsidR="006F5C82" w:rsidRPr="00BD22C2">
        <w:rPr>
          <w:lang w:eastAsia="en-US"/>
        </w:rPr>
        <w:t>d’</w:t>
      </w:r>
      <w:r w:rsidRPr="00BD22C2">
        <w:rPr>
          <w:lang w:eastAsia="en-US"/>
        </w:rPr>
        <w:t>intervention en protection de la jeunesse, leur permettant d</w:t>
      </w:r>
      <w:r w:rsidR="006F5C82" w:rsidRPr="00BD22C2">
        <w:rPr>
          <w:lang w:eastAsia="en-US"/>
        </w:rPr>
        <w:t>’</w:t>
      </w:r>
      <w:r w:rsidRPr="00BD22C2">
        <w:rPr>
          <w:lang w:eastAsia="en-US"/>
        </w:rPr>
        <w:t>accompagner et de soutenir, sans biais discriminatoires, ces jeunes et leurs familles dans les d</w:t>
      </w:r>
      <w:r w:rsidRPr="00BD22C2">
        <w:rPr>
          <w:rFonts w:hint="eastAsia"/>
          <w:lang w:eastAsia="en-US"/>
        </w:rPr>
        <w:t>é</w:t>
      </w:r>
      <w:r w:rsidRPr="00BD22C2">
        <w:rPr>
          <w:lang w:eastAsia="en-US"/>
        </w:rPr>
        <w:t>fis qu</w:t>
      </w:r>
      <w:r w:rsidR="00FF4799" w:rsidRPr="00BD22C2">
        <w:rPr>
          <w:lang w:eastAsia="en-US"/>
        </w:rPr>
        <w:t>’</w:t>
      </w:r>
      <w:r w:rsidRPr="00BD22C2">
        <w:rPr>
          <w:lang w:eastAsia="en-US"/>
        </w:rPr>
        <w:t>ils peuvent rencontrer.</w:t>
      </w:r>
    </w:p>
    <w:p w14:paraId="15A3C73E" w14:textId="20A5B726" w:rsidR="007D41B4" w:rsidRPr="00BD22C2" w:rsidRDefault="007D41B4" w:rsidP="007D41B4">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Pr="00BD22C2">
        <w:rPr>
          <w:rFonts w:eastAsia="Calibri"/>
          <w:bCs/>
          <w:lang w:eastAsia="en-US"/>
        </w:rPr>
        <w:t>8</w:t>
      </w:r>
    </w:p>
    <w:p w14:paraId="471F5463" w14:textId="77777777" w:rsidR="007D41B4" w:rsidRPr="00BD22C2" w:rsidRDefault="007D41B4" w:rsidP="007D41B4">
      <w:pPr>
        <w:pStyle w:val="Texterecommandation"/>
        <w:ind w:left="706" w:firstLine="3"/>
        <w:rPr>
          <w:lang w:eastAsia="en-US"/>
        </w:rPr>
      </w:pPr>
      <w:r w:rsidRPr="00BD22C2">
        <w:rPr>
          <w:lang w:eastAsia="en-US"/>
        </w:rPr>
        <w:t xml:space="preserve">La Commission recommande au Comité de sages sur l’identité de genre de fonder ses propositions en lien avec les soins d’affirmation de genre sur le cadre de la </w:t>
      </w:r>
      <w:r w:rsidRPr="00BD22C2">
        <w:rPr>
          <w:i/>
          <w:lang w:eastAsia="en-US"/>
        </w:rPr>
        <w:t>Charte des droits et libertés de la personne</w:t>
      </w:r>
      <w:r w:rsidRPr="00BD22C2">
        <w:rPr>
          <w:lang w:eastAsia="en-US"/>
        </w:rPr>
        <w:t xml:space="preserve">, sur l’approche des droits de l’enfant, ainsi que sur le régime de consentement aux soins déjà prévu par le Code civil du Québec. Celui-ci prévoit notamment de procéder à une évaluation réelle des impacts de chaque type de soin et de leur degré de gravité et de permanence pour chaque jeune qui souhaite les recevoir. </w:t>
      </w:r>
    </w:p>
    <w:p w14:paraId="1470D9AE" w14:textId="31FB794D" w:rsidR="007D41B4" w:rsidRPr="00BD22C2" w:rsidRDefault="007D41B4" w:rsidP="007D41B4">
      <w:pPr>
        <w:pStyle w:val="TitreRecommandation"/>
        <w:rPr>
          <w:lang w:eastAsia="en-US"/>
        </w:rPr>
      </w:pPr>
      <w:r w:rsidRPr="00BD22C2">
        <w:rPr>
          <w:lang w:eastAsia="en-US"/>
        </w:rPr>
        <w:t>recommandation</w:t>
      </w:r>
      <w:r w:rsidR="0091080B">
        <w:rPr>
          <w:lang w:eastAsia="en-US"/>
        </w:rPr>
        <w:t> </w:t>
      </w:r>
      <w:r w:rsidRPr="00BD22C2">
        <w:rPr>
          <w:lang w:eastAsia="en-US"/>
        </w:rPr>
        <w:t>9</w:t>
      </w:r>
    </w:p>
    <w:p w14:paraId="485BB084" w14:textId="77777777" w:rsidR="007D41B4" w:rsidRPr="00BD22C2" w:rsidRDefault="007D41B4" w:rsidP="007D41B4">
      <w:pPr>
        <w:pStyle w:val="Texterecommandation"/>
        <w:ind w:left="706" w:firstLine="3"/>
        <w:rPr>
          <w:lang w:eastAsia="en-US"/>
        </w:rPr>
      </w:pPr>
      <w:r w:rsidRPr="00BD22C2">
        <w:rPr>
          <w:lang w:eastAsia="en-US"/>
        </w:rPr>
        <w:t xml:space="preserve">La Commission recommande au Comité de sages sur l’identité de genre d’évaluer, dans le cadre de ses travaux, la conformité de l’offre de soins et services d’affirmation de genre aux exigences du droit à la santé, notamment en s’assurant qu’ils sont de qualité, dispensés en temps opportun et conformément aux normes professionnelles reconnues, donnés par des personnes adéquatement formées, accessibles économiquement et géographiquement, et ce, sans discrimination, de façon à permettre aux personnes trans et non binaires </w:t>
      </w:r>
      <w:r w:rsidRPr="00BD22C2">
        <w:t>de jouir du meilleur état de santé physique et mentale qu’elles puissent atteindre.</w:t>
      </w:r>
    </w:p>
    <w:p w14:paraId="008F9CA9" w14:textId="3B848325" w:rsidR="007D41B4" w:rsidRPr="00BD22C2" w:rsidRDefault="007D41B4" w:rsidP="007D41B4">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Pr="00BD22C2">
        <w:rPr>
          <w:rFonts w:eastAsia="Calibri"/>
          <w:lang w:eastAsia="en-US"/>
        </w:rPr>
        <w:t>10</w:t>
      </w:r>
    </w:p>
    <w:p w14:paraId="2079B7AB" w14:textId="77777777" w:rsidR="007D41B4" w:rsidRPr="00BD22C2" w:rsidRDefault="007D41B4" w:rsidP="007D41B4">
      <w:pPr>
        <w:pStyle w:val="Texterecommandation"/>
        <w:ind w:left="706" w:firstLine="3"/>
        <w:rPr>
          <w:lang w:eastAsia="en-US"/>
        </w:rPr>
      </w:pPr>
      <w:r w:rsidRPr="00BD22C2">
        <w:rPr>
          <w:lang w:eastAsia="en-US"/>
        </w:rPr>
        <w:t xml:space="preserve">La Commission recommande au Comité de sages sur l’identité de genre d’évaluer, dans le cadre de ses travaux, l’accessibilité, notamment sans obstacles discriminatoires, à tous les soins de santé et services sociaux pour les personnes trans et non binaires de façon à s’assurer qu’elles puissent jouir </w:t>
      </w:r>
      <w:r w:rsidRPr="00BD22C2">
        <w:t>du meilleur état de santé physique et mentale possible.</w:t>
      </w:r>
    </w:p>
    <w:p w14:paraId="7670E9C8" w14:textId="793B3FAD" w:rsidR="007D41B4" w:rsidRPr="00BD22C2" w:rsidRDefault="007D41B4" w:rsidP="007D41B4">
      <w:pPr>
        <w:pStyle w:val="TitreRecommandation"/>
      </w:pPr>
      <w:r w:rsidRPr="00BD22C2">
        <w:t>Recommandation</w:t>
      </w:r>
      <w:r w:rsidR="0091080B">
        <w:t> </w:t>
      </w:r>
      <w:r w:rsidRPr="00BD22C2">
        <w:t>11</w:t>
      </w:r>
    </w:p>
    <w:p w14:paraId="64C59A2F" w14:textId="77777777" w:rsidR="007D41B4" w:rsidRPr="00BD22C2" w:rsidRDefault="007D41B4" w:rsidP="007D41B4">
      <w:pPr>
        <w:pStyle w:val="Texterecommandation"/>
        <w:ind w:left="706" w:firstLine="3"/>
      </w:pPr>
      <w:r w:rsidRPr="00BD22C2">
        <w:t xml:space="preserve">La Commission recommande au Comité de sages sur l’identité de genre d’écarter l’idée de conditionner l’accès à certains lieux, espaces ou postes habituellement réservés aux hommes ou aux femmes à toute forme de vérification du sexe ou de l’identité de genre afin de ne pas alimenter le profilage discriminatoire et de respecter le droit des personnes trans ou non binaires d’y avoir accès en toute </w:t>
      </w:r>
      <w:proofErr w:type="spellStart"/>
      <w:r w:rsidRPr="00BD22C2">
        <w:t>égalité</w:t>
      </w:r>
      <w:proofErr w:type="spellEnd"/>
      <w:r w:rsidRPr="00BD22C2">
        <w:t>.</w:t>
      </w:r>
    </w:p>
    <w:p w14:paraId="5B58E723" w14:textId="2EAD25C8" w:rsidR="007D41B4" w:rsidRPr="00BD22C2" w:rsidRDefault="007D41B4" w:rsidP="00EF340B">
      <w:pPr>
        <w:pStyle w:val="TitreRecommandation"/>
        <w:keepNext/>
        <w:keepLines/>
      </w:pPr>
      <w:r w:rsidRPr="00BD22C2">
        <w:lastRenderedPageBreak/>
        <w:t>recommandation</w:t>
      </w:r>
      <w:r w:rsidR="0091080B">
        <w:t> </w:t>
      </w:r>
      <w:r w:rsidRPr="00BD22C2">
        <w:t>12</w:t>
      </w:r>
    </w:p>
    <w:p w14:paraId="7CA80E57" w14:textId="77777777" w:rsidR="007D41B4" w:rsidRPr="00BD22C2" w:rsidRDefault="007D41B4" w:rsidP="007D41B4">
      <w:pPr>
        <w:pStyle w:val="Texterecommandation"/>
        <w:ind w:left="706" w:firstLine="3"/>
      </w:pPr>
      <w:r w:rsidRPr="00BD22C2">
        <w:t>La Commission recommande au Comité de sages sur l’identité de genre d’aborder l’enjeu de la sécurité dans les toilettes et vestiaires suivant une approche inclusive tenant compte des droits de toutes les personnes utilisatrices, dont le fait que les personnes trans ou non binaires sont les plus susceptibles de voir leurs droits compromis dans l’accès à ces lieux. Une telle approche devrait être axée sur la prévention, par la mise en place de conditions susceptibles de favoriser le respect des droits de toutes les personnes, qu’il soit question d’espaces mixtes ou non mixtes sur le plan du sexe et du genre.</w:t>
      </w:r>
    </w:p>
    <w:p w14:paraId="62F1582A" w14:textId="6942BAA3" w:rsidR="00502773" w:rsidRPr="00BD22C2" w:rsidRDefault="00502773" w:rsidP="00502773">
      <w:pPr>
        <w:pStyle w:val="TitreRecommandation"/>
      </w:pPr>
      <w:r w:rsidRPr="00BD22C2">
        <w:t>recommandation</w:t>
      </w:r>
      <w:r w:rsidR="0091080B">
        <w:t> </w:t>
      </w:r>
      <w:r w:rsidRPr="00BD22C2">
        <w:t>13</w:t>
      </w:r>
    </w:p>
    <w:p w14:paraId="5FD022A4" w14:textId="5FED375B" w:rsidR="00502773" w:rsidRPr="00BD22C2" w:rsidRDefault="00502773" w:rsidP="00502773">
      <w:pPr>
        <w:pStyle w:val="Texterecommandation"/>
        <w:ind w:left="706" w:firstLine="3"/>
      </w:pPr>
      <w:r w:rsidRPr="00BD22C2">
        <w:t>La Commission recommande au Comité de sages sur l’identité de genre d’aborder l</w:t>
      </w:r>
      <w:r w:rsidR="007D1801" w:rsidRPr="00BD22C2">
        <w:t xml:space="preserve">es </w:t>
      </w:r>
      <w:r w:rsidR="00A4683B" w:rsidRPr="00BD22C2">
        <w:t>enjeux liés aux</w:t>
      </w:r>
      <w:r w:rsidR="007D1801" w:rsidRPr="00BD22C2">
        <w:t xml:space="preserve"> conditions de détention</w:t>
      </w:r>
      <w:r w:rsidRPr="00BD22C2">
        <w:t xml:space="preserve"> de</w:t>
      </w:r>
      <w:r w:rsidR="007D1801" w:rsidRPr="00BD22C2">
        <w:t>s</w:t>
      </w:r>
      <w:r w:rsidRPr="00BD22C2">
        <w:t xml:space="preserve"> personnes trans et non binaires dans les prisons québécoises suivant une approche fondée sur le cadre de la </w:t>
      </w:r>
      <w:r w:rsidRPr="00BD22C2">
        <w:rPr>
          <w:i/>
        </w:rPr>
        <w:t>Charte des droits et libert</w:t>
      </w:r>
      <w:r w:rsidRPr="00BD22C2">
        <w:rPr>
          <w:rFonts w:hint="eastAsia"/>
          <w:i/>
        </w:rPr>
        <w:t>é</w:t>
      </w:r>
      <w:r w:rsidRPr="00BD22C2">
        <w:rPr>
          <w:i/>
        </w:rPr>
        <w:t>s de la personne</w:t>
      </w:r>
      <w:r w:rsidRPr="00BD22C2">
        <w:t xml:space="preserve">, permettant ainsi de protéger leurs droits et libertés tout en assurant la sécurité des autres personnes détenues, des membres du personnel et des autres personnes se trouvant dans l’enceinte des établissements ou en interaction avec les personnes détenues visées et dont les droits pourraient être touchés. </w:t>
      </w:r>
    </w:p>
    <w:p w14:paraId="7E4D9E23" w14:textId="77777777" w:rsidR="00502773" w:rsidRPr="00BD22C2" w:rsidRDefault="00502773" w:rsidP="00502773">
      <w:pPr>
        <w:pStyle w:val="TitreRecommandation"/>
      </w:pPr>
      <w:r w:rsidRPr="00BD22C2">
        <w:t>Recommandation 14</w:t>
      </w:r>
    </w:p>
    <w:p w14:paraId="02B898C8" w14:textId="77777777" w:rsidR="00502773" w:rsidRPr="00BD22C2" w:rsidRDefault="00502773" w:rsidP="00502773">
      <w:pPr>
        <w:pStyle w:val="Texterecommandation"/>
        <w:ind w:left="706" w:firstLine="3"/>
        <w:rPr>
          <w:bCs/>
        </w:rPr>
      </w:pPr>
      <w:r w:rsidRPr="00BD22C2">
        <w:t>La Commission recommande que le Comité de sages sur l’identité de genre invite le gouvernement à s’assurer que les formations offertes à son personnel soient arrimées au cadre des</w:t>
      </w:r>
      <w:r w:rsidRPr="00BD22C2" w:rsidDel="00F06749">
        <w:t xml:space="preserve"> </w:t>
      </w:r>
      <w:r w:rsidRPr="00BD22C2">
        <w:t>droits et libertés</w:t>
      </w:r>
      <w:r w:rsidRPr="00BD22C2">
        <w:rPr>
          <w:bCs/>
        </w:rPr>
        <w:t> :</w:t>
      </w:r>
    </w:p>
    <w:p w14:paraId="7EC9F211" w14:textId="77777777" w:rsidR="00502773" w:rsidRPr="00BD22C2" w:rsidRDefault="00502773" w:rsidP="00502773">
      <w:pPr>
        <w:pStyle w:val="Texterecommandation"/>
        <w:numPr>
          <w:ilvl w:val="0"/>
          <w:numId w:val="13"/>
        </w:numPr>
        <w:rPr>
          <w:bCs/>
          <w:lang w:eastAsia="en-US"/>
        </w:rPr>
      </w:pPr>
      <w:r w:rsidRPr="00BD22C2">
        <w:rPr>
          <w:bCs/>
        </w:rPr>
        <w:t>avec un volet spécifique portant sur les réalités des personnes trans et non binaires, dont la discrimination, incluant la transphobie ;</w:t>
      </w:r>
    </w:p>
    <w:p w14:paraId="245865F9" w14:textId="77777777" w:rsidR="00502773" w:rsidRPr="00BD22C2" w:rsidRDefault="00502773" w:rsidP="00502773">
      <w:pPr>
        <w:pStyle w:val="Texterecommandation"/>
        <w:numPr>
          <w:ilvl w:val="0"/>
          <w:numId w:val="13"/>
        </w:numPr>
        <w:rPr>
          <w:bCs/>
          <w:lang w:eastAsia="en-US"/>
        </w:rPr>
      </w:pPr>
      <w:r w:rsidRPr="00BD22C2">
        <w:t>diffusées sur une base continue à l’ensemble de son personnel, en priorité aux hauts fonctionnaires, aux personnes en autorité et aux responsables des ressources humaines </w:t>
      </w:r>
      <w:r w:rsidRPr="00BD22C2">
        <w:rPr>
          <w:bCs/>
        </w:rPr>
        <w:t xml:space="preserve">; </w:t>
      </w:r>
    </w:p>
    <w:p w14:paraId="6E4CCC4F" w14:textId="77777777" w:rsidR="00502773" w:rsidRPr="00BD22C2" w:rsidRDefault="00502773" w:rsidP="00502773">
      <w:pPr>
        <w:pStyle w:val="Texterecommandation"/>
        <w:numPr>
          <w:ilvl w:val="0"/>
          <w:numId w:val="13"/>
        </w:numPr>
        <w:rPr>
          <w:lang w:eastAsia="en-US"/>
        </w:rPr>
      </w:pPr>
      <w:r w:rsidRPr="00BD22C2">
        <w:rPr>
          <w:bCs/>
        </w:rPr>
        <w:t>et dont la</w:t>
      </w:r>
      <w:r w:rsidRPr="00BD22C2">
        <w:t xml:space="preserve"> maîtrise du contenu par son personnel devra être évaluée en cours d’emploi ou lors de concours de sélection. </w:t>
      </w:r>
    </w:p>
    <w:p w14:paraId="3ECD4367" w14:textId="77777777" w:rsidR="00502773" w:rsidRPr="00BD22C2" w:rsidRDefault="00502773" w:rsidP="00502773">
      <w:pPr>
        <w:pStyle w:val="TitreRecommandation"/>
      </w:pPr>
      <w:r w:rsidRPr="00BD22C2">
        <w:t>Recommandation 15 </w:t>
      </w:r>
    </w:p>
    <w:p w14:paraId="639FA893" w14:textId="73C44207" w:rsidR="00502773" w:rsidRPr="00BD22C2" w:rsidRDefault="00502773" w:rsidP="00502773">
      <w:pPr>
        <w:pStyle w:val="Texterecommandation"/>
        <w:ind w:left="706" w:firstLine="3"/>
      </w:pPr>
      <w:r w:rsidRPr="00BD22C2">
        <w:t xml:space="preserve">La Commission recommande au Comité de sages sur l’identité de genre de demander aux ministères de l’Éducation et de l’Enseignement supérieur, en collaboration avec les facultés universitaires et les cégeps concernés, de s’assurer que les programmes de formation initiale des futurs maîtres et des </w:t>
      </w:r>
      <w:r w:rsidR="00647C22" w:rsidRPr="00BD22C2">
        <w:t>personnes</w:t>
      </w:r>
      <w:r w:rsidRPr="00BD22C2">
        <w:t xml:space="preserve"> qui travailleront au service de l’enfant ou à leur contact comportent un volet d’éducation aux droits et libertés portant entre autres sur les réalités des élèves trans et non binaires, dont les enjeux particuliers que ceux-ci peuvent vivre à l’école. Cette formation initiale devrait : </w:t>
      </w:r>
    </w:p>
    <w:p w14:paraId="7F12FE4B" w14:textId="52C978E6" w:rsidR="00502773" w:rsidRPr="00BD22C2" w:rsidRDefault="00502773" w:rsidP="00502773">
      <w:pPr>
        <w:pStyle w:val="Texterecommandation"/>
        <w:numPr>
          <w:ilvl w:val="0"/>
          <w:numId w:val="14"/>
        </w:numPr>
      </w:pPr>
      <w:r w:rsidRPr="00BD22C2">
        <w:t xml:space="preserve">présenter le cadre de la </w:t>
      </w:r>
      <w:r w:rsidRPr="00BD22C2">
        <w:rPr>
          <w:i/>
          <w:iCs/>
        </w:rPr>
        <w:t>Charte des droits et libert</w:t>
      </w:r>
      <w:r w:rsidRPr="00BD22C2">
        <w:rPr>
          <w:rFonts w:hint="eastAsia"/>
          <w:i/>
          <w:iCs/>
        </w:rPr>
        <w:t>é</w:t>
      </w:r>
      <w:r w:rsidRPr="00BD22C2">
        <w:rPr>
          <w:i/>
          <w:iCs/>
        </w:rPr>
        <w:t>s de la personne</w:t>
      </w:r>
      <w:r w:rsidR="00E30B76">
        <w:rPr>
          <w:i/>
          <w:iCs/>
        </w:rPr>
        <w:t> </w:t>
      </w:r>
      <w:r w:rsidRPr="00BD22C2">
        <w:rPr>
          <w:i/>
          <w:iCs/>
        </w:rPr>
        <w:t>;</w:t>
      </w:r>
    </w:p>
    <w:p w14:paraId="16B27CDC" w14:textId="70E319BB" w:rsidR="00502773" w:rsidRPr="00BD22C2" w:rsidRDefault="00502773" w:rsidP="00502773">
      <w:pPr>
        <w:pStyle w:val="Texterecommandation"/>
        <w:numPr>
          <w:ilvl w:val="0"/>
          <w:numId w:val="14"/>
        </w:numPr>
      </w:pPr>
      <w:r w:rsidRPr="00BD22C2">
        <w:lastRenderedPageBreak/>
        <w:t xml:space="preserve">aborder la discrimination, incluant la transphobie, dans </w:t>
      </w:r>
      <w:r w:rsidR="008607CC" w:rsidRPr="00BD22C2">
        <w:t>son</w:t>
      </w:r>
      <w:r w:rsidRPr="00BD22C2">
        <w:t xml:space="preserve"> contexte sociohistorique et sous </w:t>
      </w:r>
      <w:r w:rsidR="000C7FC2" w:rsidRPr="00BD22C2">
        <w:t>son</w:t>
      </w:r>
      <w:r w:rsidRPr="00BD22C2">
        <w:t xml:space="preserve"> aspect systémique et intersectionnel ; </w:t>
      </w:r>
    </w:p>
    <w:p w14:paraId="586CAFE7" w14:textId="77777777" w:rsidR="00502773" w:rsidRPr="00BD22C2" w:rsidRDefault="00502773" w:rsidP="00502773">
      <w:pPr>
        <w:pStyle w:val="Texterecommandation"/>
        <w:numPr>
          <w:ilvl w:val="0"/>
          <w:numId w:val="14"/>
        </w:numPr>
      </w:pPr>
      <w:r w:rsidRPr="00BD22C2">
        <w:t xml:space="preserve">et être revue régulièrement afin que ses contenus tiennent compte du contexte et de l’évolution de la discrimination, incluant de la transphobie. </w:t>
      </w:r>
    </w:p>
    <w:p w14:paraId="5CA522A8" w14:textId="77777777" w:rsidR="00502773" w:rsidRPr="00BD22C2" w:rsidRDefault="00502773" w:rsidP="00502773">
      <w:pPr>
        <w:pStyle w:val="TitreRecommandation"/>
      </w:pPr>
      <w:r w:rsidRPr="00BD22C2">
        <w:t>Recommandation 16 </w:t>
      </w:r>
    </w:p>
    <w:p w14:paraId="462F7CE5" w14:textId="4036AFEF" w:rsidR="00502773" w:rsidRPr="00BD22C2" w:rsidRDefault="00502773" w:rsidP="00502773">
      <w:pPr>
        <w:pStyle w:val="Texterecommandation"/>
        <w:ind w:left="706" w:firstLine="3"/>
        <w:rPr>
          <w:highlight w:val="lightGray"/>
        </w:rPr>
      </w:pPr>
      <w:r w:rsidRPr="00BD22C2">
        <w:t>La Commission recommande au Comité de sages sur l’identité de genre de demander au</w:t>
      </w:r>
      <w:r w:rsidR="00B01838" w:rsidRPr="00BD22C2">
        <w:t>x</w:t>
      </w:r>
      <w:r w:rsidRPr="00BD22C2">
        <w:t xml:space="preserve"> ministère</w:t>
      </w:r>
      <w:r w:rsidR="00B01838" w:rsidRPr="00BD22C2">
        <w:t>s</w:t>
      </w:r>
      <w:r w:rsidRPr="00BD22C2">
        <w:t xml:space="preserve"> de l’Éducation et de l’Enseignement supérieur qu’il</w:t>
      </w:r>
      <w:r w:rsidR="00B01838" w:rsidRPr="00BD22C2">
        <w:t>s</w:t>
      </w:r>
      <w:r w:rsidRPr="00BD22C2">
        <w:t xml:space="preserve"> s’assure</w:t>
      </w:r>
      <w:r w:rsidR="00B01838" w:rsidRPr="00BD22C2">
        <w:t>nt</w:t>
      </w:r>
      <w:r w:rsidRPr="00BD22C2">
        <w:t xml:space="preserve"> que le </w:t>
      </w:r>
      <w:r w:rsidRPr="00BD22C2">
        <w:rPr>
          <w:i/>
          <w:iCs/>
        </w:rPr>
        <w:t xml:space="preserve">Référentiel de compétences professionnelles de la profession enseignante </w:t>
      </w:r>
      <w:r w:rsidRPr="00BD22C2">
        <w:t xml:space="preserve">reflète les réalités des enfants et jeunes trans et non binaires, ainsi que les obstacles particuliers que ces personnes peuvent rencontrer à l’école et qui sont de nature à nuire à leur parcours scolaire ou à leur participation à des activités parascolaires. </w:t>
      </w:r>
    </w:p>
    <w:p w14:paraId="3C28B91F" w14:textId="2FB9F5AC" w:rsidR="00502773" w:rsidRPr="00BD22C2" w:rsidRDefault="00502773" w:rsidP="00502773">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Pr="00BD22C2">
        <w:rPr>
          <w:rFonts w:eastAsia="Calibri"/>
          <w:lang w:eastAsia="en-US"/>
        </w:rPr>
        <w:t>17</w:t>
      </w:r>
    </w:p>
    <w:p w14:paraId="0152BEAB" w14:textId="502299F4" w:rsidR="00502773" w:rsidRPr="00BD22C2" w:rsidRDefault="00502773" w:rsidP="00502773">
      <w:pPr>
        <w:pStyle w:val="Texterecommandation"/>
        <w:ind w:left="706" w:firstLine="3"/>
        <w:rPr>
          <w:lang w:eastAsia="en-US"/>
        </w:rPr>
      </w:pPr>
      <w:r w:rsidRPr="00BD22C2">
        <w:rPr>
          <w:lang w:eastAsia="en-US"/>
        </w:rPr>
        <w:t>La Commission recommande au Comit</w:t>
      </w:r>
      <w:r w:rsidRPr="00BD22C2">
        <w:rPr>
          <w:rFonts w:hint="eastAsia"/>
          <w:lang w:eastAsia="en-US"/>
        </w:rPr>
        <w:t>é</w:t>
      </w:r>
      <w:r w:rsidRPr="00BD22C2">
        <w:rPr>
          <w:lang w:eastAsia="en-US"/>
        </w:rPr>
        <w:t xml:space="preserve"> de sages sur l’identité de genre de porter </w:t>
      </w:r>
      <w:r w:rsidRPr="00BD22C2">
        <w:rPr>
          <w:rFonts w:hint="eastAsia"/>
          <w:lang w:eastAsia="en-US"/>
        </w:rPr>
        <w:t>à</w:t>
      </w:r>
      <w:r w:rsidRPr="00BD22C2">
        <w:rPr>
          <w:lang w:eastAsia="en-US"/>
        </w:rPr>
        <w:t xml:space="preserve"> l’attention du gouvernement l’importance que soient largement diffusées aupr</w:t>
      </w:r>
      <w:r w:rsidRPr="00BD22C2">
        <w:rPr>
          <w:rFonts w:hint="eastAsia"/>
          <w:lang w:eastAsia="en-US"/>
        </w:rPr>
        <w:t>è</w:t>
      </w:r>
      <w:r w:rsidRPr="00BD22C2">
        <w:rPr>
          <w:lang w:eastAsia="en-US"/>
        </w:rPr>
        <w:t>s de l’ensemble du milieu scolaire les lignes directrices concernant l’</w:t>
      </w:r>
      <w:proofErr w:type="spellStart"/>
      <w:r w:rsidRPr="00BD22C2">
        <w:rPr>
          <w:lang w:eastAsia="en-US"/>
        </w:rPr>
        <w:t>auto-identification</w:t>
      </w:r>
      <w:proofErr w:type="spellEnd"/>
      <w:r w:rsidRPr="00BD22C2">
        <w:rPr>
          <w:lang w:eastAsia="en-US"/>
        </w:rPr>
        <w:t xml:space="preserve"> et l’utilisation des pr</w:t>
      </w:r>
      <w:r w:rsidRPr="00BD22C2">
        <w:rPr>
          <w:rFonts w:hint="eastAsia"/>
          <w:lang w:eastAsia="en-US"/>
        </w:rPr>
        <w:t>é</w:t>
      </w:r>
      <w:r w:rsidRPr="00BD22C2">
        <w:rPr>
          <w:lang w:eastAsia="en-US"/>
        </w:rPr>
        <w:t>nom</w:t>
      </w:r>
      <w:r w:rsidR="00EB6483">
        <w:rPr>
          <w:lang w:eastAsia="en-US"/>
        </w:rPr>
        <w:t>s</w:t>
      </w:r>
      <w:r w:rsidRPr="00BD22C2">
        <w:rPr>
          <w:lang w:eastAsia="en-US"/>
        </w:rPr>
        <w:t xml:space="preserve"> et pronoms usuels de l’</w:t>
      </w:r>
      <w:r w:rsidRPr="00BD22C2">
        <w:rPr>
          <w:rFonts w:hint="eastAsia"/>
          <w:lang w:eastAsia="en-US"/>
        </w:rPr>
        <w:t>é</w:t>
      </w:r>
      <w:r w:rsidRPr="00BD22C2">
        <w:rPr>
          <w:lang w:eastAsia="en-US"/>
        </w:rPr>
        <w:t>l</w:t>
      </w:r>
      <w:r w:rsidRPr="00BD22C2">
        <w:rPr>
          <w:rFonts w:hint="eastAsia"/>
          <w:lang w:eastAsia="en-US"/>
        </w:rPr>
        <w:t>è</w:t>
      </w:r>
      <w:r w:rsidRPr="00BD22C2">
        <w:rPr>
          <w:lang w:eastAsia="en-US"/>
        </w:rPr>
        <w:t>ve, de façon à promouvoir une approche d’ouverture, d’acceptation et de soutien de l’identité de genre des enfants et des jeunes, et afin de faciliter leur transition sociale à travers le réseau scolaire.</w:t>
      </w:r>
    </w:p>
    <w:p w14:paraId="30908F4F" w14:textId="77777777" w:rsidR="00502773" w:rsidRPr="00BD22C2" w:rsidRDefault="00502773" w:rsidP="00502773">
      <w:pPr>
        <w:pStyle w:val="TitreRecommandation"/>
        <w:rPr>
          <w:rFonts w:eastAsia="Calibri"/>
          <w:lang w:eastAsia="en-US"/>
        </w:rPr>
      </w:pPr>
      <w:r w:rsidRPr="00BD22C2">
        <w:rPr>
          <w:rFonts w:eastAsia="Calibri"/>
          <w:lang w:eastAsia="en-US"/>
        </w:rPr>
        <w:t>Recommandation 18</w:t>
      </w:r>
    </w:p>
    <w:p w14:paraId="406A8CC2" w14:textId="25A06A90" w:rsidR="00B04FFF" w:rsidRPr="007A3789" w:rsidRDefault="00502773" w:rsidP="007A3789">
      <w:pPr>
        <w:pStyle w:val="Texterecommandation"/>
        <w:ind w:left="706" w:firstLine="3"/>
        <w:rPr>
          <w:lang w:eastAsia="en-US"/>
        </w:rPr>
      </w:pPr>
      <w:r w:rsidRPr="00BD22C2">
        <w:t xml:space="preserve">La Commission recommande </w:t>
      </w:r>
      <w:r w:rsidRPr="00BD22C2">
        <w:rPr>
          <w:bCs/>
        </w:rPr>
        <w:t xml:space="preserve">au Comité de sages sur l’identité de genre de demander au gouvernement </w:t>
      </w:r>
      <w:r w:rsidRPr="00BD22C2">
        <w:t xml:space="preserve">que l’éducation aux droits et libertés prévus à la </w:t>
      </w:r>
      <w:r w:rsidRPr="00BD22C2">
        <w:rPr>
          <w:i/>
        </w:rPr>
        <w:t>Charte des droits et libert</w:t>
      </w:r>
      <w:r w:rsidRPr="00BD22C2">
        <w:rPr>
          <w:rFonts w:hint="eastAsia"/>
          <w:i/>
        </w:rPr>
        <w:t>é</w:t>
      </w:r>
      <w:r w:rsidRPr="00BD22C2">
        <w:rPr>
          <w:i/>
        </w:rPr>
        <w:t>s de la personne</w:t>
      </w:r>
      <w:r w:rsidRPr="00BD22C2">
        <w:t xml:space="preserve"> soit formellement inscrite dans la </w:t>
      </w:r>
      <w:r w:rsidRPr="00BD22C2">
        <w:rPr>
          <w:i/>
        </w:rPr>
        <w:t xml:space="preserve">Loi sur l’instruction </w:t>
      </w:r>
      <w:r w:rsidRPr="00BD22C2">
        <w:rPr>
          <w:bCs/>
          <w:i/>
          <w:iCs/>
        </w:rPr>
        <w:t>publique</w:t>
      </w:r>
      <w:r w:rsidRPr="00BD22C2">
        <w:t xml:space="preserve"> afin de favoriser la compréhension, par les élèves, des facteurs qui contribuent à renforcer diverses formes de préjugés, d’exclusion et de discrimination, notamment </w:t>
      </w:r>
      <w:r w:rsidRPr="00BD22C2">
        <w:rPr>
          <w:bCs/>
        </w:rPr>
        <w:t xml:space="preserve">celles </w:t>
      </w:r>
      <w:r w:rsidR="004611CE">
        <w:t>ciblant</w:t>
      </w:r>
      <w:r w:rsidR="007500DE" w:rsidRPr="00BD22C2">
        <w:t xml:space="preserve"> les</w:t>
      </w:r>
      <w:r w:rsidRPr="00BD22C2">
        <w:t xml:space="preserve"> personnes trans et non binaires.</w:t>
      </w:r>
    </w:p>
    <w:p w14:paraId="7DF34237" w14:textId="50848A9D" w:rsidR="00020A8F" w:rsidRDefault="00020A8F">
      <w:pPr>
        <w:spacing w:line="240" w:lineRule="auto"/>
        <w:jc w:val="left"/>
        <w:rPr>
          <w:rFonts w:eastAsia="Calibri"/>
          <w:highlight w:val="yellow"/>
          <w:lang w:eastAsia="en-US"/>
        </w:rPr>
      </w:pPr>
      <w:r>
        <w:rPr>
          <w:rFonts w:eastAsia="Calibri"/>
          <w:highlight w:val="yellow"/>
          <w:lang w:eastAsia="en-US"/>
        </w:rPr>
        <w:br w:type="page"/>
      </w:r>
    </w:p>
    <w:p w14:paraId="52333F07" w14:textId="15599CD3" w:rsidR="00E9519B" w:rsidRPr="00F277D5" w:rsidRDefault="00100038" w:rsidP="00005CCB">
      <w:pPr>
        <w:pStyle w:val="Titre"/>
        <w:rPr>
          <w:rFonts w:eastAsia="Calibri"/>
          <w:lang w:eastAsia="en-US"/>
        </w:rPr>
      </w:pPr>
      <w:bookmarkStart w:id="5" w:name="_Toc165301007"/>
      <w:bookmarkStart w:id="6" w:name="_Toc165636090"/>
      <w:r w:rsidRPr="006515B0">
        <w:rPr>
          <w:rFonts w:eastAsia="Calibri"/>
          <w:lang w:eastAsia="en-US"/>
        </w:rPr>
        <w:lastRenderedPageBreak/>
        <w:t>A</w:t>
      </w:r>
      <w:r w:rsidR="00E9519B" w:rsidRPr="006515B0">
        <w:rPr>
          <w:rFonts w:eastAsia="Calibri"/>
          <w:lang w:eastAsia="en-US"/>
        </w:rPr>
        <w:t>vant-propos</w:t>
      </w:r>
      <w:r w:rsidR="00183889" w:rsidRPr="006515B0">
        <w:rPr>
          <w:rFonts w:eastAsia="Calibri"/>
          <w:lang w:eastAsia="en-US"/>
        </w:rPr>
        <w:t xml:space="preserve"> — </w:t>
      </w:r>
      <w:r w:rsidR="00DB2533" w:rsidRPr="006515B0">
        <w:rPr>
          <w:rFonts w:eastAsia="Calibri"/>
          <w:lang w:eastAsia="en-US"/>
        </w:rPr>
        <w:t>la commission et les droits des personnes LgbTq+</w:t>
      </w:r>
      <w:bookmarkEnd w:id="5"/>
      <w:bookmarkEnd w:id="6"/>
    </w:p>
    <w:p w14:paraId="4AC766C6" w14:textId="72EA9906" w:rsidR="00FC5A9F" w:rsidRPr="00CD4047" w:rsidRDefault="00164B82" w:rsidP="00164B82">
      <w:pPr>
        <w:pStyle w:val="Paragraphe"/>
        <w:jc w:val="both"/>
        <w:rPr>
          <w:color w:val="auto"/>
          <w:lang w:val="fr-CA"/>
        </w:rPr>
      </w:pPr>
      <w:r w:rsidRPr="00CD4047">
        <w:rPr>
          <w:color w:val="auto"/>
          <w:lang w:val="fr-CA"/>
        </w:rPr>
        <w:t>La Commission des droits de la personne et des droits de la jeunesse</w:t>
      </w:r>
      <w:bookmarkEnd w:id="0"/>
      <w:bookmarkEnd w:id="3"/>
      <w:bookmarkEnd w:id="4"/>
      <w:r w:rsidR="005F2535" w:rsidRPr="00CD4047">
        <w:rPr>
          <w:color w:val="auto"/>
          <w:lang w:val="fr-CA"/>
        </w:rPr>
        <w:t xml:space="preserve"> (ci-après «</w:t>
      </w:r>
      <w:r w:rsidR="00984CBA" w:rsidRPr="00CD4047">
        <w:rPr>
          <w:color w:val="auto"/>
          <w:lang w:val="fr-CA"/>
        </w:rPr>
        <w:t> </w:t>
      </w:r>
      <w:r w:rsidR="005F2535" w:rsidRPr="00CD4047">
        <w:rPr>
          <w:color w:val="auto"/>
          <w:lang w:val="fr-CA"/>
        </w:rPr>
        <w:t>Commission</w:t>
      </w:r>
      <w:r w:rsidR="00984CBA" w:rsidRPr="00CD4047">
        <w:rPr>
          <w:color w:val="auto"/>
          <w:lang w:val="fr-CA"/>
        </w:rPr>
        <w:t> </w:t>
      </w:r>
      <w:r w:rsidR="005F2535" w:rsidRPr="00CD4047">
        <w:rPr>
          <w:color w:val="auto"/>
          <w:lang w:val="fr-CA"/>
        </w:rPr>
        <w:t>»)</w:t>
      </w:r>
      <w:r w:rsidR="00FC5A9F" w:rsidRPr="00CD4047">
        <w:rPr>
          <w:color w:val="auto"/>
          <w:lang w:val="fr-CA"/>
        </w:rPr>
        <w:t xml:space="preserve"> assure le respect et la promotion des principes énoncés dans la </w:t>
      </w:r>
      <w:r w:rsidR="00FC5A9F" w:rsidRPr="00CD4047">
        <w:rPr>
          <w:i/>
          <w:color w:val="auto"/>
          <w:lang w:val="fr-CA"/>
        </w:rPr>
        <w:t>Charte des droits et libertés de la personne</w:t>
      </w:r>
      <w:r w:rsidR="00FC5A9F" w:rsidRPr="00CD4047">
        <w:rPr>
          <w:color w:val="auto"/>
          <w:lang w:val="fr-CA"/>
        </w:rPr>
        <w:t xml:space="preserve"> du Québec</w:t>
      </w:r>
      <w:r w:rsidR="007F21B9" w:rsidRPr="00CD4047">
        <w:rPr>
          <w:color w:val="auto"/>
          <w:lang w:val="fr-CA"/>
        </w:rPr>
        <w:t xml:space="preserve"> (ci-après «</w:t>
      </w:r>
      <w:r w:rsidR="00984CBA" w:rsidRPr="00CD4047">
        <w:rPr>
          <w:color w:val="auto"/>
          <w:lang w:val="fr-CA"/>
        </w:rPr>
        <w:t> </w:t>
      </w:r>
      <w:r w:rsidR="007F21B9" w:rsidRPr="00CD4047">
        <w:rPr>
          <w:color w:val="auto"/>
          <w:lang w:val="fr-CA"/>
        </w:rPr>
        <w:t>Charte</w:t>
      </w:r>
      <w:r w:rsidR="00984CBA" w:rsidRPr="00CD4047">
        <w:rPr>
          <w:color w:val="auto"/>
          <w:lang w:val="fr-CA"/>
        </w:rPr>
        <w:t> </w:t>
      </w:r>
      <w:r w:rsidR="007F21B9" w:rsidRPr="00CD4047">
        <w:rPr>
          <w:color w:val="auto"/>
          <w:lang w:val="fr-CA"/>
        </w:rPr>
        <w:t>»)</w:t>
      </w:r>
      <w:r w:rsidR="00FC5A9F" w:rsidRPr="4BB1F094">
        <w:rPr>
          <w:rStyle w:val="Appeldenotedefin"/>
          <w:rFonts w:cs="Arial"/>
          <w:color w:val="auto"/>
        </w:rPr>
        <w:endnoteReference w:id="2"/>
      </w:r>
      <w:r w:rsidR="00FC5A9F" w:rsidRPr="00CD4047">
        <w:rPr>
          <w:color w:val="auto"/>
          <w:lang w:val="fr-CA"/>
        </w:rPr>
        <w:t xml:space="preserve">. Elle assure aussi la protection de l’intérêt de l’enfant, ainsi que le respect et la promotion des droits qui lui sont reconnus par la </w:t>
      </w:r>
      <w:r w:rsidR="00FC5A9F" w:rsidRPr="00CD4047">
        <w:rPr>
          <w:i/>
          <w:color w:val="auto"/>
          <w:lang w:val="fr-CA"/>
        </w:rPr>
        <w:t>Loi sur la protection de la jeunesse</w:t>
      </w:r>
      <w:r w:rsidR="007F21B9" w:rsidRPr="00CD4047">
        <w:rPr>
          <w:i/>
          <w:color w:val="auto"/>
          <w:lang w:val="fr-CA"/>
        </w:rPr>
        <w:t xml:space="preserve"> </w:t>
      </w:r>
      <w:r w:rsidR="007F21B9" w:rsidRPr="00CD4047">
        <w:rPr>
          <w:color w:val="auto"/>
          <w:lang w:val="fr-CA"/>
        </w:rPr>
        <w:t>(ci-après «</w:t>
      </w:r>
      <w:r w:rsidR="00984CBA" w:rsidRPr="00CD4047">
        <w:rPr>
          <w:color w:val="auto"/>
          <w:lang w:val="fr-CA"/>
        </w:rPr>
        <w:t> </w:t>
      </w:r>
      <w:proofErr w:type="spellStart"/>
      <w:r w:rsidR="007F21B9" w:rsidRPr="00CD4047">
        <w:rPr>
          <w:color w:val="auto"/>
          <w:lang w:val="fr-CA"/>
        </w:rPr>
        <w:t>L.p.j</w:t>
      </w:r>
      <w:proofErr w:type="spellEnd"/>
      <w:r w:rsidR="007F21B9" w:rsidRPr="00CD4047">
        <w:rPr>
          <w:color w:val="auto"/>
          <w:lang w:val="fr-CA"/>
        </w:rPr>
        <w:t>.</w:t>
      </w:r>
      <w:r w:rsidR="00984CBA" w:rsidRPr="00CD4047">
        <w:rPr>
          <w:color w:val="auto"/>
          <w:lang w:val="fr-CA"/>
        </w:rPr>
        <w:t> </w:t>
      </w:r>
      <w:r w:rsidR="007F21B9" w:rsidRPr="00CD4047">
        <w:rPr>
          <w:color w:val="auto"/>
          <w:lang w:val="fr-CA"/>
        </w:rPr>
        <w:t>»)</w:t>
      </w:r>
      <w:r w:rsidR="00FC5A9F" w:rsidRPr="4BB1F094">
        <w:rPr>
          <w:rStyle w:val="Appeldenotedefin"/>
          <w:rFonts w:cs="Arial"/>
          <w:color w:val="auto"/>
        </w:rPr>
        <w:endnoteReference w:id="3"/>
      </w:r>
      <w:r w:rsidR="00FC5A9F" w:rsidRPr="00CD4047">
        <w:rPr>
          <w:color w:val="auto"/>
          <w:lang w:val="fr-CA"/>
        </w:rPr>
        <w:t xml:space="preserve">. Elle veille également à l’application de la </w:t>
      </w:r>
      <w:r w:rsidR="00FC5A9F" w:rsidRPr="00CD4047">
        <w:rPr>
          <w:i/>
          <w:color w:val="auto"/>
          <w:lang w:val="fr-CA"/>
        </w:rPr>
        <w:t>Loi sur l’accès à l’égalité en emploi dans des organismes publics</w:t>
      </w:r>
      <w:r w:rsidR="00FC5A9F" w:rsidRPr="4BB1F094">
        <w:rPr>
          <w:rStyle w:val="Appeldenotedefin"/>
          <w:rFonts w:cs="Arial"/>
          <w:color w:val="auto"/>
        </w:rPr>
        <w:endnoteReference w:id="4"/>
      </w:r>
      <w:r w:rsidR="00FC5A9F" w:rsidRPr="00CD4047">
        <w:rPr>
          <w:color w:val="auto"/>
          <w:lang w:val="fr-CA"/>
        </w:rPr>
        <w:t>.</w:t>
      </w:r>
    </w:p>
    <w:p w14:paraId="4AC41103" w14:textId="5B95611D" w:rsidR="009D3DD6" w:rsidRPr="00BD22C2" w:rsidRDefault="00FC5A9F" w:rsidP="00BB1C59">
      <w:pPr>
        <w:rPr>
          <w:rFonts w:eastAsia="Calibri"/>
          <w:lang w:eastAsia="en-US"/>
        </w:rPr>
      </w:pPr>
      <w:r w:rsidRPr="00BD22C2">
        <w:rPr>
          <w:rFonts w:eastAsia="Calibri"/>
          <w:lang w:eastAsia="en-US"/>
        </w:rPr>
        <w:t>Le présent mémoire s’appuie sur près de 50</w:t>
      </w:r>
      <w:r w:rsidR="00984CBA" w:rsidRPr="00BD22C2">
        <w:rPr>
          <w:rFonts w:eastAsia="Calibri"/>
          <w:lang w:eastAsia="en-US"/>
        </w:rPr>
        <w:t> </w:t>
      </w:r>
      <w:r w:rsidRPr="00BD22C2">
        <w:rPr>
          <w:rFonts w:eastAsia="Calibri"/>
          <w:lang w:eastAsia="en-US"/>
        </w:rPr>
        <w:t xml:space="preserve">ans de </w:t>
      </w:r>
      <w:r w:rsidR="00C375EB" w:rsidRPr="00BD22C2">
        <w:rPr>
          <w:rFonts w:eastAsia="Calibri"/>
          <w:lang w:eastAsia="en-US"/>
        </w:rPr>
        <w:t xml:space="preserve">promotion, </w:t>
      </w:r>
      <w:r w:rsidRPr="00BD22C2">
        <w:rPr>
          <w:rFonts w:eastAsia="Calibri"/>
          <w:lang w:eastAsia="en-US"/>
        </w:rPr>
        <w:t xml:space="preserve">défense </w:t>
      </w:r>
      <w:r w:rsidR="00C375EB" w:rsidRPr="00BD22C2">
        <w:rPr>
          <w:rFonts w:eastAsia="Calibri"/>
          <w:lang w:eastAsia="en-US"/>
        </w:rPr>
        <w:t xml:space="preserve">et protection </w:t>
      </w:r>
      <w:r w:rsidRPr="00BD22C2">
        <w:rPr>
          <w:rFonts w:eastAsia="Calibri"/>
          <w:lang w:eastAsia="en-US"/>
        </w:rPr>
        <w:t>des droits des personnes lesbiennes, gaies, bisexuelles, trans, queer</w:t>
      </w:r>
      <w:r w:rsidR="00B01971" w:rsidRPr="00BD22C2">
        <w:rPr>
          <w:rFonts w:eastAsia="Calibri"/>
          <w:lang w:eastAsia="en-US"/>
        </w:rPr>
        <w:t>s</w:t>
      </w:r>
      <w:r w:rsidRPr="00BD22C2">
        <w:rPr>
          <w:rFonts w:eastAsia="Calibri"/>
          <w:lang w:eastAsia="en-US"/>
        </w:rPr>
        <w:t xml:space="preserve"> ou s’identifiant autrement aux minorités sexuelles et de genre (LGBTQ+). En effet, dès 197</w:t>
      </w:r>
      <w:r w:rsidR="000E2D57" w:rsidRPr="00BD22C2">
        <w:rPr>
          <w:rFonts w:eastAsia="Calibri"/>
          <w:lang w:eastAsia="en-US"/>
        </w:rPr>
        <w:t>6</w:t>
      </w:r>
      <w:r w:rsidRPr="00BD22C2">
        <w:rPr>
          <w:rFonts w:eastAsia="Calibri"/>
          <w:lang w:eastAsia="en-US"/>
        </w:rPr>
        <w:t xml:space="preserve">, </w:t>
      </w:r>
      <w:r w:rsidR="000E2D57" w:rsidRPr="00BD22C2">
        <w:rPr>
          <w:rFonts w:eastAsia="Calibri"/>
          <w:lang w:eastAsia="en-US"/>
        </w:rPr>
        <w:t>l’année de</w:t>
      </w:r>
      <w:r w:rsidRPr="00BD22C2">
        <w:rPr>
          <w:rFonts w:eastAsia="Calibri"/>
          <w:lang w:eastAsia="en-US"/>
        </w:rPr>
        <w:t xml:space="preserve"> sa constitution, </w:t>
      </w:r>
      <w:r w:rsidR="00E83450" w:rsidRPr="00BD22C2">
        <w:rPr>
          <w:rFonts w:eastAsia="Calibri"/>
          <w:lang w:eastAsia="en-US"/>
        </w:rPr>
        <w:t>la Commission</w:t>
      </w:r>
      <w:r w:rsidRPr="00BD22C2">
        <w:rPr>
          <w:rFonts w:eastAsia="Calibri"/>
          <w:lang w:eastAsia="en-US"/>
        </w:rPr>
        <w:t xml:space="preserve"> a recommandé l’ajout de l’orientation sexuelle aux motifs interdits de discrimination énumérés dans la Charte</w:t>
      </w:r>
      <w:r w:rsidR="009D3DD6" w:rsidRPr="00BD22C2">
        <w:rPr>
          <w:rStyle w:val="Appeldenotedefin"/>
          <w:rFonts w:eastAsia="Calibri"/>
          <w:lang w:eastAsia="en-US"/>
        </w:rPr>
        <w:endnoteReference w:id="5"/>
      </w:r>
      <w:r w:rsidR="00264896" w:rsidRPr="00BD22C2">
        <w:rPr>
          <w:rFonts w:eastAsia="Calibri"/>
          <w:lang w:eastAsia="en-US"/>
        </w:rPr>
        <w:t>.</w:t>
      </w:r>
      <w:r w:rsidR="00D44B2B" w:rsidRPr="00BD22C2">
        <w:rPr>
          <w:rFonts w:eastAsia="Calibri"/>
          <w:lang w:eastAsia="en-US"/>
        </w:rPr>
        <w:t xml:space="preserve"> Cette recommandation a été suivie </w:t>
      </w:r>
      <w:r w:rsidR="007249D3" w:rsidRPr="00BD22C2">
        <w:rPr>
          <w:rFonts w:eastAsia="Calibri"/>
          <w:lang w:eastAsia="en-US"/>
        </w:rPr>
        <w:t>l’année suivante</w:t>
      </w:r>
      <w:r w:rsidR="00945E5A" w:rsidRPr="00BD22C2">
        <w:rPr>
          <w:rStyle w:val="Appeldenotedefin"/>
          <w:rFonts w:eastAsia="Calibri"/>
          <w:lang w:eastAsia="en-US"/>
        </w:rPr>
        <w:endnoteReference w:id="6"/>
      </w:r>
      <w:r w:rsidR="00945E5A" w:rsidRPr="00BD22C2">
        <w:rPr>
          <w:rFonts w:eastAsia="Calibri"/>
          <w:lang w:eastAsia="en-US"/>
        </w:rPr>
        <w:t>.</w:t>
      </w:r>
      <w:r w:rsidR="009D3DD6" w:rsidRPr="00BD22C2">
        <w:rPr>
          <w:rFonts w:eastAsia="Calibri"/>
          <w:lang w:eastAsia="en-US"/>
        </w:rPr>
        <w:t xml:space="preserve"> En 1982, la Commission a ensuite obtenu devant le Tribunal des droits de la personne la reconnaissance que la discrimination sur la base de la transidentité peut être interdite en vertu du motif « état civil »</w:t>
      </w:r>
      <w:r w:rsidR="009D3DD6" w:rsidRPr="00BD22C2">
        <w:rPr>
          <w:rStyle w:val="Appeldenotedefin"/>
          <w:rFonts w:eastAsia="Calibri"/>
          <w:lang w:eastAsia="en-US"/>
        </w:rPr>
        <w:endnoteReference w:id="7"/>
      </w:r>
      <w:r w:rsidR="009D3DD6" w:rsidRPr="00BD22C2">
        <w:rPr>
          <w:rFonts w:eastAsia="Calibri"/>
          <w:lang w:eastAsia="en-US"/>
        </w:rPr>
        <w:t>.</w:t>
      </w:r>
    </w:p>
    <w:p w14:paraId="098C8B00" w14:textId="7B9F3193" w:rsidR="009D3DD6" w:rsidRPr="00BD22C2" w:rsidRDefault="009D3DD6" w:rsidP="00645F5E">
      <w:pPr>
        <w:pStyle w:val="Paragraphe"/>
        <w:rPr>
          <w:rFonts w:eastAsia="Calibri"/>
          <w:lang w:val="fr-CA" w:eastAsia="en-US"/>
        </w:rPr>
      </w:pPr>
      <w:r w:rsidRPr="00BD22C2">
        <w:rPr>
          <w:rFonts w:eastAsia="Calibri"/>
          <w:lang w:val="fr-CA" w:eastAsia="en-US"/>
        </w:rPr>
        <w:t>Au milieu des années 1990, la Commission a mené une consultation publique sur la violence et la discrimination envers les gais et lesbiennes au Québec</w:t>
      </w:r>
      <w:bookmarkStart w:id="7" w:name="_Ref166837391"/>
      <w:r w:rsidRPr="00BD22C2">
        <w:rPr>
          <w:rFonts w:eastAsia="Calibri"/>
          <w:lang w:val="fr-CA" w:eastAsia="en-US"/>
        </w:rPr>
        <w:t>,</w:t>
      </w:r>
      <w:bookmarkEnd w:id="7"/>
      <w:r w:rsidRPr="00BD22C2">
        <w:rPr>
          <w:rFonts w:eastAsia="Calibri"/>
          <w:lang w:val="fr-CA" w:eastAsia="en-US"/>
        </w:rPr>
        <w:t xml:space="preserve"> une prem</w:t>
      </w:r>
      <w:bookmarkStart w:id="8" w:name="_Ref166837320"/>
      <w:r w:rsidRPr="00BD22C2">
        <w:rPr>
          <w:rFonts w:eastAsia="Calibri"/>
          <w:lang w:val="fr-CA" w:eastAsia="en-US"/>
        </w:rPr>
        <w:t>i</w:t>
      </w:r>
      <w:bookmarkEnd w:id="8"/>
      <w:r w:rsidRPr="00BD22C2">
        <w:rPr>
          <w:rFonts w:eastAsia="Calibri"/>
          <w:lang w:val="fr-CA" w:eastAsia="en-US"/>
        </w:rPr>
        <w:t xml:space="preserve">ère en </w:t>
      </w:r>
      <w:bookmarkStart w:id="9" w:name="_Ref166837384"/>
      <w:r w:rsidRPr="00BD22C2">
        <w:rPr>
          <w:rFonts w:eastAsia="Calibri"/>
          <w:lang w:val="fr-CA" w:eastAsia="en-US"/>
        </w:rPr>
        <w:t>A</w:t>
      </w:r>
      <w:bookmarkEnd w:id="9"/>
      <w:r w:rsidRPr="00BD22C2">
        <w:rPr>
          <w:rFonts w:eastAsia="Calibri"/>
          <w:lang w:val="fr-CA" w:eastAsia="en-US"/>
        </w:rPr>
        <w:t>mérique d</w:t>
      </w:r>
      <w:bookmarkStart w:id="10" w:name="_Ref166837276"/>
      <w:r w:rsidRPr="00BD22C2">
        <w:rPr>
          <w:rFonts w:eastAsia="Calibri"/>
          <w:lang w:val="fr-CA" w:eastAsia="en-US"/>
        </w:rPr>
        <w:t>u</w:t>
      </w:r>
      <w:bookmarkEnd w:id="10"/>
      <w:r w:rsidRPr="00BD22C2">
        <w:rPr>
          <w:rFonts w:eastAsia="Calibri"/>
          <w:lang w:val="fr-CA" w:eastAsia="en-US"/>
        </w:rPr>
        <w:t xml:space="preserve"> Nord</w:t>
      </w:r>
      <w:bookmarkStart w:id="11" w:name="_Ref166854751"/>
      <w:r w:rsidR="002F05F2" w:rsidRPr="00BD22C2">
        <w:rPr>
          <w:rStyle w:val="Appeldenotedefin"/>
          <w:rFonts w:eastAsia="Calibri"/>
          <w:lang w:val="fr-CA" w:eastAsia="en-US"/>
        </w:rPr>
        <w:endnoteReference w:id="8"/>
      </w:r>
      <w:bookmarkEnd w:id="11"/>
      <w:r w:rsidRPr="00BD22C2">
        <w:rPr>
          <w:rFonts w:eastAsia="Calibri"/>
          <w:lang w:val="fr-CA" w:eastAsia="en-US"/>
        </w:rPr>
        <w:t>. Elle ré</w:t>
      </w:r>
      <w:bookmarkStart w:id="12" w:name="_Ref166837292"/>
      <w:r w:rsidRPr="00BD22C2">
        <w:rPr>
          <w:rFonts w:eastAsia="Calibri"/>
          <w:lang w:val="fr-CA" w:eastAsia="en-US"/>
        </w:rPr>
        <w:t>p</w:t>
      </w:r>
      <w:bookmarkEnd w:id="12"/>
      <w:r w:rsidRPr="00BD22C2">
        <w:rPr>
          <w:rFonts w:eastAsia="Calibri"/>
          <w:lang w:val="fr-CA" w:eastAsia="en-US"/>
        </w:rPr>
        <w:t>ondait à une demande pressante de personnes concernées qui faisaient entre autres régulièrement face à des descentes policières dans les bars et autres lieux de sociabilité qu’elles fréquentaient. Dans les deux années précédentes, neuf hommes homosexuels avaient été tués dans la région de Montréal, suscitant un grand sentiment d’inquiétude dans la communauté. Le rapport de cette consultation contenait d’importantes recommandations concernant la santé et les services sociaux, les relations avec la police et la conformité des lois québécoises à la Charte.</w:t>
      </w:r>
    </w:p>
    <w:p w14:paraId="4AFDE4B2" w14:textId="3C271195" w:rsidR="009D3DD6" w:rsidRPr="00BD22C2" w:rsidRDefault="009D3DD6" w:rsidP="00645F5E">
      <w:pPr>
        <w:pStyle w:val="Paragraphe"/>
        <w:rPr>
          <w:rFonts w:eastAsia="Calibri"/>
          <w:lang w:val="fr-CA" w:eastAsia="en-US"/>
        </w:rPr>
      </w:pPr>
      <w:r w:rsidRPr="00BD22C2">
        <w:rPr>
          <w:rFonts w:eastAsia="Calibri"/>
          <w:lang w:val="fr-CA" w:eastAsia="en-US"/>
        </w:rPr>
        <w:t>Le tournant du millénaire a quant à lui été marqué par plusieurs développements positifs ayant rapproché les conjointes et conjoints de même sexe de l’égalité des droits, notamment suivant des recommandations de la Commission</w:t>
      </w:r>
      <w:r w:rsidRPr="00BD22C2">
        <w:rPr>
          <w:rStyle w:val="Appeldenotedefin"/>
          <w:rFonts w:eastAsia="Calibri"/>
          <w:lang w:val="fr-CA" w:eastAsia="en-US"/>
        </w:rPr>
        <w:endnoteReference w:id="9"/>
      </w:r>
      <w:r w:rsidRPr="00BD22C2">
        <w:rPr>
          <w:rFonts w:eastAsia="Calibri"/>
          <w:lang w:val="fr-CA" w:eastAsia="en-US"/>
        </w:rPr>
        <w:t>.</w:t>
      </w:r>
    </w:p>
    <w:p w14:paraId="4500590D" w14:textId="1A3DA79E" w:rsidR="009D3DD6" w:rsidRPr="00BD22C2" w:rsidRDefault="009D3DD6" w:rsidP="00645F5E">
      <w:pPr>
        <w:pStyle w:val="Paragraphe"/>
        <w:rPr>
          <w:rFonts w:eastAsia="Calibri"/>
          <w:lang w:val="fr-CA" w:eastAsia="en-US"/>
        </w:rPr>
      </w:pPr>
      <w:r w:rsidRPr="00BD22C2">
        <w:rPr>
          <w:rFonts w:eastAsia="Calibri"/>
          <w:lang w:val="fr-CA" w:eastAsia="en-US"/>
        </w:rPr>
        <w:t>En 1998, la Commission a remporté une victoire marquante devant le Tribunal des droits de la personne qui a confirmé que le motif illicite de discrimination « sexe » protège également « l’état de transsexualisme » et la personne en transition de genre</w:t>
      </w:r>
      <w:bookmarkStart w:id="13" w:name="_Ref166844240"/>
      <w:r w:rsidRPr="00BD22C2">
        <w:rPr>
          <w:rStyle w:val="Appeldenotedefin"/>
          <w:rFonts w:eastAsia="Calibri"/>
          <w:lang w:val="fr-CA" w:eastAsia="en-US"/>
        </w:rPr>
        <w:endnoteReference w:id="10"/>
      </w:r>
      <w:bookmarkEnd w:id="13"/>
      <w:r w:rsidRPr="00BD22C2">
        <w:rPr>
          <w:rFonts w:eastAsia="Calibri"/>
          <w:lang w:val="fr-CA" w:eastAsia="en-US"/>
        </w:rPr>
        <w:t>.</w:t>
      </w:r>
    </w:p>
    <w:p w14:paraId="7A2C874E" w14:textId="0FD90795" w:rsidR="009D3DD6" w:rsidRPr="00BD22C2" w:rsidRDefault="009D3DD6" w:rsidP="00645F5E">
      <w:pPr>
        <w:pStyle w:val="Paragraphe"/>
        <w:rPr>
          <w:rFonts w:eastAsia="Calibri"/>
          <w:lang w:val="fr-CA" w:eastAsia="en-US"/>
        </w:rPr>
      </w:pPr>
      <w:r w:rsidRPr="00BD22C2">
        <w:rPr>
          <w:rFonts w:eastAsia="Calibri"/>
          <w:lang w:val="fr-CA" w:eastAsia="en-US"/>
        </w:rPr>
        <w:lastRenderedPageBreak/>
        <w:t>Malgré des progrès significatifs au chapitre de l’égalité juridique, les personnes gaies et lesbiennes ont continué de subir l’homophobie au quotidien. Des personnes les représentant ont alerté de ce fait le gouvernement québécois qui, en 2004, a créé le Groupe de travail mixte contre l’homophobie que la Commission a reçu le mandat de coordonner</w:t>
      </w:r>
      <w:bookmarkStart w:id="14" w:name="_Ref166749987"/>
      <w:r w:rsidRPr="00BD22C2">
        <w:rPr>
          <w:rStyle w:val="Appeldenotedefin"/>
          <w:rFonts w:eastAsia="Calibri"/>
          <w:lang w:val="fr-CA" w:eastAsia="en-US"/>
        </w:rPr>
        <w:endnoteReference w:id="11"/>
      </w:r>
      <w:bookmarkEnd w:id="14"/>
      <w:r w:rsidRPr="00BD22C2">
        <w:rPr>
          <w:rFonts w:eastAsia="Calibri"/>
          <w:lang w:val="fr-CA" w:eastAsia="en-US"/>
        </w:rPr>
        <w:t>. Ce groupe était composé de personnes représentant des ministères, des organismes publics, des organisations syndicales et des groupes communautaires LGBT</w:t>
      </w:r>
      <w:r w:rsidRPr="00BD22C2">
        <w:rPr>
          <w:rStyle w:val="Appeldenotedefin"/>
          <w:rFonts w:eastAsia="Calibri"/>
          <w:lang w:val="fr-CA" w:eastAsia="en-US"/>
        </w:rPr>
        <w:endnoteReference w:id="12"/>
      </w:r>
      <w:r w:rsidRPr="00BD22C2">
        <w:rPr>
          <w:rFonts w:eastAsia="Calibri"/>
          <w:lang w:val="fr-CA" w:eastAsia="en-US"/>
        </w:rPr>
        <w:t>. La consultation menée par le Groupe de travail l’a notamment conduit à recommander l’adoption et la mise en œuvre d’une politique nationale de lutte contre l’homophobie</w:t>
      </w:r>
      <w:r w:rsidRPr="00BD22C2">
        <w:rPr>
          <w:rStyle w:val="Appeldenotedefin"/>
          <w:rFonts w:eastAsia="Calibri"/>
          <w:lang w:val="fr-CA" w:eastAsia="en-US"/>
        </w:rPr>
        <w:endnoteReference w:id="13"/>
      </w:r>
      <w:r w:rsidRPr="00BD22C2">
        <w:rPr>
          <w:rFonts w:eastAsia="Calibri"/>
          <w:lang w:val="fr-CA" w:eastAsia="en-US"/>
        </w:rPr>
        <w:t>. Cette recommandation a été suivie en 2009</w:t>
      </w:r>
      <w:bookmarkStart w:id="15" w:name="_Ref166752423"/>
      <w:r w:rsidRPr="00BD22C2">
        <w:rPr>
          <w:rStyle w:val="Appeldenotedefin"/>
          <w:rFonts w:eastAsia="Calibri"/>
          <w:lang w:val="fr-CA" w:eastAsia="en-US"/>
        </w:rPr>
        <w:endnoteReference w:id="14"/>
      </w:r>
      <w:bookmarkEnd w:id="15"/>
      <w:r w:rsidRPr="00BD22C2">
        <w:rPr>
          <w:rFonts w:eastAsia="Calibri"/>
          <w:lang w:val="fr-CA" w:eastAsia="en-US"/>
        </w:rPr>
        <w:t>.</w:t>
      </w:r>
    </w:p>
    <w:p w14:paraId="22DA6EE2" w14:textId="16949B2F" w:rsidR="009D3DD6" w:rsidRPr="00BD22C2" w:rsidRDefault="009D3DD6" w:rsidP="00645F5E">
      <w:pPr>
        <w:pStyle w:val="Paragraphe"/>
        <w:rPr>
          <w:rFonts w:eastAsia="Calibri"/>
          <w:lang w:val="fr-CA" w:eastAsia="en-US"/>
        </w:rPr>
      </w:pPr>
      <w:r w:rsidRPr="00BD22C2">
        <w:rPr>
          <w:rFonts w:eastAsia="Calibri"/>
          <w:lang w:val="fr-CA" w:eastAsia="en-US"/>
        </w:rPr>
        <w:t>Au cours des années 2010, l’état civil des personnes trans a particulièrement retenu l’attention de la Commission. À plusieurs reprises, elle a recommandé d’assouplir les conditions pour le changement de la mention du sexe à l’état civil, y compris pour les personnes trans mineures, afin d’assurer leur conformité aux droits garantis par la Charte</w:t>
      </w:r>
      <w:bookmarkStart w:id="16" w:name="_Ref167286065"/>
      <w:r w:rsidRPr="00BD22C2">
        <w:rPr>
          <w:rStyle w:val="Appeldenotedefin"/>
          <w:rFonts w:eastAsia="Calibri"/>
          <w:lang w:val="fr-CA" w:eastAsia="en-US"/>
        </w:rPr>
        <w:endnoteReference w:id="15"/>
      </w:r>
      <w:bookmarkEnd w:id="16"/>
      <w:r w:rsidRPr="00BD22C2">
        <w:rPr>
          <w:rFonts w:eastAsia="Calibri"/>
          <w:lang w:val="fr-CA" w:eastAsia="en-US"/>
        </w:rPr>
        <w:t>. Au fil des dernières décennies, la possibilité d’un tel changement a été élargie aux personnes mariées</w:t>
      </w:r>
      <w:r w:rsidRPr="00BD22C2">
        <w:rPr>
          <w:rStyle w:val="Appeldenotedefin"/>
          <w:rFonts w:eastAsia="Calibri"/>
          <w:lang w:val="fr-CA" w:eastAsia="en-US"/>
        </w:rPr>
        <w:endnoteReference w:id="16"/>
      </w:r>
      <w:r w:rsidRPr="00BD22C2">
        <w:rPr>
          <w:rFonts w:eastAsia="Calibri"/>
          <w:lang w:val="fr-CA" w:eastAsia="en-US"/>
        </w:rPr>
        <w:t>, aux personnes n’ayant pas subi d’interventions chirurgicales ou de traitements médicaux</w:t>
      </w:r>
      <w:r w:rsidRPr="00BD22C2">
        <w:rPr>
          <w:rStyle w:val="Appeldenotedefin"/>
          <w:rFonts w:eastAsia="Calibri"/>
          <w:lang w:val="fr-CA" w:eastAsia="en-US"/>
        </w:rPr>
        <w:endnoteReference w:id="17"/>
      </w:r>
      <w:r w:rsidRPr="00BD22C2">
        <w:rPr>
          <w:rFonts w:eastAsia="Calibri"/>
          <w:lang w:val="fr-CA" w:eastAsia="en-US"/>
        </w:rPr>
        <w:t>, aux personnes mineures</w:t>
      </w:r>
      <w:bookmarkStart w:id="17" w:name="_Ref168577497"/>
      <w:r w:rsidRPr="00BD22C2">
        <w:rPr>
          <w:rStyle w:val="Appeldenotedefin"/>
          <w:rFonts w:eastAsia="Calibri"/>
          <w:lang w:val="fr-CA" w:eastAsia="en-US"/>
        </w:rPr>
        <w:endnoteReference w:id="18"/>
      </w:r>
      <w:bookmarkEnd w:id="17"/>
      <w:r w:rsidRPr="00BD22C2">
        <w:rPr>
          <w:rFonts w:eastAsia="Calibri"/>
          <w:lang w:val="fr-CA" w:eastAsia="en-US"/>
        </w:rPr>
        <w:t xml:space="preserve"> et finalement à celles résidentes</w:t>
      </w:r>
      <w:r w:rsidR="006542BE">
        <w:rPr>
          <w:rFonts w:eastAsia="Calibri"/>
          <w:lang w:val="fr-CA" w:eastAsia="en-US"/>
        </w:rPr>
        <w:t>,</w:t>
      </w:r>
      <w:r w:rsidRPr="00BD22C2">
        <w:rPr>
          <w:rFonts w:eastAsia="Calibri"/>
          <w:lang w:val="fr-CA" w:eastAsia="en-US"/>
        </w:rPr>
        <w:t xml:space="preserve"> mais non citoyennes</w:t>
      </w:r>
      <w:r w:rsidRPr="00BD22C2">
        <w:rPr>
          <w:rStyle w:val="Appeldenotedefin"/>
          <w:rFonts w:eastAsia="Calibri"/>
          <w:lang w:val="fr-CA" w:eastAsia="en-US"/>
        </w:rPr>
        <w:endnoteReference w:id="19"/>
      </w:r>
      <w:r w:rsidRPr="00BD22C2">
        <w:rPr>
          <w:rFonts w:eastAsia="Calibri"/>
          <w:lang w:val="fr-CA" w:eastAsia="en-US"/>
        </w:rPr>
        <w:t>. Ce mouvement a culminé avec la reconnaissance juridique des personnes non binaires en 2022 que la Commission a applaudie</w:t>
      </w:r>
      <w:r w:rsidRPr="00BD22C2">
        <w:rPr>
          <w:rStyle w:val="Appeldenotedefin"/>
          <w:rFonts w:eastAsia="Calibri"/>
          <w:lang w:val="fr-CA" w:eastAsia="en-US"/>
        </w:rPr>
        <w:endnoteReference w:id="20"/>
      </w:r>
      <w:r w:rsidRPr="00BD22C2">
        <w:rPr>
          <w:rFonts w:eastAsia="Calibri"/>
          <w:lang w:val="fr-CA" w:eastAsia="en-US"/>
        </w:rPr>
        <w:t>. Cette dernière avancée s’est notablement appuyée sur le motif interdit de discrimination « identité ou expression de genre » ajouté à la Charte en 2016</w:t>
      </w:r>
      <w:bookmarkStart w:id="18" w:name="_Ref167438214"/>
      <w:r w:rsidRPr="00BD22C2">
        <w:rPr>
          <w:rStyle w:val="Appeldenotedefin"/>
          <w:rFonts w:eastAsia="Calibri"/>
          <w:lang w:val="fr-CA" w:eastAsia="en-US"/>
        </w:rPr>
        <w:endnoteReference w:id="21"/>
      </w:r>
      <w:bookmarkEnd w:id="18"/>
      <w:r w:rsidRPr="00BD22C2">
        <w:rPr>
          <w:rFonts w:eastAsia="Calibri"/>
          <w:lang w:val="fr-CA" w:eastAsia="en-US"/>
        </w:rPr>
        <w:t>.</w:t>
      </w:r>
    </w:p>
    <w:p w14:paraId="18441F30" w14:textId="5F8C00EE" w:rsidR="009D3DD6" w:rsidRPr="00BD22C2" w:rsidRDefault="009D3DD6" w:rsidP="00645F5E">
      <w:pPr>
        <w:pStyle w:val="Paragraphe"/>
        <w:rPr>
          <w:rFonts w:eastAsia="Calibri"/>
          <w:lang w:val="fr-CA" w:eastAsia="en-US"/>
        </w:rPr>
      </w:pPr>
      <w:r w:rsidRPr="00BD22C2">
        <w:rPr>
          <w:rFonts w:eastAsia="Calibri"/>
          <w:lang w:val="fr-CA" w:eastAsia="en-US"/>
        </w:rPr>
        <w:t>En 2020, l’Assemblée nationale a adopté une loi qui a interdit les thérapies de conversion ayant pour but d’amener une personne à changer son orientation sexuelle, son identité de genre ou son expression de genre ou encore à réprimer les comportements sexuels non hétérosexuels</w:t>
      </w:r>
      <w:r w:rsidRPr="00BD22C2">
        <w:rPr>
          <w:rStyle w:val="Appeldenotedefin"/>
          <w:rFonts w:eastAsia="Calibri"/>
          <w:lang w:val="fr-CA" w:eastAsia="en-US"/>
        </w:rPr>
        <w:endnoteReference w:id="22"/>
      </w:r>
      <w:r w:rsidRPr="00BD22C2">
        <w:rPr>
          <w:rFonts w:eastAsia="Calibri"/>
          <w:lang w:val="fr-CA" w:eastAsia="en-US"/>
        </w:rPr>
        <w:t>. La Commission a salué cette interdiction</w:t>
      </w:r>
      <w:r w:rsidRPr="00BD22C2">
        <w:rPr>
          <w:rStyle w:val="Appeldenotedefin"/>
          <w:rFonts w:eastAsia="Calibri"/>
          <w:lang w:val="fr-CA" w:eastAsia="en-US"/>
        </w:rPr>
        <w:endnoteReference w:id="23"/>
      </w:r>
      <w:r w:rsidRPr="00BD22C2">
        <w:rPr>
          <w:rFonts w:eastAsia="Calibri"/>
          <w:lang w:val="fr-CA" w:eastAsia="en-US"/>
        </w:rPr>
        <w:t>.</w:t>
      </w:r>
    </w:p>
    <w:p w14:paraId="6252C321" w14:textId="5D21590E" w:rsidR="009D3DD6" w:rsidRPr="00BD22C2" w:rsidRDefault="009D3DD6" w:rsidP="00645F5E">
      <w:pPr>
        <w:pStyle w:val="Paragraphe"/>
        <w:rPr>
          <w:rFonts w:eastAsia="Calibri"/>
          <w:lang w:val="fr-CA" w:eastAsia="en-US"/>
        </w:rPr>
      </w:pPr>
      <w:r w:rsidRPr="00BD22C2">
        <w:rPr>
          <w:rFonts w:eastAsia="Calibri"/>
          <w:lang w:val="fr-CA" w:eastAsia="en-US"/>
        </w:rPr>
        <w:t>En parallèle de ces interventions, la Commission mène des activités d’éducation aux droits des personnes LGBTQ</w:t>
      </w:r>
      <w:r w:rsidR="00B74C74" w:rsidRPr="00BD22C2">
        <w:rPr>
          <w:rFonts w:eastAsia="Calibri"/>
          <w:lang w:val="fr-CA" w:eastAsia="en-US"/>
        </w:rPr>
        <w:t>+</w:t>
      </w:r>
      <w:r w:rsidRPr="00BD22C2">
        <w:rPr>
          <w:rFonts w:eastAsia="Calibri"/>
          <w:lang w:val="fr-CA" w:eastAsia="en-US"/>
        </w:rPr>
        <w:t>. Elle a notamment produit un module interactif d’autoformation sur le sujet, disponible en ligne</w:t>
      </w:r>
      <w:r w:rsidRPr="00BD22C2">
        <w:rPr>
          <w:rStyle w:val="Appeldenotedefin"/>
          <w:rFonts w:eastAsia="Calibri"/>
          <w:lang w:val="fr-CA" w:eastAsia="en-US"/>
        </w:rPr>
        <w:endnoteReference w:id="24"/>
      </w:r>
      <w:r w:rsidRPr="00BD22C2">
        <w:rPr>
          <w:rFonts w:eastAsia="Calibri"/>
          <w:lang w:val="fr-CA" w:eastAsia="en-US"/>
        </w:rPr>
        <w:t>. Elle assume aussi la responsabilité de deux mesures de formation et d’information dans le Plan d’action gouvernemental de lutte contre l’homophobie et la transphobie 2023-2028</w:t>
      </w:r>
      <w:bookmarkStart w:id="19" w:name="_Ref166750289"/>
      <w:r w:rsidRPr="00BD22C2">
        <w:rPr>
          <w:rStyle w:val="Appeldenotedefin"/>
          <w:rFonts w:eastAsia="Calibri"/>
          <w:lang w:val="fr-CA" w:eastAsia="en-US"/>
        </w:rPr>
        <w:endnoteReference w:id="25"/>
      </w:r>
      <w:bookmarkEnd w:id="19"/>
      <w:r w:rsidRPr="00BD22C2">
        <w:rPr>
          <w:rFonts w:eastAsia="Calibri"/>
          <w:lang w:val="fr-CA" w:eastAsia="en-US"/>
        </w:rPr>
        <w:t>. Elle avait également la responsabilité d’une mesure d’information sur les thérapies de conversion dans le Plan d’action gouvernemental pour prévenir et contrer les thérapies de conversion</w:t>
      </w:r>
      <w:r w:rsidR="00984CBA" w:rsidRPr="00BD22C2">
        <w:rPr>
          <w:rFonts w:eastAsia="Calibri"/>
          <w:lang w:val="fr-CA" w:eastAsia="en-US"/>
        </w:rPr>
        <w:t> </w:t>
      </w:r>
      <w:r w:rsidRPr="00BD22C2">
        <w:rPr>
          <w:rFonts w:eastAsia="Calibri"/>
          <w:lang w:val="fr-CA" w:eastAsia="en-US"/>
        </w:rPr>
        <w:t>2021-2023</w:t>
      </w:r>
      <w:bookmarkStart w:id="20" w:name="_Ref167265816"/>
      <w:r w:rsidRPr="00BD22C2">
        <w:rPr>
          <w:rStyle w:val="Appeldenotedefin"/>
          <w:rFonts w:eastAsia="Calibri"/>
          <w:lang w:val="fr-CA" w:eastAsia="en-US"/>
        </w:rPr>
        <w:endnoteReference w:id="26"/>
      </w:r>
      <w:bookmarkEnd w:id="20"/>
      <w:r w:rsidRPr="00BD22C2">
        <w:rPr>
          <w:rFonts w:eastAsia="Calibri"/>
          <w:lang w:val="fr-CA" w:eastAsia="en-US"/>
        </w:rPr>
        <w:t>. La Commission a par ailleurs récemment adopté un guide sur les communications inclusives à l’intention de son personnel.</w:t>
      </w:r>
    </w:p>
    <w:p w14:paraId="3E64EFDA" w14:textId="1ADAA928" w:rsidR="00EC1255" w:rsidRPr="00BD22C2" w:rsidRDefault="009D3DD6" w:rsidP="00645F5E">
      <w:pPr>
        <w:pStyle w:val="Paragraphe"/>
        <w:rPr>
          <w:rFonts w:eastAsia="Calibri"/>
          <w:lang w:val="fr-CA"/>
        </w:rPr>
      </w:pPr>
      <w:r w:rsidRPr="00BD22C2">
        <w:rPr>
          <w:rFonts w:eastAsia="Calibri"/>
          <w:lang w:val="fr-CA" w:eastAsia="en-US"/>
        </w:rPr>
        <w:lastRenderedPageBreak/>
        <w:t>La Commission reçoit</w:t>
      </w:r>
      <w:r w:rsidRPr="00BD22C2" w:rsidDel="00EF34CB">
        <w:rPr>
          <w:rFonts w:eastAsia="Calibri"/>
          <w:lang w:val="fr-CA" w:eastAsia="en-US"/>
        </w:rPr>
        <w:t xml:space="preserve"> </w:t>
      </w:r>
      <w:r w:rsidR="00EF34CB" w:rsidRPr="00BD22C2">
        <w:rPr>
          <w:rFonts w:eastAsia="Calibri"/>
          <w:lang w:val="fr-CA" w:eastAsia="en-US"/>
        </w:rPr>
        <w:t>en outre</w:t>
      </w:r>
      <w:r w:rsidRPr="00BD22C2">
        <w:rPr>
          <w:rFonts w:eastAsia="Calibri"/>
          <w:lang w:val="fr-CA" w:eastAsia="en-US"/>
        </w:rPr>
        <w:t xml:space="preserve"> des plaintes pour discrimination ou harcèlement discriminatoire, </w:t>
      </w:r>
      <w:r w:rsidRPr="00BD22C2">
        <w:rPr>
          <w:lang w:val="fr-CA"/>
        </w:rPr>
        <w:t>incluant sur la base de l’orientation sexuelle et de l’identité ou l’expression de genre.</w:t>
      </w:r>
      <w:r w:rsidRPr="00BD22C2">
        <w:rPr>
          <w:rFonts w:eastAsia="Calibri"/>
          <w:lang w:val="fr-CA" w:eastAsia="en-US"/>
        </w:rPr>
        <w:t xml:space="preserve"> Conformément aux responsabilités que lui confie la Charte québécoise</w:t>
      </w:r>
      <w:r w:rsidRPr="00BD22C2">
        <w:rPr>
          <w:rStyle w:val="Appeldenotedefin"/>
          <w:rFonts w:eastAsia="Calibri"/>
          <w:lang w:val="fr-CA" w:eastAsia="en-US"/>
        </w:rPr>
        <w:endnoteReference w:id="27"/>
      </w:r>
      <w:r w:rsidRPr="00BD22C2">
        <w:rPr>
          <w:rFonts w:eastAsia="Calibri"/>
          <w:lang w:val="fr-CA" w:eastAsia="en-US"/>
        </w:rPr>
        <w:t>,</w:t>
      </w:r>
      <w:r w:rsidR="00EC1255" w:rsidRPr="00BD22C2">
        <w:rPr>
          <w:rFonts w:eastAsia="Calibri"/>
          <w:lang w:val="fr-CA" w:eastAsia="en-US"/>
        </w:rPr>
        <w:t xml:space="preserve"> la Commission enquête, sur la base de ces plaintes </w:t>
      </w:r>
      <w:r w:rsidR="00EC1255" w:rsidRPr="00BD22C2">
        <w:rPr>
          <w:lang w:val="fr-CA"/>
        </w:rPr>
        <w:t xml:space="preserve">ou de sa propre initiative, sur toute situation qui lui paraît constituer un cas de discrimination. La Commission agit alors de façon à favoriser un règlement à l’amiable entre les parties, souvent par la voie de la médiation. Si elle n’y parvient pas, elle peut, au terme de l’enquête, proposer des mesures de redressement visant à corriger la situation. Lorsque les mesures proposées ne sont pas mises en œuvre dans le délai imparti et à la satisfaction de la Commission, elle peut </w:t>
      </w:r>
      <w:r w:rsidR="00EC1255" w:rsidRPr="00BD22C2">
        <w:rPr>
          <w:rFonts w:cs="Arial"/>
          <w:szCs w:val="22"/>
          <w:shd w:val="clear" w:color="auto" w:fill="FFFFFF"/>
          <w:lang w:val="fr-CA"/>
        </w:rPr>
        <w:t>s’adresser à un tribunal en vue d’obtenir, compte tenu de l’intérêt public, toute mesure appropriée contre la personne en défaut ou pour réclamer, en faveur de la victime, toute mesure de redressement qu’elle juge alors adéquate</w:t>
      </w:r>
      <w:r w:rsidR="00EC1255" w:rsidRPr="00BD22C2">
        <w:rPr>
          <w:lang w:val="fr-CA"/>
        </w:rPr>
        <w:t>.</w:t>
      </w:r>
    </w:p>
    <w:p w14:paraId="229718C4" w14:textId="72687E6B" w:rsidR="00DB52B8" w:rsidRPr="00BD22C2" w:rsidRDefault="00DB52B8" w:rsidP="00DB52B8">
      <w:pPr>
        <w:pStyle w:val="Paragraphe"/>
        <w:jc w:val="both"/>
        <w:rPr>
          <w:rFonts w:eastAsia="Calibri"/>
          <w:lang w:val="fr-CA" w:eastAsia="en-US"/>
        </w:rPr>
      </w:pPr>
      <w:r w:rsidRPr="00BD22C2">
        <w:rPr>
          <w:rFonts w:eastAsia="Calibri"/>
          <w:lang w:val="fr-CA" w:eastAsia="en-US"/>
        </w:rPr>
        <w:t xml:space="preserve">La Commission </w:t>
      </w:r>
      <w:r w:rsidR="009E56DC" w:rsidRPr="00BD22C2">
        <w:rPr>
          <w:rFonts w:eastAsia="Calibri"/>
          <w:lang w:val="fr-CA" w:eastAsia="en-US"/>
        </w:rPr>
        <w:t>a</w:t>
      </w:r>
      <w:r w:rsidR="0099318F" w:rsidRPr="00BD22C2">
        <w:rPr>
          <w:rFonts w:eastAsia="Calibri"/>
          <w:lang w:val="fr-CA" w:eastAsia="en-US"/>
        </w:rPr>
        <w:t xml:space="preserve">ssume également une double mission en </w:t>
      </w:r>
      <w:r w:rsidR="0033655C" w:rsidRPr="00BD22C2">
        <w:rPr>
          <w:rFonts w:eastAsia="Calibri"/>
          <w:lang w:val="fr-CA" w:eastAsia="en-US"/>
        </w:rPr>
        <w:t>matière de droits de l’enfant</w:t>
      </w:r>
      <w:r w:rsidR="00CC4837" w:rsidRPr="00BD22C2">
        <w:rPr>
          <w:rFonts w:eastAsia="Calibri"/>
          <w:lang w:val="fr-CA" w:eastAsia="en-US"/>
        </w:rPr>
        <w:t xml:space="preserve">, </w:t>
      </w:r>
      <w:r w:rsidR="0031654D" w:rsidRPr="00BD22C2">
        <w:rPr>
          <w:rFonts w:eastAsia="Calibri"/>
          <w:lang w:val="fr-CA" w:eastAsia="en-US"/>
        </w:rPr>
        <w:t>tant en vertu de</w:t>
      </w:r>
      <w:r w:rsidRPr="00BD22C2">
        <w:rPr>
          <w:rFonts w:eastAsia="Calibri"/>
          <w:lang w:val="fr-CA" w:eastAsia="en-US"/>
        </w:rPr>
        <w:t xml:space="preserve"> la Charte </w:t>
      </w:r>
      <w:r w:rsidR="0031654D" w:rsidRPr="00BD22C2">
        <w:rPr>
          <w:rFonts w:eastAsia="Calibri"/>
          <w:lang w:val="fr-CA" w:eastAsia="en-US"/>
        </w:rPr>
        <w:t>que</w:t>
      </w:r>
      <w:r w:rsidRPr="00BD22C2">
        <w:rPr>
          <w:rFonts w:eastAsia="Calibri"/>
          <w:lang w:val="fr-CA" w:eastAsia="en-US"/>
        </w:rPr>
        <w:t xml:space="preserve"> </w:t>
      </w:r>
      <w:r w:rsidR="0027548D" w:rsidRPr="00BD22C2">
        <w:rPr>
          <w:rFonts w:eastAsia="Calibri"/>
          <w:lang w:val="fr-CA" w:eastAsia="en-US"/>
        </w:rPr>
        <w:t xml:space="preserve">de </w:t>
      </w:r>
      <w:r w:rsidRPr="00BD22C2">
        <w:rPr>
          <w:rFonts w:eastAsia="Calibri"/>
          <w:lang w:val="fr-CA" w:eastAsia="en-US"/>
        </w:rPr>
        <w:t>la</w:t>
      </w:r>
      <w:r w:rsidR="0031654D" w:rsidRPr="00BD22C2">
        <w:rPr>
          <w:rFonts w:eastAsia="Calibri"/>
          <w:lang w:val="fr-CA" w:eastAsia="en-US"/>
        </w:rPr>
        <w:t xml:space="preserve"> </w:t>
      </w:r>
      <w:proofErr w:type="spellStart"/>
      <w:r w:rsidR="0031654D" w:rsidRPr="00BD22C2">
        <w:rPr>
          <w:rFonts w:eastAsia="Calibri"/>
          <w:lang w:val="fr-CA" w:eastAsia="en-US"/>
        </w:rPr>
        <w:t>L.p.j</w:t>
      </w:r>
      <w:proofErr w:type="spellEnd"/>
      <w:r w:rsidR="009D3DD6" w:rsidRPr="00BD22C2">
        <w:rPr>
          <w:rFonts w:eastAsia="Calibri"/>
          <w:lang w:val="fr-CA" w:eastAsia="en-US"/>
        </w:rPr>
        <w:t>.</w:t>
      </w:r>
      <w:r w:rsidRPr="00BD22C2">
        <w:rPr>
          <w:rFonts w:eastAsia="Calibri"/>
          <w:lang w:val="fr-CA" w:eastAsia="en-US"/>
        </w:rPr>
        <w:t xml:space="preserve"> </w:t>
      </w:r>
      <w:r w:rsidR="00F306DF" w:rsidRPr="00BD22C2">
        <w:rPr>
          <w:rFonts w:eastAsia="Calibri"/>
          <w:lang w:val="fr-CA" w:eastAsia="en-US"/>
        </w:rPr>
        <w:t>E</w:t>
      </w:r>
      <w:r w:rsidRPr="00BD22C2">
        <w:rPr>
          <w:rFonts w:eastAsia="Calibri"/>
          <w:lang w:val="fr-CA" w:eastAsia="en-US"/>
        </w:rPr>
        <w:t xml:space="preserve">lle exerce différents mandats </w:t>
      </w:r>
      <w:r w:rsidR="0027548D" w:rsidRPr="00BD22C2">
        <w:rPr>
          <w:rFonts w:eastAsia="Calibri"/>
          <w:lang w:val="fr-CA" w:eastAsia="en-US"/>
        </w:rPr>
        <w:t>et responsabilités</w:t>
      </w:r>
      <w:r w:rsidRPr="00BD22C2">
        <w:rPr>
          <w:rFonts w:eastAsia="Calibri"/>
          <w:lang w:val="fr-CA" w:eastAsia="en-US"/>
        </w:rPr>
        <w:t xml:space="preserve"> liés à promotion des droits de l’enfant, à la surveillance de leur mise en œuvre ainsi qu’à l’élaboration et à l’application de programmes d’information et d’éducation</w:t>
      </w:r>
      <w:r w:rsidRPr="00BD22C2">
        <w:rPr>
          <w:rFonts w:eastAsia="Calibri"/>
          <w:vertAlign w:val="superscript"/>
          <w:lang w:val="fr-CA" w:eastAsia="en-US"/>
        </w:rPr>
        <w:endnoteReference w:id="28"/>
      </w:r>
      <w:r w:rsidRPr="00BD22C2">
        <w:rPr>
          <w:rFonts w:eastAsia="Calibri"/>
          <w:lang w:val="fr-CA" w:eastAsia="en-US"/>
        </w:rPr>
        <w:t xml:space="preserve">. En ce qui concerne les enfants visés par l’application de la </w:t>
      </w:r>
      <w:proofErr w:type="spellStart"/>
      <w:r w:rsidRPr="00BD22C2">
        <w:rPr>
          <w:rFonts w:eastAsia="Calibri"/>
          <w:lang w:val="fr-CA" w:eastAsia="en-US"/>
        </w:rPr>
        <w:t>L</w:t>
      </w:r>
      <w:r w:rsidR="00967486" w:rsidRPr="00BD22C2">
        <w:rPr>
          <w:rFonts w:eastAsia="Calibri"/>
          <w:lang w:val="fr-CA" w:eastAsia="en-US"/>
        </w:rPr>
        <w:t>.p.j</w:t>
      </w:r>
      <w:proofErr w:type="spellEnd"/>
      <w:r w:rsidR="00C4433B" w:rsidRPr="00BD22C2">
        <w:rPr>
          <w:rFonts w:eastAsia="Calibri"/>
          <w:lang w:val="fr-CA" w:eastAsia="en-US"/>
        </w:rPr>
        <w:t>.</w:t>
      </w:r>
      <w:r w:rsidRPr="00BD22C2">
        <w:rPr>
          <w:rFonts w:eastAsia="Calibri"/>
          <w:lang w:val="fr-CA" w:eastAsia="en-US"/>
        </w:rPr>
        <w:t>, la Commission a le rôle d’assurer la protection et la promotion des droits qui l</w:t>
      </w:r>
      <w:r w:rsidR="00BC6FA7" w:rsidRPr="00BD22C2">
        <w:rPr>
          <w:rFonts w:eastAsia="Calibri"/>
          <w:lang w:val="fr-CA" w:eastAsia="en-US"/>
        </w:rPr>
        <w:t>eur</w:t>
      </w:r>
      <w:r w:rsidRPr="00BD22C2">
        <w:rPr>
          <w:rFonts w:eastAsia="Calibri"/>
          <w:lang w:val="fr-CA" w:eastAsia="en-US"/>
        </w:rPr>
        <w:t xml:space="preserve"> sont reconnus par la loi</w:t>
      </w:r>
      <w:r w:rsidRPr="00BD22C2">
        <w:rPr>
          <w:rFonts w:eastAsia="Calibri"/>
          <w:vertAlign w:val="superscript"/>
          <w:lang w:val="fr-CA" w:eastAsia="en-US"/>
        </w:rPr>
        <w:endnoteReference w:id="29"/>
      </w:r>
      <w:r w:rsidRPr="00BD22C2">
        <w:rPr>
          <w:rFonts w:eastAsia="Calibri"/>
          <w:lang w:val="fr-CA" w:eastAsia="en-US"/>
        </w:rPr>
        <w:t xml:space="preserve">. </w:t>
      </w:r>
    </w:p>
    <w:p w14:paraId="3361926E" w14:textId="76523E62" w:rsidR="006637BD" w:rsidRPr="00BD22C2" w:rsidRDefault="000F60B8" w:rsidP="00645F5E">
      <w:pPr>
        <w:pStyle w:val="Paragraphe"/>
        <w:rPr>
          <w:rFonts w:eastAsia="Calibri"/>
          <w:lang w:val="fr-CA" w:eastAsia="en-US"/>
        </w:rPr>
      </w:pPr>
      <w:r w:rsidRPr="00BD22C2">
        <w:rPr>
          <w:rFonts w:eastAsia="Calibri"/>
          <w:lang w:val="fr-CA" w:eastAsia="en-US"/>
        </w:rPr>
        <w:t>Il va sans dire que</w:t>
      </w:r>
      <w:r w:rsidR="006637BD" w:rsidRPr="00BD22C2">
        <w:rPr>
          <w:rFonts w:eastAsia="Calibri"/>
          <w:lang w:val="fr-CA" w:eastAsia="en-US"/>
        </w:rPr>
        <w:t xml:space="preserve"> la Commission compte poursuivre ses efforts de promotion, défense et protection des droits des personnes LGBTQ+ par l’exercice de l’ensemble de ses responsabilités.</w:t>
      </w:r>
    </w:p>
    <w:p w14:paraId="626EE5E1" w14:textId="77777777" w:rsidR="006637BD" w:rsidRPr="00BD22C2" w:rsidRDefault="006637BD" w:rsidP="00645F5E">
      <w:pPr>
        <w:pStyle w:val="Paragraphe"/>
        <w:rPr>
          <w:rFonts w:eastAsia="Calibri"/>
          <w:lang w:val="fr-CA" w:eastAsia="en-US"/>
        </w:rPr>
      </w:pPr>
      <w:r w:rsidRPr="00BD22C2">
        <w:rPr>
          <w:rFonts w:eastAsia="Calibri"/>
          <w:lang w:val="fr-CA" w:eastAsia="en-US"/>
        </w:rPr>
        <w:t>Des informations complémentaires sur l’action de la Commission figurent en annexe :</w:t>
      </w:r>
    </w:p>
    <w:p w14:paraId="5375D323" w14:textId="347C4EDC" w:rsidR="006637BD" w:rsidRPr="00BD22C2" w:rsidRDefault="006637BD" w:rsidP="003024C7">
      <w:pPr>
        <w:pStyle w:val="Paragraphedeliste"/>
        <w:numPr>
          <w:ilvl w:val="0"/>
          <w:numId w:val="2"/>
        </w:numPr>
        <w:rPr>
          <w:rFonts w:eastAsia="Calibri"/>
          <w:lang w:eastAsia="en-US"/>
        </w:rPr>
      </w:pPr>
      <w:r w:rsidRPr="00BD22C2">
        <w:rPr>
          <w:rFonts w:eastAsia="Calibri"/>
          <w:lang w:eastAsia="en-US"/>
        </w:rPr>
        <w:t>Liste de documents produits par la Commission traitant des droits des personnes LGBTQ+</w:t>
      </w:r>
      <w:r w:rsidR="004509B6" w:rsidRPr="00BD22C2">
        <w:rPr>
          <w:rFonts w:eastAsia="Calibri"/>
          <w:lang w:eastAsia="en-US"/>
        </w:rPr>
        <w:t> </w:t>
      </w:r>
      <w:r w:rsidR="004A74C1" w:rsidRPr="00BD22C2">
        <w:rPr>
          <w:rFonts w:eastAsia="Calibri"/>
          <w:lang w:eastAsia="en-US"/>
        </w:rPr>
        <w:t>;</w:t>
      </w:r>
    </w:p>
    <w:p w14:paraId="7A5C03AA" w14:textId="47FD41FA" w:rsidR="007C0F19" w:rsidRPr="00BD22C2" w:rsidRDefault="006637BD" w:rsidP="00BB1C59">
      <w:pPr>
        <w:pStyle w:val="Paragraphedeliste"/>
        <w:numPr>
          <w:ilvl w:val="0"/>
          <w:numId w:val="2"/>
        </w:numPr>
        <w:rPr>
          <w:rFonts w:eastAsia="Calibri"/>
          <w:lang w:eastAsia="en-US"/>
        </w:rPr>
      </w:pPr>
      <w:r w:rsidRPr="00BD22C2">
        <w:rPr>
          <w:rFonts w:eastAsia="Calibri"/>
          <w:lang w:eastAsia="en-US"/>
        </w:rPr>
        <w:t>Portrait des plaintes reçues par la Commission pour discrimination sur la base de l’identité ou l’expression de genre</w:t>
      </w:r>
      <w:r w:rsidR="004A74C1" w:rsidRPr="00BD22C2">
        <w:rPr>
          <w:rFonts w:eastAsia="Calibri"/>
          <w:lang w:eastAsia="en-US"/>
        </w:rPr>
        <w:t>.</w:t>
      </w:r>
    </w:p>
    <w:p w14:paraId="6AE6B8F5" w14:textId="77777777" w:rsidR="00645F5E" w:rsidRPr="00BD22C2" w:rsidRDefault="00645F5E" w:rsidP="007C0F19">
      <w:pPr>
        <w:pStyle w:val="Paragraphedeliste"/>
        <w:rPr>
          <w:rFonts w:eastAsia="Calibri"/>
          <w:lang w:eastAsia="en-US"/>
        </w:rPr>
        <w:sectPr w:rsidR="00645F5E" w:rsidRPr="00BD22C2" w:rsidSect="00BB7A38">
          <w:headerReference w:type="even" r:id="rId36"/>
          <w:headerReference w:type="default" r:id="rId37"/>
          <w:footerReference w:type="default" r:id="rId38"/>
          <w:headerReference w:type="first" r:id="rId39"/>
          <w:footerReference w:type="first" r:id="rId40"/>
          <w:endnotePr>
            <w:numFmt w:val="decimal"/>
          </w:endnotePr>
          <w:pgSz w:w="12240" w:h="15840" w:code="1"/>
          <w:pgMar w:top="1872" w:right="1440" w:bottom="1440" w:left="1440" w:header="706" w:footer="706" w:gutter="0"/>
          <w:pgNumType w:fmt="lowerRoman" w:start="1"/>
          <w:cols w:space="708"/>
          <w:titlePg/>
          <w:docGrid w:linePitch="360"/>
        </w:sectPr>
      </w:pPr>
    </w:p>
    <w:p w14:paraId="37188722" w14:textId="7A76DC0A" w:rsidR="006637BD" w:rsidRPr="00F277D5" w:rsidRDefault="006637BD" w:rsidP="00005CCB">
      <w:pPr>
        <w:pStyle w:val="Titre"/>
        <w:rPr>
          <w:rFonts w:eastAsia="Calibri"/>
          <w:lang w:eastAsia="en-US"/>
        </w:rPr>
      </w:pPr>
      <w:bookmarkStart w:id="21" w:name="_Toc165301008"/>
      <w:bookmarkStart w:id="22" w:name="_Toc165636091"/>
      <w:r w:rsidRPr="006515B0">
        <w:rPr>
          <w:rFonts w:eastAsia="Calibri"/>
          <w:lang w:eastAsia="en-US"/>
        </w:rPr>
        <w:lastRenderedPageBreak/>
        <w:t>Introductio</w:t>
      </w:r>
      <w:r w:rsidR="00183889" w:rsidRPr="006515B0">
        <w:rPr>
          <w:rFonts w:eastAsia="Calibri"/>
          <w:lang w:eastAsia="en-US"/>
        </w:rPr>
        <w:t xml:space="preserve">n — </w:t>
      </w:r>
      <w:r w:rsidR="003C7B41" w:rsidRPr="006515B0">
        <w:rPr>
          <w:rFonts w:eastAsia="Calibri"/>
          <w:lang w:eastAsia="en-US"/>
        </w:rPr>
        <w:t>RÉAFFIRMER</w:t>
      </w:r>
      <w:r w:rsidRPr="006515B0">
        <w:rPr>
          <w:rFonts w:eastAsia="Calibri"/>
          <w:lang w:eastAsia="en-US"/>
        </w:rPr>
        <w:t xml:space="preserve"> L’ENGAGEMENT DU QUÉBEC</w:t>
      </w:r>
      <w:bookmarkEnd w:id="21"/>
      <w:bookmarkEnd w:id="22"/>
    </w:p>
    <w:p w14:paraId="77148111" w14:textId="3B14CAEA" w:rsidR="001B0125" w:rsidRPr="00BD22C2" w:rsidRDefault="006637BD" w:rsidP="00BB1C59">
      <w:pPr>
        <w:pStyle w:val="Corpsdetexte"/>
        <w:rPr>
          <w:rFonts w:eastAsia="Calibri"/>
          <w:lang w:eastAsia="en-US"/>
        </w:rPr>
      </w:pPr>
      <w:r w:rsidRPr="00BD22C2">
        <w:rPr>
          <w:rStyle w:val="ParagrapheCar"/>
          <w:rFonts w:eastAsia="Calibri"/>
          <w:lang w:val="fr-CA"/>
        </w:rPr>
        <w:t xml:space="preserve">Compte tenu de ses responsabilités de promouvoir les droits garantis par la Charte et la </w:t>
      </w:r>
      <w:proofErr w:type="spellStart"/>
      <w:r w:rsidR="00F732BE" w:rsidRPr="00BD22C2">
        <w:rPr>
          <w:rStyle w:val="ParagrapheCar"/>
          <w:rFonts w:eastAsia="Calibri"/>
          <w:lang w:val="fr-CA"/>
        </w:rPr>
        <w:t>L.p.j</w:t>
      </w:r>
      <w:proofErr w:type="spellEnd"/>
      <w:r w:rsidR="00F732BE" w:rsidRPr="00BD22C2">
        <w:rPr>
          <w:rStyle w:val="ParagrapheCar"/>
          <w:rFonts w:eastAsia="Calibri"/>
          <w:lang w:val="fr-CA"/>
        </w:rPr>
        <w:t>.</w:t>
      </w:r>
      <w:r w:rsidRPr="00BD22C2">
        <w:rPr>
          <w:rStyle w:val="ParagrapheCar"/>
          <w:rFonts w:eastAsia="Calibri"/>
          <w:lang w:val="fr-CA"/>
        </w:rPr>
        <w:t>, la Commission a estimé important de répondre positivement à la demande du Comité de sages sur l’identité de genre</w:t>
      </w:r>
      <w:r w:rsidR="0029365D" w:rsidRPr="00BD22C2">
        <w:rPr>
          <w:rStyle w:val="ParagrapheCar"/>
          <w:rFonts w:eastAsia="Calibri"/>
          <w:lang w:val="fr-CA"/>
        </w:rPr>
        <w:t xml:space="preserve"> (ci-après «</w:t>
      </w:r>
      <w:r w:rsidR="0051216B" w:rsidRPr="00BD22C2">
        <w:rPr>
          <w:rStyle w:val="ParagrapheCar"/>
          <w:rFonts w:eastAsia="Calibri"/>
          <w:lang w:val="fr-CA"/>
        </w:rPr>
        <w:t> </w:t>
      </w:r>
      <w:r w:rsidR="0029365D" w:rsidRPr="00BD22C2">
        <w:rPr>
          <w:rStyle w:val="ParagrapheCar"/>
          <w:rFonts w:eastAsia="Calibri"/>
          <w:lang w:val="fr-CA"/>
        </w:rPr>
        <w:t>Comité de sages</w:t>
      </w:r>
      <w:r w:rsidR="0051216B" w:rsidRPr="00BD22C2">
        <w:rPr>
          <w:rStyle w:val="ParagrapheCar"/>
          <w:rFonts w:eastAsia="Calibri"/>
          <w:lang w:val="fr-CA"/>
        </w:rPr>
        <w:t> </w:t>
      </w:r>
      <w:r w:rsidR="0029365D" w:rsidRPr="00BD22C2">
        <w:rPr>
          <w:rStyle w:val="ParagrapheCar"/>
          <w:rFonts w:eastAsia="Calibri"/>
          <w:lang w:val="fr-CA"/>
        </w:rPr>
        <w:t>»)</w:t>
      </w:r>
      <w:r w:rsidR="00FF551E" w:rsidRPr="00BD22C2">
        <w:rPr>
          <w:rStyle w:val="ParagrapheCar"/>
          <w:rFonts w:eastAsia="Calibri"/>
          <w:lang w:val="fr-CA"/>
        </w:rPr>
        <w:t xml:space="preserve"> et</w:t>
      </w:r>
      <w:r w:rsidRPr="00BD22C2">
        <w:rPr>
          <w:rStyle w:val="ParagrapheCar"/>
          <w:rFonts w:eastAsia="Calibri"/>
          <w:lang w:val="fr-CA"/>
        </w:rPr>
        <w:t xml:space="preserve"> de lui faire part de ses positions et analyses sur </w:t>
      </w:r>
      <w:r w:rsidR="00663632" w:rsidRPr="00BD22C2">
        <w:rPr>
          <w:rStyle w:val="ParagrapheCar"/>
          <w:rFonts w:eastAsia="Calibri"/>
          <w:lang w:val="fr-CA"/>
        </w:rPr>
        <w:t>ce</w:t>
      </w:r>
      <w:r w:rsidRPr="00BD22C2">
        <w:rPr>
          <w:rStyle w:val="ParagrapheCar"/>
          <w:rFonts w:eastAsia="Calibri"/>
          <w:lang w:val="fr-CA"/>
        </w:rPr>
        <w:t xml:space="preserve"> sujet</w:t>
      </w:r>
      <w:r w:rsidRPr="00BD22C2">
        <w:rPr>
          <w:rFonts w:eastAsia="Calibri"/>
          <w:lang w:eastAsia="en-US"/>
        </w:rPr>
        <w:t>.</w:t>
      </w:r>
    </w:p>
    <w:p w14:paraId="3A811455" w14:textId="5198210D" w:rsidR="006637BD" w:rsidRPr="00BD22C2" w:rsidRDefault="003F239C" w:rsidP="00603906">
      <w:pPr>
        <w:pStyle w:val="Paragraphe"/>
        <w:rPr>
          <w:rFonts w:eastAsia="Calibri"/>
          <w:lang w:val="fr-CA" w:eastAsia="en-US"/>
        </w:rPr>
      </w:pPr>
      <w:r w:rsidRPr="00BD22C2">
        <w:rPr>
          <w:rFonts w:eastAsia="Calibri"/>
          <w:lang w:val="fr-CA" w:eastAsia="en-US"/>
        </w:rPr>
        <w:t>Le mandat du Comité de sages</w:t>
      </w:r>
      <w:r w:rsidR="00837EDA" w:rsidRPr="00BD22C2">
        <w:rPr>
          <w:rFonts w:eastAsia="Calibri"/>
          <w:lang w:val="fr-CA" w:eastAsia="en-US"/>
        </w:rPr>
        <w:t xml:space="preserve"> </w:t>
      </w:r>
      <w:r w:rsidR="00C475C0" w:rsidRPr="00BD22C2">
        <w:rPr>
          <w:rFonts w:eastAsia="Calibri"/>
          <w:lang w:val="fr-CA" w:eastAsia="en-US"/>
        </w:rPr>
        <w:t>vise à brosser un portrait de la réalité québécoise, à recenser les politiques publiques, les pratiques et les directives dans plusieurs secteurs (éducation, sports et loisirs, famille, santé et services sociaux, sécurité publique, etc.)</w:t>
      </w:r>
      <w:r w:rsidR="002F658C" w:rsidRPr="00BD22C2">
        <w:rPr>
          <w:rFonts w:eastAsia="Calibri"/>
          <w:lang w:val="fr-CA" w:eastAsia="en-US"/>
        </w:rPr>
        <w:t>, à analyser leurs effets potentiels sur l’ensemble de la société québécoise</w:t>
      </w:r>
      <w:r w:rsidR="00052DF4" w:rsidRPr="00BD22C2">
        <w:rPr>
          <w:rFonts w:eastAsia="Calibri"/>
          <w:lang w:val="fr-CA" w:eastAsia="en-US"/>
        </w:rPr>
        <w:t>, à comparer l</w:t>
      </w:r>
      <w:r w:rsidR="001C618F" w:rsidRPr="00BD22C2">
        <w:rPr>
          <w:rFonts w:eastAsia="Calibri"/>
          <w:lang w:val="fr-CA" w:eastAsia="en-US"/>
        </w:rPr>
        <w:t>a situation québécoise à celle d’autres États comparables</w:t>
      </w:r>
      <w:r w:rsidR="00DB0C37" w:rsidRPr="00BD22C2">
        <w:rPr>
          <w:rFonts w:eastAsia="Calibri"/>
          <w:lang w:val="fr-CA" w:eastAsia="en-US"/>
        </w:rPr>
        <w:t xml:space="preserve"> et à identifier les principaux enjeux à approfondir, le tout en collaboration étroite avec le Conseil québécois LGBT</w:t>
      </w:r>
      <w:r w:rsidR="00ED57A6" w:rsidRPr="00BD22C2">
        <w:rPr>
          <w:rStyle w:val="Appeldenotedefin"/>
          <w:rFonts w:eastAsia="Calibri"/>
          <w:lang w:val="fr-CA" w:eastAsia="en-US"/>
        </w:rPr>
        <w:endnoteReference w:id="30"/>
      </w:r>
      <w:r w:rsidR="00DB0C37" w:rsidRPr="00BD22C2">
        <w:rPr>
          <w:rFonts w:eastAsia="Calibri"/>
          <w:lang w:val="fr-CA" w:eastAsia="en-US"/>
        </w:rPr>
        <w:t>.</w:t>
      </w:r>
    </w:p>
    <w:p w14:paraId="6FC255CB" w14:textId="2BF8D8FB" w:rsidR="00CD2351" w:rsidRPr="00BD22C2" w:rsidRDefault="00CD2351" w:rsidP="00EF1CB2">
      <w:pPr>
        <w:pStyle w:val="Paragraphe"/>
        <w:rPr>
          <w:rFonts w:eastAsia="Calibri"/>
          <w:lang w:val="fr-CA" w:eastAsia="en-US"/>
        </w:rPr>
      </w:pPr>
      <w:r w:rsidRPr="00BD22C2">
        <w:rPr>
          <w:rFonts w:eastAsia="Calibri"/>
          <w:lang w:val="fr-CA" w:eastAsia="en-US"/>
        </w:rPr>
        <w:t xml:space="preserve">Lors </w:t>
      </w:r>
      <w:r w:rsidR="00DA7EF3" w:rsidRPr="00BD22C2">
        <w:rPr>
          <w:rFonts w:eastAsia="Calibri"/>
          <w:lang w:val="fr-CA" w:eastAsia="en-US"/>
        </w:rPr>
        <w:t>d’une</w:t>
      </w:r>
      <w:r w:rsidRPr="00BD22C2">
        <w:rPr>
          <w:rFonts w:eastAsia="Calibri"/>
          <w:lang w:val="fr-CA" w:eastAsia="en-US"/>
        </w:rPr>
        <w:t xml:space="preserve"> première rencontre avec le Comité</w:t>
      </w:r>
      <w:r w:rsidR="00527EF3" w:rsidRPr="00BD22C2">
        <w:rPr>
          <w:rFonts w:eastAsia="Calibri"/>
          <w:lang w:val="fr-CA" w:eastAsia="en-US"/>
        </w:rPr>
        <w:t xml:space="preserve"> de sages</w:t>
      </w:r>
      <w:r w:rsidRPr="00BD22C2">
        <w:rPr>
          <w:rFonts w:eastAsia="Calibri"/>
          <w:lang w:val="fr-CA" w:eastAsia="en-US"/>
        </w:rPr>
        <w:t>, la Commission a</w:t>
      </w:r>
      <w:r w:rsidR="001239DB" w:rsidRPr="00BD22C2">
        <w:rPr>
          <w:rFonts w:eastAsia="Calibri"/>
          <w:lang w:val="fr-CA" w:eastAsia="en-US"/>
        </w:rPr>
        <w:t xml:space="preserve"> particulièrement insisté</w:t>
      </w:r>
      <w:r w:rsidRPr="00BD22C2">
        <w:rPr>
          <w:rFonts w:eastAsia="Calibri"/>
          <w:lang w:val="fr-CA" w:eastAsia="en-US"/>
        </w:rPr>
        <w:t xml:space="preserve"> </w:t>
      </w:r>
      <w:r w:rsidR="001239DB" w:rsidRPr="00BD22C2">
        <w:rPr>
          <w:rFonts w:eastAsia="Calibri"/>
          <w:lang w:val="fr-CA" w:eastAsia="en-US"/>
        </w:rPr>
        <w:t xml:space="preserve">sur les droits des personnes non binaires en lien avec le régime </w:t>
      </w:r>
      <w:r w:rsidR="00B51A46" w:rsidRPr="00BD22C2">
        <w:rPr>
          <w:rFonts w:eastAsia="Calibri"/>
          <w:lang w:val="fr-CA" w:eastAsia="en-US"/>
        </w:rPr>
        <w:t xml:space="preserve">alors en vigueur </w:t>
      </w:r>
      <w:r w:rsidR="001239DB" w:rsidRPr="00BD22C2">
        <w:rPr>
          <w:rFonts w:eastAsia="Calibri"/>
          <w:lang w:val="fr-CA" w:eastAsia="en-US"/>
        </w:rPr>
        <w:t>de mention du sexe sur les documents d’identité</w:t>
      </w:r>
      <w:r w:rsidR="00107498" w:rsidRPr="00BD22C2">
        <w:rPr>
          <w:rFonts w:eastAsia="Calibri"/>
          <w:lang w:val="fr-CA" w:eastAsia="en-US"/>
        </w:rPr>
        <w:t>. Elle lui a ensuite fourni des informations complémentaires à ce sujet dans une lettre</w:t>
      </w:r>
      <w:r w:rsidR="008234F4" w:rsidRPr="00BD22C2">
        <w:rPr>
          <w:rStyle w:val="Appeldenotedefin"/>
          <w:rFonts w:eastAsia="Calibri"/>
          <w:lang w:val="fr-CA" w:eastAsia="en-US"/>
        </w:rPr>
        <w:endnoteReference w:id="31"/>
      </w:r>
      <w:r w:rsidR="001239DB" w:rsidRPr="00BD22C2">
        <w:rPr>
          <w:rFonts w:eastAsia="Calibri"/>
          <w:lang w:val="fr-CA" w:eastAsia="en-US"/>
        </w:rPr>
        <w:t>.</w:t>
      </w:r>
      <w:r w:rsidR="007663C3" w:rsidRPr="00BD22C2">
        <w:rPr>
          <w:rFonts w:eastAsia="Calibri"/>
          <w:lang w:val="fr-CA" w:eastAsia="en-US"/>
        </w:rPr>
        <w:t xml:space="preserve"> </w:t>
      </w:r>
      <w:r w:rsidR="0005140F" w:rsidRPr="00BD22C2">
        <w:rPr>
          <w:rFonts w:eastAsia="Calibri"/>
          <w:lang w:val="fr-CA" w:eastAsia="en-US"/>
        </w:rPr>
        <w:t>Depuis, le gouvernement s’est engagé</w:t>
      </w:r>
      <w:r w:rsidR="00792E04" w:rsidRPr="00BD22C2">
        <w:rPr>
          <w:rFonts w:eastAsia="Calibri"/>
          <w:lang w:val="fr-CA" w:eastAsia="en-US"/>
        </w:rPr>
        <w:t xml:space="preserve"> à autoriser la mention du sexe «</w:t>
      </w:r>
      <w:r w:rsidR="00BB3F16" w:rsidRPr="00BD22C2">
        <w:rPr>
          <w:rFonts w:eastAsia="Calibri"/>
          <w:lang w:val="fr-CA" w:eastAsia="en-US"/>
        </w:rPr>
        <w:t> </w:t>
      </w:r>
      <w:r w:rsidR="00792E04" w:rsidRPr="00BD22C2">
        <w:rPr>
          <w:rFonts w:eastAsia="Calibri"/>
          <w:lang w:val="fr-CA" w:eastAsia="en-US"/>
        </w:rPr>
        <w:t>X</w:t>
      </w:r>
      <w:r w:rsidR="00BB3F16" w:rsidRPr="00BD22C2">
        <w:rPr>
          <w:rFonts w:eastAsia="Calibri"/>
          <w:lang w:val="fr-CA" w:eastAsia="en-US"/>
        </w:rPr>
        <w:t> </w:t>
      </w:r>
      <w:r w:rsidR="00792E04" w:rsidRPr="00BD22C2">
        <w:rPr>
          <w:rFonts w:eastAsia="Calibri"/>
          <w:lang w:val="fr-CA" w:eastAsia="en-US"/>
        </w:rPr>
        <w:t>» sur le permis de conduire et la carte d’assurance</w:t>
      </w:r>
      <w:r w:rsidR="007B2DFA" w:rsidRPr="00BD22C2">
        <w:rPr>
          <w:rFonts w:eastAsia="Calibri"/>
          <w:lang w:val="fr-CA" w:eastAsia="en-US"/>
        </w:rPr>
        <w:t xml:space="preserve"> </w:t>
      </w:r>
      <w:r w:rsidR="00792E04" w:rsidRPr="00BD22C2">
        <w:rPr>
          <w:rFonts w:eastAsia="Calibri"/>
          <w:lang w:val="fr-CA" w:eastAsia="en-US"/>
        </w:rPr>
        <w:t>maladie</w:t>
      </w:r>
      <w:r w:rsidR="008234F4" w:rsidRPr="00BD22C2">
        <w:rPr>
          <w:rStyle w:val="Appeldenotedefin"/>
          <w:rFonts w:eastAsia="Calibri"/>
          <w:lang w:val="fr-CA" w:eastAsia="en-US"/>
        </w:rPr>
        <w:endnoteReference w:id="32"/>
      </w:r>
      <w:r w:rsidR="00792E04" w:rsidRPr="00BD22C2">
        <w:rPr>
          <w:rFonts w:eastAsia="Calibri"/>
          <w:lang w:val="fr-CA" w:eastAsia="en-US"/>
        </w:rPr>
        <w:t xml:space="preserve">. </w:t>
      </w:r>
      <w:r w:rsidR="008234F4" w:rsidRPr="00BD22C2">
        <w:rPr>
          <w:rFonts w:eastAsia="Calibri"/>
          <w:lang w:val="fr-CA" w:eastAsia="en-US"/>
        </w:rPr>
        <w:t>La Cour d’appel a de plus rendu une décision</w:t>
      </w:r>
      <w:r w:rsidR="00717D46" w:rsidRPr="00BD22C2">
        <w:rPr>
          <w:rFonts w:eastAsia="Calibri"/>
          <w:lang w:val="fr-CA" w:eastAsia="en-US"/>
        </w:rPr>
        <w:t xml:space="preserve"> dans l’affaire </w:t>
      </w:r>
      <w:r w:rsidR="00717D46" w:rsidRPr="00BD22C2">
        <w:rPr>
          <w:rFonts w:eastAsia="Calibri"/>
          <w:i/>
          <w:iCs/>
          <w:lang w:val="fr-CA" w:eastAsia="en-US"/>
        </w:rPr>
        <w:t>Centre de lutte contre l’oppression des genres</w:t>
      </w:r>
      <w:r w:rsidR="00717D46" w:rsidRPr="00BD22C2">
        <w:rPr>
          <w:rFonts w:eastAsia="Calibri"/>
          <w:lang w:val="fr-CA" w:eastAsia="en-US"/>
        </w:rPr>
        <w:t xml:space="preserve"> </w:t>
      </w:r>
      <w:r w:rsidR="00B56997" w:rsidRPr="00BD22C2">
        <w:rPr>
          <w:rFonts w:eastAsia="Calibri"/>
          <w:lang w:val="fr-CA" w:eastAsia="en-US"/>
        </w:rPr>
        <w:t xml:space="preserve">à propos </w:t>
      </w:r>
      <w:r w:rsidR="00717D46" w:rsidRPr="00BD22C2">
        <w:rPr>
          <w:rFonts w:eastAsia="Calibri"/>
          <w:lang w:val="fr-CA" w:eastAsia="en-US"/>
        </w:rPr>
        <w:t xml:space="preserve">des </w:t>
      </w:r>
      <w:r w:rsidR="00830FF1" w:rsidRPr="00BD22C2">
        <w:rPr>
          <w:rFonts w:eastAsia="Calibri"/>
          <w:lang w:val="fr-CA" w:eastAsia="en-US"/>
        </w:rPr>
        <w:t>conditions pour l</w:t>
      </w:r>
      <w:r w:rsidR="00145460" w:rsidRPr="00BD22C2">
        <w:rPr>
          <w:rFonts w:eastAsia="Calibri"/>
          <w:lang w:val="fr-CA" w:eastAsia="en-US"/>
        </w:rPr>
        <w:t xml:space="preserve">a modification </w:t>
      </w:r>
      <w:r w:rsidR="00830FF1" w:rsidRPr="00BD22C2">
        <w:rPr>
          <w:rFonts w:eastAsia="Calibri"/>
          <w:lang w:val="fr-CA" w:eastAsia="en-US"/>
        </w:rPr>
        <w:t>de cette mention</w:t>
      </w:r>
      <w:bookmarkStart w:id="23" w:name="_Ref166756580"/>
      <w:r w:rsidR="00145460" w:rsidRPr="00BD22C2">
        <w:rPr>
          <w:rFonts w:eastAsia="Calibri"/>
          <w:lang w:val="fr-CA" w:eastAsia="en-US"/>
        </w:rPr>
        <w:t xml:space="preserve"> et le changement du prénom</w:t>
      </w:r>
      <w:r w:rsidR="00EB408D" w:rsidRPr="00BD22C2">
        <w:rPr>
          <w:rStyle w:val="Appeldenotedefin"/>
          <w:rFonts w:eastAsia="Calibri"/>
          <w:lang w:val="fr-CA" w:eastAsia="en-US"/>
        </w:rPr>
        <w:endnoteReference w:id="33"/>
      </w:r>
      <w:bookmarkEnd w:id="23"/>
      <w:r w:rsidR="00830FF1" w:rsidRPr="00BD22C2">
        <w:rPr>
          <w:rFonts w:eastAsia="Calibri"/>
          <w:lang w:val="fr-CA" w:eastAsia="en-US"/>
        </w:rPr>
        <w:t xml:space="preserve">. La Commission suivra avec </w:t>
      </w:r>
      <w:r w:rsidR="001E4BD6" w:rsidRPr="00BD22C2">
        <w:rPr>
          <w:rFonts w:eastAsia="Calibri"/>
          <w:lang w:val="fr-CA" w:eastAsia="en-US"/>
        </w:rPr>
        <w:t>intérêt la mise en œuvre de ces développements.</w:t>
      </w:r>
    </w:p>
    <w:p w14:paraId="695498B8" w14:textId="72A47909" w:rsidR="00EF1CB2" w:rsidRPr="00BD22C2" w:rsidRDefault="0072246B" w:rsidP="00EF1CB2">
      <w:pPr>
        <w:pStyle w:val="Paragraphe"/>
        <w:rPr>
          <w:rFonts w:eastAsia="Calibri"/>
          <w:lang w:val="fr-CA" w:eastAsia="en-US"/>
        </w:rPr>
      </w:pPr>
      <w:r w:rsidRPr="00BD22C2">
        <w:rPr>
          <w:rFonts w:eastAsia="Calibri"/>
          <w:lang w:val="fr-CA" w:eastAsia="en-US"/>
        </w:rPr>
        <w:t xml:space="preserve">Dans le présent mémoire, la Commission </w:t>
      </w:r>
      <w:r w:rsidR="00AA1A64" w:rsidRPr="00BD22C2">
        <w:rPr>
          <w:rFonts w:eastAsia="Calibri"/>
          <w:lang w:val="fr-CA" w:eastAsia="en-US"/>
        </w:rPr>
        <w:t xml:space="preserve">adopte une perspective plus </w:t>
      </w:r>
      <w:r w:rsidR="0096332E" w:rsidRPr="00BD22C2">
        <w:rPr>
          <w:rFonts w:eastAsia="Calibri"/>
          <w:lang w:val="fr-CA" w:eastAsia="en-US"/>
        </w:rPr>
        <w:t xml:space="preserve">large visant à exposer au Comité </w:t>
      </w:r>
      <w:r w:rsidR="00527EF3" w:rsidRPr="00BD22C2">
        <w:rPr>
          <w:rFonts w:eastAsia="Calibri"/>
          <w:lang w:val="fr-CA" w:eastAsia="en-US"/>
        </w:rPr>
        <w:t xml:space="preserve">de sages </w:t>
      </w:r>
      <w:r w:rsidR="0096332E" w:rsidRPr="00BD22C2">
        <w:rPr>
          <w:rFonts w:eastAsia="Calibri"/>
          <w:lang w:val="fr-CA" w:eastAsia="en-US"/>
        </w:rPr>
        <w:t>ses préoccupations</w:t>
      </w:r>
      <w:r w:rsidR="00397826" w:rsidRPr="00BD22C2">
        <w:rPr>
          <w:rFonts w:eastAsia="Calibri"/>
          <w:lang w:val="fr-CA" w:eastAsia="en-US"/>
        </w:rPr>
        <w:t xml:space="preserve"> concernant les droits des personnes trans et non binaires</w:t>
      </w:r>
      <w:r w:rsidR="00EF75EB" w:rsidRPr="00BD22C2">
        <w:rPr>
          <w:rFonts w:eastAsia="Calibri"/>
          <w:lang w:val="fr-CA" w:eastAsia="en-US"/>
        </w:rPr>
        <w:t>. Elle y présente</w:t>
      </w:r>
      <w:r w:rsidR="0096332E" w:rsidRPr="00BD22C2">
        <w:rPr>
          <w:rFonts w:eastAsia="Calibri"/>
          <w:lang w:val="fr-CA" w:eastAsia="en-US"/>
        </w:rPr>
        <w:t xml:space="preserve"> le</w:t>
      </w:r>
      <w:r w:rsidR="00CF76BC" w:rsidRPr="00BD22C2">
        <w:rPr>
          <w:rFonts w:eastAsia="Calibri"/>
          <w:lang w:val="fr-CA" w:eastAsia="en-US"/>
        </w:rPr>
        <w:t>s outils qu’offre</w:t>
      </w:r>
      <w:r w:rsidR="00E35D0F" w:rsidRPr="00BD22C2">
        <w:rPr>
          <w:rFonts w:eastAsia="Calibri"/>
          <w:lang w:val="fr-CA" w:eastAsia="en-US"/>
        </w:rPr>
        <w:t>nt</w:t>
      </w:r>
      <w:r w:rsidR="00CF76BC" w:rsidRPr="00BD22C2">
        <w:rPr>
          <w:rFonts w:eastAsia="Calibri"/>
          <w:lang w:val="fr-CA" w:eastAsia="en-US"/>
        </w:rPr>
        <w:t xml:space="preserve"> la Charte québécoise </w:t>
      </w:r>
      <w:r w:rsidR="004D685B" w:rsidRPr="00BD22C2">
        <w:rPr>
          <w:rFonts w:eastAsia="Calibri"/>
          <w:lang w:val="fr-CA" w:eastAsia="en-US"/>
        </w:rPr>
        <w:t>et l’approche fondée sur les droits de l’enfant</w:t>
      </w:r>
      <w:r w:rsidR="00CF76BC" w:rsidRPr="00BD22C2">
        <w:rPr>
          <w:rFonts w:eastAsia="Calibri"/>
          <w:lang w:val="fr-CA" w:eastAsia="en-US"/>
        </w:rPr>
        <w:t xml:space="preserve"> pour y répondre.</w:t>
      </w:r>
    </w:p>
    <w:p w14:paraId="04F5C392" w14:textId="77777777" w:rsidR="006637BD" w:rsidRPr="00BD22C2" w:rsidRDefault="006637BD" w:rsidP="00EF1CB2">
      <w:pPr>
        <w:rPr>
          <w:rFonts w:eastAsia="Calibri"/>
          <w:b/>
          <w:bCs/>
          <w:lang w:eastAsia="en-US"/>
        </w:rPr>
      </w:pPr>
      <w:r w:rsidRPr="00BD22C2">
        <w:rPr>
          <w:rFonts w:eastAsia="Calibri"/>
          <w:b/>
          <w:bCs/>
          <w:lang w:eastAsia="en-US"/>
        </w:rPr>
        <w:t>Le Québec à la croisée des chemins</w:t>
      </w:r>
    </w:p>
    <w:p w14:paraId="684FAFEB" w14:textId="04A8D626" w:rsidR="00374E6F" w:rsidRPr="00BD22C2" w:rsidRDefault="006637BD" w:rsidP="00196FB5">
      <w:pPr>
        <w:pStyle w:val="Paragraphe"/>
        <w:rPr>
          <w:rFonts w:cs="Arial"/>
          <w:lang w:val="fr-CA"/>
        </w:rPr>
      </w:pPr>
      <w:r w:rsidRPr="00BD22C2">
        <w:rPr>
          <w:rFonts w:cs="Arial"/>
          <w:lang w:val="fr-CA"/>
        </w:rPr>
        <w:t>La Commission est grandement préoccupée par le climat social dans lequel se tiennent les travaux du Comité</w:t>
      </w:r>
      <w:r w:rsidR="00527EF3" w:rsidRPr="00BD22C2">
        <w:rPr>
          <w:rFonts w:cs="Arial"/>
          <w:lang w:val="fr-CA"/>
        </w:rPr>
        <w:t xml:space="preserve"> de sages</w:t>
      </w:r>
      <w:r w:rsidRPr="00BD22C2">
        <w:rPr>
          <w:rFonts w:cs="Arial"/>
          <w:lang w:val="fr-CA"/>
        </w:rPr>
        <w:t>, comme elle l’a exprimé dans une déclaration au cours de l’automne</w:t>
      </w:r>
      <w:r w:rsidR="00CC76DE" w:rsidRPr="00BD22C2">
        <w:rPr>
          <w:rFonts w:cs="Arial"/>
          <w:lang w:val="fr-CA"/>
        </w:rPr>
        <w:t> </w:t>
      </w:r>
      <w:r w:rsidRPr="00BD22C2">
        <w:rPr>
          <w:rFonts w:cs="Arial"/>
          <w:lang w:val="fr-CA"/>
        </w:rPr>
        <w:t>2023</w:t>
      </w:r>
      <w:r w:rsidRPr="00BD22C2">
        <w:rPr>
          <w:rStyle w:val="Appeldenotedefin"/>
          <w:rFonts w:cs="Arial"/>
          <w:lang w:val="fr-CA"/>
        </w:rPr>
        <w:endnoteReference w:id="34"/>
      </w:r>
      <w:r w:rsidRPr="00BD22C2">
        <w:rPr>
          <w:rFonts w:cs="Arial"/>
          <w:lang w:val="fr-CA"/>
        </w:rPr>
        <w:t>. Elle s’inquiète de la persistance, voire de la recrudescence, des actes et propos discriminatoires et haineux déclarés envers les personnes LGBTQ+</w:t>
      </w:r>
      <w:r w:rsidRPr="00BD22C2">
        <w:rPr>
          <w:rStyle w:val="Appeldenotedefin"/>
          <w:rFonts w:cs="Arial"/>
          <w:lang w:val="fr-CA"/>
        </w:rPr>
        <w:endnoteReference w:id="35"/>
      </w:r>
      <w:r w:rsidRPr="00BD22C2">
        <w:rPr>
          <w:rFonts w:cs="Arial"/>
          <w:lang w:val="fr-CA"/>
        </w:rPr>
        <w:t>, que ce soit en ligne, dans la rue, à l’école ou au travail. Elle suit avec appréhension la</w:t>
      </w:r>
      <w:r w:rsidR="000958B2" w:rsidRPr="00BD22C2">
        <w:rPr>
          <w:rFonts w:cs="Arial"/>
          <w:lang w:val="fr-CA"/>
        </w:rPr>
        <w:t xml:space="preserve"> récente</w:t>
      </w:r>
      <w:r w:rsidRPr="00BD22C2">
        <w:rPr>
          <w:rFonts w:cs="Arial"/>
          <w:lang w:val="fr-CA"/>
        </w:rPr>
        <w:t xml:space="preserve"> multiplication de </w:t>
      </w:r>
      <w:r w:rsidRPr="00BD22C2">
        <w:rPr>
          <w:rFonts w:cs="Arial"/>
          <w:lang w:val="fr-CA"/>
        </w:rPr>
        <w:lastRenderedPageBreak/>
        <w:t xml:space="preserve">projets de loi ou de politiques publiques </w:t>
      </w:r>
      <w:r w:rsidR="000974EE" w:rsidRPr="00BD22C2">
        <w:rPr>
          <w:rFonts w:cs="Arial"/>
          <w:lang w:val="fr-CA"/>
        </w:rPr>
        <w:t xml:space="preserve">élaborés sans consultation préalable </w:t>
      </w:r>
      <w:r w:rsidRPr="00BD22C2">
        <w:rPr>
          <w:rFonts w:cs="Arial"/>
          <w:lang w:val="fr-CA"/>
        </w:rPr>
        <w:t>visant cette population. Plusieurs provinces canadiennes</w:t>
      </w:r>
      <w:r w:rsidRPr="00BD22C2">
        <w:rPr>
          <w:rStyle w:val="Appeldenotedefin"/>
          <w:rFonts w:cs="Arial"/>
          <w:lang w:val="fr-CA"/>
        </w:rPr>
        <w:endnoteReference w:id="36"/>
      </w:r>
      <w:r w:rsidRPr="00BD22C2">
        <w:rPr>
          <w:rFonts w:cs="Arial"/>
          <w:lang w:val="fr-CA"/>
        </w:rPr>
        <w:t xml:space="preserve"> et États américains</w:t>
      </w:r>
      <w:bookmarkStart w:id="24" w:name="_Ref166838942"/>
      <w:r w:rsidRPr="00BD22C2">
        <w:rPr>
          <w:rStyle w:val="Appeldenotedefin"/>
          <w:rFonts w:cs="Arial"/>
          <w:lang w:val="fr-CA"/>
        </w:rPr>
        <w:endnoteReference w:id="37"/>
      </w:r>
      <w:bookmarkEnd w:id="24"/>
      <w:r w:rsidRPr="00BD22C2">
        <w:rPr>
          <w:rFonts w:cs="Arial"/>
          <w:lang w:val="fr-CA"/>
        </w:rPr>
        <w:t xml:space="preserve"> empruntent cette voie</w:t>
      </w:r>
      <w:r w:rsidR="003476F3" w:rsidRPr="00BD22C2">
        <w:rPr>
          <w:rFonts w:cs="Arial"/>
          <w:lang w:val="fr-CA"/>
        </w:rPr>
        <w:t>,</w:t>
      </w:r>
      <w:r w:rsidR="00B73043" w:rsidRPr="00BD22C2">
        <w:rPr>
          <w:rFonts w:cs="Arial"/>
          <w:lang w:val="fr-CA"/>
        </w:rPr>
        <w:t xml:space="preserve"> </w:t>
      </w:r>
      <w:r w:rsidRPr="00BD22C2">
        <w:rPr>
          <w:rFonts w:cs="Arial"/>
          <w:lang w:val="fr-CA"/>
        </w:rPr>
        <w:t xml:space="preserve">envisageant tour à tour des mesures </w:t>
      </w:r>
      <w:r w:rsidR="003957A6" w:rsidRPr="00BD22C2">
        <w:rPr>
          <w:rFonts w:cs="Arial"/>
          <w:lang w:val="fr-CA"/>
        </w:rPr>
        <w:t xml:space="preserve">restrictives </w:t>
      </w:r>
      <w:r w:rsidRPr="00BD22C2">
        <w:rPr>
          <w:rFonts w:cs="Arial"/>
          <w:lang w:val="fr-CA"/>
        </w:rPr>
        <w:t xml:space="preserve">sur </w:t>
      </w:r>
      <w:r w:rsidR="003957A6" w:rsidRPr="00BD22C2">
        <w:rPr>
          <w:rFonts w:cs="Arial"/>
          <w:lang w:val="fr-CA"/>
        </w:rPr>
        <w:t xml:space="preserve">l’usage des </w:t>
      </w:r>
      <w:r w:rsidRPr="00BD22C2">
        <w:rPr>
          <w:rFonts w:cs="Arial"/>
          <w:lang w:val="fr-CA"/>
        </w:rPr>
        <w:t>prénoms et pronoms que les jeunes peuvent utiliser à l’école, la place des personnes trans et non binaires dans les services et espaces non mixtes sur le plan du sexe et du genre, les soins et traitements pouvant être offerts aux personnes mineures s’interrogeant sur leur genre, et le contenu et l’offre de cours sur la diversité sexuelle et la pluralité des genres.</w:t>
      </w:r>
    </w:p>
    <w:p w14:paraId="2A39FB65" w14:textId="5895BD19" w:rsidR="005B531B" w:rsidRPr="00BD22C2" w:rsidRDefault="00760C04" w:rsidP="00196FB5">
      <w:pPr>
        <w:pStyle w:val="Paragraphe"/>
        <w:rPr>
          <w:rFonts w:cs="Arial"/>
          <w:lang w:val="fr-CA"/>
        </w:rPr>
      </w:pPr>
      <w:r w:rsidRPr="00BD22C2">
        <w:rPr>
          <w:rFonts w:cs="Arial"/>
          <w:lang w:val="fr-CA"/>
        </w:rPr>
        <w:t xml:space="preserve">La Commission suit également les </w:t>
      </w:r>
      <w:r w:rsidR="00E828CB" w:rsidRPr="00BD22C2">
        <w:rPr>
          <w:rFonts w:cs="Arial"/>
          <w:lang w:val="fr-CA"/>
        </w:rPr>
        <w:t xml:space="preserve">développements </w:t>
      </w:r>
      <w:r w:rsidR="00AB2C0C" w:rsidRPr="00BD22C2">
        <w:rPr>
          <w:rFonts w:cs="Arial"/>
          <w:lang w:val="fr-CA"/>
        </w:rPr>
        <w:t>en Europe</w:t>
      </w:r>
      <w:r w:rsidR="009052C8" w:rsidRPr="00BD22C2">
        <w:rPr>
          <w:rFonts w:cs="Arial"/>
          <w:lang w:val="fr-CA"/>
        </w:rPr>
        <w:t xml:space="preserve"> qui prennent eux aussi place dans un contexte</w:t>
      </w:r>
      <w:r w:rsidR="00AE669D" w:rsidRPr="00BD22C2">
        <w:rPr>
          <w:rFonts w:cs="Arial"/>
          <w:lang w:val="fr-CA"/>
        </w:rPr>
        <w:t xml:space="preserve"> marqué par un «</w:t>
      </w:r>
      <w:r w:rsidR="0051216B" w:rsidRPr="00BD22C2">
        <w:rPr>
          <w:rFonts w:cs="Arial"/>
          <w:lang w:val="fr-CA"/>
        </w:rPr>
        <w:t> </w:t>
      </w:r>
      <w:r w:rsidR="00AE669D" w:rsidRPr="00BD22C2">
        <w:rPr>
          <w:rFonts w:cs="Arial"/>
          <w:lang w:val="fr-CA"/>
        </w:rPr>
        <w:t>débat hostile</w:t>
      </w:r>
      <w:r w:rsidR="0051216B" w:rsidRPr="00BD22C2">
        <w:rPr>
          <w:rFonts w:cs="Arial"/>
          <w:lang w:val="fr-CA"/>
        </w:rPr>
        <w:t> </w:t>
      </w:r>
      <w:r w:rsidR="00D24839" w:rsidRPr="00BD22C2">
        <w:rPr>
          <w:rFonts w:cs="Arial"/>
          <w:lang w:val="fr-CA"/>
        </w:rPr>
        <w:t>»</w:t>
      </w:r>
      <w:r w:rsidR="00A153F3" w:rsidRPr="00BD22C2">
        <w:rPr>
          <w:rFonts w:cs="Arial"/>
          <w:lang w:val="fr-CA"/>
        </w:rPr>
        <w:t xml:space="preserve"> sur les questions liées à l’identité de genre</w:t>
      </w:r>
      <w:r w:rsidR="00B4445A" w:rsidRPr="00BD22C2">
        <w:rPr>
          <w:rFonts w:cs="Arial"/>
          <w:lang w:val="fr-CA"/>
        </w:rPr>
        <w:t>, selon les termes</w:t>
      </w:r>
      <w:r w:rsidR="001A1A40" w:rsidRPr="00BD22C2">
        <w:rPr>
          <w:rFonts w:cs="Arial"/>
          <w:lang w:val="fr-CA"/>
        </w:rPr>
        <w:t xml:space="preserve"> </w:t>
      </w:r>
      <w:r w:rsidR="00B4445A" w:rsidRPr="00BD22C2">
        <w:rPr>
          <w:rFonts w:cs="Arial"/>
          <w:lang w:val="fr-CA"/>
        </w:rPr>
        <w:t>d</w:t>
      </w:r>
      <w:r w:rsidR="005E0883" w:rsidRPr="00BD22C2">
        <w:rPr>
          <w:rFonts w:cs="Arial"/>
          <w:lang w:val="fr-CA"/>
        </w:rPr>
        <w:t>e la</w:t>
      </w:r>
      <w:r w:rsidR="001A1A40" w:rsidRPr="00BD22C2">
        <w:rPr>
          <w:rFonts w:cs="Arial"/>
          <w:lang w:val="fr-CA"/>
        </w:rPr>
        <w:t xml:space="preserve"> Commissaire </w:t>
      </w:r>
      <w:r w:rsidR="007E1CD6" w:rsidRPr="00BD22C2">
        <w:rPr>
          <w:rFonts w:cs="Arial"/>
          <w:lang w:val="fr-CA"/>
        </w:rPr>
        <w:t>aux droits de l’homme du Conseil de l’Europe</w:t>
      </w:r>
      <w:bookmarkStart w:id="25" w:name="_Ref167447962"/>
      <w:r w:rsidR="00FF6A42" w:rsidRPr="00BD22C2">
        <w:rPr>
          <w:rStyle w:val="Appeldenotedefin"/>
          <w:rFonts w:cs="Arial"/>
          <w:lang w:val="fr-CA"/>
        </w:rPr>
        <w:endnoteReference w:id="38"/>
      </w:r>
      <w:bookmarkEnd w:id="25"/>
      <w:r w:rsidR="00FF6A42" w:rsidRPr="00BD22C2">
        <w:rPr>
          <w:rFonts w:cs="Arial"/>
          <w:lang w:val="fr-CA"/>
        </w:rPr>
        <w:t xml:space="preserve">. </w:t>
      </w:r>
      <w:r w:rsidR="00900B3D" w:rsidRPr="00BD22C2">
        <w:rPr>
          <w:rFonts w:cs="Arial"/>
          <w:lang w:val="fr-CA"/>
        </w:rPr>
        <w:t>L</w:t>
      </w:r>
      <w:r w:rsidR="00CF77B1" w:rsidRPr="00BD22C2">
        <w:rPr>
          <w:rFonts w:cs="Arial"/>
          <w:lang w:val="fr-CA"/>
        </w:rPr>
        <w:t>’accès aux espaces et services non mixtes sur le plan du sexe et du genre</w:t>
      </w:r>
      <w:r w:rsidR="007D6DC9" w:rsidRPr="00BD22C2">
        <w:rPr>
          <w:rFonts w:cs="Arial"/>
          <w:lang w:val="fr-CA"/>
        </w:rPr>
        <w:t>, comme les toilettes,</w:t>
      </w:r>
      <w:r w:rsidR="00905CB5" w:rsidRPr="00BD22C2">
        <w:rPr>
          <w:rFonts w:cs="Arial"/>
          <w:lang w:val="fr-CA"/>
        </w:rPr>
        <w:t xml:space="preserve"> les prisons</w:t>
      </w:r>
      <w:r w:rsidR="007D6DC9" w:rsidRPr="00BD22C2">
        <w:rPr>
          <w:rFonts w:cs="Arial"/>
          <w:lang w:val="fr-CA"/>
        </w:rPr>
        <w:t xml:space="preserve"> </w:t>
      </w:r>
      <w:r w:rsidR="00905CB5" w:rsidRPr="00BD22C2">
        <w:rPr>
          <w:rFonts w:cs="Arial"/>
          <w:lang w:val="fr-CA"/>
        </w:rPr>
        <w:t>et les sports</w:t>
      </w:r>
      <w:r w:rsidR="003B405C" w:rsidRPr="00BD22C2">
        <w:rPr>
          <w:rFonts w:cs="Arial"/>
          <w:lang w:val="fr-CA"/>
        </w:rPr>
        <w:t>, ainsi que les soins d’affirmation de genre, y</w:t>
      </w:r>
      <w:r w:rsidR="00905CB5" w:rsidRPr="00BD22C2">
        <w:rPr>
          <w:rFonts w:cs="Arial"/>
          <w:lang w:val="fr-CA"/>
        </w:rPr>
        <w:t xml:space="preserve"> </w:t>
      </w:r>
      <w:r w:rsidR="0050217F" w:rsidRPr="00BD22C2">
        <w:rPr>
          <w:rFonts w:cs="Arial"/>
          <w:lang w:val="fr-CA"/>
        </w:rPr>
        <w:t xml:space="preserve">retiennent </w:t>
      </w:r>
      <w:r w:rsidR="003B405C" w:rsidRPr="00BD22C2">
        <w:rPr>
          <w:rFonts w:cs="Arial"/>
          <w:lang w:val="fr-CA"/>
        </w:rPr>
        <w:t xml:space="preserve">aussi </w:t>
      </w:r>
      <w:r w:rsidR="0050217F" w:rsidRPr="00BD22C2">
        <w:rPr>
          <w:rFonts w:cs="Arial"/>
          <w:lang w:val="fr-CA"/>
        </w:rPr>
        <w:t>l’attention. La Commissaire</w:t>
      </w:r>
      <w:r w:rsidR="00FF6A42" w:rsidRPr="00BD22C2">
        <w:rPr>
          <w:rFonts w:cs="Arial"/>
          <w:lang w:val="fr-CA"/>
        </w:rPr>
        <w:t xml:space="preserve"> </w:t>
      </w:r>
      <w:r w:rsidR="00FF6A42" w:rsidRPr="00BD22C2">
        <w:rPr>
          <w:lang w:val="fr-CA"/>
        </w:rPr>
        <w:t>montre toutefois «</w:t>
      </w:r>
      <w:r w:rsidR="0051216B" w:rsidRPr="00BD22C2">
        <w:rPr>
          <w:lang w:val="fr-CA"/>
        </w:rPr>
        <w:t> </w:t>
      </w:r>
      <w:r w:rsidR="00FF6A42" w:rsidRPr="00BD22C2">
        <w:rPr>
          <w:lang w:val="fr-CA"/>
        </w:rPr>
        <w:t>que les conflits présumés entre les droits [mis de l’avant dans ce débat] ne sont souvent pas confirmés dans les faits et sont le plus souvent fondés sur des préjugés préjudiciables à l’égard des personnes trans</w:t>
      </w:r>
      <w:r w:rsidR="00FF6A42" w:rsidRPr="00BD22C2">
        <w:rPr>
          <w:rFonts w:cs="Arial"/>
          <w:lang w:val="fr-CA"/>
        </w:rPr>
        <w:t>.</w:t>
      </w:r>
      <w:r w:rsidR="0051216B" w:rsidRPr="00BD22C2">
        <w:rPr>
          <w:rFonts w:cs="Arial"/>
          <w:lang w:val="fr-CA"/>
        </w:rPr>
        <w:t> </w:t>
      </w:r>
      <w:r w:rsidR="00FF6A42" w:rsidRPr="00BD22C2">
        <w:rPr>
          <w:rFonts w:cs="Arial"/>
          <w:lang w:val="fr-CA"/>
        </w:rPr>
        <w:t>»</w:t>
      </w:r>
      <w:r w:rsidR="00FF6A42" w:rsidRPr="00BD22C2">
        <w:rPr>
          <w:rStyle w:val="Appeldenotedefin"/>
          <w:rFonts w:cs="Arial"/>
          <w:lang w:val="fr-CA"/>
        </w:rPr>
        <w:endnoteReference w:id="39"/>
      </w:r>
      <w:r w:rsidR="00A57180" w:rsidRPr="00BD22C2">
        <w:rPr>
          <w:rFonts w:cs="Arial"/>
          <w:lang w:val="fr-CA"/>
        </w:rPr>
        <w:t>.</w:t>
      </w:r>
    </w:p>
    <w:p w14:paraId="088A8CB4" w14:textId="41938E17" w:rsidR="00196FB5" w:rsidRPr="00BD22C2" w:rsidRDefault="005E77BD" w:rsidP="00196FB5">
      <w:pPr>
        <w:pStyle w:val="Paragraphe"/>
        <w:rPr>
          <w:rFonts w:cs="Arial"/>
          <w:lang w:val="fr-CA"/>
        </w:rPr>
      </w:pPr>
      <w:r w:rsidRPr="00BD22C2">
        <w:rPr>
          <w:rFonts w:cs="Arial"/>
          <w:lang w:val="fr-CA"/>
        </w:rPr>
        <w:t>En parallèle des controverses politiques et médiatiques</w:t>
      </w:r>
      <w:r w:rsidR="00AA438C" w:rsidRPr="00BD22C2">
        <w:rPr>
          <w:rFonts w:cs="Arial"/>
          <w:lang w:val="fr-CA"/>
        </w:rPr>
        <w:t>,</w:t>
      </w:r>
      <w:r w:rsidR="00B71F9D" w:rsidRPr="00BD22C2">
        <w:rPr>
          <w:rFonts w:cs="Arial"/>
          <w:lang w:val="fr-CA"/>
        </w:rPr>
        <w:t xml:space="preserve"> l</w:t>
      </w:r>
      <w:r w:rsidR="00F76E8A" w:rsidRPr="00BD22C2">
        <w:rPr>
          <w:rFonts w:cs="Arial"/>
          <w:lang w:val="fr-CA"/>
        </w:rPr>
        <w:t xml:space="preserve">es </w:t>
      </w:r>
      <w:r w:rsidR="003074FF" w:rsidRPr="00BD22C2">
        <w:rPr>
          <w:rFonts w:cs="Arial"/>
          <w:lang w:val="fr-CA"/>
        </w:rPr>
        <w:t>systèmes</w:t>
      </w:r>
      <w:r w:rsidR="000F0695" w:rsidRPr="00BD22C2">
        <w:rPr>
          <w:rFonts w:cs="Arial"/>
          <w:lang w:val="fr-CA"/>
        </w:rPr>
        <w:t xml:space="preserve"> de </w:t>
      </w:r>
      <w:r w:rsidR="003074FF" w:rsidRPr="00BD22C2">
        <w:rPr>
          <w:rFonts w:cs="Arial"/>
          <w:lang w:val="fr-CA"/>
        </w:rPr>
        <w:t xml:space="preserve">santé de </w:t>
      </w:r>
      <w:r w:rsidR="000F0695" w:rsidRPr="00BD22C2">
        <w:rPr>
          <w:rFonts w:cs="Arial"/>
          <w:lang w:val="fr-CA"/>
        </w:rPr>
        <w:t>la</w:t>
      </w:r>
      <w:r w:rsidR="00346C1E" w:rsidRPr="00BD22C2">
        <w:rPr>
          <w:rFonts w:cs="Arial"/>
          <w:lang w:val="fr-CA"/>
        </w:rPr>
        <w:t xml:space="preserve"> </w:t>
      </w:r>
      <w:r w:rsidR="006C12C3" w:rsidRPr="00BD22C2">
        <w:rPr>
          <w:rFonts w:cs="Arial"/>
          <w:lang w:val="fr-CA"/>
        </w:rPr>
        <w:t>Finlande</w:t>
      </w:r>
      <w:r w:rsidR="00ED2FBA" w:rsidRPr="00BD22C2">
        <w:rPr>
          <w:rStyle w:val="Appeldenotedefin"/>
          <w:rFonts w:cs="Arial"/>
          <w:lang w:val="fr-CA"/>
        </w:rPr>
        <w:endnoteReference w:id="40"/>
      </w:r>
      <w:r w:rsidR="00346C1E" w:rsidRPr="00BD22C2">
        <w:rPr>
          <w:rFonts w:cs="Arial"/>
          <w:lang w:val="fr-CA"/>
        </w:rPr>
        <w:t xml:space="preserve">, </w:t>
      </w:r>
      <w:r w:rsidR="000F0695" w:rsidRPr="00BD22C2">
        <w:rPr>
          <w:rFonts w:cs="Arial"/>
          <w:lang w:val="fr-CA"/>
        </w:rPr>
        <w:t>de l</w:t>
      </w:r>
      <w:r w:rsidR="00346C1E" w:rsidRPr="00BD22C2">
        <w:rPr>
          <w:rFonts w:cs="Arial"/>
          <w:lang w:val="fr-CA"/>
        </w:rPr>
        <w:t>a Suède</w:t>
      </w:r>
      <w:r w:rsidR="00ED2FBA" w:rsidRPr="00BD22C2">
        <w:rPr>
          <w:rStyle w:val="Appeldenotedefin"/>
          <w:rFonts w:cs="Arial"/>
          <w:lang w:val="fr-CA"/>
        </w:rPr>
        <w:endnoteReference w:id="41"/>
      </w:r>
      <w:r w:rsidR="00346C1E" w:rsidRPr="00BD22C2">
        <w:rPr>
          <w:rFonts w:cs="Arial"/>
          <w:lang w:val="fr-CA"/>
        </w:rPr>
        <w:t xml:space="preserve"> et </w:t>
      </w:r>
      <w:r w:rsidR="000F0695" w:rsidRPr="00BD22C2">
        <w:rPr>
          <w:rFonts w:cs="Arial"/>
          <w:lang w:val="fr-CA"/>
        </w:rPr>
        <w:t>du</w:t>
      </w:r>
      <w:r w:rsidR="00346C1E" w:rsidRPr="00BD22C2">
        <w:rPr>
          <w:rFonts w:cs="Arial"/>
          <w:lang w:val="fr-CA"/>
        </w:rPr>
        <w:t xml:space="preserve"> Royaume-Uni</w:t>
      </w:r>
      <w:bookmarkStart w:id="26" w:name="_Ref166839427"/>
      <w:r w:rsidR="00ED2FBA" w:rsidRPr="00BD22C2">
        <w:rPr>
          <w:rStyle w:val="Appeldenotedefin"/>
          <w:rFonts w:cs="Arial"/>
          <w:lang w:val="fr-CA"/>
        </w:rPr>
        <w:endnoteReference w:id="42"/>
      </w:r>
      <w:bookmarkEnd w:id="26"/>
      <w:r w:rsidR="00346C1E" w:rsidRPr="00BD22C2">
        <w:rPr>
          <w:rFonts w:cs="Arial"/>
          <w:lang w:val="fr-CA"/>
        </w:rPr>
        <w:t xml:space="preserve"> ont</w:t>
      </w:r>
      <w:r w:rsidR="000B4BD6" w:rsidRPr="00BD22C2">
        <w:rPr>
          <w:rFonts w:cs="Arial"/>
          <w:lang w:val="fr-CA"/>
        </w:rPr>
        <w:t>, au cours</w:t>
      </w:r>
      <w:r w:rsidR="006C2E6B" w:rsidRPr="00BD22C2">
        <w:rPr>
          <w:rFonts w:cs="Arial"/>
          <w:lang w:val="fr-CA"/>
        </w:rPr>
        <w:t xml:space="preserve"> des </w:t>
      </w:r>
      <w:r w:rsidR="000B4BD6" w:rsidRPr="00BD22C2">
        <w:rPr>
          <w:rFonts w:cs="Arial"/>
          <w:lang w:val="fr-CA"/>
        </w:rPr>
        <w:t>dernières années,</w:t>
      </w:r>
      <w:r w:rsidR="006851B1" w:rsidRPr="00BD22C2">
        <w:rPr>
          <w:rFonts w:cs="Arial"/>
          <w:lang w:val="fr-CA"/>
        </w:rPr>
        <w:t xml:space="preserve"> procéd</w:t>
      </w:r>
      <w:r w:rsidR="003074FF" w:rsidRPr="00BD22C2">
        <w:rPr>
          <w:rFonts w:cs="Arial"/>
          <w:lang w:val="fr-CA"/>
        </w:rPr>
        <w:t xml:space="preserve">é à </w:t>
      </w:r>
      <w:r w:rsidR="00E02C25" w:rsidRPr="00BD22C2">
        <w:rPr>
          <w:rFonts w:cs="Arial"/>
          <w:lang w:val="fr-CA"/>
        </w:rPr>
        <w:t>des</w:t>
      </w:r>
      <w:r w:rsidR="003074FF" w:rsidRPr="00BD22C2">
        <w:rPr>
          <w:rFonts w:cs="Arial"/>
          <w:lang w:val="fr-CA"/>
        </w:rPr>
        <w:t xml:space="preserve"> examen</w:t>
      </w:r>
      <w:r w:rsidR="00E02C25" w:rsidRPr="00BD22C2">
        <w:rPr>
          <w:rFonts w:cs="Arial"/>
          <w:lang w:val="fr-CA"/>
        </w:rPr>
        <w:t>s</w:t>
      </w:r>
      <w:r w:rsidR="003074FF" w:rsidRPr="00BD22C2">
        <w:rPr>
          <w:rFonts w:cs="Arial"/>
          <w:lang w:val="fr-CA"/>
        </w:rPr>
        <w:t xml:space="preserve"> de</w:t>
      </w:r>
      <w:r w:rsidR="00BE5728" w:rsidRPr="00BD22C2">
        <w:rPr>
          <w:rFonts w:cs="Arial"/>
          <w:lang w:val="fr-CA"/>
        </w:rPr>
        <w:t xml:space="preserve"> </w:t>
      </w:r>
      <w:r w:rsidR="006C2E6B" w:rsidRPr="00BD22C2">
        <w:rPr>
          <w:rFonts w:cs="Arial"/>
          <w:lang w:val="fr-CA"/>
        </w:rPr>
        <w:t>l</w:t>
      </w:r>
      <w:r w:rsidR="00645688" w:rsidRPr="00BD22C2">
        <w:rPr>
          <w:rFonts w:cs="Arial"/>
          <w:lang w:val="fr-CA"/>
        </w:rPr>
        <w:t xml:space="preserve">’offre de services et </w:t>
      </w:r>
      <w:r w:rsidR="00EA2AD9" w:rsidRPr="00BD22C2">
        <w:rPr>
          <w:rFonts w:cs="Arial"/>
          <w:lang w:val="fr-CA"/>
        </w:rPr>
        <w:t>de</w:t>
      </w:r>
      <w:r w:rsidR="00645688" w:rsidRPr="00BD22C2">
        <w:rPr>
          <w:rFonts w:cs="Arial"/>
          <w:lang w:val="fr-CA"/>
        </w:rPr>
        <w:t xml:space="preserve"> la </w:t>
      </w:r>
      <w:r w:rsidR="006C2E6B" w:rsidRPr="00BD22C2">
        <w:rPr>
          <w:rFonts w:cs="Arial"/>
          <w:lang w:val="fr-CA"/>
        </w:rPr>
        <w:t>pr</w:t>
      </w:r>
      <w:r w:rsidR="00645688" w:rsidRPr="00BD22C2">
        <w:rPr>
          <w:rFonts w:cs="Arial"/>
          <w:lang w:val="fr-CA"/>
        </w:rPr>
        <w:t>estation de soins aux jeunes tran</w:t>
      </w:r>
      <w:r w:rsidR="00364760" w:rsidRPr="00BD22C2">
        <w:rPr>
          <w:rFonts w:cs="Arial"/>
          <w:lang w:val="fr-CA"/>
        </w:rPr>
        <w:t>s</w:t>
      </w:r>
      <w:r w:rsidR="00D02891" w:rsidRPr="00BD22C2">
        <w:rPr>
          <w:rFonts w:cs="Arial"/>
          <w:lang w:val="fr-CA"/>
        </w:rPr>
        <w:t xml:space="preserve">, </w:t>
      </w:r>
      <w:r w:rsidR="00377E84" w:rsidRPr="00BD22C2">
        <w:rPr>
          <w:rFonts w:cs="Arial"/>
          <w:lang w:val="fr-CA"/>
        </w:rPr>
        <w:t>dont</w:t>
      </w:r>
      <w:r w:rsidR="00D02891" w:rsidRPr="00BD22C2">
        <w:rPr>
          <w:rFonts w:cs="Arial"/>
          <w:lang w:val="fr-CA"/>
        </w:rPr>
        <w:t xml:space="preserve"> </w:t>
      </w:r>
      <w:r w:rsidR="0055675F" w:rsidRPr="00BD22C2">
        <w:rPr>
          <w:rFonts w:cs="Arial"/>
          <w:lang w:val="fr-CA"/>
        </w:rPr>
        <w:t>à partir de revues systématiques de la littérature clinique</w:t>
      </w:r>
      <w:r w:rsidR="00364760" w:rsidRPr="00BD22C2">
        <w:rPr>
          <w:rFonts w:cs="Arial"/>
          <w:lang w:val="fr-CA"/>
        </w:rPr>
        <w:t xml:space="preserve">. Ces </w:t>
      </w:r>
      <w:r w:rsidR="00A74688" w:rsidRPr="00BD22C2">
        <w:rPr>
          <w:rFonts w:cs="Arial"/>
          <w:lang w:val="fr-CA"/>
        </w:rPr>
        <w:t>évaluations</w:t>
      </w:r>
      <w:r w:rsidR="00F17AEF" w:rsidRPr="00BD22C2">
        <w:rPr>
          <w:rFonts w:cs="Arial"/>
          <w:lang w:val="fr-CA"/>
        </w:rPr>
        <w:t xml:space="preserve">, qui ont eu des échos jusqu’au Québec, </w:t>
      </w:r>
      <w:r w:rsidR="008C5931" w:rsidRPr="00BD22C2">
        <w:rPr>
          <w:rFonts w:cs="Arial"/>
          <w:lang w:val="fr-CA"/>
        </w:rPr>
        <w:t>visaient notamment à se pencher sur</w:t>
      </w:r>
      <w:r w:rsidR="00DA382B" w:rsidRPr="00BD22C2">
        <w:rPr>
          <w:rFonts w:cs="Arial"/>
          <w:lang w:val="fr-CA"/>
        </w:rPr>
        <w:t xml:space="preserve"> </w:t>
      </w:r>
      <w:r w:rsidR="008C5931" w:rsidRPr="00BD22C2">
        <w:rPr>
          <w:rFonts w:cs="Arial"/>
          <w:lang w:val="fr-CA"/>
        </w:rPr>
        <w:t>l’</w:t>
      </w:r>
      <w:r w:rsidR="00DA382B" w:rsidRPr="00BD22C2">
        <w:rPr>
          <w:rFonts w:cs="Arial"/>
          <w:lang w:val="fr-CA"/>
        </w:rPr>
        <w:t xml:space="preserve">augmentation du nombre </w:t>
      </w:r>
      <w:r w:rsidR="001A0605" w:rsidRPr="00BD22C2">
        <w:rPr>
          <w:rFonts w:cs="Arial"/>
          <w:lang w:val="fr-CA"/>
        </w:rPr>
        <w:t>d</w:t>
      </w:r>
      <w:r w:rsidR="00142D82" w:rsidRPr="00BD22C2">
        <w:rPr>
          <w:rFonts w:cs="Arial"/>
          <w:lang w:val="fr-CA"/>
        </w:rPr>
        <w:t xml:space="preserve">e jeunes </w:t>
      </w:r>
      <w:r w:rsidR="001A0605" w:rsidRPr="00BD22C2">
        <w:rPr>
          <w:rFonts w:cs="Arial"/>
          <w:lang w:val="fr-CA"/>
        </w:rPr>
        <w:t>référ</w:t>
      </w:r>
      <w:r w:rsidR="005C7C1C" w:rsidRPr="00BD22C2">
        <w:rPr>
          <w:rFonts w:cs="Arial"/>
          <w:lang w:val="fr-CA"/>
        </w:rPr>
        <w:t>é</w:t>
      </w:r>
      <w:r w:rsidR="001A0605" w:rsidRPr="00BD22C2">
        <w:rPr>
          <w:rFonts w:cs="Arial"/>
          <w:lang w:val="fr-CA"/>
        </w:rPr>
        <w:t xml:space="preserve">s pour de tels services, </w:t>
      </w:r>
      <w:r w:rsidR="00364760" w:rsidRPr="00BD22C2">
        <w:rPr>
          <w:rFonts w:cs="Arial"/>
          <w:lang w:val="fr-CA"/>
        </w:rPr>
        <w:t>ainsi qu</w:t>
      </w:r>
      <w:r w:rsidR="008C5931" w:rsidRPr="00BD22C2">
        <w:rPr>
          <w:rFonts w:cs="Arial"/>
          <w:lang w:val="fr-CA"/>
        </w:rPr>
        <w:t>e sur les</w:t>
      </w:r>
      <w:r w:rsidR="00700B1E" w:rsidRPr="00BD22C2">
        <w:rPr>
          <w:rFonts w:cs="Arial"/>
          <w:lang w:val="fr-CA"/>
        </w:rPr>
        <w:t xml:space="preserve"> </w:t>
      </w:r>
      <w:r w:rsidR="00330470" w:rsidRPr="00BD22C2">
        <w:rPr>
          <w:rFonts w:cs="Arial"/>
          <w:lang w:val="fr-CA"/>
        </w:rPr>
        <w:t>remises en question de l</w:t>
      </w:r>
      <w:r w:rsidR="00364760" w:rsidRPr="00BD22C2">
        <w:rPr>
          <w:rFonts w:cs="Arial"/>
          <w:lang w:val="fr-CA"/>
        </w:rPr>
        <w:t xml:space="preserve">a </w:t>
      </w:r>
      <w:r w:rsidR="00C75D1B" w:rsidRPr="00BD22C2">
        <w:rPr>
          <w:rFonts w:cs="Arial"/>
          <w:lang w:val="fr-CA"/>
        </w:rPr>
        <w:t>qualité</w:t>
      </w:r>
      <w:r w:rsidR="006C0FA8" w:rsidRPr="00BD22C2">
        <w:rPr>
          <w:rFonts w:cs="Arial"/>
          <w:lang w:val="fr-CA"/>
        </w:rPr>
        <w:t xml:space="preserve"> des soins offerts</w:t>
      </w:r>
      <w:r w:rsidR="00C75D1B" w:rsidRPr="00BD22C2">
        <w:rPr>
          <w:rFonts w:cs="Arial"/>
          <w:lang w:val="fr-CA"/>
        </w:rPr>
        <w:t xml:space="preserve"> et de la recherche soutenant l’approche </w:t>
      </w:r>
      <w:proofErr w:type="spellStart"/>
      <w:r w:rsidR="00C75D1B" w:rsidRPr="00BD22C2">
        <w:rPr>
          <w:rFonts w:cs="Arial"/>
          <w:lang w:val="fr-CA"/>
        </w:rPr>
        <w:t>transaffirmative</w:t>
      </w:r>
      <w:proofErr w:type="spellEnd"/>
      <w:r w:rsidR="00F918B0" w:rsidRPr="00BD22C2">
        <w:rPr>
          <w:rStyle w:val="Appeldenotedefin"/>
          <w:rFonts w:cs="Arial"/>
          <w:lang w:val="fr-CA"/>
        </w:rPr>
        <w:endnoteReference w:id="43"/>
      </w:r>
      <w:r w:rsidR="0040672D" w:rsidRPr="00BD22C2">
        <w:rPr>
          <w:rFonts w:cs="Arial"/>
          <w:lang w:val="fr-CA"/>
        </w:rPr>
        <w:t>.</w:t>
      </w:r>
      <w:r w:rsidR="00BD3C77" w:rsidRPr="00BD22C2">
        <w:rPr>
          <w:rFonts w:cs="Arial"/>
          <w:lang w:val="fr-CA"/>
        </w:rPr>
        <w:t xml:space="preserve"> Ce</w:t>
      </w:r>
      <w:r w:rsidR="006C0FA8" w:rsidRPr="00BD22C2">
        <w:rPr>
          <w:rFonts w:cs="Arial"/>
          <w:lang w:val="fr-CA"/>
        </w:rPr>
        <w:t xml:space="preserve">s </w:t>
      </w:r>
      <w:r w:rsidR="00144A80" w:rsidRPr="00BD22C2">
        <w:rPr>
          <w:rFonts w:cs="Arial"/>
          <w:lang w:val="fr-CA"/>
        </w:rPr>
        <w:t xml:space="preserve">exercices </w:t>
      </w:r>
      <w:r w:rsidR="00196FB5" w:rsidRPr="00BD22C2">
        <w:rPr>
          <w:rFonts w:cs="Arial"/>
          <w:lang w:val="fr-CA"/>
        </w:rPr>
        <w:t xml:space="preserve">ont </w:t>
      </w:r>
      <w:r w:rsidR="00144A80" w:rsidRPr="00BD22C2">
        <w:rPr>
          <w:rFonts w:cs="Arial"/>
          <w:lang w:val="fr-CA"/>
        </w:rPr>
        <w:t xml:space="preserve">entre autres </w:t>
      </w:r>
      <w:r w:rsidR="005129B0" w:rsidRPr="00BD22C2">
        <w:rPr>
          <w:rFonts w:cs="Arial"/>
          <w:lang w:val="fr-CA"/>
        </w:rPr>
        <w:t xml:space="preserve">conduit à </w:t>
      </w:r>
      <w:r w:rsidR="002522D2" w:rsidRPr="00BD22C2">
        <w:rPr>
          <w:rFonts w:cs="Arial"/>
          <w:lang w:val="fr-CA"/>
        </w:rPr>
        <w:t>limiter</w:t>
      </w:r>
      <w:r w:rsidR="0025349B" w:rsidRPr="00BD22C2">
        <w:rPr>
          <w:rFonts w:cs="Arial"/>
          <w:lang w:val="fr-CA"/>
        </w:rPr>
        <w:t>,</w:t>
      </w:r>
      <w:r w:rsidR="00BE29B0" w:rsidRPr="00BD22C2">
        <w:rPr>
          <w:rFonts w:cs="Arial"/>
          <w:lang w:val="fr-CA"/>
        </w:rPr>
        <w:t xml:space="preserve"> </w:t>
      </w:r>
      <w:r w:rsidR="0025349B" w:rsidRPr="00BD22C2">
        <w:rPr>
          <w:rFonts w:cs="Arial"/>
          <w:lang w:val="fr-CA"/>
        </w:rPr>
        <w:t>selon différentes modalités,</w:t>
      </w:r>
      <w:r w:rsidR="00BE29B0" w:rsidRPr="00BD22C2">
        <w:rPr>
          <w:rFonts w:cs="Arial"/>
          <w:lang w:val="fr-CA"/>
        </w:rPr>
        <w:t xml:space="preserve"> la prescription de bloqueurs de puberté et d’hormones </w:t>
      </w:r>
      <w:r w:rsidR="0075081A" w:rsidRPr="00BD22C2">
        <w:rPr>
          <w:rFonts w:cs="Arial"/>
          <w:lang w:val="fr-CA"/>
        </w:rPr>
        <w:t xml:space="preserve">dites </w:t>
      </w:r>
      <w:r w:rsidR="006A66DC" w:rsidRPr="00BD22C2">
        <w:rPr>
          <w:rFonts w:cs="Arial"/>
          <w:lang w:val="fr-CA"/>
        </w:rPr>
        <w:t xml:space="preserve">féminisantes ou </w:t>
      </w:r>
      <w:proofErr w:type="spellStart"/>
      <w:r w:rsidR="006A66DC" w:rsidRPr="00BD22C2">
        <w:rPr>
          <w:rFonts w:cs="Arial"/>
          <w:lang w:val="fr-CA"/>
        </w:rPr>
        <w:t>masculinisantes</w:t>
      </w:r>
      <w:proofErr w:type="spellEnd"/>
      <w:r w:rsidR="002522D2" w:rsidRPr="00BD22C2">
        <w:rPr>
          <w:rFonts w:cs="Arial"/>
          <w:lang w:val="fr-CA"/>
        </w:rPr>
        <w:t xml:space="preserve"> aux </w:t>
      </w:r>
      <w:r w:rsidR="00217119" w:rsidRPr="00BD22C2">
        <w:rPr>
          <w:rFonts w:cs="Arial"/>
          <w:lang w:val="fr-CA"/>
        </w:rPr>
        <w:t>contexte</w:t>
      </w:r>
      <w:r w:rsidR="002522D2" w:rsidRPr="00BD22C2">
        <w:rPr>
          <w:rFonts w:cs="Arial"/>
          <w:lang w:val="fr-CA"/>
        </w:rPr>
        <w:t>s</w:t>
      </w:r>
      <w:r w:rsidR="00217119" w:rsidRPr="00BD22C2">
        <w:rPr>
          <w:rFonts w:cs="Arial"/>
          <w:lang w:val="fr-CA"/>
        </w:rPr>
        <w:t xml:space="preserve"> de recherche.</w:t>
      </w:r>
      <w:r w:rsidR="006E6B94" w:rsidRPr="00BD22C2">
        <w:rPr>
          <w:rFonts w:cs="Arial"/>
          <w:lang w:val="fr-CA"/>
        </w:rPr>
        <w:t xml:space="preserve"> </w:t>
      </w:r>
      <w:r w:rsidR="008C76B1" w:rsidRPr="00BD22C2">
        <w:rPr>
          <w:rFonts w:cs="Arial"/>
          <w:lang w:val="fr-CA"/>
        </w:rPr>
        <w:t xml:space="preserve">La </w:t>
      </w:r>
      <w:r w:rsidR="008C76B1" w:rsidRPr="00BD22C2">
        <w:rPr>
          <w:rFonts w:eastAsia="Calibri"/>
          <w:lang w:val="fr-CA"/>
        </w:rPr>
        <w:t xml:space="preserve">World Professional Association for </w:t>
      </w:r>
      <w:proofErr w:type="spellStart"/>
      <w:r w:rsidR="008C76B1" w:rsidRPr="00BD22C2">
        <w:rPr>
          <w:rFonts w:eastAsia="Calibri"/>
          <w:lang w:val="fr-CA"/>
        </w:rPr>
        <w:t>Transgender</w:t>
      </w:r>
      <w:proofErr w:type="spellEnd"/>
      <w:r w:rsidR="008C76B1" w:rsidRPr="00BD22C2">
        <w:rPr>
          <w:rFonts w:eastAsia="Calibri"/>
          <w:lang w:val="fr-CA"/>
        </w:rPr>
        <w:t xml:space="preserve"> </w:t>
      </w:r>
      <w:proofErr w:type="spellStart"/>
      <w:r w:rsidR="008C76B1" w:rsidRPr="00BD22C2">
        <w:rPr>
          <w:rFonts w:eastAsia="Calibri"/>
          <w:lang w:val="fr-CA"/>
        </w:rPr>
        <w:t>Health</w:t>
      </w:r>
      <w:proofErr w:type="spellEnd"/>
      <w:r w:rsidR="000C3D0B" w:rsidRPr="00BD22C2">
        <w:rPr>
          <w:rFonts w:cs="Arial"/>
          <w:lang w:val="fr-CA"/>
        </w:rPr>
        <w:t>, dont les standards de soins</w:t>
      </w:r>
      <w:bookmarkStart w:id="27" w:name="_Ref167356687"/>
      <w:r w:rsidR="000C72FE" w:rsidRPr="00BD22C2">
        <w:rPr>
          <w:rStyle w:val="Appeldenotedefin"/>
          <w:rFonts w:cs="Arial"/>
          <w:lang w:val="fr-CA"/>
        </w:rPr>
        <w:endnoteReference w:id="44"/>
      </w:r>
      <w:bookmarkEnd w:id="27"/>
      <w:r w:rsidR="000C3D0B" w:rsidRPr="00BD22C2">
        <w:rPr>
          <w:rFonts w:cs="Arial"/>
          <w:lang w:val="fr-CA"/>
        </w:rPr>
        <w:t xml:space="preserve"> </w:t>
      </w:r>
      <w:r w:rsidR="0090221A" w:rsidRPr="00BD22C2">
        <w:rPr>
          <w:rFonts w:cs="Arial"/>
          <w:lang w:val="fr-CA"/>
        </w:rPr>
        <w:t>sont largement acceptés parmi les spécialiste</w:t>
      </w:r>
      <w:r w:rsidR="00366242" w:rsidRPr="00BD22C2">
        <w:rPr>
          <w:rFonts w:cs="Arial"/>
          <w:lang w:val="fr-CA"/>
        </w:rPr>
        <w:t>s</w:t>
      </w:r>
      <w:r w:rsidR="00D223A2" w:rsidRPr="00BD22C2">
        <w:rPr>
          <w:rFonts w:cs="Arial"/>
          <w:lang w:val="fr-CA"/>
        </w:rPr>
        <w:t xml:space="preserve">, </w:t>
      </w:r>
      <w:r w:rsidR="00625A13" w:rsidRPr="00BD22C2">
        <w:rPr>
          <w:rFonts w:cs="Arial"/>
          <w:lang w:val="fr-CA"/>
        </w:rPr>
        <w:t>conteste</w:t>
      </w:r>
      <w:r w:rsidR="00D1788A" w:rsidRPr="00BD22C2">
        <w:rPr>
          <w:rFonts w:cs="Arial"/>
          <w:lang w:val="fr-CA"/>
        </w:rPr>
        <w:t>,</w:t>
      </w:r>
      <w:r w:rsidR="005D3906" w:rsidRPr="00BD22C2">
        <w:rPr>
          <w:rFonts w:cs="Arial"/>
          <w:lang w:val="fr-CA"/>
        </w:rPr>
        <w:t xml:space="preserve"> </w:t>
      </w:r>
      <w:r w:rsidR="00D1788A" w:rsidRPr="00BD22C2">
        <w:rPr>
          <w:rFonts w:cs="Arial"/>
          <w:lang w:val="fr-CA"/>
        </w:rPr>
        <w:t>conjointement avec des associations nationales,</w:t>
      </w:r>
      <w:r w:rsidR="005D3906" w:rsidRPr="00BD22C2">
        <w:rPr>
          <w:rFonts w:cs="Arial"/>
          <w:lang w:val="fr-CA"/>
        </w:rPr>
        <w:t xml:space="preserve"> </w:t>
      </w:r>
      <w:r w:rsidR="00D60218" w:rsidRPr="00BD22C2">
        <w:rPr>
          <w:rFonts w:cs="Arial"/>
          <w:lang w:val="fr-CA"/>
        </w:rPr>
        <w:t xml:space="preserve">l’idée </w:t>
      </w:r>
      <w:r w:rsidR="00B07EF0" w:rsidRPr="00BD22C2">
        <w:rPr>
          <w:rFonts w:cs="Arial"/>
          <w:lang w:val="fr-CA"/>
        </w:rPr>
        <w:t>selon laquelle</w:t>
      </w:r>
      <w:r w:rsidR="00D60218" w:rsidRPr="00BD22C2">
        <w:rPr>
          <w:rFonts w:cs="Arial"/>
          <w:lang w:val="fr-CA"/>
        </w:rPr>
        <w:t xml:space="preserve"> les </w:t>
      </w:r>
      <w:r w:rsidR="00360963" w:rsidRPr="00BD22C2">
        <w:rPr>
          <w:rFonts w:cs="Arial"/>
          <w:lang w:val="fr-CA"/>
        </w:rPr>
        <w:t xml:space="preserve">soins </w:t>
      </w:r>
      <w:r w:rsidR="000168C3" w:rsidRPr="00BD22C2">
        <w:rPr>
          <w:rFonts w:cs="Arial"/>
          <w:lang w:val="fr-CA"/>
        </w:rPr>
        <w:t xml:space="preserve">d’affirmation de genre </w:t>
      </w:r>
      <w:r w:rsidR="00C24A4D" w:rsidRPr="00BD22C2">
        <w:rPr>
          <w:rFonts w:cs="Arial"/>
          <w:lang w:val="fr-CA"/>
        </w:rPr>
        <w:t xml:space="preserve">sont </w:t>
      </w:r>
      <w:r w:rsidR="00F91509" w:rsidRPr="00BD22C2">
        <w:rPr>
          <w:rFonts w:cs="Arial"/>
          <w:lang w:val="fr-CA"/>
        </w:rPr>
        <w:t>toujours au stade expériment</w:t>
      </w:r>
      <w:r w:rsidR="00A65C5A" w:rsidRPr="00BD22C2">
        <w:rPr>
          <w:rFonts w:cs="Arial"/>
          <w:lang w:val="fr-CA"/>
        </w:rPr>
        <w:t>al</w:t>
      </w:r>
      <w:r w:rsidR="00F91509" w:rsidRPr="00BD22C2">
        <w:rPr>
          <w:rFonts w:cs="Arial"/>
          <w:lang w:val="fr-CA"/>
        </w:rPr>
        <w:t xml:space="preserve"> </w:t>
      </w:r>
      <w:r w:rsidR="00A65C5A" w:rsidRPr="00BD22C2">
        <w:rPr>
          <w:rFonts w:cs="Arial"/>
          <w:lang w:val="fr-CA"/>
        </w:rPr>
        <w:t>et</w:t>
      </w:r>
      <w:r w:rsidR="005D3906" w:rsidRPr="00BD22C2">
        <w:rPr>
          <w:rFonts w:cs="Arial"/>
          <w:lang w:val="fr-CA"/>
        </w:rPr>
        <w:t xml:space="preserve"> </w:t>
      </w:r>
      <w:r w:rsidR="004D0D4C" w:rsidRPr="00BD22C2">
        <w:rPr>
          <w:rFonts w:cs="Arial"/>
          <w:lang w:val="fr-CA"/>
        </w:rPr>
        <w:t xml:space="preserve">craint </w:t>
      </w:r>
      <w:r w:rsidR="005D3906" w:rsidRPr="00BD22C2">
        <w:rPr>
          <w:rFonts w:cs="Arial"/>
          <w:lang w:val="fr-CA"/>
        </w:rPr>
        <w:t>que l</w:t>
      </w:r>
      <w:r w:rsidR="00360963" w:rsidRPr="00BD22C2">
        <w:rPr>
          <w:rFonts w:cs="Arial"/>
          <w:lang w:val="fr-CA"/>
        </w:rPr>
        <w:t xml:space="preserve">’accès </w:t>
      </w:r>
      <w:r w:rsidR="00916225" w:rsidRPr="00BD22C2">
        <w:rPr>
          <w:rFonts w:cs="Arial"/>
          <w:lang w:val="fr-CA"/>
        </w:rPr>
        <w:t xml:space="preserve">à ceux-ci </w:t>
      </w:r>
      <w:r w:rsidR="00801D1A" w:rsidRPr="00BD22C2">
        <w:rPr>
          <w:rFonts w:cs="Arial"/>
          <w:lang w:val="fr-CA"/>
        </w:rPr>
        <w:t>s’en trou</w:t>
      </w:r>
      <w:r w:rsidR="000504B9" w:rsidRPr="00BD22C2">
        <w:rPr>
          <w:rFonts w:cs="Arial"/>
          <w:lang w:val="fr-CA"/>
        </w:rPr>
        <w:t>ve réduit</w:t>
      </w:r>
      <w:r w:rsidR="005F1733" w:rsidRPr="00BD22C2">
        <w:rPr>
          <w:rStyle w:val="Appeldenotedefin"/>
          <w:rFonts w:cs="Arial"/>
          <w:lang w:val="fr-CA"/>
        </w:rPr>
        <w:endnoteReference w:id="45"/>
      </w:r>
      <w:r w:rsidR="000504B9" w:rsidRPr="00BD22C2">
        <w:rPr>
          <w:rFonts w:cs="Arial"/>
          <w:lang w:val="fr-CA"/>
        </w:rPr>
        <w:t>.</w:t>
      </w:r>
      <w:r w:rsidR="000609DA" w:rsidRPr="00BD22C2">
        <w:rPr>
          <w:rFonts w:cs="Arial"/>
          <w:lang w:val="fr-CA"/>
        </w:rPr>
        <w:t xml:space="preserve"> </w:t>
      </w:r>
      <w:r w:rsidR="005F1733" w:rsidRPr="00BD22C2">
        <w:rPr>
          <w:rFonts w:cs="Arial"/>
          <w:lang w:val="fr-CA"/>
        </w:rPr>
        <w:t>Des médecins canadiens ont aussi exprimé de telles préoccupations</w:t>
      </w:r>
      <w:r w:rsidR="005F1733" w:rsidRPr="00BD22C2">
        <w:rPr>
          <w:rStyle w:val="Appeldenotedefin"/>
          <w:rFonts w:cs="Arial"/>
          <w:lang w:val="fr-CA"/>
        </w:rPr>
        <w:endnoteReference w:id="46"/>
      </w:r>
      <w:r w:rsidR="0066291E" w:rsidRPr="00BD22C2">
        <w:rPr>
          <w:rFonts w:cs="Arial"/>
          <w:lang w:val="fr-CA"/>
        </w:rPr>
        <w:t>.</w:t>
      </w:r>
      <w:r w:rsidR="00D47432" w:rsidRPr="00BD22C2">
        <w:rPr>
          <w:rFonts w:cs="Arial"/>
          <w:lang w:val="fr-CA"/>
        </w:rPr>
        <w:t xml:space="preserve"> </w:t>
      </w:r>
      <w:r w:rsidR="001C20DD" w:rsidRPr="00BD22C2">
        <w:rPr>
          <w:rFonts w:cs="Arial"/>
          <w:lang w:val="fr-CA"/>
        </w:rPr>
        <w:t xml:space="preserve">La Commission </w:t>
      </w:r>
      <w:r w:rsidR="00AD3D6F" w:rsidRPr="00BD22C2">
        <w:rPr>
          <w:rFonts w:cs="Arial"/>
          <w:lang w:val="fr-CA"/>
        </w:rPr>
        <w:t xml:space="preserve">note que </w:t>
      </w:r>
      <w:r w:rsidR="00C81098" w:rsidRPr="00BD22C2">
        <w:rPr>
          <w:rFonts w:cs="Arial"/>
          <w:lang w:val="fr-CA"/>
        </w:rPr>
        <w:t xml:space="preserve">les études sur le sujet </w:t>
      </w:r>
      <w:r w:rsidR="0026591E" w:rsidRPr="00BD22C2">
        <w:rPr>
          <w:rFonts w:cs="Arial"/>
          <w:lang w:val="fr-CA"/>
        </w:rPr>
        <w:t>et leur interprétation continuent d’évoluer</w:t>
      </w:r>
      <w:r w:rsidR="002C26E0" w:rsidRPr="00BD22C2">
        <w:rPr>
          <w:rFonts w:cs="Arial"/>
          <w:lang w:val="fr-CA"/>
        </w:rPr>
        <w:t xml:space="preserve"> </w:t>
      </w:r>
      <w:r w:rsidR="00FD7E14" w:rsidRPr="00BD22C2">
        <w:rPr>
          <w:rFonts w:cs="Arial"/>
          <w:lang w:val="fr-CA"/>
        </w:rPr>
        <w:t>puis</w:t>
      </w:r>
      <w:r w:rsidR="002C26E0" w:rsidRPr="00BD22C2">
        <w:rPr>
          <w:rFonts w:cs="Arial"/>
          <w:lang w:val="fr-CA"/>
        </w:rPr>
        <w:t xml:space="preserve"> que celles-ci tendent à </w:t>
      </w:r>
      <w:r w:rsidR="00B43B83" w:rsidRPr="00BD22C2">
        <w:rPr>
          <w:rFonts w:cs="Arial"/>
          <w:lang w:val="fr-CA"/>
        </w:rPr>
        <w:t>alimenter la polarisation sur le sujet</w:t>
      </w:r>
      <w:r w:rsidR="000C7F09" w:rsidRPr="00BD22C2">
        <w:rPr>
          <w:rFonts w:cs="Arial"/>
          <w:lang w:val="fr-CA"/>
        </w:rPr>
        <w:t xml:space="preserve">. Elle invite donc le Comité de sages </w:t>
      </w:r>
      <w:r w:rsidR="00EB1833" w:rsidRPr="00BD22C2">
        <w:rPr>
          <w:rFonts w:cs="Arial"/>
          <w:lang w:val="fr-CA"/>
        </w:rPr>
        <w:t xml:space="preserve">à </w:t>
      </w:r>
      <w:r w:rsidR="006F587B" w:rsidRPr="00BD22C2">
        <w:rPr>
          <w:rFonts w:cs="Arial"/>
          <w:lang w:val="fr-CA"/>
        </w:rPr>
        <w:t>d</w:t>
      </w:r>
      <w:r w:rsidR="00634CCB" w:rsidRPr="00BD22C2">
        <w:rPr>
          <w:rFonts w:cs="Arial"/>
          <w:lang w:val="fr-CA"/>
        </w:rPr>
        <w:t>istinguer ce qui relève d</w:t>
      </w:r>
      <w:r w:rsidR="00A81A32" w:rsidRPr="00BD22C2">
        <w:rPr>
          <w:rFonts w:cs="Arial"/>
          <w:lang w:val="fr-CA"/>
        </w:rPr>
        <w:t xml:space="preserve">es </w:t>
      </w:r>
      <w:r w:rsidR="00634CCB" w:rsidRPr="00BD22C2">
        <w:rPr>
          <w:rFonts w:cs="Arial"/>
          <w:lang w:val="fr-CA"/>
        </w:rPr>
        <w:t>discours p</w:t>
      </w:r>
      <w:r w:rsidR="00A81A32" w:rsidRPr="00BD22C2">
        <w:rPr>
          <w:rFonts w:cs="Arial"/>
          <w:lang w:val="fr-CA"/>
        </w:rPr>
        <w:t>ublics</w:t>
      </w:r>
      <w:r w:rsidR="00634CCB" w:rsidRPr="00BD22C2">
        <w:rPr>
          <w:rFonts w:cs="Arial"/>
          <w:lang w:val="fr-CA"/>
        </w:rPr>
        <w:t xml:space="preserve"> et des faits</w:t>
      </w:r>
      <w:r w:rsidR="008F7F0D" w:rsidRPr="00BD22C2">
        <w:rPr>
          <w:rFonts w:cs="Arial"/>
          <w:lang w:val="fr-CA"/>
        </w:rPr>
        <w:t>, ainsi qu’à s</w:t>
      </w:r>
      <w:r w:rsidR="00584801" w:rsidRPr="00BD22C2">
        <w:rPr>
          <w:rFonts w:cs="Arial"/>
          <w:lang w:val="fr-CA"/>
        </w:rPr>
        <w:t xml:space="preserve">’appuyer </w:t>
      </w:r>
      <w:r w:rsidR="008F7F0D" w:rsidRPr="00BD22C2">
        <w:rPr>
          <w:rFonts w:cs="Arial"/>
          <w:lang w:val="fr-CA"/>
        </w:rPr>
        <w:t xml:space="preserve">continuellement </w:t>
      </w:r>
      <w:r w:rsidR="00DC1CB1" w:rsidRPr="00BD22C2">
        <w:rPr>
          <w:rFonts w:cs="Arial"/>
          <w:lang w:val="fr-CA"/>
        </w:rPr>
        <w:t xml:space="preserve">sur </w:t>
      </w:r>
      <w:r w:rsidR="008F7F0D" w:rsidRPr="00BD22C2">
        <w:rPr>
          <w:rFonts w:cs="Arial"/>
          <w:lang w:val="fr-CA"/>
        </w:rPr>
        <w:t>ces derniers</w:t>
      </w:r>
      <w:r w:rsidR="00634CCB" w:rsidRPr="00BD22C2">
        <w:rPr>
          <w:rFonts w:cs="Arial"/>
          <w:lang w:val="fr-CA"/>
        </w:rPr>
        <w:t>.</w:t>
      </w:r>
    </w:p>
    <w:p w14:paraId="3199991E" w14:textId="653B3CA1" w:rsidR="00EF1CB2" w:rsidRPr="00BD22C2" w:rsidDel="00F07182" w:rsidRDefault="006637BD" w:rsidP="00EF1CB2">
      <w:pPr>
        <w:pStyle w:val="Paragraphe"/>
        <w:rPr>
          <w:lang w:val="fr-CA"/>
        </w:rPr>
      </w:pPr>
      <w:r w:rsidRPr="00BD22C2">
        <w:rPr>
          <w:lang w:val="fr-CA"/>
        </w:rPr>
        <w:lastRenderedPageBreak/>
        <w:t>Quelle que soit l’issue des travaux du Comité</w:t>
      </w:r>
      <w:r w:rsidR="00527EF3" w:rsidRPr="00BD22C2">
        <w:rPr>
          <w:lang w:val="fr-CA"/>
        </w:rPr>
        <w:t xml:space="preserve"> de sages</w:t>
      </w:r>
      <w:r w:rsidRPr="00BD22C2">
        <w:rPr>
          <w:lang w:val="fr-CA"/>
        </w:rPr>
        <w:t>, les conséquences du contexte actuel se font déjà sentir, y compris au Québec</w:t>
      </w:r>
      <w:r w:rsidR="006F2D87" w:rsidRPr="00BD22C2">
        <w:rPr>
          <w:rStyle w:val="Appeldenotedefin"/>
          <w:lang w:val="fr-CA"/>
        </w:rPr>
        <w:endnoteReference w:id="47"/>
      </w:r>
      <w:r w:rsidRPr="00BD22C2">
        <w:rPr>
          <w:lang w:val="fr-CA"/>
        </w:rPr>
        <w:t xml:space="preserve">. Les controverses sur l’identité de genre et l’incertitude qu’elles engendrent quant à la reconnaissance et la réalisation des droits des personnes trans et des personnes non binaires ont des effets concrets sur leur vie alors qu’elles sont déjà minorisées et vulnérabilisées dans plusieurs sphères de leur vie (santé et services sociaux, emploi, logement, éducation, </w:t>
      </w:r>
      <w:r w:rsidR="00296785" w:rsidRPr="00BD22C2">
        <w:rPr>
          <w:lang w:val="fr-CA"/>
        </w:rPr>
        <w:t xml:space="preserve">système de justice, </w:t>
      </w:r>
      <w:r w:rsidRPr="00BD22C2">
        <w:rPr>
          <w:lang w:val="fr-CA"/>
        </w:rPr>
        <w:t>vie familiale, espaces numériques).</w:t>
      </w:r>
      <w:r w:rsidR="00AF4438" w:rsidRPr="00BD22C2">
        <w:rPr>
          <w:lang w:val="fr-CA"/>
        </w:rPr>
        <w:t xml:space="preserve"> Ces conséquences peuvent être </w:t>
      </w:r>
      <w:r w:rsidR="00E74995" w:rsidRPr="00BD22C2">
        <w:rPr>
          <w:lang w:val="fr-CA"/>
        </w:rPr>
        <w:t xml:space="preserve">d’autant plus </w:t>
      </w:r>
      <w:r w:rsidR="00AF4438" w:rsidRPr="00BD22C2">
        <w:rPr>
          <w:lang w:val="fr-CA"/>
        </w:rPr>
        <w:t>exacerbées</w:t>
      </w:r>
      <w:r w:rsidR="00073161" w:rsidRPr="00BD22C2">
        <w:rPr>
          <w:lang w:val="fr-CA"/>
        </w:rPr>
        <w:t xml:space="preserve"> si elles appartiennent à </w:t>
      </w:r>
      <w:r w:rsidR="003E6062" w:rsidRPr="00BD22C2">
        <w:rPr>
          <w:lang w:val="fr-CA"/>
        </w:rPr>
        <w:t xml:space="preserve">un ou plusieurs autres groupes susceptibles d’être </w:t>
      </w:r>
      <w:r w:rsidR="00394CD1" w:rsidRPr="00BD22C2">
        <w:rPr>
          <w:lang w:val="fr-CA"/>
        </w:rPr>
        <w:t>visés par la discrimination, dont les jeunes</w:t>
      </w:r>
      <w:r w:rsidR="00073161" w:rsidRPr="00BD22C2">
        <w:rPr>
          <w:lang w:val="fr-CA"/>
        </w:rPr>
        <w:t>, les femmes, les personnes racisées et les personnes immigrantes.</w:t>
      </w:r>
      <w:r w:rsidR="005962D3" w:rsidRPr="00BD22C2">
        <w:rPr>
          <w:lang w:val="fr-CA"/>
        </w:rPr>
        <w:t xml:space="preserve"> </w:t>
      </w:r>
      <w:r w:rsidR="006C2645">
        <w:rPr>
          <w:lang w:val="fr-CA"/>
        </w:rPr>
        <w:t>Il ne s’agit pas de nier</w:t>
      </w:r>
      <w:r w:rsidR="00DB5462">
        <w:rPr>
          <w:lang w:val="fr-CA"/>
        </w:rPr>
        <w:t xml:space="preserve"> le malaise que peuvent </w:t>
      </w:r>
      <w:r w:rsidR="00BF5FE1">
        <w:rPr>
          <w:lang w:val="fr-CA"/>
        </w:rPr>
        <w:t xml:space="preserve">exprimer </w:t>
      </w:r>
      <w:r w:rsidR="00DB5462">
        <w:rPr>
          <w:lang w:val="fr-CA"/>
        </w:rPr>
        <w:t>certain</w:t>
      </w:r>
      <w:r w:rsidR="00BF5FE1">
        <w:rPr>
          <w:lang w:val="fr-CA"/>
        </w:rPr>
        <w:t>e</w:t>
      </w:r>
      <w:r w:rsidR="00D463E7">
        <w:rPr>
          <w:lang w:val="fr-CA"/>
        </w:rPr>
        <w:t xml:space="preserve">s </w:t>
      </w:r>
      <w:r w:rsidR="00BF5FE1">
        <w:rPr>
          <w:lang w:val="fr-CA"/>
        </w:rPr>
        <w:t>personnes</w:t>
      </w:r>
      <w:r w:rsidR="00C5587D">
        <w:rPr>
          <w:lang w:val="fr-CA"/>
        </w:rPr>
        <w:t xml:space="preserve"> face à ces enjeux</w:t>
      </w:r>
      <w:r w:rsidR="00D463E7">
        <w:rPr>
          <w:lang w:val="fr-CA"/>
        </w:rPr>
        <w:t xml:space="preserve"> ou de brimer</w:t>
      </w:r>
      <w:r w:rsidR="006C2645">
        <w:rPr>
          <w:lang w:val="fr-CA"/>
        </w:rPr>
        <w:t xml:space="preserve"> </w:t>
      </w:r>
      <w:r w:rsidR="00C5587D">
        <w:rPr>
          <w:lang w:val="fr-CA"/>
        </w:rPr>
        <w:t>leur</w:t>
      </w:r>
      <w:r w:rsidR="006C2645">
        <w:rPr>
          <w:lang w:val="fr-CA"/>
        </w:rPr>
        <w:t xml:space="preserve"> liberté d’expression</w:t>
      </w:r>
      <w:r w:rsidR="00CD1004">
        <w:rPr>
          <w:lang w:val="fr-CA"/>
        </w:rPr>
        <w:t xml:space="preserve">, mais, </w:t>
      </w:r>
      <w:r w:rsidR="00CD1004" w:rsidRPr="00E07573">
        <w:rPr>
          <w:lang w:val="fr-CA"/>
        </w:rPr>
        <w:t>i</w:t>
      </w:r>
      <w:r w:rsidR="00C57E12" w:rsidRPr="00E07573">
        <w:rPr>
          <w:lang w:val="fr-CA"/>
        </w:rPr>
        <w:t>l</w:t>
      </w:r>
      <w:r w:rsidR="00C57E12">
        <w:rPr>
          <w:lang w:val="fr-CA"/>
        </w:rPr>
        <w:t xml:space="preserve"> convient également d</w:t>
      </w:r>
      <w:r w:rsidR="002E019B">
        <w:rPr>
          <w:lang w:val="fr-CA"/>
        </w:rPr>
        <w:t xml:space="preserve">’assurer l’exercice effectif </w:t>
      </w:r>
      <w:r w:rsidR="007C3C7C">
        <w:rPr>
          <w:lang w:val="fr-CA"/>
        </w:rPr>
        <w:t>du droit à l’égalité</w:t>
      </w:r>
      <w:r w:rsidR="006753FE">
        <w:rPr>
          <w:lang w:val="fr-CA"/>
        </w:rPr>
        <w:t xml:space="preserve"> des</w:t>
      </w:r>
      <w:r w:rsidR="002E019B">
        <w:rPr>
          <w:lang w:val="fr-CA"/>
        </w:rPr>
        <w:t xml:space="preserve"> personnes trans et non binaires. Or, </w:t>
      </w:r>
      <w:r w:rsidR="006942E1">
        <w:rPr>
          <w:rFonts w:cs="Arial"/>
          <w:lang w:val="fr-CA"/>
        </w:rPr>
        <w:t>l</w:t>
      </w:r>
      <w:r w:rsidRPr="00BD22C2" w:rsidDel="00F07182">
        <w:rPr>
          <w:rFonts w:cs="Arial"/>
          <w:lang w:val="fr-CA"/>
        </w:rPr>
        <w:t>a Commission redoute</w:t>
      </w:r>
      <w:r w:rsidR="00733282">
        <w:rPr>
          <w:rFonts w:cs="Arial"/>
          <w:lang w:val="fr-CA"/>
        </w:rPr>
        <w:t xml:space="preserve"> </w:t>
      </w:r>
      <w:r w:rsidRPr="00BD22C2" w:rsidDel="00F07182">
        <w:rPr>
          <w:rFonts w:cs="Arial"/>
          <w:lang w:val="fr-CA"/>
        </w:rPr>
        <w:t xml:space="preserve">les effets de </w:t>
      </w:r>
      <w:r w:rsidR="00B627CF">
        <w:rPr>
          <w:rFonts w:cs="Arial"/>
          <w:lang w:val="fr-CA"/>
        </w:rPr>
        <w:t>ces controverses</w:t>
      </w:r>
      <w:r w:rsidRPr="00BD22C2" w:rsidDel="00F07182">
        <w:rPr>
          <w:rFonts w:cs="Arial"/>
          <w:lang w:val="fr-CA"/>
        </w:rPr>
        <w:t xml:space="preserve"> sur </w:t>
      </w:r>
      <w:r w:rsidR="00C749D3">
        <w:rPr>
          <w:rFonts w:cs="Arial"/>
          <w:lang w:val="fr-CA"/>
        </w:rPr>
        <w:t>les droits de ces derni</w:t>
      </w:r>
      <w:r w:rsidR="0009409A">
        <w:rPr>
          <w:rFonts w:cs="Arial"/>
          <w:lang w:val="fr-CA"/>
        </w:rPr>
        <w:t>ères</w:t>
      </w:r>
      <w:r w:rsidR="00D26EBF">
        <w:rPr>
          <w:rFonts w:cs="Arial"/>
          <w:lang w:val="fr-CA"/>
        </w:rPr>
        <w:t xml:space="preserve"> et </w:t>
      </w:r>
      <w:r w:rsidR="00AF5263">
        <w:rPr>
          <w:rFonts w:cs="Arial"/>
          <w:lang w:val="fr-CA"/>
        </w:rPr>
        <w:t>il convient d’en tenir compte dans l’important exercice de préservation des droits et libertés des uns et des autres</w:t>
      </w:r>
      <w:r w:rsidRPr="00BD22C2" w:rsidDel="00F07182">
        <w:rPr>
          <w:rFonts w:cs="Arial"/>
          <w:lang w:val="fr-CA"/>
        </w:rPr>
        <w:t xml:space="preserve">. </w:t>
      </w:r>
      <w:r w:rsidR="00335F9D">
        <w:rPr>
          <w:rFonts w:cs="Arial"/>
          <w:lang w:val="fr-CA"/>
        </w:rPr>
        <w:t xml:space="preserve">Un tel constat </w:t>
      </w:r>
      <w:r w:rsidR="00A24CF8">
        <w:rPr>
          <w:rFonts w:cs="Arial"/>
          <w:lang w:val="fr-CA"/>
        </w:rPr>
        <w:t>appelle</w:t>
      </w:r>
      <w:r w:rsidR="00AF5263">
        <w:rPr>
          <w:rFonts w:cs="Arial"/>
          <w:lang w:val="fr-CA"/>
        </w:rPr>
        <w:t xml:space="preserve"> en outre</w:t>
      </w:r>
      <w:r w:rsidR="00A24CF8">
        <w:rPr>
          <w:rFonts w:cs="Arial"/>
          <w:lang w:val="fr-CA"/>
        </w:rPr>
        <w:t xml:space="preserve"> d’importantes recommandations du Comité de sages, notamm</w:t>
      </w:r>
      <w:r w:rsidR="00BA30B3">
        <w:rPr>
          <w:rFonts w:cs="Arial"/>
          <w:lang w:val="fr-CA"/>
        </w:rPr>
        <w:t>ent quant à la mise en œuvre de mesures d’information et d’éducation aux droits</w:t>
      </w:r>
      <w:r w:rsidR="00D10CD6">
        <w:rPr>
          <w:rFonts w:cs="Arial"/>
          <w:lang w:val="fr-CA"/>
        </w:rPr>
        <w:t xml:space="preserve"> et libertés de la personne</w:t>
      </w:r>
      <w:r w:rsidR="00155983">
        <w:rPr>
          <w:rFonts w:cs="Arial"/>
          <w:lang w:val="fr-CA"/>
        </w:rPr>
        <w:t>. Nous y reviendrons.</w:t>
      </w:r>
    </w:p>
    <w:p w14:paraId="5F83FFCB" w14:textId="77777777" w:rsidR="0071451D" w:rsidRDefault="0071451D" w:rsidP="00EF1CB2">
      <w:pPr>
        <w:spacing w:line="240" w:lineRule="auto"/>
        <w:jc w:val="left"/>
        <w:rPr>
          <w:b/>
          <w:bCs/>
        </w:rPr>
      </w:pPr>
    </w:p>
    <w:p w14:paraId="6C657289" w14:textId="77777777" w:rsidR="006637BD" w:rsidRPr="00BD22C2" w:rsidRDefault="006637BD" w:rsidP="00EF1CB2">
      <w:pPr>
        <w:spacing w:line="240" w:lineRule="auto"/>
        <w:jc w:val="left"/>
        <w:rPr>
          <w:b/>
          <w:bCs/>
        </w:rPr>
      </w:pPr>
      <w:r w:rsidRPr="00BD22C2">
        <w:rPr>
          <w:b/>
          <w:bCs/>
        </w:rPr>
        <w:t>Choisir l’approche québécoise : respect des droits, participation, recherche et concertation</w:t>
      </w:r>
    </w:p>
    <w:p w14:paraId="0AE7F1E7" w14:textId="432DA44E" w:rsidR="006637BD" w:rsidRPr="00BD22C2" w:rsidRDefault="006637BD" w:rsidP="00603906">
      <w:pPr>
        <w:pStyle w:val="Paragraphe"/>
        <w:rPr>
          <w:lang w:val="fr-CA"/>
        </w:rPr>
      </w:pPr>
      <w:r w:rsidRPr="00BD22C2">
        <w:rPr>
          <w:lang w:val="fr-CA"/>
        </w:rPr>
        <w:t>Au cours des dernières décennies, le Québec a été un précurseur dans l’avancement des droits des personnes LGBTQ+.</w:t>
      </w:r>
      <w:r w:rsidR="00CA4ED9" w:rsidRPr="00BD22C2">
        <w:rPr>
          <w:lang w:val="fr-CA"/>
        </w:rPr>
        <w:t xml:space="preserve"> </w:t>
      </w:r>
      <w:r w:rsidR="00A72AF4" w:rsidRPr="00BD22C2">
        <w:rPr>
          <w:lang w:val="fr-CA"/>
        </w:rPr>
        <w:t>En 2009, a</w:t>
      </w:r>
      <w:r w:rsidRPr="00BD22C2">
        <w:rPr>
          <w:lang w:val="fr-CA"/>
        </w:rPr>
        <w:t>près avoir écouté les personnes concernées, l’État québécois s’est doté d’une Politique de lutte contre l’homophobie</w:t>
      </w:r>
      <w:r w:rsidRPr="00BD22C2">
        <w:rPr>
          <w:rStyle w:val="Appeldenotedefin"/>
          <w:lang w:val="fr-CA"/>
        </w:rPr>
        <w:endnoteReference w:id="48"/>
      </w:r>
      <w:r w:rsidRPr="00BD22C2">
        <w:rPr>
          <w:lang w:val="fr-CA"/>
        </w:rPr>
        <w:t xml:space="preserve"> de laquelle ont découlé trois plans d’action gouvernementaux de lutte contre l’homophobie et la transphobie</w:t>
      </w:r>
      <w:r w:rsidRPr="00BD22C2">
        <w:rPr>
          <w:rStyle w:val="Appeldenotedefin"/>
          <w:lang w:val="fr-CA"/>
        </w:rPr>
        <w:endnoteReference w:id="49"/>
      </w:r>
      <w:r w:rsidRPr="00BD22C2">
        <w:rPr>
          <w:lang w:val="fr-CA"/>
        </w:rPr>
        <w:t>. La lutte contre la transphobie y a été ajoutée en 2017 suivant l’introduction du motif prohibé de discrimination «</w:t>
      </w:r>
      <w:r w:rsidR="00BB3F16" w:rsidRPr="00BD22C2">
        <w:rPr>
          <w:lang w:val="fr-CA"/>
        </w:rPr>
        <w:t> </w:t>
      </w:r>
      <w:r w:rsidRPr="00BD22C2">
        <w:rPr>
          <w:lang w:val="fr-CA"/>
        </w:rPr>
        <w:t>identité ou expression de genre</w:t>
      </w:r>
      <w:r w:rsidR="00BB3F16" w:rsidRPr="00BD22C2">
        <w:rPr>
          <w:lang w:val="fr-CA"/>
        </w:rPr>
        <w:t> </w:t>
      </w:r>
      <w:r w:rsidRPr="00BD22C2">
        <w:rPr>
          <w:lang w:val="fr-CA"/>
        </w:rPr>
        <w:t>» à la Charte en 2016. Le Plan d’action gouvernemental pour prévenir et contrer les thérapies de conversion</w:t>
      </w:r>
      <w:r w:rsidR="00CC76DE" w:rsidRPr="00BD22C2">
        <w:rPr>
          <w:lang w:val="fr-CA"/>
        </w:rPr>
        <w:t> </w:t>
      </w:r>
      <w:r w:rsidRPr="00BD22C2">
        <w:rPr>
          <w:lang w:val="fr-CA"/>
        </w:rPr>
        <w:t>2021-2023 a aussi participé de ces efforts</w:t>
      </w:r>
      <w:r w:rsidRPr="00BD22C2">
        <w:rPr>
          <w:rStyle w:val="Appeldenotedefin"/>
          <w:lang w:val="fr-CA"/>
        </w:rPr>
        <w:endnoteReference w:id="50"/>
      </w:r>
      <w:r w:rsidRPr="00BD22C2">
        <w:rPr>
          <w:lang w:val="fr-CA"/>
        </w:rPr>
        <w:t xml:space="preserve">. Les mesures sur les thérapies de conversion sont, depuis 2023, intégrées au plan d’action gouvernemental de lutte contre l’homophobie et la transphobie. La création du Bureau de lutte contre l’homophobie et la transphobie, les fonds accordés à la Chaire de recherche sur la diversité sexuelle et la pluralité des genres ainsi que le financement des groupes communautaires, toutes des mesures prévues par ces plans, ont donné au Québec des outils précieux pour aborder avec sérieux les droits des personnes LGBTQ+. Ces </w:t>
      </w:r>
      <w:r w:rsidR="002608C1" w:rsidRPr="00BD22C2">
        <w:rPr>
          <w:lang w:val="fr-CA"/>
        </w:rPr>
        <w:t>initiatives</w:t>
      </w:r>
      <w:r w:rsidRPr="00BD22C2">
        <w:rPr>
          <w:lang w:val="fr-CA"/>
        </w:rPr>
        <w:t xml:space="preserve"> ayant contribué à structurer l’action publique, communautaire et universitaire sur les enjeux LGBTQ+ </w:t>
      </w:r>
      <w:r w:rsidRPr="00BD22C2">
        <w:rPr>
          <w:lang w:val="fr-CA"/>
        </w:rPr>
        <w:lastRenderedPageBreak/>
        <w:t xml:space="preserve">témoignent de la capacité qu’a eue l’État québécois à se saisir de ces enjeux pour faire progresser les droits des personnes LGBTQ+ et viser leur participation en </w:t>
      </w:r>
      <w:r w:rsidR="007E18D7" w:rsidRPr="00BD22C2">
        <w:rPr>
          <w:lang w:val="fr-CA"/>
        </w:rPr>
        <w:t xml:space="preserve">pleine </w:t>
      </w:r>
      <w:r w:rsidRPr="00BD22C2">
        <w:rPr>
          <w:lang w:val="fr-CA"/>
        </w:rPr>
        <w:t xml:space="preserve">égalité. Les défis restent </w:t>
      </w:r>
      <w:r w:rsidR="009D520E" w:rsidRPr="00BD22C2">
        <w:rPr>
          <w:lang w:val="fr-CA"/>
        </w:rPr>
        <w:t xml:space="preserve">cependant </w:t>
      </w:r>
      <w:r w:rsidRPr="00BD22C2">
        <w:rPr>
          <w:lang w:val="fr-CA"/>
        </w:rPr>
        <w:t>nombreux.</w:t>
      </w:r>
      <w:r w:rsidR="005318AF" w:rsidRPr="00BD22C2">
        <w:rPr>
          <w:lang w:val="fr-CA"/>
        </w:rPr>
        <w:t xml:space="preserve"> La Journée internationale contre l’homophobie et la transphobie, initiée en 2003 par la Fondation Émergence</w:t>
      </w:r>
      <w:r w:rsidR="009B35BD" w:rsidRPr="00BD22C2">
        <w:rPr>
          <w:lang w:val="fr-CA"/>
        </w:rPr>
        <w:t xml:space="preserve"> et donc originaire du Québec, est soulignée chaque année pour rappeler que le travail </w:t>
      </w:r>
      <w:r w:rsidR="00B909E7" w:rsidRPr="00BD22C2">
        <w:rPr>
          <w:lang w:val="fr-CA"/>
        </w:rPr>
        <w:t>n’est pas terminé</w:t>
      </w:r>
      <w:r w:rsidR="005318AF" w:rsidRPr="00BD22C2">
        <w:rPr>
          <w:rStyle w:val="Appeldenotedefin"/>
          <w:lang w:val="fr-CA"/>
        </w:rPr>
        <w:endnoteReference w:id="51"/>
      </w:r>
      <w:r w:rsidR="005318AF" w:rsidRPr="00BD22C2">
        <w:rPr>
          <w:lang w:val="fr-CA"/>
        </w:rPr>
        <w:t>.</w:t>
      </w:r>
      <w:r w:rsidR="00AA6F56" w:rsidRPr="00BD22C2">
        <w:rPr>
          <w:lang w:val="fr-CA"/>
        </w:rPr>
        <w:t xml:space="preserve"> Cela dit, l’État a montré qu’il pouvait prendre les moyens de les relever.</w:t>
      </w:r>
    </w:p>
    <w:p w14:paraId="1B6786DD" w14:textId="3358009F" w:rsidR="006A6682" w:rsidRPr="0071451D" w:rsidRDefault="006637BD" w:rsidP="0071451D">
      <w:pPr>
        <w:pStyle w:val="Paragraphe"/>
        <w:rPr>
          <w:lang w:val="fr-CA"/>
        </w:rPr>
      </w:pPr>
      <w:r w:rsidRPr="00BD22C2">
        <w:rPr>
          <w:lang w:val="fr-CA"/>
        </w:rPr>
        <w:t>La Commission estime que le Québec doit poursuivre dans cette voie</w:t>
      </w:r>
      <w:r w:rsidR="00607BDD" w:rsidRPr="00BD22C2">
        <w:rPr>
          <w:lang w:val="fr-CA"/>
        </w:rPr>
        <w:t xml:space="preserve"> </w:t>
      </w:r>
      <w:r w:rsidR="000B4CA1" w:rsidRPr="00BD22C2">
        <w:rPr>
          <w:lang w:val="fr-CA"/>
        </w:rPr>
        <w:t xml:space="preserve">pour </w:t>
      </w:r>
      <w:r w:rsidR="00607BDD" w:rsidRPr="00BD22C2">
        <w:rPr>
          <w:lang w:val="fr-CA"/>
        </w:rPr>
        <w:t>consolider</w:t>
      </w:r>
      <w:r w:rsidR="000B4CA1" w:rsidRPr="00BD22C2">
        <w:rPr>
          <w:lang w:val="fr-CA"/>
        </w:rPr>
        <w:t xml:space="preserve"> et pleinement mettre en œuvre</w:t>
      </w:r>
      <w:r w:rsidR="00607BDD" w:rsidRPr="00BD22C2">
        <w:rPr>
          <w:lang w:val="fr-CA"/>
        </w:rPr>
        <w:t xml:space="preserve"> les changements</w:t>
      </w:r>
      <w:r w:rsidR="00E54434" w:rsidRPr="00BD22C2">
        <w:rPr>
          <w:lang w:val="fr-CA"/>
        </w:rPr>
        <w:t xml:space="preserve"> très</w:t>
      </w:r>
      <w:r w:rsidR="00607BDD" w:rsidRPr="00BD22C2">
        <w:rPr>
          <w:lang w:val="fr-CA"/>
        </w:rPr>
        <w:t xml:space="preserve"> </w:t>
      </w:r>
      <w:r w:rsidR="00121AA4" w:rsidRPr="00BD22C2">
        <w:rPr>
          <w:lang w:val="fr-CA"/>
        </w:rPr>
        <w:t>récents</w:t>
      </w:r>
      <w:r w:rsidR="00A85C0C" w:rsidRPr="00BD22C2">
        <w:rPr>
          <w:lang w:val="fr-CA"/>
        </w:rPr>
        <w:t xml:space="preserve"> en matière de reconnaissance</w:t>
      </w:r>
      <w:r w:rsidR="00121AA4" w:rsidRPr="00BD22C2">
        <w:rPr>
          <w:lang w:val="fr-CA"/>
        </w:rPr>
        <w:t xml:space="preserve"> </w:t>
      </w:r>
      <w:r w:rsidR="00CE282C" w:rsidRPr="00BD22C2">
        <w:rPr>
          <w:lang w:val="fr-CA"/>
        </w:rPr>
        <w:t>des droits des personnes trans et non binaires</w:t>
      </w:r>
      <w:r w:rsidRPr="00BD22C2">
        <w:rPr>
          <w:lang w:val="fr-CA"/>
        </w:rPr>
        <w:t>. L’approche adoptée jusqu’ici se caractérise par la consultation, la participation et l’écoute des personnes concernées, la recherche menée dans les universités, les organismes pub</w:t>
      </w:r>
      <w:r w:rsidR="009C392C" w:rsidRPr="00BD22C2">
        <w:rPr>
          <w:lang w:val="fr-CA"/>
        </w:rPr>
        <w:t>lic</w:t>
      </w:r>
      <w:r w:rsidRPr="00BD22C2">
        <w:rPr>
          <w:lang w:val="fr-CA"/>
        </w:rPr>
        <w:t>s et les groupes communautaires, ainsi que la concertation entre les différents acteurs du secteur public, et ce</w:t>
      </w:r>
      <w:r w:rsidR="001A7879" w:rsidRPr="00BD22C2">
        <w:rPr>
          <w:lang w:val="fr-CA"/>
        </w:rPr>
        <w:t>,</w:t>
      </w:r>
      <w:r w:rsidRPr="00BD22C2">
        <w:rPr>
          <w:lang w:val="fr-CA"/>
        </w:rPr>
        <w:t xml:space="preserve"> dans l’objectif d’assurer le respect des droits des personnes LGBTQ+. Les grandes consultations sur les droits des personnes LGBTQ+ qu’a pilotées la Commission</w:t>
      </w:r>
      <w:bookmarkStart w:id="29" w:name="_Ref161996474"/>
      <w:r w:rsidRPr="00BD22C2">
        <w:rPr>
          <w:rStyle w:val="Appeldenotedefin"/>
          <w:lang w:val="fr-CA"/>
        </w:rPr>
        <w:endnoteReference w:id="52"/>
      </w:r>
      <w:bookmarkEnd w:id="29"/>
      <w:r w:rsidR="001537C5" w:rsidRPr="00BD22C2">
        <w:rPr>
          <w:lang w:val="fr-CA"/>
        </w:rPr>
        <w:t xml:space="preserve">, </w:t>
      </w:r>
      <w:r w:rsidR="006942AD" w:rsidRPr="00BD22C2">
        <w:rPr>
          <w:lang w:val="fr-CA"/>
        </w:rPr>
        <w:t>créées</w:t>
      </w:r>
      <w:r w:rsidRPr="00BD22C2">
        <w:rPr>
          <w:lang w:val="fr-CA"/>
        </w:rPr>
        <w:t xml:space="preserve"> à la demande des personnes concernées, illustrent bien cette approche dont les grands principes ont inspiré les orientations stratégiques de la Politique québécoise de lutte contre l’homophobie</w:t>
      </w:r>
      <w:r w:rsidRPr="00BD22C2">
        <w:rPr>
          <w:rStyle w:val="Appeldenotedefin"/>
          <w:lang w:val="fr-CA"/>
        </w:rPr>
        <w:endnoteReference w:id="53"/>
      </w:r>
      <w:r w:rsidRPr="00BD22C2">
        <w:rPr>
          <w:lang w:val="fr-CA"/>
        </w:rPr>
        <w:t xml:space="preserve">. Les résultats de cette approche sont probants, </w:t>
      </w:r>
      <w:r w:rsidR="00F37F4D" w:rsidRPr="00BD22C2">
        <w:rPr>
          <w:lang w:val="fr-CA"/>
        </w:rPr>
        <w:t>bien que l’atteinte de l’égalité réelle se fasse toujours attendre et que</w:t>
      </w:r>
      <w:r w:rsidRPr="00BD22C2">
        <w:rPr>
          <w:lang w:val="fr-CA"/>
        </w:rPr>
        <w:t xml:space="preserve"> les avancées </w:t>
      </w:r>
      <w:r w:rsidR="00F37F4D" w:rsidRPr="00BD22C2">
        <w:rPr>
          <w:lang w:val="fr-CA"/>
        </w:rPr>
        <w:t>demeurent</w:t>
      </w:r>
      <w:r w:rsidRPr="00BD22C2">
        <w:rPr>
          <w:lang w:val="fr-CA"/>
        </w:rPr>
        <w:t xml:space="preserve"> </w:t>
      </w:r>
      <w:r w:rsidRPr="00A0226A">
        <w:rPr>
          <w:lang w:val="fr-CA"/>
        </w:rPr>
        <w:t>fragiles.</w:t>
      </w:r>
      <w:r w:rsidR="007B237A" w:rsidRPr="00A0226A">
        <w:rPr>
          <w:lang w:val="fr-CA"/>
        </w:rPr>
        <w:t xml:space="preserve"> </w:t>
      </w:r>
      <w:r w:rsidR="00F11482" w:rsidRPr="00A0226A">
        <w:rPr>
          <w:lang w:val="fr-CA"/>
        </w:rPr>
        <w:t xml:space="preserve">La Commission espère que les travaux du Comité de sages permettront de proposer des avenues qui </w:t>
      </w:r>
      <w:r w:rsidR="00535568" w:rsidRPr="00A0226A">
        <w:rPr>
          <w:lang w:val="fr-CA"/>
        </w:rPr>
        <w:t>assureront le</w:t>
      </w:r>
      <w:r w:rsidR="00F11482" w:rsidRPr="00A0226A">
        <w:rPr>
          <w:lang w:val="fr-CA"/>
        </w:rPr>
        <w:t xml:space="preserve"> respect des droits et libertés garantis par la Charte et </w:t>
      </w:r>
      <w:r w:rsidR="004659EC" w:rsidRPr="00A0226A">
        <w:rPr>
          <w:lang w:val="fr-CA"/>
        </w:rPr>
        <w:t>d</w:t>
      </w:r>
      <w:r w:rsidR="00F11482" w:rsidRPr="00A0226A">
        <w:rPr>
          <w:lang w:val="fr-CA"/>
        </w:rPr>
        <w:t>es valeurs qui la sous</w:t>
      </w:r>
      <w:r w:rsidR="00F11482" w:rsidRPr="00A0226A">
        <w:rPr>
          <w:lang w:val="fr-CA"/>
        </w:rPr>
        <w:noBreakHyphen/>
        <w:t>tendent</w:t>
      </w:r>
      <w:r w:rsidR="00744065" w:rsidRPr="00A0226A">
        <w:rPr>
          <w:lang w:val="fr-CA"/>
        </w:rPr>
        <w:t xml:space="preserve">, et </w:t>
      </w:r>
      <w:proofErr w:type="gramStart"/>
      <w:r w:rsidR="00744065" w:rsidRPr="00A0226A">
        <w:rPr>
          <w:lang w:val="fr-CA"/>
        </w:rPr>
        <w:t>ce</w:t>
      </w:r>
      <w:proofErr w:type="gramEnd"/>
      <w:r w:rsidR="00F11482" w:rsidRPr="00A0226A">
        <w:rPr>
          <w:lang w:val="fr-CA"/>
        </w:rPr>
        <w:t xml:space="preserve"> envers toute personne, dont les personnes trans et non binaires.</w:t>
      </w:r>
    </w:p>
    <w:p w14:paraId="6DA992C2" w14:textId="29885FA0" w:rsidR="006637BD" w:rsidRPr="00BD22C2" w:rsidRDefault="006637BD" w:rsidP="00EF1CB2">
      <w:pPr>
        <w:rPr>
          <w:b/>
          <w:bCs/>
        </w:rPr>
      </w:pPr>
      <w:r w:rsidRPr="00BD22C2">
        <w:rPr>
          <w:b/>
          <w:bCs/>
        </w:rPr>
        <w:t>La Charte</w:t>
      </w:r>
      <w:r w:rsidR="00407759" w:rsidRPr="00BD22C2">
        <w:rPr>
          <w:b/>
          <w:bCs/>
        </w:rPr>
        <w:t xml:space="preserve"> et l’approche des droits de l’enfant</w:t>
      </w:r>
      <w:r w:rsidRPr="00BD22C2">
        <w:rPr>
          <w:b/>
          <w:bCs/>
        </w:rPr>
        <w:t xml:space="preserve"> comme boussole</w:t>
      </w:r>
    </w:p>
    <w:p w14:paraId="4128BAB0" w14:textId="2256F369" w:rsidR="008A4BB6" w:rsidRPr="00BD22C2" w:rsidRDefault="006637BD" w:rsidP="0046301D">
      <w:pPr>
        <w:pStyle w:val="Paragraphe"/>
        <w:rPr>
          <w:rFonts w:cs="Arial"/>
          <w:lang w:val="fr-CA"/>
        </w:rPr>
      </w:pPr>
      <w:r w:rsidRPr="00BD22C2">
        <w:rPr>
          <w:rFonts w:cs="Arial"/>
          <w:lang w:val="fr-CA"/>
        </w:rPr>
        <w:t xml:space="preserve">La Commission entend </w:t>
      </w:r>
      <w:r w:rsidR="0024797A" w:rsidRPr="00BD22C2">
        <w:rPr>
          <w:rFonts w:cs="Arial"/>
          <w:lang w:val="fr-CA"/>
        </w:rPr>
        <w:t xml:space="preserve">certaines </w:t>
      </w:r>
      <w:r w:rsidRPr="00BD22C2">
        <w:rPr>
          <w:rFonts w:cs="Arial"/>
          <w:lang w:val="fr-CA"/>
        </w:rPr>
        <w:t>craintes quant à de potentiel</w:t>
      </w:r>
      <w:r w:rsidR="00F55AEC" w:rsidRPr="00BD22C2">
        <w:rPr>
          <w:rFonts w:cs="Arial"/>
          <w:lang w:val="fr-CA"/>
        </w:rPr>
        <w:t xml:space="preserve">les atteintes aux </w:t>
      </w:r>
      <w:r w:rsidRPr="00BD22C2">
        <w:rPr>
          <w:rFonts w:cs="Arial"/>
          <w:lang w:val="fr-CA"/>
        </w:rPr>
        <w:t xml:space="preserve">droits qui pourraient résulter de l’inclusion des personnes trans et non binaires, en particulier dans les espaces non mixtes réservés aux femmes. Elle entend également </w:t>
      </w:r>
      <w:r w:rsidR="00490313" w:rsidRPr="00BD22C2">
        <w:rPr>
          <w:rFonts w:cs="Arial"/>
          <w:lang w:val="fr-CA"/>
        </w:rPr>
        <w:t>l’expression d’</w:t>
      </w:r>
      <w:r w:rsidRPr="00BD22C2">
        <w:rPr>
          <w:rFonts w:cs="Arial"/>
          <w:lang w:val="fr-CA"/>
        </w:rPr>
        <w:t xml:space="preserve">appréhensions </w:t>
      </w:r>
      <w:r w:rsidRPr="00A0226A">
        <w:rPr>
          <w:rFonts w:cs="Arial"/>
          <w:lang w:val="fr-CA"/>
        </w:rPr>
        <w:t>en lien avec de possibles atteintes aux droits des enfants en matière de transition médicale de genre.</w:t>
      </w:r>
    </w:p>
    <w:p w14:paraId="1D701424" w14:textId="5F59BFA9" w:rsidR="006637BD" w:rsidRPr="00BD22C2" w:rsidRDefault="006637BD" w:rsidP="0046301D">
      <w:pPr>
        <w:pStyle w:val="Paragraphe"/>
        <w:rPr>
          <w:rFonts w:cs="Arial"/>
          <w:lang w:val="fr-CA"/>
        </w:rPr>
      </w:pPr>
      <w:r w:rsidRPr="00BD22C2">
        <w:rPr>
          <w:rFonts w:cs="Arial"/>
          <w:lang w:val="fr-CA"/>
        </w:rPr>
        <w:t>La Commission exhorte à ne pas céder à la tentation d’opposer des groupes entre eux</w:t>
      </w:r>
      <w:r w:rsidR="00D61121" w:rsidRPr="00BD22C2">
        <w:rPr>
          <w:rFonts w:cs="Arial"/>
          <w:lang w:val="fr-CA"/>
        </w:rPr>
        <w:t xml:space="preserve"> ou les droits des uns par rapport aux au</w:t>
      </w:r>
      <w:r w:rsidR="0027172F" w:rsidRPr="00BD22C2">
        <w:rPr>
          <w:rFonts w:cs="Arial"/>
          <w:lang w:val="fr-CA"/>
        </w:rPr>
        <w:t>tres</w:t>
      </w:r>
      <w:r w:rsidRPr="00BD22C2">
        <w:rPr>
          <w:rFonts w:cs="Arial"/>
          <w:lang w:val="fr-CA"/>
        </w:rPr>
        <w:t xml:space="preserve">, au risque d’exacerber des tensions susceptibles d’entretenir des préjugés. La Commission insiste </w:t>
      </w:r>
      <w:r w:rsidR="00906917" w:rsidRPr="00BD22C2">
        <w:rPr>
          <w:rFonts w:cs="Arial"/>
          <w:lang w:val="fr-CA"/>
        </w:rPr>
        <w:t xml:space="preserve">de plus </w:t>
      </w:r>
      <w:r w:rsidRPr="00BD22C2">
        <w:rPr>
          <w:rFonts w:cs="Arial"/>
          <w:lang w:val="fr-CA"/>
        </w:rPr>
        <w:t xml:space="preserve">sur l’importance de ne pas reproduire </w:t>
      </w:r>
      <w:r w:rsidRPr="00BD22C2">
        <w:rPr>
          <w:rFonts w:cs="Arial"/>
          <w:lang w:val="fr-CA"/>
        </w:rPr>
        <w:lastRenderedPageBreak/>
        <w:t xml:space="preserve">des stéréotypes associant les </w:t>
      </w:r>
      <w:r w:rsidRPr="00A0226A">
        <w:rPr>
          <w:rFonts w:cs="Arial"/>
          <w:lang w:val="fr-CA"/>
        </w:rPr>
        <w:t>personnes trans à des risques ou menaces pour les femmes</w:t>
      </w:r>
      <w:r w:rsidR="00AF1E5C" w:rsidRPr="00A0226A">
        <w:rPr>
          <w:rFonts w:cs="Arial"/>
          <w:lang w:val="fr-CA"/>
        </w:rPr>
        <w:t xml:space="preserve"> et</w:t>
      </w:r>
      <w:r w:rsidRPr="00A0226A">
        <w:rPr>
          <w:rFonts w:cs="Arial"/>
          <w:lang w:val="fr-CA"/>
        </w:rPr>
        <w:t xml:space="preserve"> les enfants.</w:t>
      </w:r>
      <w:r w:rsidRPr="00BD22C2">
        <w:rPr>
          <w:rFonts w:cs="Arial"/>
          <w:lang w:val="fr-CA"/>
        </w:rPr>
        <w:t xml:space="preserve"> </w:t>
      </w:r>
    </w:p>
    <w:p w14:paraId="449E2C4C" w14:textId="181157A3" w:rsidR="001D6106" w:rsidRPr="00BD22C2" w:rsidRDefault="004A5013" w:rsidP="007866BB">
      <w:pPr>
        <w:pStyle w:val="Paragraphe"/>
        <w:rPr>
          <w:rStyle w:val="ui-provider"/>
          <w:lang w:val="fr-CA"/>
        </w:rPr>
      </w:pPr>
      <w:r w:rsidRPr="00BD22C2">
        <w:rPr>
          <w:rFonts w:cs="Arial"/>
          <w:lang w:val="fr-CA"/>
        </w:rPr>
        <w:t>Soulignons, d’une part, que c</w:t>
      </w:r>
      <w:r w:rsidR="00114480" w:rsidRPr="00BD22C2">
        <w:rPr>
          <w:rFonts w:cs="Arial"/>
          <w:lang w:val="fr-CA"/>
        </w:rPr>
        <w:t xml:space="preserve">es discours </w:t>
      </w:r>
      <w:r w:rsidR="008A1A74" w:rsidRPr="00BD22C2">
        <w:rPr>
          <w:rFonts w:cs="Arial"/>
          <w:lang w:val="fr-CA"/>
        </w:rPr>
        <w:t>risquent</w:t>
      </w:r>
      <w:r w:rsidR="00DE0BF8" w:rsidRPr="00BD22C2">
        <w:rPr>
          <w:rFonts w:cs="Arial"/>
          <w:lang w:val="fr-CA"/>
        </w:rPr>
        <w:t xml:space="preserve"> </w:t>
      </w:r>
      <w:r w:rsidR="008A1A74" w:rsidRPr="00BD22C2">
        <w:rPr>
          <w:rFonts w:cs="Arial"/>
          <w:lang w:val="fr-CA"/>
        </w:rPr>
        <w:t>de faire</w:t>
      </w:r>
      <w:r w:rsidR="00114480" w:rsidRPr="00BD22C2">
        <w:rPr>
          <w:rFonts w:cs="Arial"/>
          <w:lang w:val="fr-CA"/>
        </w:rPr>
        <w:t xml:space="preserve"> perdre de vue que les personnes trans et les personnes non binaires sont trop souvent en situation de vulnérabilité</w:t>
      </w:r>
      <w:r w:rsidR="00881C05" w:rsidRPr="00BD22C2">
        <w:rPr>
          <w:rFonts w:cs="Arial"/>
          <w:lang w:val="fr-CA"/>
        </w:rPr>
        <w:t xml:space="preserve"> socio-économique</w:t>
      </w:r>
      <w:r w:rsidR="00114480" w:rsidRPr="00BD22C2">
        <w:rPr>
          <w:rFonts w:cs="Arial"/>
          <w:lang w:val="fr-CA"/>
        </w:rPr>
        <w:t>, qu’elles ont peu d’endroits vers lesquels se tourner lorsqu’elles sont exclues, qu’elles sont elles-mêmes victimes du sexisme et de l’homophobie et que les enfants trans et non binaires peinent à bénéficier du soutien</w:t>
      </w:r>
      <w:r w:rsidR="008A1A74" w:rsidRPr="00BD22C2">
        <w:rPr>
          <w:rFonts w:cs="Arial"/>
          <w:lang w:val="fr-CA"/>
        </w:rPr>
        <w:t xml:space="preserve"> </w:t>
      </w:r>
      <w:r w:rsidR="00593C40" w:rsidRPr="00BD22C2">
        <w:rPr>
          <w:rFonts w:cs="Arial"/>
          <w:lang w:val="fr-CA"/>
        </w:rPr>
        <w:t>d</w:t>
      </w:r>
      <w:r w:rsidR="00114480" w:rsidRPr="00BD22C2">
        <w:rPr>
          <w:rFonts w:cs="Arial"/>
          <w:lang w:val="fr-CA"/>
        </w:rPr>
        <w:t xml:space="preserve">ont </w:t>
      </w:r>
      <w:proofErr w:type="spellStart"/>
      <w:r w:rsidR="00114480" w:rsidRPr="00BD22C2">
        <w:rPr>
          <w:rFonts w:cs="Arial"/>
          <w:lang w:val="fr-CA"/>
        </w:rPr>
        <w:t>iels</w:t>
      </w:r>
      <w:proofErr w:type="spellEnd"/>
      <w:r w:rsidR="00114480" w:rsidRPr="00BD22C2">
        <w:rPr>
          <w:rFonts w:cs="Arial"/>
          <w:lang w:val="fr-CA"/>
        </w:rPr>
        <w:t xml:space="preserve"> ont besoin.</w:t>
      </w:r>
      <w:r w:rsidR="00881C05" w:rsidRPr="00BD22C2">
        <w:rPr>
          <w:rFonts w:cs="Arial"/>
          <w:lang w:val="fr-CA"/>
        </w:rPr>
        <w:t xml:space="preserve"> </w:t>
      </w:r>
      <w:r w:rsidR="001649B7" w:rsidRPr="00BD22C2">
        <w:rPr>
          <w:lang w:val="fr-CA"/>
        </w:rPr>
        <w:t>D</w:t>
      </w:r>
      <w:r w:rsidR="005D70D7" w:rsidRPr="00BD22C2">
        <w:rPr>
          <w:lang w:val="fr-CA"/>
        </w:rPr>
        <w:t xml:space="preserve">ans le cadre </w:t>
      </w:r>
      <w:r w:rsidR="00142EDC" w:rsidRPr="00BD22C2">
        <w:rPr>
          <w:lang w:val="fr-CA"/>
        </w:rPr>
        <w:t>d’un récent jugement,</w:t>
      </w:r>
      <w:r w:rsidR="00392E8D" w:rsidRPr="00BD22C2">
        <w:rPr>
          <w:lang w:val="fr-CA"/>
        </w:rPr>
        <w:t xml:space="preserve"> la Cour suprême rappelle d’ailleurs</w:t>
      </w:r>
      <w:r w:rsidR="00434AF5" w:rsidRPr="00BD22C2">
        <w:rPr>
          <w:lang w:val="fr-CA"/>
        </w:rPr>
        <w:t xml:space="preserve"> </w:t>
      </w:r>
      <w:r w:rsidR="009574E7" w:rsidRPr="00BD22C2">
        <w:rPr>
          <w:lang w:val="fr-CA"/>
        </w:rPr>
        <w:t>que «</w:t>
      </w:r>
      <w:r w:rsidR="0051216B" w:rsidRPr="00BD22C2">
        <w:rPr>
          <w:lang w:val="fr-CA"/>
        </w:rPr>
        <w:t> </w:t>
      </w:r>
      <w:r w:rsidR="009574E7" w:rsidRPr="00BD22C2">
        <w:rPr>
          <w:lang w:val="fr-CA"/>
        </w:rPr>
        <w:t>la</w:t>
      </w:r>
      <w:r w:rsidR="009574E7" w:rsidRPr="00BD22C2">
        <w:rPr>
          <w:rStyle w:val="ui-provider"/>
          <w:lang w:val="fr-CA"/>
        </w:rPr>
        <w:t xml:space="preserve"> communauté transgenre est indéniablement un groupe marginalisé dans la société canadienne</w:t>
      </w:r>
      <w:r w:rsidR="0051216B" w:rsidRPr="00BD22C2">
        <w:rPr>
          <w:rStyle w:val="ui-provider"/>
          <w:lang w:val="fr-CA"/>
        </w:rPr>
        <w:t> </w:t>
      </w:r>
      <w:r w:rsidR="009574E7" w:rsidRPr="00BD22C2">
        <w:rPr>
          <w:rStyle w:val="ui-provider"/>
          <w:lang w:val="fr-CA"/>
        </w:rPr>
        <w:t>»</w:t>
      </w:r>
      <w:bookmarkStart w:id="30" w:name="_Ref166839645"/>
      <w:r w:rsidR="009574E7" w:rsidRPr="00BD22C2">
        <w:rPr>
          <w:rStyle w:val="Appeldenotedefin"/>
          <w:lang w:val="fr-CA"/>
        </w:rPr>
        <w:endnoteReference w:id="54"/>
      </w:r>
      <w:bookmarkEnd w:id="30"/>
      <w:r w:rsidR="009574E7" w:rsidRPr="00BD22C2">
        <w:rPr>
          <w:rStyle w:val="ui-provider"/>
          <w:lang w:val="fr-CA"/>
        </w:rPr>
        <w:t>.</w:t>
      </w:r>
      <w:r w:rsidR="006759D6" w:rsidRPr="00BD22C2">
        <w:rPr>
          <w:rStyle w:val="ui-provider"/>
          <w:lang w:val="fr-CA"/>
        </w:rPr>
        <w:t xml:space="preserve"> </w:t>
      </w:r>
      <w:r w:rsidR="00400A6A" w:rsidRPr="00BD22C2">
        <w:rPr>
          <w:rStyle w:val="ui-provider"/>
          <w:lang w:val="fr-CA"/>
        </w:rPr>
        <w:t>La Cour ajoute ce qui suit à ce propos :</w:t>
      </w:r>
    </w:p>
    <w:p w14:paraId="3BB0C058" w14:textId="18614E46" w:rsidR="00400A6A" w:rsidRPr="00BD22C2" w:rsidRDefault="00592889" w:rsidP="00BB1C59">
      <w:pPr>
        <w:pStyle w:val="Citation"/>
      </w:pPr>
      <w:r w:rsidRPr="00BD22C2">
        <w:t>«</w:t>
      </w:r>
      <w:r w:rsidR="0051216B" w:rsidRPr="00BD22C2">
        <w:t> </w:t>
      </w:r>
      <w:r w:rsidR="00B250FD" w:rsidRPr="00BD22C2">
        <w:t>[86]</w:t>
      </w:r>
      <w:r w:rsidR="0051216B" w:rsidRPr="00BD22C2">
        <w:t xml:space="preserve"> </w:t>
      </w:r>
      <w:r w:rsidR="00B250FD" w:rsidRPr="00BD22C2">
        <w:t xml:space="preserve">Les personnes transgenres se heurtent à la discrimination dans de nombreux aspects de la vie en société au Canada. Statistique Canada a constaté que les personnes transgenres sont plus à risque de subir de la violence et qu’elles présentent des taux plus élevés de troubles de santé mentale, d’idées suicidaires et de toxicomanie afin de faire face à la maltraitance ou la violence qu’elles ont subies </w:t>
      </w:r>
      <w:r w:rsidR="004316F7" w:rsidRPr="00BD22C2">
        <w:t>[…]</w:t>
      </w:r>
      <w:r w:rsidR="00B250FD" w:rsidRPr="00BD22C2">
        <w:t xml:space="preserve">. Des études ont démontré qu’elles étaient désavantagées par rapport à la population générale en matière de logement, d’emploi et de soins de santé </w:t>
      </w:r>
      <w:r w:rsidR="004316F7" w:rsidRPr="00BD22C2">
        <w:t>[…]</w:t>
      </w:r>
      <w:r w:rsidR="00B250FD" w:rsidRPr="00BD22C2">
        <w:t>. Et malgré l’incidence accrue de problèmes juridiques relevant des tribunaux, les études ont également révélé que les personnes transgenres ont traditionnellement fait face à de plus grands obstacles à l’accès à la justice que la population générale, en partie en raison de l’absence de protections explicites en matière de droits de la personne</w:t>
      </w:r>
      <w:r w:rsidR="00B250FD" w:rsidRPr="00BD22C2">
        <w:rPr>
          <w:rStyle w:val="ui-provider"/>
        </w:rPr>
        <w:t xml:space="preserve"> </w:t>
      </w:r>
      <w:r w:rsidR="00433715" w:rsidRPr="00BD22C2">
        <w:rPr>
          <w:rStyle w:val="ui-provider"/>
        </w:rPr>
        <w:t>[…]</w:t>
      </w:r>
      <w:r w:rsidR="00B250FD" w:rsidRPr="00BD22C2">
        <w:rPr>
          <w:rStyle w:val="ui-provider"/>
        </w:rPr>
        <w:t>.</w:t>
      </w:r>
      <w:r w:rsidR="0051216B" w:rsidRPr="00BD22C2">
        <w:rPr>
          <w:rStyle w:val="ui-provider"/>
        </w:rPr>
        <w:t> </w:t>
      </w:r>
      <w:r w:rsidRPr="00BD22C2">
        <w:rPr>
          <w:rStyle w:val="ui-provider"/>
        </w:rPr>
        <w:t>»</w:t>
      </w:r>
      <w:r w:rsidRPr="00BD22C2">
        <w:rPr>
          <w:rStyle w:val="Appeldenotedefin"/>
        </w:rPr>
        <w:endnoteReference w:id="55"/>
      </w:r>
    </w:p>
    <w:p w14:paraId="7228594C" w14:textId="728ECB1A" w:rsidR="00114480" w:rsidRPr="00BD22C2" w:rsidRDefault="00A205A1" w:rsidP="00EF1CB2">
      <w:pPr>
        <w:pStyle w:val="Paragraphe"/>
        <w:rPr>
          <w:lang w:val="fr-CA"/>
        </w:rPr>
      </w:pPr>
      <w:r w:rsidRPr="00BD22C2">
        <w:rPr>
          <w:lang w:val="fr-CA"/>
        </w:rPr>
        <w:t>Ainsi, les</w:t>
      </w:r>
      <w:r w:rsidR="00917302" w:rsidRPr="00BD22C2">
        <w:rPr>
          <w:lang w:val="fr-CA"/>
        </w:rPr>
        <w:t xml:space="preserve"> </w:t>
      </w:r>
      <w:r w:rsidR="00C50898" w:rsidRPr="00BD22C2">
        <w:rPr>
          <w:lang w:val="fr-CA"/>
        </w:rPr>
        <w:t xml:space="preserve">personnes trans et non binaires ont </w:t>
      </w:r>
      <w:r w:rsidR="00DA0660" w:rsidRPr="00BD22C2">
        <w:rPr>
          <w:lang w:val="fr-CA"/>
        </w:rPr>
        <w:t>de fait</w:t>
      </w:r>
      <w:r w:rsidR="008E2086" w:rsidRPr="00BD22C2">
        <w:rPr>
          <w:lang w:val="fr-CA"/>
        </w:rPr>
        <w:t xml:space="preserve"> beaucoup en commun avec d’autres groupes </w:t>
      </w:r>
      <w:r w:rsidR="00350980" w:rsidRPr="00BD22C2">
        <w:rPr>
          <w:lang w:val="fr-CA"/>
        </w:rPr>
        <w:t>auxquels on tente de les opposer.</w:t>
      </w:r>
      <w:r w:rsidR="000C5C4B" w:rsidRPr="00BD22C2">
        <w:rPr>
          <w:lang w:val="fr-CA"/>
        </w:rPr>
        <w:t xml:space="preserve"> L’approche intersectionnelle</w:t>
      </w:r>
      <w:r w:rsidR="00F26A4B" w:rsidRPr="00BD22C2">
        <w:rPr>
          <w:lang w:val="fr-CA"/>
        </w:rPr>
        <w:t xml:space="preserve"> </w:t>
      </w:r>
      <w:r w:rsidR="00FC7481" w:rsidRPr="00BD22C2">
        <w:rPr>
          <w:lang w:val="fr-CA"/>
        </w:rPr>
        <w:t>doit</w:t>
      </w:r>
      <w:r w:rsidR="0045629B" w:rsidRPr="00BD22C2">
        <w:rPr>
          <w:lang w:val="fr-CA"/>
        </w:rPr>
        <w:t xml:space="preserve"> ainsi être </w:t>
      </w:r>
      <w:r w:rsidR="004D7E8C" w:rsidRPr="00BD22C2">
        <w:rPr>
          <w:lang w:val="fr-CA"/>
        </w:rPr>
        <w:t xml:space="preserve">mobilisée </w:t>
      </w:r>
      <w:r w:rsidR="00FC7481" w:rsidRPr="00BD22C2">
        <w:rPr>
          <w:lang w:val="fr-CA"/>
        </w:rPr>
        <w:t>afin de rendre visibles, corriger et prévenir adéquatement toutes les situations de discrimination vécues par le</w:t>
      </w:r>
      <w:r w:rsidR="001E4D95" w:rsidRPr="00BD22C2">
        <w:rPr>
          <w:lang w:val="fr-CA"/>
        </w:rPr>
        <w:t>s personnes concernées.</w:t>
      </w:r>
      <w:r w:rsidR="00F26A4B" w:rsidRPr="00BD22C2">
        <w:rPr>
          <w:lang w:val="fr-CA"/>
        </w:rPr>
        <w:t xml:space="preserve"> </w:t>
      </w:r>
      <w:r w:rsidR="00916E9A" w:rsidRPr="00BD22C2">
        <w:rPr>
          <w:lang w:val="fr-CA"/>
        </w:rPr>
        <w:t xml:space="preserve">Celle-ci tient compte de l’interaction de différents motifs </w:t>
      </w:r>
      <w:r w:rsidR="001E2E17" w:rsidRPr="00BD22C2">
        <w:rPr>
          <w:lang w:val="fr-CA"/>
        </w:rPr>
        <w:t xml:space="preserve">interdits </w:t>
      </w:r>
      <w:r w:rsidR="00916E9A" w:rsidRPr="00BD22C2">
        <w:rPr>
          <w:lang w:val="fr-CA"/>
        </w:rPr>
        <w:t>de discrimination (sexe, «</w:t>
      </w:r>
      <w:r w:rsidR="00444FEB">
        <w:rPr>
          <w:lang w:val="fr-CA"/>
        </w:rPr>
        <w:t> </w:t>
      </w:r>
      <w:r w:rsidR="00916E9A" w:rsidRPr="00BD22C2">
        <w:rPr>
          <w:lang w:val="fr-CA"/>
        </w:rPr>
        <w:t>race</w:t>
      </w:r>
      <w:r w:rsidR="00444FEB">
        <w:rPr>
          <w:lang w:val="fr-CA"/>
        </w:rPr>
        <w:t> </w:t>
      </w:r>
      <w:r w:rsidR="00916E9A" w:rsidRPr="00BD22C2">
        <w:rPr>
          <w:lang w:val="fr-CA"/>
        </w:rPr>
        <w:t xml:space="preserve">», origine ethnique ou nationale, condition sociale, etc.) </w:t>
      </w:r>
      <w:r w:rsidR="005B5B25" w:rsidRPr="00BD22C2">
        <w:rPr>
          <w:lang w:val="fr-CA"/>
        </w:rPr>
        <w:t>de même</w:t>
      </w:r>
      <w:r w:rsidR="00916E9A" w:rsidRPr="00BD22C2">
        <w:rPr>
          <w:lang w:val="fr-CA"/>
        </w:rPr>
        <w:t xml:space="preserve"> que des rapports sociaux qui les sous-tendent (sexisme, racisme, </w:t>
      </w:r>
      <w:r w:rsidR="007A434E" w:rsidRPr="00BD22C2">
        <w:rPr>
          <w:lang w:val="fr-CA"/>
        </w:rPr>
        <w:t>classisme, etc.)</w:t>
      </w:r>
      <w:bookmarkStart w:id="31" w:name="_Ref167438293"/>
      <w:r w:rsidR="00E7511A" w:rsidRPr="00BD22C2">
        <w:rPr>
          <w:rStyle w:val="Appeldenotedefin"/>
          <w:lang w:val="fr-CA"/>
        </w:rPr>
        <w:endnoteReference w:id="56"/>
      </w:r>
      <w:bookmarkEnd w:id="31"/>
      <w:r w:rsidR="007A434E" w:rsidRPr="00BD22C2">
        <w:rPr>
          <w:lang w:val="fr-CA"/>
        </w:rPr>
        <w:t>.</w:t>
      </w:r>
    </w:p>
    <w:p w14:paraId="248B9B9E" w14:textId="4EEFA042" w:rsidR="003B4607" w:rsidRPr="00BD22C2" w:rsidRDefault="004A5013" w:rsidP="003B4607">
      <w:pPr>
        <w:pStyle w:val="Paragraphe"/>
        <w:rPr>
          <w:rFonts w:cs="Arial"/>
          <w:lang w:val="fr-CA"/>
        </w:rPr>
      </w:pPr>
      <w:r w:rsidRPr="00BD22C2">
        <w:rPr>
          <w:rFonts w:cs="Arial"/>
          <w:lang w:val="fr-CA"/>
        </w:rPr>
        <w:t>Puis, d’autre part,</w:t>
      </w:r>
      <w:r w:rsidR="006637BD" w:rsidRPr="00BD22C2">
        <w:rPr>
          <w:rFonts w:cs="Arial"/>
          <w:lang w:val="fr-CA"/>
        </w:rPr>
        <w:t xml:space="preserve"> le cadre </w:t>
      </w:r>
      <w:r w:rsidR="0061538B" w:rsidRPr="00BD22C2">
        <w:rPr>
          <w:rFonts w:cs="Arial"/>
          <w:lang w:val="fr-CA"/>
        </w:rPr>
        <w:t>de la Charte québécoise</w:t>
      </w:r>
      <w:r w:rsidR="006637BD" w:rsidRPr="00BD22C2">
        <w:rPr>
          <w:rFonts w:cs="Arial"/>
          <w:lang w:val="fr-CA"/>
        </w:rPr>
        <w:t xml:space="preserve"> prévoit toujours la prise en compte des droits d’autrui</w:t>
      </w:r>
      <w:r w:rsidR="0061538B" w:rsidRPr="00BD22C2">
        <w:rPr>
          <w:rFonts w:cs="Arial"/>
          <w:lang w:val="fr-CA"/>
        </w:rPr>
        <w:t xml:space="preserve"> de façon à garantir les droits et libertés</w:t>
      </w:r>
      <w:r w:rsidR="00AF3DEB" w:rsidRPr="00BD22C2">
        <w:rPr>
          <w:rFonts w:cs="Arial"/>
          <w:lang w:val="fr-CA"/>
        </w:rPr>
        <w:t>, intimement liés,</w:t>
      </w:r>
      <w:r w:rsidR="0061538B" w:rsidRPr="00BD22C2">
        <w:rPr>
          <w:rFonts w:cs="Arial"/>
          <w:lang w:val="fr-CA"/>
        </w:rPr>
        <w:t xml:space="preserve"> de façon universelle, indivisible</w:t>
      </w:r>
      <w:r w:rsidR="00AF3DEB" w:rsidRPr="00BD22C2">
        <w:rPr>
          <w:rFonts w:cs="Arial"/>
          <w:lang w:val="fr-CA"/>
        </w:rPr>
        <w:t xml:space="preserve"> et </w:t>
      </w:r>
      <w:r w:rsidR="0061538B" w:rsidRPr="00BD22C2">
        <w:rPr>
          <w:rFonts w:cs="Arial"/>
          <w:lang w:val="fr-CA"/>
        </w:rPr>
        <w:t>interdépendant</w:t>
      </w:r>
      <w:r w:rsidR="00FC6FC0" w:rsidRPr="00BD22C2">
        <w:rPr>
          <w:rFonts w:cs="Arial"/>
          <w:lang w:val="fr-CA"/>
        </w:rPr>
        <w:t>e</w:t>
      </w:r>
      <w:r w:rsidR="0061538B" w:rsidRPr="00BD22C2">
        <w:rPr>
          <w:rFonts w:cs="Arial"/>
          <w:lang w:val="fr-CA"/>
        </w:rPr>
        <w:t>.</w:t>
      </w:r>
      <w:r w:rsidR="006637BD" w:rsidRPr="00BD22C2">
        <w:rPr>
          <w:rFonts w:cs="Arial"/>
          <w:lang w:val="fr-CA"/>
        </w:rPr>
        <w:t xml:space="preserve"> </w:t>
      </w:r>
      <w:r w:rsidR="001F7380" w:rsidRPr="00BD22C2">
        <w:rPr>
          <w:rFonts w:cs="Arial"/>
          <w:lang w:val="fr-CA"/>
        </w:rPr>
        <w:t xml:space="preserve">La Charte constitue un ensemble cohérent de droits et libertés qui doivent être </w:t>
      </w:r>
      <w:r w:rsidR="00D92FBC" w:rsidRPr="00BD22C2">
        <w:rPr>
          <w:rFonts w:cs="Arial"/>
          <w:lang w:val="fr-CA"/>
        </w:rPr>
        <w:t>interprétés</w:t>
      </w:r>
      <w:r w:rsidR="008E2A78" w:rsidRPr="00BD22C2">
        <w:rPr>
          <w:rFonts w:cs="Arial"/>
          <w:lang w:val="fr-CA"/>
        </w:rPr>
        <w:t xml:space="preserve"> de façon à </w:t>
      </w:r>
      <w:r w:rsidR="001F0B6D" w:rsidRPr="00BD22C2">
        <w:rPr>
          <w:rFonts w:cs="Arial"/>
          <w:lang w:val="fr-CA"/>
        </w:rPr>
        <w:t>«</w:t>
      </w:r>
      <w:r w:rsidR="0051216B" w:rsidRPr="00BD22C2">
        <w:rPr>
          <w:rFonts w:cs="Arial"/>
          <w:lang w:val="fr-CA"/>
        </w:rPr>
        <w:t> </w:t>
      </w:r>
      <w:r w:rsidR="001F0B6D" w:rsidRPr="00BD22C2">
        <w:rPr>
          <w:rFonts w:cs="Arial"/>
          <w:lang w:val="fr-CA"/>
        </w:rPr>
        <w:t xml:space="preserve">atteindre un </w:t>
      </w:r>
      <w:r w:rsidR="006A1705" w:rsidRPr="00BD22C2">
        <w:rPr>
          <w:rFonts w:cs="Arial"/>
          <w:lang w:val="fr-CA"/>
        </w:rPr>
        <w:t>équilibre</w:t>
      </w:r>
      <w:r w:rsidR="001F0B6D" w:rsidRPr="00BD22C2">
        <w:rPr>
          <w:rFonts w:cs="Arial"/>
          <w:lang w:val="fr-CA"/>
        </w:rPr>
        <w:t xml:space="preserve"> entre des droits qui coexisten</w:t>
      </w:r>
      <w:bookmarkStart w:id="32" w:name="_Ref166839746"/>
      <w:r w:rsidR="001F0B6D" w:rsidRPr="00BD22C2">
        <w:rPr>
          <w:rFonts w:cs="Arial"/>
          <w:lang w:val="fr-CA"/>
        </w:rPr>
        <w:t>t</w:t>
      </w:r>
      <w:bookmarkEnd w:id="32"/>
      <w:r w:rsidR="0051216B" w:rsidRPr="00BD22C2">
        <w:rPr>
          <w:rFonts w:cs="Arial"/>
          <w:lang w:val="fr-CA"/>
        </w:rPr>
        <w:t> </w:t>
      </w:r>
      <w:r w:rsidR="006A1705" w:rsidRPr="00BD22C2">
        <w:rPr>
          <w:rFonts w:cs="Arial"/>
          <w:lang w:val="fr-CA"/>
        </w:rPr>
        <w:t>»</w:t>
      </w:r>
      <w:bookmarkStart w:id="33" w:name="_Ref166839747"/>
      <w:r w:rsidR="00CD1813" w:rsidRPr="00BD22C2">
        <w:rPr>
          <w:rStyle w:val="Appeldenotedefin"/>
          <w:rFonts w:cs="Arial"/>
          <w:lang w:val="fr-CA"/>
        </w:rPr>
        <w:endnoteReference w:id="57"/>
      </w:r>
      <w:bookmarkEnd w:id="33"/>
      <w:r w:rsidR="006A1705" w:rsidRPr="00BD22C2">
        <w:rPr>
          <w:rFonts w:cs="Arial"/>
          <w:lang w:val="fr-CA"/>
        </w:rPr>
        <w:t>.</w:t>
      </w:r>
      <w:r w:rsidR="003D5591" w:rsidRPr="00BD22C2">
        <w:rPr>
          <w:rFonts w:cs="Arial"/>
          <w:lang w:val="fr-CA"/>
        </w:rPr>
        <w:t xml:space="preserve"> </w:t>
      </w:r>
      <w:r w:rsidR="00D377A8" w:rsidRPr="00BD22C2">
        <w:rPr>
          <w:rFonts w:cs="Arial"/>
          <w:lang w:val="fr-CA"/>
        </w:rPr>
        <w:t xml:space="preserve">Les droits et libertés doivent être </w:t>
      </w:r>
      <w:r w:rsidR="00330E82" w:rsidRPr="00BD22C2">
        <w:rPr>
          <w:rFonts w:cs="Arial"/>
          <w:lang w:val="fr-CA"/>
        </w:rPr>
        <w:t xml:space="preserve">mis en </w:t>
      </w:r>
      <w:r w:rsidR="00FD34E4" w:rsidRPr="00BD22C2">
        <w:rPr>
          <w:rFonts w:cs="Arial"/>
          <w:lang w:val="fr-CA"/>
        </w:rPr>
        <w:t>œuvre</w:t>
      </w:r>
      <w:r w:rsidR="00D55E9D" w:rsidRPr="00BD22C2">
        <w:rPr>
          <w:rFonts w:cs="Arial"/>
          <w:lang w:val="fr-CA"/>
        </w:rPr>
        <w:t>, non pas en opposition</w:t>
      </w:r>
      <w:r w:rsidR="00FD34E4" w:rsidRPr="00BD22C2">
        <w:rPr>
          <w:rFonts w:cs="Arial"/>
          <w:lang w:val="fr-CA"/>
        </w:rPr>
        <w:t xml:space="preserve"> les </w:t>
      </w:r>
      <w:r w:rsidR="00181C28" w:rsidRPr="00BD22C2">
        <w:rPr>
          <w:rFonts w:cs="Arial"/>
          <w:lang w:val="fr-CA"/>
        </w:rPr>
        <w:t xml:space="preserve">uns </w:t>
      </w:r>
      <w:r w:rsidR="005031C7" w:rsidRPr="00BD22C2">
        <w:rPr>
          <w:rFonts w:cs="Arial"/>
          <w:lang w:val="fr-CA"/>
        </w:rPr>
        <w:t>aux</w:t>
      </w:r>
      <w:r w:rsidR="00181C28" w:rsidRPr="00BD22C2">
        <w:rPr>
          <w:rFonts w:cs="Arial"/>
          <w:lang w:val="fr-CA"/>
        </w:rPr>
        <w:t xml:space="preserve"> autres, mais</w:t>
      </w:r>
      <w:r w:rsidR="00FD34E4" w:rsidRPr="00BD22C2">
        <w:rPr>
          <w:rFonts w:cs="Arial"/>
          <w:lang w:val="fr-CA"/>
        </w:rPr>
        <w:t xml:space="preserve"> de façon à </w:t>
      </w:r>
      <w:r w:rsidR="00151BA3" w:rsidRPr="00BD22C2">
        <w:rPr>
          <w:rFonts w:cs="Arial"/>
          <w:lang w:val="fr-CA"/>
        </w:rPr>
        <w:t>se renforcer</w:t>
      </w:r>
      <w:r w:rsidR="00FD34E4" w:rsidRPr="00BD22C2">
        <w:rPr>
          <w:rFonts w:cs="Arial"/>
          <w:lang w:val="fr-CA"/>
        </w:rPr>
        <w:t xml:space="preserve"> </w:t>
      </w:r>
      <w:r w:rsidR="00181C28" w:rsidRPr="00BD22C2">
        <w:rPr>
          <w:rFonts w:cs="Arial"/>
          <w:lang w:val="fr-CA"/>
        </w:rPr>
        <w:t>mutuellement</w:t>
      </w:r>
      <w:r w:rsidR="0075761D" w:rsidRPr="00BD22C2">
        <w:rPr>
          <w:rFonts w:cs="Arial"/>
          <w:lang w:val="fr-CA"/>
        </w:rPr>
        <w:t>.</w:t>
      </w:r>
      <w:r w:rsidR="00FE281B" w:rsidRPr="00BD22C2">
        <w:rPr>
          <w:rFonts w:cs="Arial"/>
          <w:lang w:val="fr-CA"/>
        </w:rPr>
        <w:t xml:space="preserve"> </w:t>
      </w:r>
      <w:r w:rsidR="00990FB4" w:rsidRPr="00BD22C2">
        <w:rPr>
          <w:rFonts w:cs="Arial"/>
          <w:lang w:val="fr-CA"/>
        </w:rPr>
        <w:t xml:space="preserve">Les droits d’un groupe ne sont </w:t>
      </w:r>
      <w:r w:rsidR="00FB345C" w:rsidRPr="00BD22C2">
        <w:rPr>
          <w:rFonts w:cs="Arial"/>
          <w:lang w:val="fr-CA"/>
        </w:rPr>
        <w:t>d’ailleurs</w:t>
      </w:r>
      <w:r w:rsidR="00990FB4" w:rsidRPr="00BD22C2">
        <w:rPr>
          <w:rFonts w:cs="Arial"/>
          <w:lang w:val="fr-CA"/>
        </w:rPr>
        <w:t xml:space="preserve"> jamais aussi bien protégés que lorsque les droits </w:t>
      </w:r>
      <w:r w:rsidR="00874BCB" w:rsidRPr="00BD22C2">
        <w:rPr>
          <w:rFonts w:cs="Arial"/>
          <w:lang w:val="fr-CA"/>
        </w:rPr>
        <w:t>des membres des autres groupes visés par la Charte</w:t>
      </w:r>
      <w:r w:rsidR="00990FB4" w:rsidRPr="00BD22C2">
        <w:rPr>
          <w:rFonts w:cs="Arial"/>
          <w:lang w:val="fr-CA"/>
        </w:rPr>
        <w:t xml:space="preserve"> le sont également. </w:t>
      </w:r>
      <w:r w:rsidR="006637BD" w:rsidRPr="00BD22C2">
        <w:rPr>
          <w:rFonts w:cs="Arial"/>
          <w:lang w:val="fr-CA"/>
        </w:rPr>
        <w:t xml:space="preserve">Dans </w:t>
      </w:r>
      <w:r w:rsidR="0061538B" w:rsidRPr="00BD22C2">
        <w:rPr>
          <w:rFonts w:cs="Arial"/>
          <w:lang w:val="fr-CA"/>
        </w:rPr>
        <w:t>un</w:t>
      </w:r>
      <w:r w:rsidR="006637BD" w:rsidRPr="00BD22C2">
        <w:rPr>
          <w:rFonts w:cs="Arial"/>
          <w:lang w:val="fr-CA"/>
        </w:rPr>
        <w:t xml:space="preserve"> cas</w:t>
      </w:r>
      <w:r w:rsidR="0061538B" w:rsidRPr="00BD22C2">
        <w:rPr>
          <w:rFonts w:cs="Arial"/>
          <w:lang w:val="fr-CA"/>
        </w:rPr>
        <w:t xml:space="preserve"> donné</w:t>
      </w:r>
      <w:r w:rsidR="006637BD" w:rsidRPr="00BD22C2">
        <w:rPr>
          <w:rFonts w:cs="Arial"/>
          <w:lang w:val="fr-CA"/>
        </w:rPr>
        <w:t xml:space="preserve"> où un conflit de droits serait effectivement démontré sur la </w:t>
      </w:r>
      <w:r w:rsidR="006637BD" w:rsidRPr="00BD22C2">
        <w:rPr>
          <w:rFonts w:cs="Arial"/>
          <w:lang w:val="fr-CA"/>
        </w:rPr>
        <w:lastRenderedPageBreak/>
        <w:t xml:space="preserve">base de faits concrets, la Charte </w:t>
      </w:r>
      <w:r w:rsidR="00E01125" w:rsidRPr="00BD22C2">
        <w:rPr>
          <w:rFonts w:cs="Arial"/>
          <w:lang w:val="fr-CA"/>
        </w:rPr>
        <w:t xml:space="preserve">et l’approche </w:t>
      </w:r>
      <w:r w:rsidR="005E3D75" w:rsidRPr="00BD22C2">
        <w:rPr>
          <w:rFonts w:cs="Arial"/>
          <w:lang w:val="fr-CA"/>
        </w:rPr>
        <w:t>fondée sur l</w:t>
      </w:r>
      <w:r w:rsidR="00E01125" w:rsidRPr="00BD22C2">
        <w:rPr>
          <w:rFonts w:cs="Arial"/>
          <w:lang w:val="fr-CA"/>
        </w:rPr>
        <w:t>es droits de l’enfant</w:t>
      </w:r>
      <w:r w:rsidR="006637BD" w:rsidRPr="00BD22C2">
        <w:rPr>
          <w:rFonts w:cs="Arial"/>
          <w:lang w:val="fr-CA"/>
        </w:rPr>
        <w:t xml:space="preserve"> fourni</w:t>
      </w:r>
      <w:r w:rsidR="00E01125" w:rsidRPr="00BD22C2">
        <w:rPr>
          <w:rFonts w:cs="Arial"/>
          <w:lang w:val="fr-CA"/>
        </w:rPr>
        <w:t>ssen</w:t>
      </w:r>
      <w:r w:rsidR="007616FE" w:rsidRPr="00BD22C2">
        <w:rPr>
          <w:rFonts w:cs="Arial"/>
          <w:lang w:val="fr-CA"/>
        </w:rPr>
        <w:t>t</w:t>
      </w:r>
      <w:r w:rsidR="006637BD" w:rsidRPr="00BD22C2">
        <w:rPr>
          <w:rFonts w:cs="Arial"/>
          <w:lang w:val="fr-CA"/>
        </w:rPr>
        <w:t xml:space="preserve"> un cadre pour les concilier, comme cela sera exposé plus loin. Pour parvenir au plein respect des droits en cause et à leur meilleure conciliation lorsque nécessaire, la voix des personnes concernées, y compris celles des enfants, doit cependant être entendue</w:t>
      </w:r>
      <w:r w:rsidR="00FC012A" w:rsidRPr="00BD22C2">
        <w:rPr>
          <w:rFonts w:cs="Arial"/>
          <w:lang w:val="fr-CA"/>
        </w:rPr>
        <w:t xml:space="preserve"> et prise en compte</w:t>
      </w:r>
      <w:r w:rsidR="006637BD" w:rsidRPr="00BD22C2">
        <w:rPr>
          <w:rFonts w:cs="Arial"/>
          <w:lang w:val="fr-CA"/>
        </w:rPr>
        <w:t>.</w:t>
      </w:r>
    </w:p>
    <w:p w14:paraId="0FF67732" w14:textId="34641886" w:rsidR="00862F7B" w:rsidRPr="00BD22C2" w:rsidRDefault="006637BD" w:rsidP="0071451D">
      <w:pPr>
        <w:pStyle w:val="Corpsdetexte"/>
      </w:pPr>
      <w:r w:rsidRPr="00BD22C2">
        <w:rPr>
          <w:rStyle w:val="ParagrapheCar"/>
          <w:lang w:val="fr-CA"/>
        </w:rPr>
        <w:t>Ces considérations ramènent à l’essentiel du propos de la Commission. Depuis près de 50</w:t>
      </w:r>
      <w:r w:rsidR="009D3E22">
        <w:rPr>
          <w:rStyle w:val="ParagrapheCar"/>
          <w:lang w:val="fr-CA"/>
        </w:rPr>
        <w:t> </w:t>
      </w:r>
      <w:r w:rsidRPr="00BD22C2">
        <w:rPr>
          <w:rStyle w:val="ParagrapheCar"/>
          <w:lang w:val="fr-CA"/>
        </w:rPr>
        <w:t>ans, la Charte</w:t>
      </w:r>
      <w:r w:rsidR="00F970FC" w:rsidRPr="00BD22C2">
        <w:rPr>
          <w:rStyle w:val="ParagrapheCar"/>
          <w:lang w:val="fr-CA"/>
        </w:rPr>
        <w:t xml:space="preserve">, loi </w:t>
      </w:r>
      <w:r w:rsidR="000303EF" w:rsidRPr="00BD22C2">
        <w:rPr>
          <w:rStyle w:val="ParagrapheCar"/>
          <w:lang w:val="fr-CA"/>
        </w:rPr>
        <w:t>quasi</w:t>
      </w:r>
      <w:r w:rsidR="00190E76" w:rsidRPr="00BD22C2">
        <w:rPr>
          <w:rStyle w:val="ParagrapheCar"/>
          <w:lang w:val="fr-CA"/>
        </w:rPr>
        <w:t xml:space="preserve"> </w:t>
      </w:r>
      <w:r w:rsidR="000303EF" w:rsidRPr="00BD22C2">
        <w:rPr>
          <w:rStyle w:val="ParagrapheCar"/>
          <w:lang w:val="fr-CA"/>
        </w:rPr>
        <w:t>constitutionnelle</w:t>
      </w:r>
      <w:r w:rsidR="00F970FC" w:rsidRPr="00BD22C2">
        <w:rPr>
          <w:rStyle w:val="ParagrapheCar"/>
          <w:lang w:val="fr-CA"/>
        </w:rPr>
        <w:t xml:space="preserve"> du Québec,</w:t>
      </w:r>
      <w:r w:rsidR="00CD06D7" w:rsidRPr="00BD22C2">
        <w:rPr>
          <w:rStyle w:val="ParagrapheCar"/>
          <w:lang w:val="fr-CA"/>
        </w:rPr>
        <w:t xml:space="preserve"> reconnaît </w:t>
      </w:r>
      <w:r w:rsidR="00B84478" w:rsidRPr="00BD22C2">
        <w:rPr>
          <w:rStyle w:val="ParagrapheCar"/>
          <w:lang w:val="fr-CA"/>
        </w:rPr>
        <w:t xml:space="preserve">des droits et libertés à toute personne. </w:t>
      </w:r>
      <w:r w:rsidR="00D03190" w:rsidRPr="00BD22C2">
        <w:rPr>
          <w:rStyle w:val="ParagrapheCar"/>
          <w:lang w:val="fr-CA"/>
        </w:rPr>
        <w:t>Elle</w:t>
      </w:r>
      <w:r w:rsidRPr="00BD22C2">
        <w:rPr>
          <w:rStyle w:val="ParagrapheCar"/>
          <w:lang w:val="fr-CA"/>
        </w:rPr>
        <w:t xml:space="preserve"> offre </w:t>
      </w:r>
      <w:r w:rsidR="00FA0F65" w:rsidRPr="00BD22C2">
        <w:rPr>
          <w:rStyle w:val="ParagrapheCar"/>
          <w:lang w:val="fr-CA"/>
        </w:rPr>
        <w:t>ainsi</w:t>
      </w:r>
      <w:r w:rsidRPr="00BD22C2">
        <w:rPr>
          <w:rStyle w:val="ParagrapheCar"/>
          <w:lang w:val="fr-CA"/>
        </w:rPr>
        <w:t xml:space="preserve"> un cadre et des outils pour assurer le</w:t>
      </w:r>
      <w:r w:rsidR="00D03190" w:rsidRPr="00BD22C2">
        <w:rPr>
          <w:rStyle w:val="ParagrapheCar"/>
          <w:lang w:val="fr-CA"/>
        </w:rPr>
        <w:t>ur</w:t>
      </w:r>
      <w:r w:rsidRPr="00BD22C2">
        <w:rPr>
          <w:rStyle w:val="ParagrapheCar"/>
          <w:lang w:val="fr-CA"/>
        </w:rPr>
        <w:t xml:space="preserve"> respect. </w:t>
      </w:r>
      <w:r w:rsidR="0042112A" w:rsidRPr="00BD22C2">
        <w:rPr>
          <w:rStyle w:val="ParagrapheCar"/>
          <w:lang w:val="fr-CA"/>
        </w:rPr>
        <w:t>L’approche</w:t>
      </w:r>
      <w:r w:rsidR="00914064" w:rsidRPr="00BD22C2">
        <w:rPr>
          <w:rStyle w:val="ParagrapheCar"/>
          <w:lang w:val="fr-CA"/>
        </w:rPr>
        <w:t xml:space="preserve"> fondée sur les </w:t>
      </w:r>
      <w:r w:rsidR="0042112A" w:rsidRPr="00BD22C2">
        <w:rPr>
          <w:rStyle w:val="ParagrapheCar"/>
          <w:lang w:val="fr-CA"/>
        </w:rPr>
        <w:t xml:space="preserve">droits de l’enfant, quant à elle, </w:t>
      </w:r>
      <w:r w:rsidR="00FA5E00" w:rsidRPr="00BD22C2">
        <w:rPr>
          <w:rStyle w:val="ParagrapheCar"/>
          <w:lang w:val="fr-CA"/>
        </w:rPr>
        <w:t>vis</w:t>
      </w:r>
      <w:r w:rsidR="00877C7C" w:rsidRPr="00BD22C2">
        <w:rPr>
          <w:rStyle w:val="ParagrapheCar"/>
          <w:lang w:val="fr-CA"/>
        </w:rPr>
        <w:t xml:space="preserve">e </w:t>
      </w:r>
      <w:r w:rsidR="00FA5E00" w:rsidRPr="00BD22C2">
        <w:rPr>
          <w:rStyle w:val="ParagrapheCar"/>
          <w:lang w:val="fr-CA"/>
        </w:rPr>
        <w:t>à assurer</w:t>
      </w:r>
      <w:r w:rsidR="004C055B" w:rsidRPr="00BD22C2">
        <w:rPr>
          <w:rStyle w:val="ParagrapheCar"/>
          <w:lang w:val="fr-CA"/>
        </w:rPr>
        <w:t xml:space="preserve"> aux enfants </w:t>
      </w:r>
      <w:r w:rsidR="00ED2144" w:rsidRPr="00BD22C2">
        <w:rPr>
          <w:rStyle w:val="ParagrapheCar"/>
          <w:lang w:val="fr-CA"/>
        </w:rPr>
        <w:t>une mise en œuvre effective de leurs droits</w:t>
      </w:r>
      <w:r w:rsidR="003672D3" w:rsidRPr="00BD22C2">
        <w:rPr>
          <w:rStyle w:val="ParagrapheCar"/>
          <w:lang w:val="fr-CA"/>
        </w:rPr>
        <w:t>, à titre de sujet de droit</w:t>
      </w:r>
      <w:r w:rsidR="00ED2144" w:rsidRPr="00BD22C2">
        <w:rPr>
          <w:rStyle w:val="ParagrapheCar"/>
          <w:lang w:val="fr-CA"/>
        </w:rPr>
        <w:t xml:space="preserve">. </w:t>
      </w:r>
      <w:r w:rsidRPr="00BD22C2">
        <w:rPr>
          <w:rStyle w:val="ParagrapheCar"/>
          <w:lang w:val="fr-CA"/>
        </w:rPr>
        <w:t xml:space="preserve">En ces temps troublés, </w:t>
      </w:r>
      <w:r w:rsidR="00F11340" w:rsidRPr="00BD22C2">
        <w:rPr>
          <w:rStyle w:val="ParagrapheCar"/>
          <w:lang w:val="fr-CA"/>
        </w:rPr>
        <w:t>cette loi fondamentale</w:t>
      </w:r>
      <w:r w:rsidR="00FB3F34" w:rsidRPr="00BD22C2">
        <w:rPr>
          <w:rStyle w:val="ParagrapheCar"/>
          <w:lang w:val="fr-CA"/>
        </w:rPr>
        <w:t xml:space="preserve"> et cette approche</w:t>
      </w:r>
      <w:r w:rsidRPr="00BD22C2">
        <w:rPr>
          <w:rStyle w:val="ParagrapheCar"/>
          <w:lang w:val="fr-CA"/>
        </w:rPr>
        <w:t xml:space="preserve"> doi</w:t>
      </w:r>
      <w:r w:rsidR="00FB3F34" w:rsidRPr="00BD22C2">
        <w:rPr>
          <w:rStyle w:val="ParagrapheCar"/>
          <w:lang w:val="fr-CA"/>
        </w:rPr>
        <w:t>ven</w:t>
      </w:r>
      <w:r w:rsidRPr="00BD22C2">
        <w:rPr>
          <w:rStyle w:val="ParagrapheCar"/>
          <w:lang w:val="fr-CA"/>
        </w:rPr>
        <w:t>t être notre boussole collective. L’approche québécoise en matière de droits des personnes</w:t>
      </w:r>
      <w:r w:rsidRPr="00BD22C2">
        <w:t xml:space="preserve"> LGBTQ+ dont il a été question précédemment se fonde d’ailleurs sur le cadre de la Charte depuis l’ajout à celle-ci du motif interdit de discrimination «</w:t>
      </w:r>
      <w:r w:rsidR="00BB3F16" w:rsidRPr="00BD22C2">
        <w:t> </w:t>
      </w:r>
      <w:r w:rsidRPr="00BD22C2">
        <w:t>orientation sexuelle</w:t>
      </w:r>
      <w:r w:rsidR="00BB3F16" w:rsidRPr="00BD22C2">
        <w:t> </w:t>
      </w:r>
      <w:r w:rsidRPr="00BD22C2">
        <w:t>» en 1977. Bien qu’elle n’offre pas de réponses toutes faites, le présent mémoire vise à rappeler comment cette boussole peut encore bien servir la société québécoise.</w:t>
      </w:r>
      <w:r w:rsidR="008937AE" w:rsidRPr="00BD22C2">
        <w:t xml:space="preserve"> </w:t>
      </w:r>
    </w:p>
    <w:p w14:paraId="10D222E5" w14:textId="77777777" w:rsidR="006637BD" w:rsidRPr="00BD22C2" w:rsidRDefault="006637BD" w:rsidP="0046301D">
      <w:pPr>
        <w:pStyle w:val="Corpsdetexte"/>
        <w:rPr>
          <w:rFonts w:eastAsia="Calibri"/>
          <w:b/>
          <w:bCs/>
          <w:lang w:eastAsia="en-US"/>
        </w:rPr>
      </w:pPr>
      <w:r w:rsidRPr="00BD22C2">
        <w:rPr>
          <w:rFonts w:eastAsia="Calibri"/>
          <w:b/>
          <w:bCs/>
          <w:lang w:eastAsia="en-US"/>
        </w:rPr>
        <w:t>Réaffirmer l’engagement du Québec en faveur des droits des personnes LGBTQ+</w:t>
      </w:r>
    </w:p>
    <w:p w14:paraId="68915620" w14:textId="4B3CBA49" w:rsidR="006637BD" w:rsidRPr="00BD22C2" w:rsidRDefault="006637BD" w:rsidP="0046301D">
      <w:pPr>
        <w:pStyle w:val="Paragraphe"/>
        <w:rPr>
          <w:rFonts w:eastAsia="Calibri"/>
          <w:lang w:val="fr-CA" w:eastAsia="en-US"/>
        </w:rPr>
      </w:pPr>
      <w:r w:rsidRPr="00BD22C2">
        <w:rPr>
          <w:rFonts w:eastAsia="Calibri"/>
          <w:lang w:val="fr-CA" w:eastAsia="en-US"/>
        </w:rPr>
        <w:t>D’entrée de jeu et avant même d’aborder les sujets spécifiques faisant l’objet du mandat du Comité</w:t>
      </w:r>
      <w:r w:rsidR="00527EF3" w:rsidRPr="00BD22C2">
        <w:rPr>
          <w:rFonts w:eastAsia="Calibri"/>
          <w:lang w:val="fr-CA" w:eastAsia="en-US"/>
        </w:rPr>
        <w:t xml:space="preserve"> de sages</w:t>
      </w:r>
      <w:r w:rsidRPr="00BD22C2">
        <w:rPr>
          <w:rFonts w:eastAsia="Calibri"/>
          <w:lang w:val="fr-CA" w:eastAsia="en-US"/>
        </w:rPr>
        <w:t xml:space="preserve">, la Commission recommande que </w:t>
      </w:r>
      <w:r w:rsidR="00527EF3" w:rsidRPr="00BD22C2">
        <w:rPr>
          <w:rFonts w:eastAsia="Calibri"/>
          <w:lang w:val="fr-CA" w:eastAsia="en-US"/>
        </w:rPr>
        <w:t>celui-ci</w:t>
      </w:r>
      <w:r w:rsidRPr="00BD22C2">
        <w:rPr>
          <w:rFonts w:eastAsia="Calibri"/>
          <w:lang w:val="fr-CA" w:eastAsia="en-US"/>
        </w:rPr>
        <w:t xml:space="preserve"> invite le Québec à poursuivre sur la voie qui a fait de lui un précurseur en réaffirmant une approche fondée sur la promotion et le respect des droits, la consultation, la participation et l’écoute des groupes communautaires LGBTQ+ et des personnes concernées, la recherche, ainsi que la concertation entre les ministères et organismes. Pour la Commission, il s’agit là d’un préalable essentiel.</w:t>
      </w:r>
    </w:p>
    <w:p w14:paraId="2015F89A" w14:textId="01CD0105" w:rsidR="006637BD" w:rsidRPr="00BD22C2" w:rsidRDefault="006637BD" w:rsidP="005761EF">
      <w:pPr>
        <w:pStyle w:val="Paragraphe"/>
        <w:rPr>
          <w:rFonts w:eastAsia="Calibri"/>
          <w:lang w:val="fr-CA" w:eastAsia="en-US"/>
        </w:rPr>
      </w:pPr>
      <w:r w:rsidRPr="00BD22C2">
        <w:rPr>
          <w:rFonts w:eastAsia="Calibri"/>
          <w:lang w:val="fr-CA" w:eastAsia="en-US"/>
        </w:rPr>
        <w:t xml:space="preserve">La Politique québécoise de lutte contre l’homophobie s’appuie déjà sur ces fondements. </w:t>
      </w:r>
      <w:r w:rsidR="007C34B2" w:rsidRPr="00BD22C2">
        <w:rPr>
          <w:rFonts w:eastAsia="Calibri"/>
          <w:lang w:val="fr-CA" w:eastAsia="en-US"/>
        </w:rPr>
        <w:t xml:space="preserve">Cependant, </w:t>
      </w:r>
      <w:r w:rsidR="00CC5573" w:rsidRPr="00BD22C2">
        <w:rPr>
          <w:rFonts w:eastAsia="Calibri"/>
          <w:lang w:val="fr-CA" w:eastAsia="en-US"/>
        </w:rPr>
        <w:t>celle-ci n’a pas été révisée depuis son adoption</w:t>
      </w:r>
      <w:r w:rsidR="007C34B2" w:rsidRPr="00BD22C2">
        <w:rPr>
          <w:rFonts w:eastAsia="Calibri"/>
          <w:lang w:val="fr-CA" w:eastAsia="en-US"/>
        </w:rPr>
        <w:t>,</w:t>
      </w:r>
      <w:r w:rsidR="00CC5573" w:rsidRPr="00BD22C2">
        <w:rPr>
          <w:rFonts w:eastAsia="Calibri"/>
          <w:lang w:val="fr-CA" w:eastAsia="en-US"/>
        </w:rPr>
        <w:t xml:space="preserve"> il y a</w:t>
      </w:r>
      <w:r w:rsidR="007C34B2" w:rsidRPr="00BD22C2">
        <w:rPr>
          <w:rFonts w:eastAsia="Calibri"/>
          <w:lang w:val="fr-CA" w:eastAsia="en-US"/>
        </w:rPr>
        <w:t xml:space="preserve"> q</w:t>
      </w:r>
      <w:r w:rsidRPr="00BD22C2">
        <w:rPr>
          <w:rFonts w:eastAsia="Calibri"/>
          <w:lang w:val="fr-CA" w:eastAsia="en-US"/>
        </w:rPr>
        <w:t>uinze ans</w:t>
      </w:r>
      <w:r w:rsidR="007924B9" w:rsidRPr="00BD22C2">
        <w:rPr>
          <w:rFonts w:eastAsia="Calibri"/>
          <w:lang w:val="fr-CA" w:eastAsia="en-US"/>
        </w:rPr>
        <w:t>.</w:t>
      </w:r>
      <w:r w:rsidR="00CC5573" w:rsidRPr="00BD22C2">
        <w:rPr>
          <w:rFonts w:eastAsia="Calibri"/>
          <w:lang w:val="fr-CA" w:eastAsia="en-US"/>
        </w:rPr>
        <w:t xml:space="preserve"> Elle devrait</w:t>
      </w:r>
      <w:r w:rsidRPr="00BD22C2">
        <w:rPr>
          <w:rFonts w:eastAsia="Calibri"/>
          <w:lang w:val="fr-CA" w:eastAsia="en-US"/>
        </w:rPr>
        <w:t xml:space="preserve"> être actualisée, notamment pour inclure plus explicitement la lutte contre la transphobie et pour tenir compte de réalités que celle-ci ne couvre pas, dont la situation des personnes non binaires, qui sont par ailleurs abordées dans le dernier plan d’action en découlant. Cette révision offrirait au Québec une occasion majeure de réaffirmer son engagement en faveur du respect des droits des personnes LGBTQ+.</w:t>
      </w:r>
    </w:p>
    <w:p w14:paraId="529A939F" w14:textId="77777777" w:rsidR="0071451D" w:rsidRDefault="0071451D" w:rsidP="0071451D">
      <w:pPr>
        <w:pStyle w:val="Corpsdetexte"/>
        <w:rPr>
          <w:rFonts w:eastAsia="Calibri"/>
          <w:lang w:eastAsia="en-US"/>
        </w:rPr>
      </w:pPr>
    </w:p>
    <w:p w14:paraId="13AC7FB8" w14:textId="77777777" w:rsidR="0071451D" w:rsidRPr="0071451D" w:rsidRDefault="0071451D" w:rsidP="0071451D">
      <w:pPr>
        <w:pStyle w:val="Corpsdetexte"/>
        <w:rPr>
          <w:rFonts w:eastAsia="Calibri"/>
          <w:lang w:eastAsia="en-US"/>
        </w:rPr>
      </w:pPr>
    </w:p>
    <w:p w14:paraId="05EEF5D4" w14:textId="6A192B4F" w:rsidR="006637BD" w:rsidRPr="00BD22C2" w:rsidRDefault="006637BD" w:rsidP="0046301D">
      <w:pPr>
        <w:pStyle w:val="TitreRecommandation"/>
      </w:pPr>
      <w:r w:rsidRPr="00BD22C2">
        <w:lastRenderedPageBreak/>
        <w:t>RECOMMANDATION</w:t>
      </w:r>
      <w:r w:rsidR="00CC76DE" w:rsidRPr="00BD22C2">
        <w:t> </w:t>
      </w:r>
      <w:r w:rsidRPr="00BD22C2">
        <w:t>1</w:t>
      </w:r>
    </w:p>
    <w:p w14:paraId="3B597D3D" w14:textId="6B961E02" w:rsidR="006637BD" w:rsidRPr="00BD22C2" w:rsidRDefault="006637BD" w:rsidP="009E5CC1">
      <w:pPr>
        <w:pStyle w:val="Texterecommandation"/>
        <w:ind w:left="706" w:firstLine="3"/>
      </w:pPr>
      <w:r w:rsidRPr="00BD22C2">
        <w:t xml:space="preserve">La Commission recommande que le Comité de sages sur l’identité de genre invite le gouvernement à réviser la Politique de lutte contre l’homophobie de façon à réaffirmer l’engagement du Québec en faveur du respect des droits des personnes LGBTQ+. Cette nouvelle version de </w:t>
      </w:r>
      <w:r w:rsidR="008C20DA" w:rsidRPr="00BD22C2">
        <w:t xml:space="preserve">la </w:t>
      </w:r>
      <w:r w:rsidRPr="00BD22C2">
        <w:t>politique devrait notamment inclure les éléments suivants</w:t>
      </w:r>
      <w:r w:rsidR="007424E2" w:rsidRPr="00BD22C2">
        <w:t> </w:t>
      </w:r>
      <w:r w:rsidRPr="00BD22C2">
        <w:t>:</w:t>
      </w:r>
    </w:p>
    <w:p w14:paraId="732661FA" w14:textId="2CA1485D" w:rsidR="006637BD" w:rsidRPr="00BD22C2" w:rsidRDefault="006637BD" w:rsidP="009E5CC1">
      <w:pPr>
        <w:pStyle w:val="Texterecommandation"/>
        <w:numPr>
          <w:ilvl w:val="0"/>
          <w:numId w:val="17"/>
        </w:numPr>
        <w:tabs>
          <w:tab w:val="clear" w:pos="709"/>
          <w:tab w:val="left" w:pos="1134"/>
        </w:tabs>
        <w:ind w:left="1134"/>
      </w:pPr>
      <w:r w:rsidRPr="00BD22C2">
        <w:t>La lutte contre l’homophobie et la transphobie</w:t>
      </w:r>
      <w:r w:rsidR="00CF0C74" w:rsidRPr="00BD22C2">
        <w:t> </w:t>
      </w:r>
      <w:r w:rsidRPr="00BD22C2">
        <w:t>;</w:t>
      </w:r>
    </w:p>
    <w:p w14:paraId="2289A557" w14:textId="79823727" w:rsidR="006637BD" w:rsidRPr="00BD22C2" w:rsidRDefault="006637BD" w:rsidP="009E5CC1">
      <w:pPr>
        <w:pStyle w:val="Texterecommandation"/>
        <w:numPr>
          <w:ilvl w:val="0"/>
          <w:numId w:val="17"/>
        </w:numPr>
        <w:tabs>
          <w:tab w:val="clear" w:pos="709"/>
          <w:tab w:val="left" w:pos="1134"/>
        </w:tabs>
        <w:ind w:left="1134"/>
      </w:pPr>
      <w:r w:rsidRPr="00BD22C2">
        <w:t xml:space="preserve">L’objectif commun de </w:t>
      </w:r>
      <w:r w:rsidR="00762F23" w:rsidRPr="00BD22C2">
        <w:t>garantir</w:t>
      </w:r>
      <w:r w:rsidRPr="00BD22C2">
        <w:t xml:space="preserve"> la réalisation des droits </w:t>
      </w:r>
      <w:r w:rsidR="00511A51" w:rsidRPr="00BD22C2">
        <w:t>inscrits dan</w:t>
      </w:r>
      <w:r w:rsidR="00F62F01" w:rsidRPr="00BD22C2">
        <w:t>s</w:t>
      </w:r>
      <w:r w:rsidRPr="00BD22C2">
        <w:t xml:space="preserve"> la </w:t>
      </w:r>
      <w:r w:rsidRPr="00BD22C2">
        <w:rPr>
          <w:i/>
        </w:rPr>
        <w:t>Charte</w:t>
      </w:r>
      <w:r w:rsidR="00185315" w:rsidRPr="00BD22C2" w:rsidDel="00185315">
        <w:rPr>
          <w:i/>
        </w:rPr>
        <w:t xml:space="preserve"> </w:t>
      </w:r>
      <w:r w:rsidR="0059152B" w:rsidRPr="00BD22C2">
        <w:rPr>
          <w:i/>
        </w:rPr>
        <w:t>des droits et libert</w:t>
      </w:r>
      <w:r w:rsidR="0059152B" w:rsidRPr="00BD22C2">
        <w:rPr>
          <w:rFonts w:hint="eastAsia"/>
          <w:i/>
        </w:rPr>
        <w:t>é</w:t>
      </w:r>
      <w:r w:rsidR="0059152B" w:rsidRPr="00BD22C2">
        <w:rPr>
          <w:i/>
        </w:rPr>
        <w:t>s de la personne</w:t>
      </w:r>
      <w:r w:rsidR="00185315" w:rsidRPr="00BD22C2" w:rsidDel="00185315">
        <w:t xml:space="preserve"> </w:t>
      </w:r>
      <w:r w:rsidR="00185315" w:rsidRPr="00BD22C2">
        <w:t xml:space="preserve">en tenant compte de leur </w:t>
      </w:r>
      <w:r w:rsidR="00694215" w:rsidRPr="00BD22C2">
        <w:t>caractère</w:t>
      </w:r>
      <w:r w:rsidR="000650DC" w:rsidRPr="00BD22C2">
        <w:t xml:space="preserve"> </w:t>
      </w:r>
      <w:r w:rsidR="009111F1" w:rsidRPr="00BD22C2">
        <w:t>universel,</w:t>
      </w:r>
      <w:r w:rsidR="000650DC" w:rsidRPr="00BD22C2">
        <w:t xml:space="preserve"> indissociable et</w:t>
      </w:r>
      <w:r w:rsidR="00185315" w:rsidRPr="00BD22C2">
        <w:t xml:space="preserve"> in</w:t>
      </w:r>
      <w:r w:rsidR="009111F1" w:rsidRPr="00BD22C2">
        <w:t>ter</w:t>
      </w:r>
      <w:r w:rsidR="00185315" w:rsidRPr="00BD22C2">
        <w:t>dépendan</w:t>
      </w:r>
      <w:r w:rsidR="009111F1" w:rsidRPr="00BD22C2">
        <w:t>t</w:t>
      </w:r>
      <w:r w:rsidR="00CF0C74" w:rsidRPr="00BD22C2">
        <w:t> </w:t>
      </w:r>
      <w:r w:rsidRPr="00BD22C2">
        <w:t>;</w:t>
      </w:r>
    </w:p>
    <w:p w14:paraId="5ED005D2" w14:textId="3E1931FA" w:rsidR="007B526B" w:rsidRPr="00BD22C2" w:rsidRDefault="00BA1171" w:rsidP="00155510">
      <w:pPr>
        <w:pStyle w:val="Paragraphe"/>
        <w:numPr>
          <w:ilvl w:val="0"/>
          <w:numId w:val="17"/>
        </w:numPr>
        <w:spacing w:before="0" w:after="120" w:line="240" w:lineRule="auto"/>
        <w:ind w:left="1134" w:hanging="425"/>
        <w:rPr>
          <w:b/>
          <w:lang w:val="fr-CA"/>
        </w:rPr>
      </w:pPr>
      <w:r w:rsidRPr="00BD22C2">
        <w:rPr>
          <w:b/>
          <w:lang w:val="fr-CA"/>
        </w:rPr>
        <w:t>La mise en œuvre effective des droits de l’enfant</w:t>
      </w:r>
      <w:r w:rsidR="0051216B" w:rsidRPr="00BD22C2">
        <w:rPr>
          <w:b/>
          <w:lang w:val="fr-CA"/>
        </w:rPr>
        <w:t> </w:t>
      </w:r>
      <w:r w:rsidR="002E6A44" w:rsidRPr="00BD22C2">
        <w:rPr>
          <w:b/>
          <w:lang w:val="fr-CA"/>
        </w:rPr>
        <w:t>;</w:t>
      </w:r>
    </w:p>
    <w:p w14:paraId="1598B547" w14:textId="7EC8B34B" w:rsidR="006637BD" w:rsidRPr="00BD22C2" w:rsidRDefault="006637BD" w:rsidP="009E5CC1">
      <w:pPr>
        <w:pStyle w:val="Texterecommandation"/>
        <w:numPr>
          <w:ilvl w:val="0"/>
          <w:numId w:val="17"/>
        </w:numPr>
        <w:tabs>
          <w:tab w:val="clear" w:pos="709"/>
          <w:tab w:val="left" w:pos="1134"/>
        </w:tabs>
        <w:ind w:left="1134"/>
      </w:pPr>
      <w:r w:rsidRPr="00BD22C2">
        <w:t>La reconnaissance du caractère systémique de la discrimination fondée sur l’orientation sexuelle et l’identité ou l’expression de genre que subissent les personnes concernées dans les différentes sphères de leur vie (travail, milieu de l’éducation, soins de santé et services sociaux, sécurité publique, vie familiale, protection de la jeunesse</w:t>
      </w:r>
      <w:r w:rsidR="00BB0062" w:rsidRPr="00BD22C2">
        <w:t>, justice et état civil</w:t>
      </w:r>
      <w:r w:rsidR="00442645" w:rsidRPr="00BD22C2">
        <w:t>, logement</w:t>
      </w:r>
      <w:r w:rsidRPr="00BD22C2">
        <w:t>)</w:t>
      </w:r>
      <w:r w:rsidR="00CF0C74" w:rsidRPr="00BD22C2">
        <w:t> </w:t>
      </w:r>
      <w:r w:rsidRPr="00BD22C2">
        <w:t>;</w:t>
      </w:r>
    </w:p>
    <w:p w14:paraId="284D71DE" w14:textId="7AC01192" w:rsidR="006637BD" w:rsidRPr="00BD22C2" w:rsidRDefault="006637BD" w:rsidP="009E5CC1">
      <w:pPr>
        <w:pStyle w:val="Texterecommandation"/>
        <w:numPr>
          <w:ilvl w:val="0"/>
          <w:numId w:val="17"/>
        </w:numPr>
        <w:tabs>
          <w:tab w:val="clear" w:pos="709"/>
          <w:tab w:val="left" w:pos="1134"/>
        </w:tabs>
        <w:ind w:left="1134"/>
      </w:pPr>
      <w:r w:rsidRPr="00BD22C2">
        <w:t xml:space="preserve">La prise en compte de la situation différenciée des groupes appartenant aux minorités sexuelles et de genre, y compris </w:t>
      </w:r>
      <w:r w:rsidR="00166116" w:rsidRPr="00BD22C2">
        <w:t xml:space="preserve">suivant une approche </w:t>
      </w:r>
      <w:r w:rsidRPr="00BD22C2">
        <w:t>intersectionnelle</w:t>
      </w:r>
      <w:r w:rsidR="00F63843" w:rsidRPr="00BD22C2">
        <w:t xml:space="preserve"> tenant compte de l’interaction des motifs de </w:t>
      </w:r>
      <w:r w:rsidR="0057728D" w:rsidRPr="00BD22C2">
        <w:t>discrimination comme le sexe, la «</w:t>
      </w:r>
      <w:r w:rsidR="00444FEB">
        <w:t> </w:t>
      </w:r>
      <w:r w:rsidR="0057728D" w:rsidRPr="00BD22C2">
        <w:t>race</w:t>
      </w:r>
      <w:r w:rsidR="00444FEB">
        <w:t> </w:t>
      </w:r>
      <w:r w:rsidR="0057728D" w:rsidRPr="00BD22C2">
        <w:t>», l’origine ethnique ou nationale et la condition sociale</w:t>
      </w:r>
      <w:r w:rsidR="00CF0C74" w:rsidRPr="00BD22C2">
        <w:t> </w:t>
      </w:r>
      <w:r w:rsidRPr="00BD22C2">
        <w:t>;</w:t>
      </w:r>
    </w:p>
    <w:p w14:paraId="3E161D7A" w14:textId="4C0F6453" w:rsidR="006637BD" w:rsidRPr="00BD22C2" w:rsidRDefault="006637BD" w:rsidP="009E5CC1">
      <w:pPr>
        <w:pStyle w:val="Texterecommandation"/>
        <w:numPr>
          <w:ilvl w:val="0"/>
          <w:numId w:val="17"/>
        </w:numPr>
        <w:tabs>
          <w:tab w:val="clear" w:pos="709"/>
          <w:tab w:val="left" w:pos="1134"/>
        </w:tabs>
        <w:ind w:left="1134"/>
      </w:pPr>
      <w:r w:rsidRPr="00BD22C2">
        <w:t>La participation, la consultation et l’écoute des groupes communautaires LGBTQ+ et des personnes concernées au sujet de la définition et de la mise en œuvre des mesures</w:t>
      </w:r>
      <w:r w:rsidR="00CF0C74" w:rsidRPr="00BD22C2">
        <w:t> </w:t>
      </w:r>
      <w:r w:rsidRPr="00BD22C2">
        <w:t>;</w:t>
      </w:r>
    </w:p>
    <w:p w14:paraId="3D80B956" w14:textId="559BEEBC" w:rsidR="000F2421" w:rsidRPr="00BD22C2" w:rsidRDefault="000F2421" w:rsidP="009E5CC1">
      <w:pPr>
        <w:pStyle w:val="Texterecommandation"/>
        <w:numPr>
          <w:ilvl w:val="0"/>
          <w:numId w:val="17"/>
        </w:numPr>
        <w:tabs>
          <w:tab w:val="clear" w:pos="709"/>
          <w:tab w:val="left" w:pos="1134"/>
        </w:tabs>
        <w:ind w:left="1134"/>
      </w:pPr>
      <w:r w:rsidRPr="00BD22C2">
        <w:t xml:space="preserve">Le </w:t>
      </w:r>
      <w:r w:rsidR="00387D35" w:rsidRPr="00BD22C2">
        <w:t xml:space="preserve">soutien </w:t>
      </w:r>
      <w:r w:rsidR="004C13AE" w:rsidRPr="00BD22C2">
        <w:t xml:space="preserve">financier pérenne </w:t>
      </w:r>
      <w:r w:rsidR="00CA4445" w:rsidRPr="00BD22C2">
        <w:t>aux organismes communautaires LGBTQ+</w:t>
      </w:r>
      <w:r w:rsidR="00CF0C74" w:rsidRPr="00BD22C2">
        <w:t> </w:t>
      </w:r>
      <w:r w:rsidR="00CA4445" w:rsidRPr="00BD22C2">
        <w:t>;</w:t>
      </w:r>
    </w:p>
    <w:p w14:paraId="7175A443" w14:textId="5F89FB0D" w:rsidR="006637BD" w:rsidRPr="00BD22C2" w:rsidRDefault="006637BD" w:rsidP="009E5CC1">
      <w:pPr>
        <w:pStyle w:val="Texterecommandation"/>
        <w:numPr>
          <w:ilvl w:val="0"/>
          <w:numId w:val="17"/>
        </w:numPr>
        <w:tabs>
          <w:tab w:val="clear" w:pos="709"/>
          <w:tab w:val="left" w:pos="1134"/>
        </w:tabs>
        <w:ind w:left="1134"/>
      </w:pPr>
      <w:r w:rsidRPr="00BD22C2">
        <w:t>Le soutien à la recherche sur les réalités et besoins des personnes LGBTQ+, ainsi que sur l’homophobie et la transphobie</w:t>
      </w:r>
      <w:r w:rsidR="00CF0C74" w:rsidRPr="00BD22C2">
        <w:t> </w:t>
      </w:r>
      <w:r w:rsidRPr="00BD22C2">
        <w:t>;</w:t>
      </w:r>
    </w:p>
    <w:p w14:paraId="492BA177" w14:textId="4555E482" w:rsidR="006637BD" w:rsidRPr="00BD22C2" w:rsidRDefault="006637BD" w:rsidP="009E5CC1">
      <w:pPr>
        <w:pStyle w:val="Texterecommandation"/>
        <w:numPr>
          <w:ilvl w:val="0"/>
          <w:numId w:val="17"/>
        </w:numPr>
        <w:tabs>
          <w:tab w:val="clear" w:pos="709"/>
          <w:tab w:val="left" w:pos="1134"/>
        </w:tabs>
        <w:ind w:left="1134"/>
      </w:pPr>
      <w:r w:rsidRPr="00BD22C2">
        <w:t xml:space="preserve">L’élaboration de politiques publiques </w:t>
      </w:r>
      <w:r w:rsidR="00586E25" w:rsidRPr="00BD22C2">
        <w:t>adaptées aux réalités des personnes LGBTQ</w:t>
      </w:r>
      <w:r w:rsidR="00CD0E13" w:rsidRPr="00BD22C2">
        <w:t>+</w:t>
      </w:r>
      <w:r w:rsidR="00586E25" w:rsidRPr="00BD22C2">
        <w:t xml:space="preserve"> </w:t>
      </w:r>
      <w:r w:rsidR="000D3880" w:rsidRPr="00BD22C2">
        <w:t xml:space="preserve">et </w:t>
      </w:r>
      <w:r w:rsidRPr="00BD22C2">
        <w:t>fondées sur la recherche</w:t>
      </w:r>
      <w:r w:rsidR="00CF0C74" w:rsidRPr="00BD22C2">
        <w:t> </w:t>
      </w:r>
      <w:r w:rsidRPr="00BD22C2">
        <w:t>;</w:t>
      </w:r>
    </w:p>
    <w:p w14:paraId="29DE2747" w14:textId="77777777" w:rsidR="006637BD" w:rsidRPr="00BD22C2" w:rsidRDefault="006637BD" w:rsidP="009E5CC1">
      <w:pPr>
        <w:pStyle w:val="Texterecommandation"/>
        <w:numPr>
          <w:ilvl w:val="0"/>
          <w:numId w:val="17"/>
        </w:numPr>
        <w:tabs>
          <w:tab w:val="clear" w:pos="709"/>
          <w:tab w:val="left" w:pos="1134"/>
        </w:tabs>
        <w:ind w:left="1134"/>
      </w:pPr>
      <w:r w:rsidRPr="00BD22C2">
        <w:t>La concertation entre l’ensemble des ministères et organismes concernés par la lutte contre l’homophobie et la transphobie.</w:t>
      </w:r>
    </w:p>
    <w:p w14:paraId="4A95887D" w14:textId="56C81CFB" w:rsidR="006637BD" w:rsidRPr="00BD22C2" w:rsidRDefault="009F09BF" w:rsidP="0046301D">
      <w:pPr>
        <w:pStyle w:val="Paragraphe"/>
        <w:rPr>
          <w:rFonts w:cs="Arial"/>
          <w:lang w:val="fr-CA"/>
        </w:rPr>
      </w:pPr>
      <w:r w:rsidRPr="00BD22C2">
        <w:rPr>
          <w:rFonts w:cs="Arial"/>
          <w:lang w:val="fr-CA"/>
        </w:rPr>
        <w:t>Quant au travail du Comité</w:t>
      </w:r>
      <w:r w:rsidR="007424E2" w:rsidRPr="00BD22C2">
        <w:rPr>
          <w:rFonts w:cs="Arial"/>
          <w:lang w:val="fr-CA"/>
        </w:rPr>
        <w:t xml:space="preserve"> de sages</w:t>
      </w:r>
      <w:r w:rsidRPr="00BD22C2">
        <w:rPr>
          <w:rFonts w:cs="Arial"/>
          <w:lang w:val="fr-CA"/>
        </w:rPr>
        <w:t>, la Commission estime qu’il doit s’appuyer sur les importants acquis des dernières années, particulièrement ceux précités, sur le travail déjà réalisé et en cours dans les ministères et organismes ainsi que sur le précieux travail des organismes communautaires et des personnes expertes</w:t>
      </w:r>
      <w:r w:rsidR="00F72766" w:rsidRPr="00BD22C2">
        <w:rPr>
          <w:rFonts w:cs="Arial"/>
          <w:lang w:val="fr-CA"/>
        </w:rPr>
        <w:t xml:space="preserve">. </w:t>
      </w:r>
      <w:r w:rsidR="006637BD" w:rsidRPr="00BD22C2">
        <w:rPr>
          <w:rFonts w:cs="Arial"/>
          <w:lang w:val="fr-CA"/>
        </w:rPr>
        <w:t>Toujours concernant le travail du Comité</w:t>
      </w:r>
      <w:r w:rsidR="007424E2" w:rsidRPr="00BD22C2">
        <w:rPr>
          <w:rFonts w:cs="Arial"/>
          <w:lang w:val="fr-CA"/>
        </w:rPr>
        <w:t xml:space="preserve"> de sages</w:t>
      </w:r>
      <w:r w:rsidR="006637BD" w:rsidRPr="00BD22C2">
        <w:rPr>
          <w:rFonts w:cs="Arial"/>
          <w:lang w:val="fr-CA"/>
        </w:rPr>
        <w:t>, la ministre de la Famille a affirmé qu’il n’y aurait aucun «</w:t>
      </w:r>
      <w:r w:rsidR="00BB3F16" w:rsidRPr="00BD22C2">
        <w:rPr>
          <w:rFonts w:cs="Arial"/>
          <w:lang w:val="fr-CA"/>
        </w:rPr>
        <w:t> </w:t>
      </w:r>
      <w:r w:rsidR="006637BD" w:rsidRPr="00BD22C2">
        <w:rPr>
          <w:rFonts w:cs="Arial"/>
          <w:lang w:val="fr-CA"/>
        </w:rPr>
        <w:t>recul</w:t>
      </w:r>
      <w:r w:rsidR="00BB3F16" w:rsidRPr="00BD22C2">
        <w:rPr>
          <w:rFonts w:cs="Arial"/>
          <w:lang w:val="fr-CA"/>
        </w:rPr>
        <w:t> </w:t>
      </w:r>
      <w:r w:rsidR="006637BD" w:rsidRPr="00BD22C2">
        <w:rPr>
          <w:rFonts w:cs="Arial"/>
          <w:lang w:val="fr-CA"/>
        </w:rPr>
        <w:t xml:space="preserve">» sur les droits </w:t>
      </w:r>
      <w:r w:rsidR="006637BD" w:rsidRPr="00BD22C2">
        <w:rPr>
          <w:rFonts w:cs="Arial"/>
          <w:lang w:val="fr-CA"/>
        </w:rPr>
        <w:lastRenderedPageBreak/>
        <w:t>des personnes trans et non binaires</w:t>
      </w:r>
      <w:r w:rsidR="006637BD" w:rsidRPr="00BD22C2">
        <w:rPr>
          <w:rStyle w:val="Appeldenotedefin"/>
          <w:rFonts w:cs="Arial"/>
          <w:lang w:val="fr-CA"/>
        </w:rPr>
        <w:endnoteReference w:id="58"/>
      </w:r>
      <w:r w:rsidR="006637BD" w:rsidRPr="00BD22C2">
        <w:rPr>
          <w:rFonts w:cs="Arial"/>
          <w:lang w:val="fr-CA"/>
        </w:rPr>
        <w:t>. Bien que cette mise au point soit bienvenue, la Commission insiste sur l’importance qu’il n’y ait pas non plus de recul dans la mise en œuvre de ces droits.</w:t>
      </w:r>
    </w:p>
    <w:p w14:paraId="6B82552D" w14:textId="5A848EFA" w:rsidR="00EF1CB2" w:rsidRPr="00BD22C2" w:rsidRDefault="00F563A1" w:rsidP="00EF1CB2">
      <w:pPr>
        <w:pStyle w:val="Paragraphe"/>
        <w:rPr>
          <w:lang w:val="fr-CA"/>
        </w:rPr>
      </w:pPr>
      <w:r w:rsidRPr="00BD22C2">
        <w:rPr>
          <w:lang w:val="fr-CA"/>
        </w:rPr>
        <w:t>Pour la suite, la Commission ap</w:t>
      </w:r>
      <w:r w:rsidR="00631A8F" w:rsidRPr="00BD22C2">
        <w:rPr>
          <w:lang w:val="fr-CA"/>
        </w:rPr>
        <w:t xml:space="preserve">pelle à adopter une posture d’ouverture pour aborder ces enjeux complexes </w:t>
      </w:r>
      <w:r w:rsidR="002D1DFE" w:rsidRPr="00BD22C2">
        <w:rPr>
          <w:lang w:val="fr-CA"/>
        </w:rPr>
        <w:t xml:space="preserve">qui, </w:t>
      </w:r>
      <w:r w:rsidR="0081661C" w:rsidRPr="00BD22C2">
        <w:rPr>
          <w:lang w:val="fr-CA"/>
        </w:rPr>
        <w:t xml:space="preserve">pour bien des gens, </w:t>
      </w:r>
      <w:r w:rsidR="006417F3" w:rsidRPr="00BD22C2">
        <w:rPr>
          <w:lang w:val="fr-CA"/>
        </w:rPr>
        <w:t>peuvent apparaître nouveaux</w:t>
      </w:r>
      <w:r w:rsidR="006B4085" w:rsidRPr="00BD22C2">
        <w:rPr>
          <w:lang w:val="fr-CA"/>
        </w:rPr>
        <w:t>.</w:t>
      </w:r>
      <w:r w:rsidR="006417F3" w:rsidRPr="00BD22C2">
        <w:rPr>
          <w:lang w:val="fr-CA"/>
        </w:rPr>
        <w:t xml:space="preserve"> </w:t>
      </w:r>
      <w:r w:rsidR="006B4085" w:rsidRPr="00BD22C2">
        <w:rPr>
          <w:lang w:val="fr-CA"/>
        </w:rPr>
        <w:t>L</w:t>
      </w:r>
      <w:r w:rsidR="008825B3" w:rsidRPr="00BD22C2">
        <w:rPr>
          <w:lang w:val="fr-CA"/>
        </w:rPr>
        <w:t xml:space="preserve">’ajout </w:t>
      </w:r>
      <w:r w:rsidR="00AE073C" w:rsidRPr="00BD22C2">
        <w:rPr>
          <w:lang w:val="fr-CA"/>
        </w:rPr>
        <w:t>de l’identité ou l’expression de genre comme motif interdit de discrimination</w:t>
      </w:r>
      <w:r w:rsidR="00270342" w:rsidRPr="00BD22C2">
        <w:rPr>
          <w:lang w:val="fr-CA"/>
        </w:rPr>
        <w:t xml:space="preserve"> et </w:t>
      </w:r>
      <w:r w:rsidR="008825B3" w:rsidRPr="00BD22C2">
        <w:rPr>
          <w:lang w:val="fr-CA"/>
        </w:rPr>
        <w:t xml:space="preserve">la reconnaissance juridique des identités de genre non binaires sont en effet intervenus </w:t>
      </w:r>
      <w:r w:rsidR="00310A32" w:rsidRPr="00BD22C2">
        <w:rPr>
          <w:lang w:val="fr-CA"/>
        </w:rPr>
        <w:t xml:space="preserve">récemment, respectivement </w:t>
      </w:r>
      <w:r w:rsidR="008825B3" w:rsidRPr="00BD22C2">
        <w:rPr>
          <w:lang w:val="fr-CA"/>
        </w:rPr>
        <w:t xml:space="preserve">en 2016 et 2022. </w:t>
      </w:r>
      <w:r w:rsidR="00820853" w:rsidRPr="00BD22C2">
        <w:rPr>
          <w:lang w:val="fr-CA"/>
        </w:rPr>
        <w:t>L</w:t>
      </w:r>
      <w:r w:rsidR="003B244A" w:rsidRPr="00BD22C2">
        <w:rPr>
          <w:lang w:val="fr-CA"/>
        </w:rPr>
        <w:t xml:space="preserve">’assouplissement des conditions pour </w:t>
      </w:r>
      <w:r w:rsidR="00DB791E" w:rsidRPr="00BD22C2">
        <w:rPr>
          <w:lang w:val="fr-CA"/>
        </w:rPr>
        <w:t>la modification</w:t>
      </w:r>
      <w:r w:rsidR="003B244A" w:rsidRPr="00BD22C2">
        <w:rPr>
          <w:lang w:val="fr-CA"/>
        </w:rPr>
        <w:t xml:space="preserve"> de la mention du sexe à l’état civil</w:t>
      </w:r>
      <w:r w:rsidR="00820853" w:rsidRPr="00BD22C2">
        <w:rPr>
          <w:lang w:val="fr-CA"/>
        </w:rPr>
        <w:t xml:space="preserve"> – de l’exigence d’interventions chirurgicales </w:t>
      </w:r>
      <w:r w:rsidR="00CF69AB" w:rsidRPr="00BD22C2">
        <w:rPr>
          <w:lang w:val="fr-CA"/>
        </w:rPr>
        <w:t>vers l’</w:t>
      </w:r>
      <w:proofErr w:type="spellStart"/>
      <w:r w:rsidR="00820853" w:rsidRPr="00BD22C2">
        <w:rPr>
          <w:lang w:val="fr-CA"/>
        </w:rPr>
        <w:t>auto-identification</w:t>
      </w:r>
      <w:proofErr w:type="spellEnd"/>
      <w:r w:rsidR="00820853" w:rsidRPr="00BD22C2">
        <w:rPr>
          <w:lang w:val="fr-CA"/>
        </w:rPr>
        <w:t xml:space="preserve"> – </w:t>
      </w:r>
      <w:r w:rsidR="0075184E" w:rsidRPr="00BD22C2">
        <w:rPr>
          <w:lang w:val="fr-CA"/>
        </w:rPr>
        <w:t>témoigne aussi de changements dans la compréhension des transidentités.</w:t>
      </w:r>
      <w:r w:rsidR="003B244A" w:rsidRPr="00BD22C2">
        <w:rPr>
          <w:lang w:val="fr-CA"/>
        </w:rPr>
        <w:t xml:space="preserve"> </w:t>
      </w:r>
      <w:r w:rsidR="008825B3" w:rsidRPr="00BD22C2">
        <w:rPr>
          <w:lang w:val="fr-CA"/>
        </w:rPr>
        <w:t xml:space="preserve">La Commission </w:t>
      </w:r>
      <w:r w:rsidR="00E97B54" w:rsidRPr="00BD22C2">
        <w:rPr>
          <w:lang w:val="fr-CA"/>
        </w:rPr>
        <w:t xml:space="preserve">admet </w:t>
      </w:r>
      <w:r w:rsidR="00C037AF" w:rsidRPr="00BD22C2">
        <w:rPr>
          <w:lang w:val="fr-CA"/>
        </w:rPr>
        <w:t xml:space="preserve">qu’il faudra du temps pour intégrer pleinement </w:t>
      </w:r>
      <w:r w:rsidR="00F300C8" w:rsidRPr="00BD22C2">
        <w:rPr>
          <w:lang w:val="fr-CA"/>
        </w:rPr>
        <w:t xml:space="preserve">la somme de </w:t>
      </w:r>
      <w:r w:rsidR="00C037AF" w:rsidRPr="00BD22C2">
        <w:rPr>
          <w:lang w:val="fr-CA"/>
        </w:rPr>
        <w:t xml:space="preserve">ces évolutions positives dans les politiques publiques et la </w:t>
      </w:r>
      <w:r w:rsidR="008A6A05" w:rsidRPr="00BD22C2">
        <w:rPr>
          <w:lang w:val="fr-CA"/>
        </w:rPr>
        <w:t>pratique</w:t>
      </w:r>
      <w:r w:rsidR="00AB42E2" w:rsidRPr="00BD22C2">
        <w:rPr>
          <w:lang w:val="fr-CA"/>
        </w:rPr>
        <w:t xml:space="preserve">. </w:t>
      </w:r>
      <w:r w:rsidR="00A57916" w:rsidRPr="00BD22C2">
        <w:rPr>
          <w:lang w:val="fr-CA"/>
        </w:rPr>
        <w:t xml:space="preserve">Les efforts de sensibilisation et de pédagogie nécessaires </w:t>
      </w:r>
      <w:r w:rsidR="00471143" w:rsidRPr="00BD22C2">
        <w:rPr>
          <w:lang w:val="fr-CA"/>
        </w:rPr>
        <w:t xml:space="preserve">ne dispensent pour autant pas </w:t>
      </w:r>
      <w:r w:rsidR="00285137" w:rsidRPr="00BD22C2">
        <w:rPr>
          <w:lang w:val="fr-CA"/>
        </w:rPr>
        <w:t>de continuer</w:t>
      </w:r>
      <w:r w:rsidR="009570F1" w:rsidRPr="00BD22C2">
        <w:rPr>
          <w:lang w:val="fr-CA"/>
        </w:rPr>
        <w:t>,</w:t>
      </w:r>
      <w:r w:rsidR="00285137" w:rsidRPr="00BD22C2">
        <w:rPr>
          <w:lang w:val="fr-CA"/>
        </w:rPr>
        <w:t xml:space="preserve"> dès à présent</w:t>
      </w:r>
      <w:r w:rsidR="009570F1" w:rsidRPr="00BD22C2">
        <w:rPr>
          <w:lang w:val="fr-CA"/>
        </w:rPr>
        <w:t>,</w:t>
      </w:r>
      <w:r w:rsidR="00285137" w:rsidRPr="00BD22C2">
        <w:rPr>
          <w:lang w:val="fr-CA"/>
        </w:rPr>
        <w:t xml:space="preserve"> à </w:t>
      </w:r>
      <w:r w:rsidR="00113008" w:rsidRPr="00BD22C2">
        <w:rPr>
          <w:lang w:val="fr-CA"/>
        </w:rPr>
        <w:t xml:space="preserve">mettre </w:t>
      </w:r>
      <w:r w:rsidR="005906B7" w:rsidRPr="00BD22C2">
        <w:rPr>
          <w:lang w:val="fr-CA"/>
        </w:rPr>
        <w:t xml:space="preserve">en place des mesures pour favoriser le respect des droits des personnes trans et non binaires. </w:t>
      </w:r>
      <w:r w:rsidR="00E106F9" w:rsidRPr="00BD22C2">
        <w:rPr>
          <w:lang w:val="fr-CA"/>
        </w:rPr>
        <w:t>Ce</w:t>
      </w:r>
      <w:r w:rsidR="005226A2" w:rsidRPr="00BD22C2">
        <w:rPr>
          <w:lang w:val="fr-CA"/>
        </w:rPr>
        <w:t xml:space="preserve"> mémoire </w:t>
      </w:r>
      <w:r w:rsidR="000865FF" w:rsidRPr="00BD22C2">
        <w:rPr>
          <w:lang w:val="fr-CA"/>
        </w:rPr>
        <w:t xml:space="preserve">se </w:t>
      </w:r>
      <w:r w:rsidR="005E405B" w:rsidRPr="00BD22C2">
        <w:rPr>
          <w:lang w:val="fr-CA"/>
        </w:rPr>
        <w:t>veut un guide</w:t>
      </w:r>
      <w:r w:rsidR="001B7491" w:rsidRPr="00BD22C2">
        <w:rPr>
          <w:lang w:val="fr-CA"/>
        </w:rPr>
        <w:t xml:space="preserve"> </w:t>
      </w:r>
      <w:r w:rsidR="00B92AE4" w:rsidRPr="00BD22C2">
        <w:rPr>
          <w:lang w:val="fr-CA"/>
        </w:rPr>
        <w:t xml:space="preserve">pour baliser ce </w:t>
      </w:r>
      <w:r w:rsidR="001B7491" w:rsidRPr="00BD22C2">
        <w:rPr>
          <w:lang w:val="fr-CA"/>
        </w:rPr>
        <w:t>chemin</w:t>
      </w:r>
      <w:r w:rsidR="00665A63" w:rsidRPr="00BD22C2">
        <w:rPr>
          <w:lang w:val="fr-CA"/>
        </w:rPr>
        <w:t>.</w:t>
      </w:r>
    </w:p>
    <w:p w14:paraId="65A1F801" w14:textId="77777777" w:rsidR="006637BD" w:rsidRPr="00BD22C2" w:rsidRDefault="006637BD" w:rsidP="0046301D">
      <w:pPr>
        <w:pStyle w:val="Corpsdetexte"/>
        <w:rPr>
          <w:b/>
          <w:bCs/>
        </w:rPr>
      </w:pPr>
      <w:r w:rsidRPr="00BD22C2">
        <w:rPr>
          <w:b/>
          <w:bCs/>
        </w:rPr>
        <w:t>Plan du mémoire</w:t>
      </w:r>
    </w:p>
    <w:p w14:paraId="11B41AFA" w14:textId="6388F039" w:rsidR="006637BD" w:rsidRDefault="006637BD" w:rsidP="0046301D">
      <w:pPr>
        <w:pStyle w:val="Corpsdetexte"/>
      </w:pPr>
      <w:r w:rsidRPr="00BD22C2">
        <w:t xml:space="preserve">La première partie du mémoire présente quelques points de repère à ne pas perdre de vue dans la réflexion collective en cours sur l’identité de genre. Pour garder le cap, la seconde </w:t>
      </w:r>
      <w:r w:rsidR="003B1DB9" w:rsidRPr="00BD22C2">
        <w:t>partie</w:t>
      </w:r>
      <w:r w:rsidRPr="00BD22C2">
        <w:t xml:space="preserve"> explicite le cadre de la Charte québécoise</w:t>
      </w:r>
      <w:r w:rsidR="00DC4C98" w:rsidRPr="00BD22C2">
        <w:t>,</w:t>
      </w:r>
      <w:r w:rsidRPr="00BD22C2">
        <w:t xml:space="preserve"> les principes qui la sous-tendent</w:t>
      </w:r>
      <w:r w:rsidR="00DC4C98" w:rsidRPr="00BD22C2">
        <w:t xml:space="preserve"> </w:t>
      </w:r>
      <w:r w:rsidR="008B5323" w:rsidRPr="00BD22C2">
        <w:t xml:space="preserve">de même </w:t>
      </w:r>
      <w:r w:rsidR="00DC4C98" w:rsidRPr="00BD22C2">
        <w:t>que l’approche fondée sur les droits de l’enfant</w:t>
      </w:r>
      <w:r w:rsidRPr="00BD22C2">
        <w:t>. Elle illustre ensuite comment les outils qu’elle fournit peuvent guider la réflexion sur certains sujets que doit aborder le Comité</w:t>
      </w:r>
      <w:r w:rsidR="007424E2" w:rsidRPr="00BD22C2">
        <w:t xml:space="preserve"> de sages</w:t>
      </w:r>
      <w:r w:rsidRPr="00BD22C2">
        <w:t>, notamment la non-mixité sur le plan du sexe et du genre et l’accompagnement des enfants trans et non binaires. Elle insiste finalement sur l’importance de favoriser l’éducation aux droits et libertés, tant à l’école que dans les autres institutions clés dans la vie des personnes concernées.</w:t>
      </w:r>
    </w:p>
    <w:p w14:paraId="63A30862" w14:textId="77777777" w:rsidR="00CD5812" w:rsidRDefault="00CD5812" w:rsidP="0046301D">
      <w:pPr>
        <w:pStyle w:val="Corpsdetexte"/>
      </w:pPr>
    </w:p>
    <w:p w14:paraId="4F587F79" w14:textId="77777777" w:rsidR="00CD5812" w:rsidRDefault="00CD5812" w:rsidP="0046301D">
      <w:pPr>
        <w:pStyle w:val="Corpsdetexte"/>
      </w:pPr>
    </w:p>
    <w:p w14:paraId="708E998E" w14:textId="77777777" w:rsidR="00CD5812" w:rsidRDefault="00CD5812" w:rsidP="0046301D">
      <w:pPr>
        <w:pStyle w:val="Corpsdetexte"/>
      </w:pPr>
    </w:p>
    <w:p w14:paraId="5B9DFCEC" w14:textId="77777777" w:rsidR="00CD5812" w:rsidRDefault="00CD5812" w:rsidP="0046301D">
      <w:pPr>
        <w:pStyle w:val="Corpsdetexte"/>
      </w:pPr>
    </w:p>
    <w:p w14:paraId="40448107" w14:textId="77777777" w:rsidR="00CF1AE5" w:rsidRPr="00BD22C2" w:rsidRDefault="00CF1AE5" w:rsidP="0046301D">
      <w:pPr>
        <w:pStyle w:val="Corpsdetexte"/>
      </w:pPr>
    </w:p>
    <w:p w14:paraId="1DF77F75" w14:textId="1774B4EB" w:rsidR="00EF1CB2" w:rsidRPr="006515B0" w:rsidRDefault="003200C0" w:rsidP="00EF1CB2">
      <w:pPr>
        <w:pStyle w:val="Paragraphe"/>
        <w:rPr>
          <w:rFonts w:eastAsia="Calibri"/>
          <w:b/>
          <w:bCs/>
          <w:color w:val="auto"/>
          <w:lang w:val="fr-CA" w:eastAsia="en-US"/>
        </w:rPr>
      </w:pPr>
      <w:r w:rsidRPr="006515B0">
        <w:rPr>
          <w:noProof/>
          <w:color w:val="auto"/>
        </w:rPr>
        <w:lastRenderedPageBreak/>
        <mc:AlternateContent>
          <mc:Choice Requires="wps">
            <w:drawing>
              <wp:anchor distT="0" distB="0" distL="114300" distR="114300" simplePos="0" relativeHeight="251658240" behindDoc="0" locked="0" layoutInCell="1" allowOverlap="1" wp14:anchorId="7B996B0E" wp14:editId="47031181">
                <wp:simplePos x="0" y="0"/>
                <wp:positionH relativeFrom="margin">
                  <wp:posOffset>-161925</wp:posOffset>
                </wp:positionH>
                <wp:positionV relativeFrom="paragraph">
                  <wp:posOffset>-160020</wp:posOffset>
                </wp:positionV>
                <wp:extent cx="6276975" cy="6638925"/>
                <wp:effectExtent l="0" t="0" r="28575" b="28575"/>
                <wp:wrapNone/>
                <wp:docPr id="880601111" name="Rectangle 2"/>
                <wp:cNvGraphicFramePr/>
                <a:graphic xmlns:a="http://schemas.openxmlformats.org/drawingml/2006/main">
                  <a:graphicData uri="http://schemas.microsoft.com/office/word/2010/wordprocessingShape">
                    <wps:wsp>
                      <wps:cNvSpPr/>
                      <wps:spPr>
                        <a:xfrm>
                          <a:off x="0" y="0"/>
                          <a:ext cx="6276975" cy="6638925"/>
                        </a:xfrm>
                        <a:prstGeom prst="rect">
                          <a:avLst/>
                        </a:prstGeom>
                        <a:noFill/>
                        <a:ln>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A21CD" id="Rectangle 2" o:spid="_x0000_s1026" style="position:absolute;margin-left:-12.75pt;margin-top:-12.6pt;width:494.25pt;height:522.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" filled="f" strokecolor="#548dd4 [1951]" strokeweight="2pt">
                <w10:wrap anchorx="margin"/>
              </v:rect>
            </w:pict>
          </mc:Fallback>
        </mc:AlternateContent>
      </w:r>
      <w:r w:rsidR="00EF1CB2" w:rsidRPr="006515B0">
        <w:rPr>
          <w:rFonts w:eastAsia="Calibri"/>
          <w:b/>
          <w:bCs/>
          <w:color w:val="auto"/>
          <w:lang w:val="fr-CA" w:eastAsia="en-US"/>
        </w:rPr>
        <w:t>La situation des personnes trans et non binaires en emploi</w:t>
      </w:r>
    </w:p>
    <w:p w14:paraId="2D7B2BF5" w14:textId="77777777" w:rsidR="00E4081A" w:rsidRPr="00A0226A" w:rsidRDefault="00EF1CB2" w:rsidP="00EF1CB2">
      <w:pPr>
        <w:pStyle w:val="Paragraphe"/>
        <w:rPr>
          <w:rFonts w:eastAsia="Calibri"/>
          <w:lang w:val="fr-CA" w:eastAsia="en-US"/>
        </w:rPr>
      </w:pPr>
      <w:r w:rsidRPr="00BD22C2">
        <w:rPr>
          <w:rFonts w:eastAsia="Calibri"/>
          <w:lang w:val="fr-CA" w:eastAsia="en-US"/>
        </w:rPr>
        <w:t>La Commission souhaite attirer l’attention du Comité de sages sur la situation des personnes trans et non binaires sur le marché du travail. C’est dans ce secteur que la Commission reçoit le plus de plaintes pour discrimination sur la base de l’identité ou l’expression de genre</w:t>
      </w:r>
      <w:r w:rsidR="00F31B9D" w:rsidRPr="00771B89">
        <w:rPr>
          <w:rStyle w:val="Appeldenotedefin"/>
          <w:rFonts w:eastAsia="Calibri"/>
          <w:lang w:val="fr-CA" w:eastAsia="en-US"/>
        </w:rPr>
        <w:endnoteReference w:id="59"/>
      </w:r>
      <w:r w:rsidRPr="00BD22C2">
        <w:rPr>
          <w:rFonts w:eastAsia="Calibri"/>
          <w:lang w:val="fr-CA" w:eastAsia="en-US"/>
        </w:rPr>
        <w:t>. Or, ce sujet ne figure pas explicitement dans le mandat du Comité de sages. La Commission note cependant que la liste de sujets n’est pas limitative. Le Comité de sages pourrait ainsi vouloir se pencher sur cet enjeu au cours de ses travaux. De son côté, la Commission mène actuellement une recherche, en partenariat avec le projet « Savoirs sur l’inclusion et l’exclusion des personnes LGBTQ »</w:t>
      </w:r>
      <w:bookmarkStart w:id="34" w:name="_Ref167354371"/>
      <w:r w:rsidR="000022BE" w:rsidRPr="00BD22C2">
        <w:rPr>
          <w:rStyle w:val="Appeldenotedefin"/>
          <w:rFonts w:eastAsia="Calibri"/>
          <w:lang w:val="fr-CA" w:eastAsia="en-US"/>
        </w:rPr>
        <w:endnoteReference w:id="60"/>
      </w:r>
      <w:bookmarkEnd w:id="34"/>
      <w:r w:rsidRPr="00BD22C2">
        <w:rPr>
          <w:rFonts w:eastAsia="Calibri"/>
          <w:lang w:val="fr-CA" w:eastAsia="en-US"/>
        </w:rPr>
        <w:t>, sur les plaintes qu’elle a reçues, entre 1990 et 2021, pour discrimination sur la base de l’orientation sexuelle et l’identité ou l’expression de genre dans le secteur de l’emploi</w:t>
      </w:r>
      <w:r w:rsidR="00F36F69" w:rsidRPr="00BD22C2">
        <w:rPr>
          <w:rStyle w:val="Appeldenotedefin"/>
          <w:rFonts w:eastAsia="Calibri"/>
          <w:lang w:val="fr-CA" w:eastAsia="en-US"/>
        </w:rPr>
        <w:endnoteReference w:id="61"/>
      </w:r>
      <w:r w:rsidRPr="00BD22C2">
        <w:rPr>
          <w:rFonts w:eastAsia="Calibri"/>
          <w:lang w:val="fr-CA" w:eastAsia="en-US"/>
        </w:rPr>
        <w:t>. Le rapport de cette étude devrait pouvoir lui être transmis en décembre 2024. En parallèle, conformément à s</w:t>
      </w:r>
      <w:r w:rsidR="002A4272" w:rsidRPr="00BD22C2">
        <w:rPr>
          <w:rFonts w:eastAsia="Calibri"/>
          <w:lang w:val="fr-CA" w:eastAsia="en-US"/>
        </w:rPr>
        <w:t>on Plan</w:t>
      </w:r>
      <w:r w:rsidRPr="00BD22C2">
        <w:rPr>
          <w:rFonts w:eastAsia="Calibri"/>
          <w:lang w:val="fr-CA" w:eastAsia="en-US"/>
        </w:rPr>
        <w:t xml:space="preserve"> stratégique</w:t>
      </w:r>
      <w:r w:rsidR="0091080B">
        <w:rPr>
          <w:rFonts w:eastAsia="Calibri"/>
          <w:lang w:val="fr-CA" w:eastAsia="en-US"/>
        </w:rPr>
        <w:t> </w:t>
      </w:r>
      <w:r w:rsidRPr="00BD22C2">
        <w:rPr>
          <w:rFonts w:eastAsia="Calibri"/>
          <w:lang w:val="fr-CA" w:eastAsia="en-US"/>
        </w:rPr>
        <w:t>2021-2025</w:t>
      </w:r>
      <w:r w:rsidR="00F31B9D" w:rsidRPr="00771B89">
        <w:rPr>
          <w:rStyle w:val="Appeldenotedefin"/>
          <w:rFonts w:eastAsia="Calibri"/>
          <w:lang w:val="fr-CA" w:eastAsia="en-US"/>
        </w:rPr>
        <w:endnoteReference w:id="62"/>
      </w:r>
      <w:r w:rsidRPr="00BD22C2">
        <w:rPr>
          <w:rFonts w:eastAsia="Calibri"/>
          <w:lang w:val="fr-CA" w:eastAsia="en-US"/>
        </w:rPr>
        <w:t xml:space="preserve">, la Commission examine l’opportunité de recommander l’ajout des personnes LGBTQ+ aux programmes d’accès à l’égalité en emploi. La Commission n’a pas de recommandations à formuler sur ces sujets à ce stade, mais elle invite le Comité de sages à s’y </w:t>
      </w:r>
      <w:r w:rsidR="00C66CF8" w:rsidRPr="00BD22C2">
        <w:rPr>
          <w:rFonts w:eastAsia="Calibri"/>
          <w:lang w:val="fr-CA" w:eastAsia="en-US"/>
        </w:rPr>
        <w:t>attarder</w:t>
      </w:r>
      <w:r w:rsidRPr="00BD22C2">
        <w:rPr>
          <w:rFonts w:eastAsia="Calibri"/>
          <w:lang w:val="fr-CA" w:eastAsia="en-US"/>
        </w:rPr>
        <w:t xml:space="preserve">. Dans l’intervalle, il pourrait entre autres </w:t>
      </w:r>
      <w:r w:rsidRPr="00A0226A">
        <w:rPr>
          <w:rFonts w:eastAsia="Calibri"/>
          <w:lang w:val="fr-CA" w:eastAsia="en-US"/>
        </w:rPr>
        <w:t>prendre connaissance d</w:t>
      </w:r>
      <w:r w:rsidR="00A33724" w:rsidRPr="00A0226A">
        <w:rPr>
          <w:rFonts w:eastAsia="Calibri"/>
          <w:lang w:val="fr-CA" w:eastAsia="en-US"/>
        </w:rPr>
        <w:t>e</w:t>
      </w:r>
      <w:r w:rsidR="00E4081A" w:rsidRPr="00A0226A">
        <w:rPr>
          <w:rFonts w:eastAsia="Calibri"/>
          <w:lang w:val="fr-CA" w:eastAsia="en-US"/>
        </w:rPr>
        <w:t xml:space="preserve"> certains documents :</w:t>
      </w:r>
    </w:p>
    <w:p w14:paraId="7BC32A2F" w14:textId="0D9A0B4B" w:rsidR="00E4081A" w:rsidRPr="00A0226A" w:rsidRDefault="00A33724" w:rsidP="00E4081A">
      <w:pPr>
        <w:pStyle w:val="Paragraphe"/>
        <w:numPr>
          <w:ilvl w:val="0"/>
          <w:numId w:val="39"/>
        </w:numPr>
        <w:rPr>
          <w:rFonts w:eastAsia="Calibri"/>
          <w:lang w:val="fr-CA" w:eastAsia="en-US"/>
        </w:rPr>
      </w:pPr>
      <w:r w:rsidRPr="00A0226A">
        <w:rPr>
          <w:rFonts w:eastAsia="Calibri"/>
          <w:lang w:val="fr-CA" w:eastAsia="en-US"/>
        </w:rPr>
        <w:t xml:space="preserve">la récente décision dans l’affaire </w:t>
      </w:r>
      <w:r w:rsidR="0075384E" w:rsidRPr="00A0226A">
        <w:rPr>
          <w:rFonts w:eastAsia="Calibri"/>
          <w:i/>
          <w:iCs/>
          <w:lang w:val="fr-CA" w:eastAsia="en-US"/>
        </w:rPr>
        <w:t xml:space="preserve">Bar Lucky </w:t>
      </w:r>
      <w:r w:rsidR="009033BB" w:rsidRPr="00A0226A">
        <w:rPr>
          <w:rFonts w:eastAsia="Calibri"/>
          <w:i/>
          <w:iCs/>
          <w:lang w:val="fr-CA" w:eastAsia="en-US"/>
        </w:rPr>
        <w:t>7</w:t>
      </w:r>
      <w:bookmarkStart w:id="35" w:name="_Ref169775237"/>
      <w:r w:rsidR="00C86E93" w:rsidRPr="00A0226A">
        <w:rPr>
          <w:rStyle w:val="Appeldenotedefin"/>
          <w:rFonts w:eastAsia="Calibri"/>
          <w:lang w:val="fr-CA" w:eastAsia="en-US"/>
        </w:rPr>
        <w:endnoteReference w:id="63"/>
      </w:r>
      <w:bookmarkEnd w:id="35"/>
      <w:r w:rsidR="000D5491" w:rsidRPr="00A0226A">
        <w:rPr>
          <w:rFonts w:eastAsia="Calibri"/>
          <w:lang w:val="fr-CA" w:eastAsia="en-US"/>
        </w:rPr>
        <w:t xml:space="preserve">, </w:t>
      </w:r>
      <w:r w:rsidR="00A213EF" w:rsidRPr="00A0226A">
        <w:rPr>
          <w:rFonts w:eastAsia="Calibri"/>
          <w:lang w:val="fr-CA" w:eastAsia="en-US"/>
        </w:rPr>
        <w:t>l’une des premières causes remportées par la Commission pour un dossier de discrimination en emploi basée sur l’identité de genre</w:t>
      </w:r>
      <w:r w:rsidR="004E5935" w:rsidRPr="00A0226A">
        <w:rPr>
          <w:rFonts w:eastAsia="Calibri"/>
          <w:lang w:val="fr-CA" w:eastAsia="en-US"/>
        </w:rPr>
        <w:t>,</w:t>
      </w:r>
    </w:p>
    <w:p w14:paraId="0766EC50" w14:textId="77777777" w:rsidR="00A13314" w:rsidRDefault="00E4081A" w:rsidP="00E4081A">
      <w:pPr>
        <w:pStyle w:val="Paragraphe"/>
        <w:numPr>
          <w:ilvl w:val="0"/>
          <w:numId w:val="39"/>
        </w:numPr>
        <w:rPr>
          <w:rFonts w:eastAsia="Calibri"/>
          <w:lang w:val="fr-CA" w:eastAsia="en-US"/>
        </w:rPr>
      </w:pPr>
      <w:r>
        <w:rPr>
          <w:rFonts w:eastAsia="Calibri"/>
          <w:lang w:val="fr-CA" w:eastAsia="en-US"/>
        </w:rPr>
        <w:t xml:space="preserve">le </w:t>
      </w:r>
      <w:r w:rsidR="00EF1CB2" w:rsidRPr="00BD22C2">
        <w:rPr>
          <w:rFonts w:eastAsia="Calibri"/>
          <w:lang w:val="fr-CA" w:eastAsia="en-US"/>
        </w:rPr>
        <w:t>rapport du Fonds Purge LGBT sur la discrimination dans la fonction publique fédérale</w:t>
      </w:r>
      <w:r w:rsidR="00F31B9D" w:rsidRPr="00771B89">
        <w:rPr>
          <w:rStyle w:val="Appeldenotedefin"/>
          <w:rFonts w:eastAsia="Calibri"/>
          <w:lang w:val="fr-CA" w:eastAsia="en-US"/>
        </w:rPr>
        <w:endnoteReference w:id="64"/>
      </w:r>
      <w:r w:rsidR="00A13314">
        <w:rPr>
          <w:rFonts w:eastAsia="Calibri"/>
          <w:lang w:val="fr-CA" w:eastAsia="en-US"/>
        </w:rPr>
        <w:t>,</w:t>
      </w:r>
    </w:p>
    <w:p w14:paraId="7FD81DCD" w14:textId="2E413E2A" w:rsidR="006637BD" w:rsidRPr="00BD22C2" w:rsidRDefault="00A13314" w:rsidP="00E4081A">
      <w:pPr>
        <w:pStyle w:val="Paragraphe"/>
        <w:numPr>
          <w:ilvl w:val="0"/>
          <w:numId w:val="39"/>
        </w:numPr>
        <w:rPr>
          <w:rFonts w:eastAsia="Calibri"/>
          <w:lang w:val="fr-CA" w:eastAsia="en-US"/>
        </w:rPr>
      </w:pPr>
      <w:r>
        <w:rPr>
          <w:rFonts w:eastAsia="Calibri"/>
          <w:lang w:val="fr-CA" w:eastAsia="en-US"/>
        </w:rPr>
        <w:t>et</w:t>
      </w:r>
      <w:r w:rsidR="00D779DD">
        <w:rPr>
          <w:rFonts w:eastAsia="Calibri"/>
          <w:lang w:val="fr-CA" w:eastAsia="en-US"/>
        </w:rPr>
        <w:t xml:space="preserve"> le rapport du </w:t>
      </w:r>
      <w:r w:rsidR="00EF1CB2" w:rsidRPr="00BD22C2">
        <w:rPr>
          <w:rFonts w:eastAsia="Calibri"/>
          <w:lang w:val="fr-CA" w:eastAsia="en-US"/>
        </w:rPr>
        <w:t>Groupe de travail sur l’examen de la Loi sur l’équité en matière d’emploi qui recommande notamment d’inclure les personnes</w:t>
      </w:r>
      <w:r w:rsidR="008B4522">
        <w:rPr>
          <w:rFonts w:eastAsia="Calibri"/>
          <w:lang w:val="fr-CA" w:eastAsia="en-US"/>
        </w:rPr>
        <w:t> </w:t>
      </w:r>
      <w:r w:rsidR="00EF1CB2" w:rsidRPr="00BD22C2">
        <w:rPr>
          <w:rFonts w:eastAsia="Calibri"/>
          <w:lang w:val="fr-CA" w:eastAsia="en-US"/>
        </w:rPr>
        <w:t>2ELGBTQI+ aux groupes visés</w:t>
      </w:r>
      <w:bookmarkStart w:id="36" w:name="_Ref167364551"/>
      <w:r w:rsidR="00650156" w:rsidRPr="00BD22C2">
        <w:rPr>
          <w:rStyle w:val="Appeldenotedefin"/>
          <w:rFonts w:eastAsia="Calibri"/>
          <w:lang w:val="fr-CA" w:eastAsia="en-US"/>
        </w:rPr>
        <w:endnoteReference w:id="65"/>
      </w:r>
      <w:bookmarkEnd w:id="36"/>
      <w:r w:rsidR="00EF1CB2" w:rsidRPr="00BD22C2">
        <w:rPr>
          <w:rFonts w:eastAsia="Calibri"/>
          <w:lang w:val="fr-CA" w:eastAsia="en-US"/>
        </w:rPr>
        <w:t>.</w:t>
      </w:r>
    </w:p>
    <w:p w14:paraId="3A5A23FB" w14:textId="77777777" w:rsidR="00EF1CB2" w:rsidRDefault="00EF1CB2" w:rsidP="00EF1CB2">
      <w:pPr>
        <w:pStyle w:val="Corpsdetexte"/>
        <w:rPr>
          <w:rFonts w:eastAsia="Calibri"/>
          <w:lang w:eastAsia="en-US"/>
        </w:rPr>
      </w:pPr>
    </w:p>
    <w:p w14:paraId="5C02F9B0" w14:textId="77777777" w:rsidR="006A6682" w:rsidRDefault="006A6682" w:rsidP="00EF1CB2">
      <w:pPr>
        <w:pStyle w:val="Corpsdetexte"/>
        <w:rPr>
          <w:rFonts w:eastAsia="Calibri"/>
          <w:lang w:eastAsia="en-US"/>
        </w:rPr>
      </w:pPr>
    </w:p>
    <w:p w14:paraId="39FBCF2B" w14:textId="77777777" w:rsidR="00CD5812" w:rsidRDefault="00CD5812" w:rsidP="00EF1CB2">
      <w:pPr>
        <w:pStyle w:val="Corpsdetexte"/>
        <w:rPr>
          <w:rFonts w:eastAsia="Calibri"/>
          <w:lang w:eastAsia="en-US"/>
        </w:rPr>
      </w:pPr>
    </w:p>
    <w:p w14:paraId="2F2716E4" w14:textId="77777777" w:rsidR="00CD5812" w:rsidRDefault="00CD5812" w:rsidP="00EF1CB2">
      <w:pPr>
        <w:pStyle w:val="Corpsdetexte"/>
        <w:rPr>
          <w:rFonts w:eastAsia="Calibri"/>
          <w:lang w:eastAsia="en-US"/>
        </w:rPr>
      </w:pPr>
    </w:p>
    <w:p w14:paraId="5DAB1475" w14:textId="77777777" w:rsidR="00CD5812" w:rsidRDefault="00CD5812" w:rsidP="00EF1CB2">
      <w:pPr>
        <w:pStyle w:val="Corpsdetexte"/>
        <w:rPr>
          <w:rFonts w:eastAsia="Calibri"/>
          <w:lang w:eastAsia="en-US"/>
        </w:rPr>
      </w:pPr>
    </w:p>
    <w:p w14:paraId="667678D6" w14:textId="714CFEE7" w:rsidR="006637BD" w:rsidRPr="006515B0" w:rsidRDefault="00100038" w:rsidP="00183889">
      <w:pPr>
        <w:pStyle w:val="Titre"/>
        <w:rPr>
          <w:rFonts w:eastAsia="Calibri"/>
          <w:lang w:eastAsia="en-US"/>
        </w:rPr>
      </w:pPr>
      <w:bookmarkStart w:id="37" w:name="_Toc165301009"/>
      <w:bookmarkStart w:id="38" w:name="_Toc165636092"/>
      <w:r w:rsidRPr="006515B0">
        <w:rPr>
          <w:rFonts w:eastAsia="Calibri"/>
          <w:lang w:eastAsia="en-US"/>
        </w:rPr>
        <w:lastRenderedPageBreak/>
        <w:t>P</w:t>
      </w:r>
      <w:r w:rsidR="006637BD" w:rsidRPr="006515B0">
        <w:rPr>
          <w:rFonts w:eastAsia="Calibri"/>
          <w:lang w:eastAsia="en-US"/>
        </w:rPr>
        <w:t>artie</w:t>
      </w:r>
      <w:r w:rsidR="00CC76DE" w:rsidRPr="006515B0">
        <w:rPr>
          <w:rFonts w:eastAsia="Calibri"/>
          <w:lang w:eastAsia="en-US"/>
        </w:rPr>
        <w:t> </w:t>
      </w:r>
      <w:r w:rsidR="006637BD" w:rsidRPr="006515B0">
        <w:rPr>
          <w:rFonts w:eastAsia="Calibri"/>
          <w:lang w:eastAsia="en-US"/>
        </w:rPr>
        <w:t>1</w:t>
      </w:r>
      <w:r w:rsidR="00183889" w:rsidRPr="006515B0">
        <w:rPr>
          <w:rFonts w:eastAsia="Calibri"/>
          <w:lang w:eastAsia="en-US"/>
        </w:rPr>
        <w:t xml:space="preserve"> — Q</w:t>
      </w:r>
      <w:r w:rsidR="006637BD" w:rsidRPr="006515B0">
        <w:rPr>
          <w:rFonts w:eastAsia="Calibri"/>
          <w:lang w:eastAsia="en-US"/>
        </w:rPr>
        <w:t>uelques points de repère</w:t>
      </w:r>
      <w:bookmarkEnd w:id="37"/>
      <w:bookmarkEnd w:id="38"/>
    </w:p>
    <w:p w14:paraId="70282DE5" w14:textId="77777777" w:rsidR="006637BD" w:rsidRPr="00BD22C2" w:rsidRDefault="00BA4DFD" w:rsidP="002D6A22">
      <w:pPr>
        <w:pStyle w:val="Paragraphe"/>
        <w:rPr>
          <w:rFonts w:eastAsia="Calibri"/>
          <w:lang w:val="fr-CA"/>
        </w:rPr>
      </w:pPr>
      <w:r w:rsidRPr="00BD22C2">
        <w:rPr>
          <w:rFonts w:eastAsia="Calibri"/>
          <w:lang w:val="fr-CA"/>
        </w:rPr>
        <w:t>D’emblée</w:t>
      </w:r>
      <w:r w:rsidR="006637BD" w:rsidRPr="00BD22C2">
        <w:rPr>
          <w:rFonts w:eastAsia="Calibri"/>
          <w:lang w:val="fr-CA"/>
        </w:rPr>
        <w:t xml:space="preserve">, la Commission souhaite prendre un pas de recul. Les préoccupations soulevées par les nombreuses controverses en cours en lien avec l’identité de genre doivent être appréhendées à la lumière de certains points de repère </w:t>
      </w:r>
      <w:r w:rsidR="003B361F" w:rsidRPr="00BD22C2">
        <w:rPr>
          <w:rFonts w:eastAsia="Calibri"/>
          <w:lang w:val="fr-CA"/>
        </w:rPr>
        <w:t>—</w:t>
      </w:r>
      <w:r w:rsidR="006637BD" w:rsidRPr="00BD22C2">
        <w:rPr>
          <w:rFonts w:eastAsia="Calibri"/>
          <w:lang w:val="fr-CA"/>
        </w:rPr>
        <w:t xml:space="preserve"> historiques, terminologiques et statistiques </w:t>
      </w:r>
      <w:r w:rsidR="003B361F" w:rsidRPr="00BD22C2">
        <w:rPr>
          <w:rFonts w:eastAsia="Calibri"/>
          <w:lang w:val="fr-CA"/>
        </w:rPr>
        <w:t>—</w:t>
      </w:r>
      <w:r w:rsidR="006637BD" w:rsidRPr="00BD22C2">
        <w:rPr>
          <w:rFonts w:eastAsia="Calibri"/>
          <w:lang w:val="fr-CA"/>
        </w:rPr>
        <w:t xml:space="preserve"> qui sont susceptibles de contribuer à baliser le chemin à emprunter.</w:t>
      </w:r>
    </w:p>
    <w:p w14:paraId="6456F989" w14:textId="77777777" w:rsidR="002D6A22" w:rsidRPr="00BD22C2" w:rsidRDefault="002D6A22" w:rsidP="002D6A22">
      <w:pPr>
        <w:pStyle w:val="Paragraphe"/>
        <w:rPr>
          <w:rFonts w:eastAsia="Calibri"/>
          <w:lang w:val="fr-CA"/>
        </w:rPr>
      </w:pPr>
    </w:p>
    <w:p w14:paraId="5359CD61" w14:textId="3D7BDB9F" w:rsidR="006637BD" w:rsidRPr="00BD22C2" w:rsidRDefault="00100038" w:rsidP="00CE3B05">
      <w:pPr>
        <w:pStyle w:val="Titre1"/>
        <w:rPr>
          <w:rFonts w:eastAsia="Calibri"/>
          <w:lang w:eastAsia="en-US"/>
        </w:rPr>
      </w:pPr>
      <w:bookmarkStart w:id="39" w:name="_Toc165301010"/>
      <w:bookmarkStart w:id="40" w:name="_Toc165636093"/>
      <w:r w:rsidRPr="00BD22C2">
        <w:rPr>
          <w:rFonts w:eastAsia="Calibri"/>
          <w:lang w:eastAsia="en-US"/>
        </w:rPr>
        <w:t>Apprendre</w:t>
      </w:r>
      <w:r w:rsidR="006637BD" w:rsidRPr="00BD22C2">
        <w:rPr>
          <w:rFonts w:eastAsia="Calibri"/>
          <w:lang w:eastAsia="en-US"/>
        </w:rPr>
        <w:t xml:space="preserve"> </w:t>
      </w:r>
      <w:r w:rsidR="00467906" w:rsidRPr="00BD22C2">
        <w:rPr>
          <w:rFonts w:eastAsia="Calibri"/>
          <w:lang w:eastAsia="en-US"/>
        </w:rPr>
        <w:t>de l’histoire</w:t>
      </w:r>
      <w:bookmarkEnd w:id="39"/>
      <w:bookmarkEnd w:id="40"/>
    </w:p>
    <w:p w14:paraId="47A715B2" w14:textId="367031C3" w:rsidR="006637BD" w:rsidRPr="00BD22C2" w:rsidRDefault="006637BD" w:rsidP="00B82B14">
      <w:pPr>
        <w:pStyle w:val="Paragraphe"/>
        <w:rPr>
          <w:lang w:val="fr-CA"/>
        </w:rPr>
      </w:pPr>
      <w:r w:rsidRPr="00BD22C2">
        <w:rPr>
          <w:lang w:val="fr-CA"/>
        </w:rPr>
        <w:t xml:space="preserve">La lutte </w:t>
      </w:r>
      <w:r w:rsidR="00CB2622" w:rsidRPr="00BD22C2">
        <w:rPr>
          <w:lang w:val="fr-CA"/>
        </w:rPr>
        <w:t xml:space="preserve">des dernières décennies </w:t>
      </w:r>
      <w:r w:rsidRPr="00BD22C2">
        <w:rPr>
          <w:lang w:val="fr-CA"/>
        </w:rPr>
        <w:t xml:space="preserve">contre l’homophobie offre des enseignements importants pour la lutte contre la transphobie. Sans retracer ici </w:t>
      </w:r>
      <w:r w:rsidR="00B8543E" w:rsidRPr="00BD22C2">
        <w:rPr>
          <w:lang w:val="fr-CA"/>
        </w:rPr>
        <w:t>la chronologie de</w:t>
      </w:r>
      <w:r w:rsidRPr="00BD22C2">
        <w:rPr>
          <w:lang w:val="fr-CA"/>
        </w:rPr>
        <w:t xml:space="preserve"> l’avancée des droits des personnes homosexuelles, déjà esquissée dans l’avant-propos en lien avec l’action de la Commission et par ailleurs déjà bien documentée</w:t>
      </w:r>
      <w:r w:rsidRPr="00BD22C2">
        <w:rPr>
          <w:rStyle w:val="Appeldenotedefin"/>
          <w:lang w:val="fr-CA"/>
        </w:rPr>
        <w:endnoteReference w:id="66"/>
      </w:r>
      <w:r w:rsidRPr="00BD22C2">
        <w:rPr>
          <w:lang w:val="fr-CA"/>
        </w:rPr>
        <w:t xml:space="preserve">, cette section insiste sur ce qu’il convient d’en retenir pour ne pas répéter les erreurs commises envers elles. </w:t>
      </w:r>
      <w:r w:rsidR="00A92B20" w:rsidRPr="00BD22C2">
        <w:rPr>
          <w:lang w:val="fr-CA"/>
        </w:rPr>
        <w:t>Certes,</w:t>
      </w:r>
      <w:r w:rsidRPr="00BD22C2">
        <w:rPr>
          <w:lang w:val="fr-CA"/>
        </w:rPr>
        <w:t xml:space="preserve"> les personnes minorisées sur la base de l’orientation sexuelle ont des réalités et besoins qui peuvent différer de ceux des personnes minorisées sur la base de l’identité ou l’expression de genre</w:t>
      </w:r>
      <w:r w:rsidR="00A92B20" w:rsidRPr="00BD22C2">
        <w:rPr>
          <w:lang w:val="fr-CA"/>
        </w:rPr>
        <w:t>. Ces</w:t>
      </w:r>
      <w:r w:rsidRPr="00BD22C2">
        <w:rPr>
          <w:lang w:val="fr-CA"/>
        </w:rPr>
        <w:t xml:space="preserve"> groupes ont </w:t>
      </w:r>
      <w:r w:rsidR="00A92B20" w:rsidRPr="00BD22C2">
        <w:rPr>
          <w:lang w:val="fr-CA"/>
        </w:rPr>
        <w:t>cependant</w:t>
      </w:r>
      <w:r w:rsidRPr="00BD22C2">
        <w:rPr>
          <w:lang w:val="fr-CA"/>
        </w:rPr>
        <w:t xml:space="preserve"> en commun de subir l’</w:t>
      </w:r>
      <w:proofErr w:type="spellStart"/>
      <w:r w:rsidRPr="00BD22C2">
        <w:rPr>
          <w:lang w:val="fr-CA"/>
        </w:rPr>
        <w:t>hétérocissexisme</w:t>
      </w:r>
      <w:proofErr w:type="spellEnd"/>
      <w:r w:rsidRPr="00BD22C2">
        <w:rPr>
          <w:lang w:val="fr-CA"/>
        </w:rPr>
        <w:t xml:space="preserve">, soit la combinaison du sexisme, </w:t>
      </w:r>
      <w:r w:rsidR="002F7CE8" w:rsidRPr="00BD22C2">
        <w:rPr>
          <w:lang w:val="fr-CA"/>
        </w:rPr>
        <w:t>du cissexisme</w:t>
      </w:r>
      <w:r w:rsidRPr="00BD22C2">
        <w:rPr>
          <w:lang w:val="fr-CA"/>
        </w:rPr>
        <w:t xml:space="preserve"> et de l’hétérosexisme</w:t>
      </w:r>
      <w:r w:rsidR="00C65390" w:rsidRPr="00BD22C2">
        <w:rPr>
          <w:lang w:val="fr-CA"/>
        </w:rPr>
        <w:t xml:space="preserve">. </w:t>
      </w:r>
      <w:r w:rsidR="00564E30" w:rsidRPr="00BD22C2">
        <w:rPr>
          <w:lang w:val="fr-CA"/>
        </w:rPr>
        <w:t>La notion d’</w:t>
      </w:r>
      <w:proofErr w:type="spellStart"/>
      <w:r w:rsidR="00564E30" w:rsidRPr="00BD22C2">
        <w:rPr>
          <w:lang w:val="fr-CA"/>
        </w:rPr>
        <w:t>hétéro</w:t>
      </w:r>
      <w:r w:rsidR="0060643F" w:rsidRPr="00BD22C2">
        <w:rPr>
          <w:lang w:val="fr-CA"/>
        </w:rPr>
        <w:t>cis</w:t>
      </w:r>
      <w:r w:rsidR="00564E30" w:rsidRPr="00BD22C2">
        <w:rPr>
          <w:lang w:val="fr-CA"/>
        </w:rPr>
        <w:t>sexisme</w:t>
      </w:r>
      <w:proofErr w:type="spellEnd"/>
      <w:r w:rsidR="00564E30" w:rsidRPr="00BD22C2">
        <w:rPr>
          <w:lang w:val="fr-CA"/>
        </w:rPr>
        <w:t xml:space="preserve"> désigne</w:t>
      </w:r>
      <w:r w:rsidR="00C65390" w:rsidRPr="00BD22C2">
        <w:rPr>
          <w:lang w:val="fr-CA"/>
        </w:rPr>
        <w:t xml:space="preserve"> ainsi</w:t>
      </w:r>
      <w:r w:rsidRPr="00BD22C2">
        <w:rPr>
          <w:lang w:val="fr-CA"/>
        </w:rPr>
        <w:t xml:space="preserve"> l’adéquation</w:t>
      </w:r>
      <w:r w:rsidR="00CB17A1" w:rsidRPr="00BD22C2">
        <w:rPr>
          <w:lang w:val="fr-CA"/>
        </w:rPr>
        <w:t>, érigée en norme</w:t>
      </w:r>
      <w:r w:rsidR="000A6BAB" w:rsidRPr="00BD22C2">
        <w:rPr>
          <w:lang w:val="fr-CA"/>
        </w:rPr>
        <w:t>,</w:t>
      </w:r>
      <w:r w:rsidRPr="00BD22C2">
        <w:rPr>
          <w:lang w:val="fr-CA"/>
        </w:rPr>
        <w:t xml:space="preserve"> entre le sexe (</w:t>
      </w:r>
      <w:r w:rsidR="00840F7A" w:rsidRPr="00BD22C2">
        <w:rPr>
          <w:lang w:val="fr-CA"/>
        </w:rPr>
        <w:t xml:space="preserve">sexe </w:t>
      </w:r>
      <w:r w:rsidRPr="00BD22C2">
        <w:rPr>
          <w:lang w:val="fr-CA"/>
        </w:rPr>
        <w:t>m</w:t>
      </w:r>
      <w:r w:rsidR="000C0FC1" w:rsidRPr="00BD22C2">
        <w:rPr>
          <w:lang w:val="fr-CA"/>
        </w:rPr>
        <w:t>asculin</w:t>
      </w:r>
      <w:r w:rsidRPr="00BD22C2">
        <w:rPr>
          <w:lang w:val="fr-CA"/>
        </w:rPr>
        <w:t xml:space="preserve"> ou </w:t>
      </w:r>
      <w:r w:rsidR="00840F7A" w:rsidRPr="00BD22C2">
        <w:rPr>
          <w:lang w:val="fr-CA"/>
        </w:rPr>
        <w:t xml:space="preserve">sexe </w:t>
      </w:r>
      <w:r w:rsidRPr="00BD22C2">
        <w:rPr>
          <w:lang w:val="fr-CA"/>
        </w:rPr>
        <w:t>f</w:t>
      </w:r>
      <w:r w:rsidR="000C0FC1" w:rsidRPr="00BD22C2">
        <w:rPr>
          <w:lang w:val="fr-CA"/>
        </w:rPr>
        <w:t>éminin</w:t>
      </w:r>
      <w:r w:rsidRPr="00BD22C2">
        <w:rPr>
          <w:lang w:val="fr-CA"/>
        </w:rPr>
        <w:t>), le genre (homme ou femme) et l’orientation sexuelle (hétérosexualité)</w:t>
      </w:r>
      <w:r w:rsidR="005F1A7E" w:rsidRPr="00BD22C2">
        <w:rPr>
          <w:lang w:val="fr-CA"/>
        </w:rPr>
        <w:t xml:space="preserve">. </w:t>
      </w:r>
      <w:r w:rsidR="000103F9" w:rsidRPr="00BD22C2">
        <w:rPr>
          <w:lang w:val="fr-CA"/>
        </w:rPr>
        <w:t>Cette norme</w:t>
      </w:r>
      <w:r w:rsidR="00F8785B" w:rsidRPr="00BD22C2">
        <w:rPr>
          <w:lang w:val="fr-CA"/>
        </w:rPr>
        <w:t xml:space="preserve"> sociale</w:t>
      </w:r>
      <w:r w:rsidR="000103F9" w:rsidRPr="00BD22C2">
        <w:rPr>
          <w:lang w:val="fr-CA"/>
        </w:rPr>
        <w:t xml:space="preserve"> – qu’il importe de nommer </w:t>
      </w:r>
      <w:r w:rsidR="00674ACE" w:rsidRPr="00BD22C2">
        <w:rPr>
          <w:lang w:val="fr-CA"/>
        </w:rPr>
        <w:t xml:space="preserve">compte tenu de ses effets </w:t>
      </w:r>
      <w:r w:rsidR="000103F9" w:rsidRPr="00BD22C2">
        <w:rPr>
          <w:lang w:val="fr-CA"/>
        </w:rPr>
        <w:t>–</w:t>
      </w:r>
      <w:r w:rsidR="009E3BEB" w:rsidRPr="00BD22C2">
        <w:rPr>
          <w:lang w:val="fr-CA"/>
        </w:rPr>
        <w:t xml:space="preserve"> a pour </w:t>
      </w:r>
      <w:r w:rsidR="00674ACE" w:rsidRPr="00BD22C2">
        <w:rPr>
          <w:lang w:val="fr-CA"/>
        </w:rPr>
        <w:t>conséquence</w:t>
      </w:r>
      <w:r w:rsidR="009E3BEB" w:rsidRPr="00BD22C2">
        <w:rPr>
          <w:lang w:val="fr-CA"/>
        </w:rPr>
        <w:t xml:space="preserve"> de</w:t>
      </w:r>
      <w:r w:rsidRPr="00BD22C2">
        <w:rPr>
          <w:lang w:val="fr-CA"/>
        </w:rPr>
        <w:t xml:space="preserve"> dévalorise</w:t>
      </w:r>
      <w:r w:rsidR="009E3BEB" w:rsidRPr="00BD22C2">
        <w:rPr>
          <w:lang w:val="fr-CA"/>
        </w:rPr>
        <w:t>r</w:t>
      </w:r>
      <w:r w:rsidRPr="00BD22C2">
        <w:rPr>
          <w:lang w:val="fr-CA"/>
        </w:rPr>
        <w:t xml:space="preserve">, voire </w:t>
      </w:r>
      <w:r w:rsidR="009E3BEB" w:rsidRPr="00BD22C2">
        <w:rPr>
          <w:lang w:val="fr-CA"/>
        </w:rPr>
        <w:t>d’</w:t>
      </w:r>
      <w:r w:rsidRPr="00BD22C2">
        <w:rPr>
          <w:lang w:val="fr-CA"/>
        </w:rPr>
        <w:t>invisibilise</w:t>
      </w:r>
      <w:r w:rsidR="009E3BEB" w:rsidRPr="00BD22C2">
        <w:rPr>
          <w:lang w:val="fr-CA"/>
        </w:rPr>
        <w:t>r</w:t>
      </w:r>
      <w:r w:rsidRPr="00BD22C2">
        <w:rPr>
          <w:lang w:val="fr-CA"/>
        </w:rPr>
        <w:t xml:space="preserve">, d’autres réalités, dont celles des personnes </w:t>
      </w:r>
      <w:r w:rsidR="00204856" w:rsidRPr="00BD22C2">
        <w:rPr>
          <w:lang w:val="fr-CA"/>
        </w:rPr>
        <w:t>lesbiennes, gaies, bisexuelles</w:t>
      </w:r>
      <w:r w:rsidR="00654229" w:rsidRPr="00BD22C2">
        <w:rPr>
          <w:lang w:val="fr-CA"/>
        </w:rPr>
        <w:t xml:space="preserve"> (</w:t>
      </w:r>
      <w:r w:rsidRPr="00BD22C2">
        <w:rPr>
          <w:lang w:val="fr-CA"/>
        </w:rPr>
        <w:t>LGB</w:t>
      </w:r>
      <w:r w:rsidR="00654229" w:rsidRPr="00BD22C2">
        <w:rPr>
          <w:lang w:val="fr-CA"/>
        </w:rPr>
        <w:t>)</w:t>
      </w:r>
      <w:r w:rsidRPr="00BD22C2">
        <w:rPr>
          <w:lang w:val="fr-CA"/>
        </w:rPr>
        <w:t>, trans, non binaires et intersexes</w:t>
      </w:r>
      <w:r w:rsidRPr="00BD22C2">
        <w:rPr>
          <w:rStyle w:val="Appeldenotedefin"/>
          <w:lang w:val="fr-CA"/>
        </w:rPr>
        <w:endnoteReference w:id="67"/>
      </w:r>
      <w:r w:rsidRPr="00BD22C2">
        <w:rPr>
          <w:lang w:val="fr-CA"/>
        </w:rPr>
        <w:t xml:space="preserve">. </w:t>
      </w:r>
      <w:r w:rsidR="00FB341F" w:rsidRPr="00BD22C2">
        <w:rPr>
          <w:lang w:val="fr-CA"/>
        </w:rPr>
        <w:t xml:space="preserve">En termes simples, </w:t>
      </w:r>
      <w:r w:rsidR="00A8761E" w:rsidRPr="00BD22C2">
        <w:rPr>
          <w:lang w:val="fr-CA"/>
        </w:rPr>
        <w:t xml:space="preserve">ces </w:t>
      </w:r>
      <w:r w:rsidR="00F730FA" w:rsidRPr="00BD22C2">
        <w:rPr>
          <w:lang w:val="fr-CA"/>
        </w:rPr>
        <w:t>personnes</w:t>
      </w:r>
      <w:r w:rsidR="00056A05" w:rsidRPr="00BD22C2">
        <w:rPr>
          <w:lang w:val="fr-CA"/>
        </w:rPr>
        <w:t xml:space="preserve"> </w:t>
      </w:r>
      <w:r w:rsidR="00FE2D40" w:rsidRPr="00BD22C2">
        <w:rPr>
          <w:lang w:val="fr-CA"/>
        </w:rPr>
        <w:t>sont</w:t>
      </w:r>
      <w:r w:rsidR="00A83DB9" w:rsidRPr="00BD22C2">
        <w:rPr>
          <w:lang w:val="fr-CA"/>
        </w:rPr>
        <w:t xml:space="preserve">, </w:t>
      </w:r>
      <w:r w:rsidR="00794DBB" w:rsidRPr="00BD22C2">
        <w:rPr>
          <w:lang w:val="fr-CA"/>
        </w:rPr>
        <w:t>comme</w:t>
      </w:r>
      <w:r w:rsidR="00A83DB9" w:rsidRPr="00BD22C2">
        <w:rPr>
          <w:lang w:val="fr-CA"/>
        </w:rPr>
        <w:t xml:space="preserve"> les femmes,</w:t>
      </w:r>
      <w:r w:rsidR="00A8761E" w:rsidRPr="00BD22C2">
        <w:rPr>
          <w:lang w:val="fr-CA"/>
        </w:rPr>
        <w:t xml:space="preserve"> </w:t>
      </w:r>
      <w:r w:rsidR="00A8761E" w:rsidRPr="00BD22C2" w:rsidDel="00A90CD3">
        <w:rPr>
          <w:lang w:val="fr-CA"/>
        </w:rPr>
        <w:t>confronté</w:t>
      </w:r>
      <w:r w:rsidR="003F797C" w:rsidRPr="00BD22C2">
        <w:rPr>
          <w:lang w:val="fr-CA"/>
        </w:rPr>
        <w:t>e</w:t>
      </w:r>
      <w:r w:rsidR="00A8761E" w:rsidRPr="00BD22C2" w:rsidDel="00A90CD3">
        <w:rPr>
          <w:lang w:val="fr-CA"/>
        </w:rPr>
        <w:t>s</w:t>
      </w:r>
      <w:r w:rsidR="00A8761E" w:rsidRPr="00BD22C2">
        <w:rPr>
          <w:lang w:val="fr-CA"/>
        </w:rPr>
        <w:t xml:space="preserve"> à la rigidité des normes de genre</w:t>
      </w:r>
      <w:r w:rsidR="008D0179" w:rsidRPr="00BD22C2">
        <w:rPr>
          <w:lang w:val="fr-CA"/>
        </w:rPr>
        <w:t xml:space="preserve"> et de sexualités</w:t>
      </w:r>
      <w:r w:rsidR="00A8761E" w:rsidRPr="00BD22C2">
        <w:rPr>
          <w:lang w:val="fr-CA"/>
        </w:rPr>
        <w:t>.</w:t>
      </w:r>
      <w:r w:rsidR="00D16E8C" w:rsidRPr="00BD22C2">
        <w:rPr>
          <w:lang w:val="fr-CA"/>
        </w:rPr>
        <w:t xml:space="preserve"> </w:t>
      </w:r>
      <w:r w:rsidR="00A90CD3" w:rsidRPr="00BD22C2">
        <w:rPr>
          <w:lang w:val="fr-CA"/>
        </w:rPr>
        <w:t>En vertu de celles-ci, il est par</w:t>
      </w:r>
      <w:r w:rsidR="005C09AF" w:rsidRPr="00BD22C2">
        <w:rPr>
          <w:lang w:val="fr-CA"/>
        </w:rPr>
        <w:t xml:space="preserve"> exemple attendu qu’une</w:t>
      </w:r>
      <w:r w:rsidR="00777BA6" w:rsidRPr="00BD22C2">
        <w:rPr>
          <w:lang w:val="fr-CA"/>
        </w:rPr>
        <w:t xml:space="preserve"> personne </w:t>
      </w:r>
      <w:r w:rsidR="00025134" w:rsidRPr="00BD22C2">
        <w:rPr>
          <w:lang w:val="fr-CA"/>
        </w:rPr>
        <w:t>assignée au</w:t>
      </w:r>
      <w:r w:rsidR="00A245AB" w:rsidRPr="00BD22C2">
        <w:rPr>
          <w:lang w:val="fr-CA"/>
        </w:rPr>
        <w:t xml:space="preserve"> sexe féminin </w:t>
      </w:r>
      <w:r w:rsidR="00EE3EA5" w:rsidRPr="00BD22C2">
        <w:rPr>
          <w:lang w:val="fr-CA"/>
        </w:rPr>
        <w:t xml:space="preserve">à la naissance </w:t>
      </w:r>
      <w:r w:rsidR="00565ACB" w:rsidRPr="00BD22C2">
        <w:rPr>
          <w:lang w:val="fr-CA"/>
        </w:rPr>
        <w:t>s’</w:t>
      </w:r>
      <w:r w:rsidR="005076F6" w:rsidRPr="00BD22C2">
        <w:rPr>
          <w:lang w:val="fr-CA"/>
        </w:rPr>
        <w:t>identifie comme femme</w:t>
      </w:r>
      <w:r w:rsidR="007A4D85" w:rsidRPr="00BD22C2">
        <w:rPr>
          <w:lang w:val="fr-CA"/>
        </w:rPr>
        <w:t xml:space="preserve">, se présente </w:t>
      </w:r>
      <w:r w:rsidR="00DD29C9" w:rsidRPr="00BD22C2">
        <w:rPr>
          <w:lang w:val="fr-CA"/>
        </w:rPr>
        <w:t xml:space="preserve">suivant </w:t>
      </w:r>
      <w:r w:rsidR="00D1632E" w:rsidRPr="00BD22C2">
        <w:rPr>
          <w:lang w:val="fr-CA"/>
        </w:rPr>
        <w:t>les stéréotypes de la féminité</w:t>
      </w:r>
      <w:r w:rsidR="00DD29C9" w:rsidRPr="00BD22C2">
        <w:rPr>
          <w:lang w:val="fr-CA"/>
        </w:rPr>
        <w:t xml:space="preserve"> et </w:t>
      </w:r>
      <w:r w:rsidR="005076F6" w:rsidRPr="00BD22C2">
        <w:rPr>
          <w:lang w:val="fr-CA"/>
        </w:rPr>
        <w:t xml:space="preserve">soit attirée par les hommes. </w:t>
      </w:r>
      <w:r w:rsidR="004A2567" w:rsidRPr="00BD22C2">
        <w:rPr>
          <w:lang w:val="fr-CA"/>
        </w:rPr>
        <w:t xml:space="preserve">Toute personne déviant de cet alignement est susceptible d’être marginalisée à différents degrés. </w:t>
      </w:r>
      <w:r w:rsidRPr="00BD22C2">
        <w:rPr>
          <w:lang w:val="fr-CA"/>
        </w:rPr>
        <w:t>Ce</w:t>
      </w:r>
      <w:r w:rsidR="00E956EA" w:rsidRPr="00BD22C2">
        <w:rPr>
          <w:lang w:val="fr-CA"/>
        </w:rPr>
        <w:t>s</w:t>
      </w:r>
      <w:r w:rsidRPr="00BD22C2">
        <w:rPr>
          <w:lang w:val="fr-CA"/>
        </w:rPr>
        <w:t xml:space="preserve"> </w:t>
      </w:r>
      <w:r w:rsidR="00E956EA" w:rsidRPr="00BD22C2">
        <w:rPr>
          <w:lang w:val="fr-CA"/>
        </w:rPr>
        <w:t>normes</w:t>
      </w:r>
      <w:r w:rsidRPr="00BD22C2">
        <w:rPr>
          <w:lang w:val="fr-CA"/>
        </w:rPr>
        <w:t xml:space="preserve"> </w:t>
      </w:r>
      <w:r w:rsidR="009C04CB" w:rsidRPr="00BD22C2">
        <w:rPr>
          <w:lang w:val="fr-CA"/>
        </w:rPr>
        <w:t xml:space="preserve">de genre et de sexualités </w:t>
      </w:r>
      <w:r w:rsidRPr="00BD22C2">
        <w:rPr>
          <w:lang w:val="fr-CA"/>
        </w:rPr>
        <w:t>explique</w:t>
      </w:r>
      <w:r w:rsidR="00E956EA" w:rsidRPr="00BD22C2">
        <w:rPr>
          <w:lang w:val="fr-CA"/>
        </w:rPr>
        <w:t>nt</w:t>
      </w:r>
      <w:r w:rsidRPr="00BD22C2">
        <w:rPr>
          <w:lang w:val="fr-CA"/>
        </w:rPr>
        <w:t xml:space="preserve"> pourquoi certains stéréotypes visant le</w:t>
      </w:r>
      <w:r w:rsidR="00D34E24" w:rsidRPr="00BD22C2">
        <w:rPr>
          <w:lang w:val="fr-CA"/>
        </w:rPr>
        <w:t>s personnes LGB</w:t>
      </w:r>
      <w:r w:rsidRPr="00BD22C2">
        <w:rPr>
          <w:lang w:val="fr-CA"/>
        </w:rPr>
        <w:t xml:space="preserve"> sont aussi mobilisés contre </w:t>
      </w:r>
      <w:r w:rsidR="00D34E24" w:rsidRPr="00BD22C2">
        <w:rPr>
          <w:lang w:val="fr-CA"/>
        </w:rPr>
        <w:t>les personnes trans et non binaires</w:t>
      </w:r>
      <w:r w:rsidRPr="00BD22C2">
        <w:rPr>
          <w:lang w:val="fr-CA"/>
        </w:rPr>
        <w:t xml:space="preserve">. Ces groupes ont également en commun d’avoir tardivement vu leur existence reconnue et respectée. Revisiter </w:t>
      </w:r>
      <w:r w:rsidR="00F46E9F" w:rsidRPr="00BD22C2">
        <w:rPr>
          <w:lang w:val="fr-CA"/>
        </w:rPr>
        <w:t>certain</w:t>
      </w:r>
      <w:r w:rsidR="00197528" w:rsidRPr="00BD22C2">
        <w:rPr>
          <w:lang w:val="fr-CA"/>
        </w:rPr>
        <w:t xml:space="preserve">es tendances traversant cette </w:t>
      </w:r>
      <w:r w:rsidR="00883104" w:rsidRPr="00BD22C2">
        <w:rPr>
          <w:lang w:val="fr-CA"/>
        </w:rPr>
        <w:t xml:space="preserve">histoire </w:t>
      </w:r>
      <w:r w:rsidRPr="00BD22C2">
        <w:rPr>
          <w:lang w:val="fr-CA"/>
        </w:rPr>
        <w:t>pourrait s’avérer salutaire pour la réalisation du droit à l’égalité des personnes trans et non binaires garanti par la Charte.</w:t>
      </w:r>
    </w:p>
    <w:p w14:paraId="6FF825C7" w14:textId="77777777" w:rsidR="006637BD" w:rsidRPr="00BD22C2" w:rsidRDefault="006637BD" w:rsidP="00EF1CB2">
      <w:pPr>
        <w:pStyle w:val="Titre2"/>
      </w:pPr>
      <w:bookmarkStart w:id="41" w:name="_Toc165301011"/>
      <w:bookmarkStart w:id="42" w:name="_Toc165636094"/>
      <w:r w:rsidRPr="00BD22C2">
        <w:lastRenderedPageBreak/>
        <w:t>Les personnes trans existent depuis longtemps</w:t>
      </w:r>
      <w:bookmarkEnd w:id="41"/>
      <w:bookmarkEnd w:id="42"/>
    </w:p>
    <w:p w14:paraId="64C816D8" w14:textId="6299FD8E" w:rsidR="00591C61" w:rsidRPr="00C666CA" w:rsidRDefault="00540BE9" w:rsidP="00622F2F">
      <w:pPr>
        <w:pStyle w:val="Paragraphe"/>
        <w:rPr>
          <w:lang w:val="fr-CA"/>
        </w:rPr>
      </w:pPr>
      <w:r w:rsidRPr="00C666CA">
        <w:rPr>
          <w:lang w:val="fr-CA"/>
        </w:rPr>
        <w:t xml:space="preserve">Il convient d’emblée de prendre acte de l’évolution </w:t>
      </w:r>
      <w:r w:rsidR="00874A3E" w:rsidRPr="00C666CA">
        <w:rPr>
          <w:lang w:val="fr-CA"/>
        </w:rPr>
        <w:t xml:space="preserve">de </w:t>
      </w:r>
      <w:r w:rsidRPr="00C666CA">
        <w:rPr>
          <w:lang w:val="fr-CA"/>
        </w:rPr>
        <w:t>la compréhension de</w:t>
      </w:r>
      <w:r w:rsidR="002356A5" w:rsidRPr="00C666CA">
        <w:rPr>
          <w:lang w:val="fr-CA"/>
        </w:rPr>
        <w:t>s transidentités et, incidemment, des termes employés pour en parler. Ainsi, le «</w:t>
      </w:r>
      <w:r w:rsidR="00444FEB">
        <w:rPr>
          <w:lang w:val="fr-CA"/>
        </w:rPr>
        <w:t> </w:t>
      </w:r>
      <w:r w:rsidR="002356A5" w:rsidRPr="00C666CA">
        <w:rPr>
          <w:lang w:val="fr-CA"/>
        </w:rPr>
        <w:t>T</w:t>
      </w:r>
      <w:r w:rsidR="00444FEB">
        <w:rPr>
          <w:lang w:val="fr-CA"/>
        </w:rPr>
        <w:t> </w:t>
      </w:r>
      <w:r w:rsidR="002356A5" w:rsidRPr="00C666CA">
        <w:rPr>
          <w:lang w:val="fr-CA"/>
        </w:rPr>
        <w:t>»</w:t>
      </w:r>
      <w:r w:rsidR="009F08C0" w:rsidRPr="00C666CA">
        <w:rPr>
          <w:lang w:val="fr-CA"/>
        </w:rPr>
        <w:t xml:space="preserve"> dans l</w:t>
      </w:r>
      <w:r w:rsidR="007105D2" w:rsidRPr="00C666CA">
        <w:rPr>
          <w:lang w:val="fr-CA"/>
        </w:rPr>
        <w:t>’acronyme</w:t>
      </w:r>
      <w:r w:rsidR="009F08C0" w:rsidRPr="00C666CA">
        <w:rPr>
          <w:lang w:val="fr-CA"/>
        </w:rPr>
        <w:t xml:space="preserve"> LGBTQ+ a</w:t>
      </w:r>
      <w:r w:rsidR="006410B4" w:rsidRPr="00C666CA">
        <w:rPr>
          <w:lang w:val="fr-CA"/>
        </w:rPr>
        <w:t xml:space="preserve">, au fil des années, désigné </w:t>
      </w:r>
      <w:r w:rsidR="00557A83" w:rsidRPr="00C666CA">
        <w:rPr>
          <w:lang w:val="fr-CA"/>
        </w:rPr>
        <w:t>différent</w:t>
      </w:r>
      <w:r w:rsidR="00DA2004" w:rsidRPr="00C666CA">
        <w:rPr>
          <w:lang w:val="fr-CA"/>
        </w:rPr>
        <w:t xml:space="preserve">es réalités. </w:t>
      </w:r>
      <w:r w:rsidR="00433E7E" w:rsidRPr="00C666CA">
        <w:rPr>
          <w:lang w:val="fr-CA"/>
        </w:rPr>
        <w:t>Des</w:t>
      </w:r>
      <w:r w:rsidR="009701E8" w:rsidRPr="00C666CA">
        <w:rPr>
          <w:lang w:val="fr-CA"/>
        </w:rPr>
        <w:t xml:space="preserve"> années</w:t>
      </w:r>
      <w:r w:rsidR="0091080B">
        <w:rPr>
          <w:lang w:val="fr-CA"/>
        </w:rPr>
        <w:t> </w:t>
      </w:r>
      <w:r w:rsidR="009701E8" w:rsidRPr="00C666CA">
        <w:rPr>
          <w:lang w:val="fr-CA"/>
        </w:rPr>
        <w:t>1950 jusqu</w:t>
      </w:r>
      <w:r w:rsidR="000F3FAF" w:rsidRPr="00C666CA">
        <w:rPr>
          <w:lang w:val="fr-CA"/>
        </w:rPr>
        <w:t>e vers le</w:t>
      </w:r>
      <w:r w:rsidR="009701E8" w:rsidRPr="00C666CA">
        <w:rPr>
          <w:lang w:val="fr-CA"/>
        </w:rPr>
        <w:t xml:space="preserve"> début</w:t>
      </w:r>
      <w:r w:rsidR="006E29C8" w:rsidRPr="00C666CA">
        <w:rPr>
          <w:lang w:val="fr-CA"/>
        </w:rPr>
        <w:t xml:space="preserve"> des années</w:t>
      </w:r>
      <w:r w:rsidR="0091080B">
        <w:rPr>
          <w:lang w:val="fr-CA"/>
        </w:rPr>
        <w:t> </w:t>
      </w:r>
      <w:r w:rsidR="00255527" w:rsidRPr="00C666CA">
        <w:rPr>
          <w:lang w:val="fr-CA"/>
        </w:rPr>
        <w:t>2010</w:t>
      </w:r>
      <w:r w:rsidR="006E29C8" w:rsidRPr="00C666CA">
        <w:rPr>
          <w:lang w:val="fr-CA"/>
        </w:rPr>
        <w:t>, le terme «</w:t>
      </w:r>
      <w:r w:rsidR="00444FEB">
        <w:rPr>
          <w:lang w:val="fr-CA"/>
        </w:rPr>
        <w:t> </w:t>
      </w:r>
      <w:r w:rsidR="006E29C8" w:rsidRPr="00C666CA">
        <w:rPr>
          <w:lang w:val="fr-CA"/>
        </w:rPr>
        <w:t>transsexuel</w:t>
      </w:r>
      <w:r w:rsidR="00444FEB">
        <w:rPr>
          <w:lang w:val="fr-CA"/>
        </w:rPr>
        <w:t> </w:t>
      </w:r>
      <w:r w:rsidR="007800B5" w:rsidRPr="00C666CA">
        <w:rPr>
          <w:lang w:val="fr-CA"/>
        </w:rPr>
        <w:t>»</w:t>
      </w:r>
      <w:r w:rsidR="00095DF2" w:rsidRPr="00C666CA">
        <w:rPr>
          <w:lang w:val="fr-CA"/>
        </w:rPr>
        <w:t xml:space="preserve"> ou «</w:t>
      </w:r>
      <w:r w:rsidR="00444FEB">
        <w:rPr>
          <w:lang w:val="fr-CA"/>
        </w:rPr>
        <w:t> </w:t>
      </w:r>
      <w:r w:rsidR="00095DF2" w:rsidRPr="00C666CA">
        <w:rPr>
          <w:lang w:val="fr-CA"/>
        </w:rPr>
        <w:t>transsexuelle</w:t>
      </w:r>
      <w:r w:rsidR="00444FEB">
        <w:rPr>
          <w:lang w:val="fr-CA"/>
        </w:rPr>
        <w:t> </w:t>
      </w:r>
      <w:r w:rsidR="00095DF2" w:rsidRPr="00C666CA">
        <w:rPr>
          <w:lang w:val="fr-CA"/>
        </w:rPr>
        <w:t>»</w:t>
      </w:r>
      <w:r w:rsidR="007800B5" w:rsidRPr="00C666CA">
        <w:rPr>
          <w:lang w:val="fr-CA"/>
        </w:rPr>
        <w:t xml:space="preserve"> a été</w:t>
      </w:r>
      <w:r w:rsidR="00156892" w:rsidRPr="00C666CA">
        <w:rPr>
          <w:lang w:val="fr-CA"/>
        </w:rPr>
        <w:t xml:space="preserve"> </w:t>
      </w:r>
      <w:r w:rsidR="004E4201" w:rsidRPr="00C666CA">
        <w:rPr>
          <w:lang w:val="fr-CA"/>
        </w:rPr>
        <w:t>davantage</w:t>
      </w:r>
      <w:r w:rsidR="007800B5" w:rsidRPr="00C666CA">
        <w:rPr>
          <w:lang w:val="fr-CA"/>
        </w:rPr>
        <w:t xml:space="preserve"> utilisé </w:t>
      </w:r>
      <w:r w:rsidR="00A015EA" w:rsidRPr="00C666CA">
        <w:rPr>
          <w:lang w:val="fr-CA"/>
        </w:rPr>
        <w:t>pour désigner une personne dont l’identité de genre diffère de celle associée au sexe qui lui a été assigné à la naissance</w:t>
      </w:r>
      <w:bookmarkStart w:id="43" w:name="_Ref167270520"/>
      <w:r w:rsidR="00DA1488" w:rsidRPr="00BD22C2">
        <w:rPr>
          <w:rStyle w:val="Appeldenotedefin"/>
        </w:rPr>
        <w:endnoteReference w:id="68"/>
      </w:r>
      <w:bookmarkEnd w:id="43"/>
      <w:r w:rsidR="00DA1488" w:rsidRPr="00C666CA">
        <w:rPr>
          <w:lang w:val="fr-CA"/>
        </w:rPr>
        <w:t>. Une</w:t>
      </w:r>
      <w:r w:rsidR="002C404A" w:rsidRPr="00C666CA">
        <w:rPr>
          <w:lang w:val="fr-CA"/>
        </w:rPr>
        <w:t xml:space="preserve"> telle</w:t>
      </w:r>
      <w:r w:rsidR="00DA1488" w:rsidRPr="00C666CA">
        <w:rPr>
          <w:lang w:val="fr-CA"/>
        </w:rPr>
        <w:t xml:space="preserve"> personne est</w:t>
      </w:r>
      <w:r w:rsidR="00A015EA" w:rsidRPr="00C666CA">
        <w:rPr>
          <w:lang w:val="fr-CA"/>
        </w:rPr>
        <w:t xml:space="preserve"> </w:t>
      </w:r>
      <w:r w:rsidR="008E388B" w:rsidRPr="00C666CA">
        <w:rPr>
          <w:lang w:val="fr-CA"/>
        </w:rPr>
        <w:t>alors</w:t>
      </w:r>
      <w:r w:rsidR="00DA1488" w:rsidRPr="00C666CA">
        <w:rPr>
          <w:lang w:val="fr-CA"/>
        </w:rPr>
        <w:t xml:space="preserve"> généralement comprise comme ayant entrepris une transition physique d’affirmation de genre pouvant inclure des interventions médicales ou chirurgicales. Ce terme est d’ailleurs toujours utilisé par certaines personnes trans, bien qu’il puisse être perçu comme étant péjoratif par d’autres</w:t>
      </w:r>
      <w:r w:rsidR="00DA1488" w:rsidRPr="00BD22C2">
        <w:rPr>
          <w:rStyle w:val="Appeldenotedefin"/>
        </w:rPr>
        <w:endnoteReference w:id="69"/>
      </w:r>
      <w:r w:rsidR="00DA1488" w:rsidRPr="00C666CA">
        <w:rPr>
          <w:lang w:val="fr-CA"/>
        </w:rPr>
        <w:t>. Les notions de «</w:t>
      </w:r>
      <w:r w:rsidR="00444FEB">
        <w:rPr>
          <w:lang w:val="fr-CA"/>
        </w:rPr>
        <w:t> </w:t>
      </w:r>
      <w:r w:rsidR="00DA1488" w:rsidRPr="00C666CA">
        <w:rPr>
          <w:lang w:val="fr-CA"/>
        </w:rPr>
        <w:t>transsexualisme</w:t>
      </w:r>
      <w:r w:rsidR="00444FEB">
        <w:rPr>
          <w:lang w:val="fr-CA"/>
        </w:rPr>
        <w:t> </w:t>
      </w:r>
      <w:r w:rsidR="00DA1488" w:rsidRPr="00C666CA">
        <w:rPr>
          <w:lang w:val="fr-CA"/>
        </w:rPr>
        <w:t>» et de «</w:t>
      </w:r>
      <w:r w:rsidR="00444FEB">
        <w:rPr>
          <w:lang w:val="fr-CA"/>
        </w:rPr>
        <w:t> </w:t>
      </w:r>
      <w:r w:rsidR="00DA1488" w:rsidRPr="00C666CA">
        <w:rPr>
          <w:lang w:val="fr-CA"/>
        </w:rPr>
        <w:t>transsexualité</w:t>
      </w:r>
      <w:r w:rsidR="00444FEB">
        <w:rPr>
          <w:lang w:val="fr-CA"/>
        </w:rPr>
        <w:t> </w:t>
      </w:r>
      <w:r w:rsidR="00DA1488" w:rsidRPr="00C666CA">
        <w:rPr>
          <w:lang w:val="fr-CA"/>
        </w:rPr>
        <w:t>» ont été étroitement associées à une conception médicale du phénomène</w:t>
      </w:r>
      <w:r w:rsidR="00DA1488" w:rsidRPr="00BD22C2">
        <w:rPr>
          <w:rStyle w:val="Appeldenotedefin"/>
        </w:rPr>
        <w:endnoteReference w:id="70"/>
      </w:r>
      <w:r w:rsidR="00DA1488" w:rsidRPr="00C666CA">
        <w:rPr>
          <w:lang w:val="fr-CA"/>
        </w:rPr>
        <w:t xml:space="preserve">. </w:t>
      </w:r>
      <w:r w:rsidR="00352A0F" w:rsidRPr="00C666CA">
        <w:rPr>
          <w:lang w:val="fr-CA"/>
        </w:rPr>
        <w:t>L’expression «</w:t>
      </w:r>
      <w:r w:rsidR="00444FEB">
        <w:rPr>
          <w:lang w:val="fr-CA"/>
        </w:rPr>
        <w:t> </w:t>
      </w:r>
      <w:r w:rsidR="00352A0F" w:rsidRPr="00C666CA">
        <w:rPr>
          <w:lang w:val="fr-CA"/>
        </w:rPr>
        <w:t>identité sexuelle</w:t>
      </w:r>
      <w:r w:rsidR="00444FEB">
        <w:rPr>
          <w:lang w:val="fr-CA"/>
        </w:rPr>
        <w:t> </w:t>
      </w:r>
      <w:r w:rsidR="00352A0F" w:rsidRPr="00C666CA">
        <w:rPr>
          <w:lang w:val="fr-CA"/>
        </w:rPr>
        <w:t>»</w:t>
      </w:r>
      <w:r w:rsidR="005642DA" w:rsidRPr="00C666CA">
        <w:rPr>
          <w:lang w:val="fr-CA"/>
        </w:rPr>
        <w:t xml:space="preserve"> tend aussi</w:t>
      </w:r>
      <w:r w:rsidR="00BA7F0D" w:rsidRPr="00C666CA">
        <w:rPr>
          <w:lang w:val="fr-CA"/>
        </w:rPr>
        <w:t xml:space="preserve"> à être remplacée par «</w:t>
      </w:r>
      <w:r w:rsidR="00444FEB">
        <w:rPr>
          <w:lang w:val="fr-CA"/>
        </w:rPr>
        <w:t> </w:t>
      </w:r>
      <w:r w:rsidR="00BA7F0D" w:rsidRPr="00C666CA">
        <w:rPr>
          <w:lang w:val="fr-CA"/>
        </w:rPr>
        <w:t>identité de genre</w:t>
      </w:r>
      <w:r w:rsidR="00444FEB">
        <w:rPr>
          <w:lang w:val="fr-CA"/>
        </w:rPr>
        <w:t> </w:t>
      </w:r>
      <w:r w:rsidR="00BA7F0D" w:rsidRPr="00C666CA">
        <w:rPr>
          <w:lang w:val="fr-CA"/>
        </w:rPr>
        <w:t>»</w:t>
      </w:r>
      <w:r w:rsidR="00A05811" w:rsidRPr="00C666CA">
        <w:rPr>
          <w:lang w:val="fr-CA"/>
        </w:rPr>
        <w:t xml:space="preserve"> </w:t>
      </w:r>
      <w:r w:rsidR="005642DA" w:rsidRPr="00C666CA">
        <w:rPr>
          <w:lang w:val="fr-CA"/>
        </w:rPr>
        <w:t xml:space="preserve">parce </w:t>
      </w:r>
      <w:r w:rsidR="007E131F" w:rsidRPr="00C666CA">
        <w:rPr>
          <w:lang w:val="fr-CA"/>
        </w:rPr>
        <w:t xml:space="preserve">que </w:t>
      </w:r>
      <w:r w:rsidR="00BA7F0D" w:rsidRPr="00C666CA">
        <w:rPr>
          <w:lang w:val="fr-CA"/>
        </w:rPr>
        <w:t>la première laisse entendre que</w:t>
      </w:r>
      <w:r w:rsidR="005642DA" w:rsidRPr="00C666CA">
        <w:rPr>
          <w:lang w:val="fr-CA"/>
        </w:rPr>
        <w:t xml:space="preserve"> l’identité découle</w:t>
      </w:r>
      <w:r w:rsidR="003B0C2D" w:rsidRPr="00C666CA">
        <w:rPr>
          <w:lang w:val="fr-CA"/>
        </w:rPr>
        <w:t>rait</w:t>
      </w:r>
      <w:r w:rsidR="00BA7F0D" w:rsidRPr="00C666CA">
        <w:rPr>
          <w:lang w:val="fr-CA"/>
        </w:rPr>
        <w:t xml:space="preserve"> mécaniquement</w:t>
      </w:r>
      <w:r w:rsidR="005642DA" w:rsidRPr="00C666CA">
        <w:rPr>
          <w:lang w:val="fr-CA"/>
        </w:rPr>
        <w:t xml:space="preserve"> des attributs biologiques.</w:t>
      </w:r>
    </w:p>
    <w:p w14:paraId="75EEE920" w14:textId="7216DF9B" w:rsidR="002B5510" w:rsidRPr="00C666CA" w:rsidRDefault="00591C61" w:rsidP="00622F2F">
      <w:pPr>
        <w:pStyle w:val="Paragraphe"/>
        <w:rPr>
          <w:lang w:val="fr-CA"/>
        </w:rPr>
      </w:pPr>
      <w:r w:rsidRPr="00C666CA">
        <w:rPr>
          <w:lang w:val="fr-CA"/>
        </w:rPr>
        <w:t>Parallèlement</w:t>
      </w:r>
      <w:r w:rsidR="00DA1488" w:rsidRPr="00C666CA">
        <w:rPr>
          <w:lang w:val="fr-CA"/>
        </w:rPr>
        <w:t>, le terme «</w:t>
      </w:r>
      <w:r w:rsidR="00444FEB">
        <w:rPr>
          <w:lang w:val="fr-CA"/>
        </w:rPr>
        <w:t> </w:t>
      </w:r>
      <w:r w:rsidR="00DA1488" w:rsidRPr="00C666CA">
        <w:rPr>
          <w:lang w:val="fr-CA"/>
        </w:rPr>
        <w:t>transgenre</w:t>
      </w:r>
      <w:r w:rsidR="00444FEB">
        <w:rPr>
          <w:lang w:val="fr-CA"/>
        </w:rPr>
        <w:t> </w:t>
      </w:r>
      <w:r w:rsidR="00DA1488" w:rsidRPr="00C666CA">
        <w:rPr>
          <w:lang w:val="fr-CA"/>
        </w:rPr>
        <w:t>» a été mis de l’avant par des personnes concernées pour souligner que le processus d’affirmation de genre ne passe pas nécessairement ou uniquement par des transformations corporelles. L’appellation «</w:t>
      </w:r>
      <w:r w:rsidR="00444FEB">
        <w:rPr>
          <w:lang w:val="fr-CA"/>
        </w:rPr>
        <w:t> </w:t>
      </w:r>
      <w:r w:rsidR="00DA1488" w:rsidRPr="00C666CA">
        <w:rPr>
          <w:lang w:val="fr-CA"/>
        </w:rPr>
        <w:t>personne trans</w:t>
      </w:r>
      <w:r w:rsidR="00444FEB">
        <w:rPr>
          <w:lang w:val="fr-CA"/>
        </w:rPr>
        <w:t> </w:t>
      </w:r>
      <w:r w:rsidR="00DA1488" w:rsidRPr="00C666CA">
        <w:rPr>
          <w:lang w:val="fr-CA"/>
        </w:rPr>
        <w:t>» est désormais aussi utilisée comme terme générique pour désigner toutes les personnes ne s’identifiant pas au sexe qui leur a été assigné à la naissance</w:t>
      </w:r>
      <w:r w:rsidR="00DA1488" w:rsidRPr="00BD22C2">
        <w:rPr>
          <w:rStyle w:val="Appeldenotedefin"/>
        </w:rPr>
        <w:endnoteReference w:id="71"/>
      </w:r>
      <w:r w:rsidR="00DA1488" w:rsidRPr="00C666CA">
        <w:rPr>
          <w:lang w:val="fr-CA"/>
        </w:rPr>
        <w:t xml:space="preserve">. </w:t>
      </w:r>
      <w:r w:rsidR="00A55A30" w:rsidRPr="00C666CA">
        <w:rPr>
          <w:lang w:val="fr-CA"/>
        </w:rPr>
        <w:t>En ce sens, l</w:t>
      </w:r>
      <w:r w:rsidR="00DA1488" w:rsidRPr="00C666CA">
        <w:rPr>
          <w:lang w:val="fr-CA"/>
        </w:rPr>
        <w:t>a désignation «</w:t>
      </w:r>
      <w:r w:rsidR="00444FEB">
        <w:rPr>
          <w:lang w:val="fr-CA"/>
        </w:rPr>
        <w:t> </w:t>
      </w:r>
      <w:r w:rsidR="00DA1488" w:rsidRPr="00C666CA">
        <w:rPr>
          <w:lang w:val="fr-CA"/>
        </w:rPr>
        <w:t>personne trans</w:t>
      </w:r>
      <w:r w:rsidR="00444FEB">
        <w:rPr>
          <w:lang w:val="fr-CA"/>
        </w:rPr>
        <w:t> </w:t>
      </w:r>
      <w:r w:rsidR="00DA1488" w:rsidRPr="00C666CA">
        <w:rPr>
          <w:lang w:val="fr-CA"/>
        </w:rPr>
        <w:t xml:space="preserve">» peut </w:t>
      </w:r>
      <w:r w:rsidR="00717D5B" w:rsidRPr="00C666CA">
        <w:rPr>
          <w:lang w:val="fr-CA"/>
        </w:rPr>
        <w:t>également</w:t>
      </w:r>
      <w:r w:rsidR="00DA1488" w:rsidRPr="00C666CA">
        <w:rPr>
          <w:lang w:val="fr-CA"/>
        </w:rPr>
        <w:t xml:space="preserve"> inclure les personnes non binaires, soit les personnes </w:t>
      </w:r>
      <w:r w:rsidR="00A55A30" w:rsidRPr="00C666CA">
        <w:rPr>
          <w:lang w:val="fr-CA"/>
        </w:rPr>
        <w:t xml:space="preserve">qui </w:t>
      </w:r>
      <w:r w:rsidR="00DA1488" w:rsidRPr="00C666CA">
        <w:rPr>
          <w:lang w:val="fr-CA"/>
        </w:rPr>
        <w:t>ne se reconnaiss</w:t>
      </w:r>
      <w:r w:rsidR="00A55A30" w:rsidRPr="00C666CA">
        <w:rPr>
          <w:lang w:val="fr-CA"/>
        </w:rPr>
        <w:t>e</w:t>
      </w:r>
      <w:r w:rsidR="00DA1488" w:rsidRPr="00C666CA">
        <w:rPr>
          <w:lang w:val="fr-CA"/>
        </w:rPr>
        <w:t>nt pas strictement dans les genres masculin et féminin ou ne s’identifi</w:t>
      </w:r>
      <w:r w:rsidR="00C60C76" w:rsidRPr="00C666CA">
        <w:rPr>
          <w:lang w:val="fr-CA"/>
        </w:rPr>
        <w:t>e</w:t>
      </w:r>
      <w:r w:rsidR="00DA1488" w:rsidRPr="00C666CA">
        <w:rPr>
          <w:lang w:val="fr-CA"/>
        </w:rPr>
        <w:t>nt à aucun genre</w:t>
      </w:r>
      <w:r w:rsidR="00DA1488" w:rsidRPr="00BD22C2">
        <w:rPr>
          <w:rStyle w:val="Appeldenotedefin"/>
        </w:rPr>
        <w:endnoteReference w:id="72"/>
      </w:r>
      <w:r w:rsidR="00DA1488" w:rsidRPr="00C666CA">
        <w:rPr>
          <w:lang w:val="fr-CA"/>
        </w:rPr>
        <w:t>.</w:t>
      </w:r>
      <w:r w:rsidR="0036399E" w:rsidRPr="00C666CA">
        <w:rPr>
          <w:lang w:val="fr-CA"/>
        </w:rPr>
        <w:t xml:space="preserve"> Toutes les personnes non binaires ne se considèrent toutefois pas comme des personnes trans.</w:t>
      </w:r>
      <w:r w:rsidR="00CA6A33" w:rsidRPr="00C666CA">
        <w:rPr>
          <w:lang w:val="fr-CA"/>
        </w:rPr>
        <w:t xml:space="preserve"> </w:t>
      </w:r>
      <w:r w:rsidR="004955EA" w:rsidRPr="00C666CA">
        <w:rPr>
          <w:lang w:val="fr-CA"/>
        </w:rPr>
        <w:t>L’expression «</w:t>
      </w:r>
      <w:r w:rsidR="00444FEB">
        <w:rPr>
          <w:lang w:val="fr-CA"/>
        </w:rPr>
        <w:t> </w:t>
      </w:r>
      <w:r w:rsidR="004955EA" w:rsidRPr="00C666CA">
        <w:rPr>
          <w:lang w:val="fr-CA"/>
        </w:rPr>
        <w:t>personnes trans et non binaires</w:t>
      </w:r>
      <w:r w:rsidR="00444FEB">
        <w:rPr>
          <w:lang w:val="fr-CA"/>
        </w:rPr>
        <w:t> </w:t>
      </w:r>
      <w:r w:rsidR="004955EA" w:rsidRPr="00C666CA">
        <w:rPr>
          <w:lang w:val="fr-CA"/>
        </w:rPr>
        <w:t xml:space="preserve">» est par ailleurs souvent </w:t>
      </w:r>
      <w:r w:rsidR="0064629F" w:rsidRPr="00C666CA">
        <w:rPr>
          <w:lang w:val="fr-CA"/>
        </w:rPr>
        <w:t>employée</w:t>
      </w:r>
      <w:r w:rsidR="004955EA" w:rsidRPr="00C666CA">
        <w:rPr>
          <w:lang w:val="fr-CA"/>
        </w:rPr>
        <w:t xml:space="preserve"> pour visibiliser les réalités </w:t>
      </w:r>
      <w:r w:rsidR="004954E7" w:rsidRPr="00C666CA">
        <w:rPr>
          <w:lang w:val="fr-CA"/>
        </w:rPr>
        <w:t>qui peuvent être spécifiques aux personnes trans et aux personnes non binaires.</w:t>
      </w:r>
      <w:r w:rsidR="00353833" w:rsidRPr="00C666CA">
        <w:rPr>
          <w:lang w:val="fr-CA"/>
        </w:rPr>
        <w:t xml:space="preserve"> </w:t>
      </w:r>
      <w:r w:rsidR="005E3973" w:rsidRPr="00C666CA">
        <w:rPr>
          <w:lang w:val="fr-CA"/>
        </w:rPr>
        <w:t xml:space="preserve">Ces </w:t>
      </w:r>
      <w:r w:rsidR="00A91678" w:rsidRPr="00C666CA">
        <w:rPr>
          <w:lang w:val="fr-CA"/>
        </w:rPr>
        <w:t>évolution</w:t>
      </w:r>
      <w:r w:rsidR="005E3973" w:rsidRPr="00C666CA">
        <w:rPr>
          <w:lang w:val="fr-CA"/>
        </w:rPr>
        <w:t>s termi</w:t>
      </w:r>
      <w:r w:rsidR="00A91678" w:rsidRPr="00C666CA">
        <w:rPr>
          <w:lang w:val="fr-CA"/>
        </w:rPr>
        <w:t>nologiques</w:t>
      </w:r>
      <w:r w:rsidR="009A43A5" w:rsidRPr="00C666CA">
        <w:rPr>
          <w:lang w:val="fr-CA"/>
        </w:rPr>
        <w:t xml:space="preserve"> et conceptuelles</w:t>
      </w:r>
      <w:r w:rsidR="001F4E56" w:rsidRPr="00C666CA">
        <w:rPr>
          <w:lang w:val="fr-CA"/>
        </w:rPr>
        <w:t xml:space="preserve"> assez récentes</w:t>
      </w:r>
      <w:r w:rsidR="007A5A7A" w:rsidRPr="00C666CA">
        <w:rPr>
          <w:lang w:val="fr-CA"/>
        </w:rPr>
        <w:t>,</w:t>
      </w:r>
      <w:r w:rsidR="00BC7364" w:rsidRPr="00C666CA">
        <w:rPr>
          <w:lang w:val="fr-CA"/>
        </w:rPr>
        <w:t xml:space="preserve"> qui se poursuivront </w:t>
      </w:r>
      <w:r w:rsidR="000E3FC6" w:rsidRPr="00C666CA">
        <w:rPr>
          <w:lang w:val="fr-CA"/>
        </w:rPr>
        <w:t>nécessairement</w:t>
      </w:r>
      <w:r w:rsidR="00BC7364" w:rsidRPr="00C666CA">
        <w:rPr>
          <w:lang w:val="fr-CA"/>
        </w:rPr>
        <w:t>,</w:t>
      </w:r>
      <w:r w:rsidR="007476BA" w:rsidRPr="00C666CA">
        <w:rPr>
          <w:lang w:val="fr-CA"/>
        </w:rPr>
        <w:t xml:space="preserve"> laissent davantage de place à la perspective des personnes concernées</w:t>
      </w:r>
      <w:r w:rsidR="002334E1" w:rsidRPr="00C666CA">
        <w:rPr>
          <w:lang w:val="fr-CA"/>
        </w:rPr>
        <w:t xml:space="preserve">. Elles </w:t>
      </w:r>
      <w:r w:rsidR="0010768E" w:rsidRPr="00C666CA">
        <w:rPr>
          <w:lang w:val="fr-CA"/>
        </w:rPr>
        <w:t>peuvent e</w:t>
      </w:r>
      <w:r w:rsidR="009F08DB" w:rsidRPr="00C666CA">
        <w:rPr>
          <w:lang w:val="fr-CA"/>
        </w:rPr>
        <w:t>n partie e</w:t>
      </w:r>
      <w:r w:rsidR="0010768E" w:rsidRPr="00C666CA">
        <w:rPr>
          <w:lang w:val="fr-CA"/>
        </w:rPr>
        <w:t xml:space="preserve">xpliquer </w:t>
      </w:r>
      <w:r w:rsidR="00F91866" w:rsidRPr="00C666CA">
        <w:rPr>
          <w:lang w:val="fr-CA"/>
        </w:rPr>
        <w:t>des décalages dans la compréhension</w:t>
      </w:r>
      <w:r w:rsidR="00254618" w:rsidRPr="00C666CA">
        <w:rPr>
          <w:lang w:val="fr-CA"/>
        </w:rPr>
        <w:t xml:space="preserve"> de ces réalités.</w:t>
      </w:r>
    </w:p>
    <w:p w14:paraId="485B035B" w14:textId="689612B8" w:rsidR="00BF4734" w:rsidRPr="00C666CA" w:rsidRDefault="00C07E1F" w:rsidP="00622F2F">
      <w:pPr>
        <w:pStyle w:val="Paragraphe"/>
        <w:rPr>
          <w:lang w:val="fr-CA"/>
        </w:rPr>
      </w:pPr>
      <w:r w:rsidRPr="00C666CA">
        <w:rPr>
          <w:lang w:val="fr-CA"/>
        </w:rPr>
        <w:t>Not</w:t>
      </w:r>
      <w:r w:rsidR="00551F5E" w:rsidRPr="00C666CA">
        <w:rPr>
          <w:lang w:val="fr-CA"/>
        </w:rPr>
        <w:t xml:space="preserve">ons </w:t>
      </w:r>
      <w:r w:rsidR="00A9434C" w:rsidRPr="00C666CA">
        <w:rPr>
          <w:lang w:val="fr-CA"/>
        </w:rPr>
        <w:t>aussi</w:t>
      </w:r>
      <w:r w:rsidR="00551F5E" w:rsidRPr="00C666CA">
        <w:rPr>
          <w:lang w:val="fr-CA"/>
        </w:rPr>
        <w:t xml:space="preserve"> que l</w:t>
      </w:r>
      <w:r w:rsidR="006637BD" w:rsidRPr="00C666CA">
        <w:rPr>
          <w:lang w:val="fr-CA"/>
        </w:rPr>
        <w:t xml:space="preserve">es controverses en cours sur l’identité de genre peuvent laisser penser que ces réalités sont nouvelles, tout comme le dénombrement officiel des personnes trans et non binaires </w:t>
      </w:r>
      <w:r w:rsidR="00642BD7" w:rsidRPr="00C666CA">
        <w:rPr>
          <w:lang w:val="fr-CA"/>
        </w:rPr>
        <w:t>que fait</w:t>
      </w:r>
      <w:r w:rsidR="006637BD" w:rsidRPr="00C666CA">
        <w:rPr>
          <w:lang w:val="fr-CA"/>
        </w:rPr>
        <w:t xml:space="preserve"> Statistique Canada</w:t>
      </w:r>
      <w:r w:rsidR="00FC683C" w:rsidRPr="00C666CA">
        <w:rPr>
          <w:lang w:val="fr-CA"/>
        </w:rPr>
        <w:t xml:space="preserve"> depuis 2022 seulement</w:t>
      </w:r>
      <w:bookmarkStart w:id="44" w:name="_Ref167286977"/>
      <w:r w:rsidR="006637BD" w:rsidRPr="00BD22C2">
        <w:rPr>
          <w:rStyle w:val="Appeldenotedefin"/>
        </w:rPr>
        <w:endnoteReference w:id="73"/>
      </w:r>
      <w:bookmarkEnd w:id="44"/>
      <w:r w:rsidR="006637BD" w:rsidRPr="00C666CA">
        <w:rPr>
          <w:lang w:val="fr-CA"/>
        </w:rPr>
        <w:t>. Or, c’est plutôt leur reconnaissance sociale et juridique qui est relativement récente.</w:t>
      </w:r>
    </w:p>
    <w:p w14:paraId="10095BC9" w14:textId="347AA749" w:rsidR="007F7849" w:rsidRPr="00C666CA" w:rsidRDefault="006637BD" w:rsidP="00622F2F">
      <w:pPr>
        <w:pStyle w:val="Paragraphe"/>
        <w:rPr>
          <w:lang w:val="fr-CA"/>
        </w:rPr>
      </w:pPr>
      <w:r w:rsidRPr="00C666CA">
        <w:rPr>
          <w:lang w:val="fr-CA"/>
        </w:rPr>
        <w:lastRenderedPageBreak/>
        <w:t xml:space="preserve">Dans le contexte canadien, il suffit de penser aux personnes autochtones bispirituelles dont l’existence </w:t>
      </w:r>
      <w:r w:rsidR="006B7492" w:rsidRPr="00C666CA">
        <w:rPr>
          <w:lang w:val="fr-CA"/>
        </w:rPr>
        <w:t xml:space="preserve">remonte avant </w:t>
      </w:r>
      <w:r w:rsidRPr="00C666CA">
        <w:rPr>
          <w:lang w:val="fr-CA"/>
        </w:rPr>
        <w:t>la colonisation pour constater que la fluidité de genre a une longue histoire, comme l’a d’ailleurs rappelé l’Enquête nationale sur les femmes et les filles autochtones disparues et assassinées</w:t>
      </w:r>
      <w:r w:rsidRPr="00BD22C2">
        <w:rPr>
          <w:rStyle w:val="Appeldenotedefin"/>
        </w:rPr>
        <w:endnoteReference w:id="74"/>
      </w:r>
      <w:r w:rsidRPr="00C666CA">
        <w:rPr>
          <w:lang w:val="fr-CA"/>
        </w:rPr>
        <w:t xml:space="preserve">. Des historiennes et historiens ont </w:t>
      </w:r>
      <w:r w:rsidR="00A710A3" w:rsidRPr="00C666CA">
        <w:rPr>
          <w:lang w:val="fr-CA"/>
        </w:rPr>
        <w:t xml:space="preserve">également </w:t>
      </w:r>
      <w:r w:rsidRPr="00C666CA">
        <w:rPr>
          <w:lang w:val="fr-CA"/>
        </w:rPr>
        <w:t>retracé la vie de personnes trans et non binaires au cours des derniers siècles, notamment dans des archives médicales et judiciaires, soit parmi les sources où leur existence a longtemps été consignée compte tenu de la pathologisation et du profilage dont elles étaient et sont encore trop l’objet</w:t>
      </w:r>
      <w:r w:rsidRPr="00BD22C2">
        <w:rPr>
          <w:rStyle w:val="Appeldenotedefin"/>
        </w:rPr>
        <w:endnoteReference w:id="75"/>
      </w:r>
      <w:r w:rsidRPr="00C666CA">
        <w:rPr>
          <w:lang w:val="fr-CA"/>
        </w:rPr>
        <w:t>.</w:t>
      </w:r>
    </w:p>
    <w:p w14:paraId="0AC14AC1" w14:textId="77777777" w:rsidR="006637BD" w:rsidRPr="00BD22C2" w:rsidRDefault="006637BD" w:rsidP="00EF1CB2">
      <w:pPr>
        <w:pStyle w:val="Titre2"/>
      </w:pPr>
      <w:bookmarkStart w:id="45" w:name="_Toc165301012"/>
      <w:bookmarkStart w:id="46" w:name="_Toc165636095"/>
      <w:r w:rsidRPr="00BD22C2">
        <w:t>La pathologisation</w:t>
      </w:r>
      <w:bookmarkEnd w:id="45"/>
      <w:bookmarkEnd w:id="46"/>
    </w:p>
    <w:p w14:paraId="345D7454" w14:textId="15811793" w:rsidR="006637BD" w:rsidRPr="00BD22C2" w:rsidRDefault="006637BD" w:rsidP="00D45F1F">
      <w:pPr>
        <w:pStyle w:val="Paragraphe"/>
        <w:rPr>
          <w:lang w:val="fr-CA"/>
        </w:rPr>
      </w:pPr>
      <w:r w:rsidRPr="00BD22C2">
        <w:rPr>
          <w:lang w:val="fr-CA"/>
        </w:rPr>
        <w:t xml:space="preserve">Tout comme les personnes homosexuelles avant elles, les personnes trans et non binaires sont confrontées à des pratiques et discours </w:t>
      </w:r>
      <w:proofErr w:type="spellStart"/>
      <w:r w:rsidRPr="00BD22C2">
        <w:rPr>
          <w:lang w:val="fr-CA"/>
        </w:rPr>
        <w:t>pathologisants</w:t>
      </w:r>
      <w:proofErr w:type="spellEnd"/>
      <w:r w:rsidRPr="00BD22C2">
        <w:rPr>
          <w:lang w:val="fr-CA"/>
        </w:rPr>
        <w:t xml:space="preserve">, c’est-à-dire associant le fait d’être homosexuel ou trans à une maladie, généralement un trouble mental. Entre 1952 et 1987, l’Association américaine de psychiatrie a inclus, sous différentes formes, l’homosexualité dans le </w:t>
      </w:r>
      <w:r w:rsidRPr="00BD22C2">
        <w:rPr>
          <w:i/>
          <w:lang w:val="fr-CA"/>
        </w:rPr>
        <w:t>Manuel diagnostique et statistique des troubles mentaux</w:t>
      </w:r>
      <w:r w:rsidRPr="00BD22C2">
        <w:rPr>
          <w:lang w:val="fr-CA"/>
        </w:rPr>
        <w:t> (DSM)</w:t>
      </w:r>
      <w:r w:rsidRPr="00BD22C2">
        <w:rPr>
          <w:rStyle w:val="Appeldenotedefin"/>
          <w:lang w:val="fr-CA"/>
        </w:rPr>
        <w:endnoteReference w:id="76"/>
      </w:r>
      <w:r w:rsidRPr="00BD22C2">
        <w:rPr>
          <w:lang w:val="fr-CA"/>
        </w:rPr>
        <w:t xml:space="preserve">, soit l’ouvrage de référence principal utilisé en psychiatrie et psychologie en Amérique du Nord. Le retrait de l’homosexualité de cette classification en 1973 a laissé place à d’autres formes de catégorisations </w:t>
      </w:r>
      <w:proofErr w:type="spellStart"/>
      <w:r w:rsidRPr="00BD22C2">
        <w:rPr>
          <w:lang w:val="fr-CA"/>
        </w:rPr>
        <w:t>pathologisantes</w:t>
      </w:r>
      <w:proofErr w:type="spellEnd"/>
      <w:r w:rsidRPr="00BD22C2">
        <w:rPr>
          <w:lang w:val="fr-CA"/>
        </w:rPr>
        <w:t>. Le DSM a continué, jusqu’en 1987, de considérer comme u</w:t>
      </w:r>
      <w:r w:rsidR="00940279" w:rsidRPr="00BD22C2">
        <w:rPr>
          <w:lang w:val="fr-CA"/>
        </w:rPr>
        <w:t xml:space="preserve">n trouble mental </w:t>
      </w:r>
      <w:r w:rsidRPr="00BD22C2">
        <w:rPr>
          <w:lang w:val="fr-CA"/>
        </w:rPr>
        <w:t>le fait qu’une personne ressente de la détresse causée par l’attraction envers les personnes du même sexe et souhaite changer, ouvrant ainsi la voie aux «</w:t>
      </w:r>
      <w:r w:rsidR="00BB3F16" w:rsidRPr="00BD22C2">
        <w:rPr>
          <w:lang w:val="fr-CA"/>
        </w:rPr>
        <w:t> </w:t>
      </w:r>
      <w:r w:rsidRPr="00BD22C2">
        <w:rPr>
          <w:lang w:val="fr-CA"/>
        </w:rPr>
        <w:t>thérapies de conversion</w:t>
      </w:r>
      <w:r w:rsidR="00BB3F16" w:rsidRPr="00BD22C2">
        <w:rPr>
          <w:lang w:val="fr-CA"/>
        </w:rPr>
        <w:t> </w:t>
      </w:r>
      <w:r w:rsidRPr="00BD22C2">
        <w:rPr>
          <w:lang w:val="fr-CA"/>
        </w:rPr>
        <w:t>»</w:t>
      </w:r>
      <w:r w:rsidRPr="00BD22C2">
        <w:rPr>
          <w:rStyle w:val="Appeldenotedefin"/>
          <w:lang w:val="fr-CA"/>
        </w:rPr>
        <w:endnoteReference w:id="77"/>
      </w:r>
      <w:r w:rsidRPr="00BD22C2">
        <w:rPr>
          <w:lang w:val="fr-CA"/>
        </w:rPr>
        <w:t>. L’Organisation mondiale de la santé a quant à elle retiré l’homosexualité de la Classification internationale des maladies en 1990</w:t>
      </w:r>
      <w:bookmarkStart w:id="47" w:name="_Ref167272095"/>
      <w:r w:rsidRPr="00BD22C2">
        <w:rPr>
          <w:rStyle w:val="Appeldenotedefin"/>
          <w:lang w:val="fr-CA"/>
        </w:rPr>
        <w:endnoteReference w:id="78"/>
      </w:r>
      <w:bookmarkEnd w:id="47"/>
      <w:r w:rsidRPr="00BD22C2">
        <w:rPr>
          <w:lang w:val="fr-CA"/>
        </w:rPr>
        <w:t>. Des diagnostics de troubles liés au développement de l’orientation sexuelle y sont cependant demeurés jusqu’à l’adoption de la 11</w:t>
      </w:r>
      <w:r w:rsidRPr="00BD22C2">
        <w:rPr>
          <w:vertAlign w:val="superscript"/>
          <w:lang w:val="fr-CA"/>
        </w:rPr>
        <w:t>e</w:t>
      </w:r>
      <w:r w:rsidRPr="00BD22C2">
        <w:rPr>
          <w:lang w:val="fr-CA"/>
        </w:rPr>
        <w:t> version de cette classification en 2019</w:t>
      </w:r>
      <w:r w:rsidRPr="00BD22C2">
        <w:rPr>
          <w:rStyle w:val="Appeldenotedefin"/>
          <w:lang w:val="fr-CA"/>
        </w:rPr>
        <w:endnoteReference w:id="79"/>
      </w:r>
      <w:r w:rsidRPr="00BD22C2">
        <w:rPr>
          <w:lang w:val="fr-CA"/>
        </w:rPr>
        <w:t>. De telles</w:t>
      </w:r>
      <w:r w:rsidRPr="00BD22C2" w:rsidDel="00CB3AC8">
        <w:rPr>
          <w:lang w:val="fr-CA"/>
        </w:rPr>
        <w:t xml:space="preserve"> </w:t>
      </w:r>
      <w:r w:rsidR="00CB3AC8" w:rsidRPr="00BD22C2">
        <w:rPr>
          <w:lang w:val="fr-CA"/>
        </w:rPr>
        <w:t>catégories</w:t>
      </w:r>
      <w:r w:rsidRPr="00BD22C2">
        <w:rPr>
          <w:lang w:val="fr-CA"/>
        </w:rPr>
        <w:t xml:space="preserve"> </w:t>
      </w:r>
      <w:proofErr w:type="spellStart"/>
      <w:r w:rsidRPr="00BD22C2">
        <w:rPr>
          <w:lang w:val="fr-CA"/>
        </w:rPr>
        <w:t>pathologisantes</w:t>
      </w:r>
      <w:proofErr w:type="spellEnd"/>
      <w:r w:rsidRPr="00BD22C2">
        <w:rPr>
          <w:lang w:val="fr-CA"/>
        </w:rPr>
        <w:t xml:space="preserve"> étaient susceptibles d’affecter négativement les personnes concernées en alimentant la stigmatisation, en menant à des erreurs ou des délais dans l’établissement de diagnostics appropriés et en encourageant le recours à des «</w:t>
      </w:r>
      <w:r w:rsidR="00BB3F16" w:rsidRPr="00BD22C2">
        <w:rPr>
          <w:lang w:val="fr-CA"/>
        </w:rPr>
        <w:t> </w:t>
      </w:r>
      <w:r w:rsidRPr="00BD22C2">
        <w:rPr>
          <w:lang w:val="fr-CA"/>
        </w:rPr>
        <w:t>thérapies de conversion</w:t>
      </w:r>
      <w:r w:rsidR="00BB3F16" w:rsidRPr="00BD22C2">
        <w:rPr>
          <w:lang w:val="fr-CA"/>
        </w:rPr>
        <w:t> </w:t>
      </w:r>
      <w:r w:rsidRPr="00BD22C2">
        <w:rPr>
          <w:lang w:val="fr-CA"/>
        </w:rPr>
        <w:t>»</w:t>
      </w:r>
      <w:r w:rsidRPr="00BD22C2">
        <w:rPr>
          <w:rStyle w:val="Appeldenotedefin"/>
          <w:lang w:val="fr-CA"/>
        </w:rPr>
        <w:endnoteReference w:id="80"/>
      </w:r>
      <w:r w:rsidRPr="00BD22C2">
        <w:rPr>
          <w:lang w:val="fr-CA"/>
        </w:rPr>
        <w:t xml:space="preserve">. La Commission était déjà parvenue à </w:t>
      </w:r>
      <w:r w:rsidR="00300A28" w:rsidRPr="00BD22C2">
        <w:rPr>
          <w:lang w:val="fr-CA"/>
        </w:rPr>
        <w:t>des</w:t>
      </w:r>
      <w:r w:rsidRPr="00BD22C2">
        <w:rPr>
          <w:lang w:val="fr-CA"/>
        </w:rPr>
        <w:t xml:space="preserve"> conclusion</w:t>
      </w:r>
      <w:r w:rsidR="00300A28" w:rsidRPr="00BD22C2">
        <w:rPr>
          <w:lang w:val="fr-CA"/>
        </w:rPr>
        <w:t>s similaires</w:t>
      </w:r>
      <w:r w:rsidRPr="00BD22C2">
        <w:rPr>
          <w:lang w:val="fr-CA"/>
        </w:rPr>
        <w:t xml:space="preserve"> en 1994</w:t>
      </w:r>
      <w:r w:rsidRPr="00BD22C2">
        <w:rPr>
          <w:rStyle w:val="Appeldenotedefin"/>
          <w:lang w:val="fr-CA"/>
        </w:rPr>
        <w:endnoteReference w:id="81"/>
      </w:r>
      <w:r w:rsidRPr="00BD22C2">
        <w:rPr>
          <w:lang w:val="fr-CA"/>
        </w:rPr>
        <w:t>.</w:t>
      </w:r>
      <w:r w:rsidR="005B1436" w:rsidRPr="00BD22C2">
        <w:rPr>
          <w:lang w:val="fr-CA"/>
        </w:rPr>
        <w:t xml:space="preserve"> Suivant les meilleures pratiques cliniques et les principes de droits de la personne, le groupe de travail ayant recommandé </w:t>
      </w:r>
      <w:r w:rsidR="003A2F32" w:rsidRPr="00BD22C2">
        <w:rPr>
          <w:lang w:val="fr-CA"/>
        </w:rPr>
        <w:t>l</w:t>
      </w:r>
      <w:r w:rsidR="007568C9" w:rsidRPr="00BD22C2">
        <w:rPr>
          <w:lang w:val="fr-CA"/>
        </w:rPr>
        <w:t>eur retrait</w:t>
      </w:r>
      <w:r w:rsidR="005B1436" w:rsidRPr="00BD22C2">
        <w:rPr>
          <w:lang w:val="fr-CA"/>
        </w:rPr>
        <w:t xml:space="preserve"> considère aujourd’hui que d’autres catégories de la classification, qui ne sont pas basées sur l’orientation sexuelle, devraient plutôt être utilisées pour aborder les difficultés que peuvent rencontrer les personnes concernées et offrir des services appropriés</w:t>
      </w:r>
      <w:r w:rsidR="005B1436" w:rsidRPr="00BD22C2">
        <w:rPr>
          <w:rStyle w:val="Appeldenotedefin"/>
          <w:lang w:val="fr-CA"/>
        </w:rPr>
        <w:endnoteReference w:id="82"/>
      </w:r>
      <w:r w:rsidR="005B1436" w:rsidRPr="00BD22C2">
        <w:rPr>
          <w:lang w:val="fr-CA"/>
        </w:rPr>
        <w:t>.</w:t>
      </w:r>
    </w:p>
    <w:p w14:paraId="0044866C" w14:textId="6C8DD051" w:rsidR="006637BD" w:rsidRPr="00BD22C2" w:rsidRDefault="006637BD" w:rsidP="00D45F1F">
      <w:pPr>
        <w:pStyle w:val="Paragraphe"/>
        <w:rPr>
          <w:lang w:val="fr-CA"/>
        </w:rPr>
      </w:pPr>
      <w:r w:rsidRPr="00BD22C2">
        <w:rPr>
          <w:lang w:val="fr-CA"/>
        </w:rPr>
        <w:lastRenderedPageBreak/>
        <w:t>Le même mouvement tend à s’observer pour ce qui est de la transidentité. Le terme «</w:t>
      </w:r>
      <w:r w:rsidR="00BB3F16" w:rsidRPr="00BD22C2">
        <w:rPr>
          <w:lang w:val="fr-CA"/>
        </w:rPr>
        <w:t> </w:t>
      </w:r>
      <w:r w:rsidRPr="00BD22C2">
        <w:rPr>
          <w:lang w:val="fr-CA"/>
        </w:rPr>
        <w:t>transsexualisme</w:t>
      </w:r>
      <w:r w:rsidR="00BB3F16" w:rsidRPr="00BD22C2">
        <w:rPr>
          <w:lang w:val="fr-CA"/>
        </w:rPr>
        <w:t> </w:t>
      </w:r>
      <w:r w:rsidRPr="00BD22C2">
        <w:rPr>
          <w:lang w:val="fr-CA"/>
        </w:rPr>
        <w:t>» est apparu dans la troisième version du DSM en 1980. L’expression «</w:t>
      </w:r>
      <w:r w:rsidR="00BB3F16" w:rsidRPr="00BD22C2">
        <w:rPr>
          <w:lang w:val="fr-CA"/>
        </w:rPr>
        <w:t> </w:t>
      </w:r>
      <w:r w:rsidRPr="00BD22C2">
        <w:rPr>
          <w:lang w:val="fr-CA"/>
        </w:rPr>
        <w:t>trouble de l’identité de genre</w:t>
      </w:r>
      <w:r w:rsidR="00BB3F16" w:rsidRPr="00BD22C2">
        <w:rPr>
          <w:lang w:val="fr-CA"/>
        </w:rPr>
        <w:t> </w:t>
      </w:r>
      <w:r w:rsidRPr="00BD22C2">
        <w:rPr>
          <w:lang w:val="fr-CA"/>
        </w:rPr>
        <w:t xml:space="preserve">» a ensuite été retenue dans la quatrième </w:t>
      </w:r>
      <w:r w:rsidR="00834D44" w:rsidRPr="00BD22C2">
        <w:rPr>
          <w:lang w:val="fr-CA"/>
        </w:rPr>
        <w:t xml:space="preserve">version </w:t>
      </w:r>
      <w:r w:rsidRPr="00BD22C2">
        <w:rPr>
          <w:lang w:val="fr-CA"/>
        </w:rPr>
        <w:t>avant d’être elle-même remplacée par la «</w:t>
      </w:r>
      <w:r w:rsidR="00BB3F16" w:rsidRPr="00BD22C2">
        <w:rPr>
          <w:lang w:val="fr-CA"/>
        </w:rPr>
        <w:t> </w:t>
      </w:r>
      <w:r w:rsidRPr="00BD22C2">
        <w:rPr>
          <w:lang w:val="fr-CA"/>
        </w:rPr>
        <w:t>dysphorie de genre</w:t>
      </w:r>
      <w:r w:rsidR="00BB3F16" w:rsidRPr="00BD22C2">
        <w:rPr>
          <w:lang w:val="fr-CA"/>
        </w:rPr>
        <w:t> </w:t>
      </w:r>
      <w:r w:rsidRPr="00BD22C2">
        <w:rPr>
          <w:lang w:val="fr-CA"/>
        </w:rPr>
        <w:t>» dans la cinquième en 2013</w:t>
      </w:r>
      <w:r w:rsidRPr="00BD22C2">
        <w:rPr>
          <w:rStyle w:val="Appeldenotedefin"/>
          <w:lang w:val="fr-CA"/>
        </w:rPr>
        <w:endnoteReference w:id="83"/>
      </w:r>
      <w:r w:rsidRPr="00BD22C2">
        <w:rPr>
          <w:lang w:val="fr-CA"/>
        </w:rPr>
        <w:t>. Ces différentes appellations traduisent une dépathologisation progressive de la transidentité. La dysphorie de genre ne désigne ainsi plus la transidentité en soi comme un trouble mental</w:t>
      </w:r>
      <w:r w:rsidRPr="00BD22C2">
        <w:rPr>
          <w:rStyle w:val="Appeldenotedefin"/>
          <w:lang w:val="fr-CA"/>
        </w:rPr>
        <w:endnoteReference w:id="84"/>
      </w:r>
      <w:r w:rsidRPr="00BD22C2">
        <w:rPr>
          <w:lang w:val="fr-CA"/>
        </w:rPr>
        <w:t>. C’est plutôt la détresse pouvant accompagner «</w:t>
      </w:r>
      <w:r w:rsidR="00BB3F16" w:rsidRPr="00BD22C2">
        <w:rPr>
          <w:lang w:val="fr-CA"/>
        </w:rPr>
        <w:t> </w:t>
      </w:r>
      <w:r w:rsidRPr="00BD22C2">
        <w:rPr>
          <w:lang w:val="fr-CA"/>
        </w:rPr>
        <w:t>l’incongruence</w:t>
      </w:r>
      <w:r w:rsidR="00BB3F16" w:rsidRPr="00BD22C2">
        <w:rPr>
          <w:lang w:val="fr-CA"/>
        </w:rPr>
        <w:t> </w:t>
      </w:r>
      <w:r w:rsidRPr="00BD22C2">
        <w:rPr>
          <w:lang w:val="fr-CA"/>
        </w:rPr>
        <w:t>» entre le genre vécu ou exprimé et le genre assigné à la naissance qui est visée, notamment «</w:t>
      </w:r>
      <w:r w:rsidR="00BB3F16" w:rsidRPr="00BD22C2">
        <w:rPr>
          <w:lang w:val="fr-CA"/>
        </w:rPr>
        <w:t> </w:t>
      </w:r>
      <w:r w:rsidRPr="00BD22C2">
        <w:rPr>
          <w:lang w:val="fr-CA"/>
        </w:rPr>
        <w:t>lorsque les interventions somatiques souhaitées, au moyen d’hormones ou de gestes chirurgicaux, ne sont pas disponibles</w:t>
      </w:r>
      <w:r w:rsidR="00BB3F16" w:rsidRPr="00BD22C2">
        <w:rPr>
          <w:lang w:val="fr-CA"/>
        </w:rPr>
        <w:t> </w:t>
      </w:r>
      <w:r w:rsidRPr="00BD22C2">
        <w:rPr>
          <w:lang w:val="fr-CA"/>
        </w:rPr>
        <w:t>»</w:t>
      </w:r>
      <w:r w:rsidRPr="00BD22C2">
        <w:rPr>
          <w:rStyle w:val="Appeldenotedefin"/>
          <w:lang w:val="fr-CA"/>
        </w:rPr>
        <w:endnoteReference w:id="85"/>
      </w:r>
      <w:r w:rsidRPr="00BD22C2">
        <w:rPr>
          <w:lang w:val="fr-CA"/>
        </w:rPr>
        <w:t>. La présence de ce dernier diagnostic dans le DSM est elle-même remise en question. La Société canadienne de pédiatrie note à ce sujet que le débat oppose deux visions</w:t>
      </w:r>
      <w:bookmarkStart w:id="48" w:name="_Ref161412576"/>
      <w:r w:rsidRPr="00BD22C2">
        <w:rPr>
          <w:rStyle w:val="Appeldenotedefin"/>
          <w:lang w:val="fr-CA"/>
        </w:rPr>
        <w:endnoteReference w:id="86"/>
      </w:r>
      <w:bookmarkEnd w:id="48"/>
      <w:r w:rsidRPr="00BD22C2">
        <w:rPr>
          <w:lang w:val="fr-CA"/>
        </w:rPr>
        <w:t>. D’un côté, ce diagnostic entretiendrait une vision binaire du genre, par des références aux stéréotypes de genre, et pathologiserait la diversité de genre d’une façon pouvant perpétuer la stigmatisation. D’un autre côté, son inclusion faciliterait l’accès à des services appropriés.</w:t>
      </w:r>
    </w:p>
    <w:p w14:paraId="5FE590C9" w14:textId="4D5841A8" w:rsidR="006637BD" w:rsidRPr="00BD22C2" w:rsidRDefault="006637BD" w:rsidP="007B7C46">
      <w:pPr>
        <w:pStyle w:val="Paragraphe"/>
        <w:rPr>
          <w:lang w:val="fr-CA"/>
        </w:rPr>
      </w:pPr>
      <w:r w:rsidRPr="00BD22C2">
        <w:rPr>
          <w:lang w:val="fr-CA"/>
        </w:rPr>
        <w:t>Une tendance similaire s’est opérée dans la Classification internationale des maladies, dont la dernière révision en 2019 a vu le «</w:t>
      </w:r>
      <w:r w:rsidR="00BB3F16" w:rsidRPr="00BD22C2">
        <w:rPr>
          <w:lang w:val="fr-CA"/>
        </w:rPr>
        <w:t> </w:t>
      </w:r>
      <w:r w:rsidRPr="00BD22C2">
        <w:rPr>
          <w:lang w:val="fr-CA"/>
        </w:rPr>
        <w:t>transsexualisme</w:t>
      </w:r>
      <w:r w:rsidR="00BB3F16" w:rsidRPr="00BD22C2">
        <w:rPr>
          <w:lang w:val="fr-CA"/>
        </w:rPr>
        <w:t> </w:t>
      </w:r>
      <w:r w:rsidRPr="00BD22C2">
        <w:rPr>
          <w:lang w:val="fr-CA"/>
        </w:rPr>
        <w:t>» être remplacé par «</w:t>
      </w:r>
      <w:r w:rsidR="00BB3F16" w:rsidRPr="00BD22C2">
        <w:rPr>
          <w:lang w:val="fr-CA"/>
        </w:rPr>
        <w:t> </w:t>
      </w:r>
      <w:r w:rsidRPr="00BD22C2">
        <w:rPr>
          <w:lang w:val="fr-CA"/>
        </w:rPr>
        <w:t>l’incongruence de genre</w:t>
      </w:r>
      <w:r w:rsidR="00BB3F16" w:rsidRPr="00BD22C2">
        <w:rPr>
          <w:lang w:val="fr-CA"/>
        </w:rPr>
        <w:t> </w:t>
      </w:r>
      <w:r w:rsidRPr="00BD22C2">
        <w:rPr>
          <w:lang w:val="fr-CA"/>
        </w:rPr>
        <w:t>», sans référence à une conception binaire ou à des stéréotypes de genre. Ce changement a été salué par l’Expert indépendant sur la protection contre la violence et la discrimination fondées sur l</w:t>
      </w:r>
      <w:r w:rsidR="00F848C5" w:rsidRPr="00BD22C2">
        <w:rPr>
          <w:lang w:val="fr-CA"/>
        </w:rPr>
        <w:t>’</w:t>
      </w:r>
      <w:r w:rsidRPr="00BD22C2">
        <w:rPr>
          <w:lang w:val="fr-CA"/>
        </w:rPr>
        <w:t>orientation sexuelle et l</w:t>
      </w:r>
      <w:r w:rsidR="003B361F" w:rsidRPr="00BD22C2">
        <w:rPr>
          <w:lang w:val="fr-CA"/>
        </w:rPr>
        <w:t>’</w:t>
      </w:r>
      <w:r w:rsidRPr="00BD22C2">
        <w:rPr>
          <w:lang w:val="fr-CA"/>
        </w:rPr>
        <w:t>identité de genre et le Rapporteur spécial sur le droit à la santé des Nations Unies, notamment parce que cette révision devrait faciliter l’accès à de meilleurs soins de santé</w:t>
      </w:r>
      <w:bookmarkStart w:id="49" w:name="_Ref161412587"/>
      <w:r w:rsidRPr="00BD22C2">
        <w:rPr>
          <w:rStyle w:val="Appeldenotedefin"/>
          <w:lang w:val="fr-CA"/>
        </w:rPr>
        <w:endnoteReference w:id="87"/>
      </w:r>
      <w:bookmarkEnd w:id="49"/>
      <w:r w:rsidRPr="00BD22C2">
        <w:rPr>
          <w:lang w:val="fr-CA"/>
        </w:rPr>
        <w:t>. Tout comme la Société canadienne de pédiatrie, l’Expert indépendant note cependant qu’un débat persiste concernant l’utilité de ce diagnostic pour les enfants prépubères. L’enjeu porte sur le fait que ceux-ci ne connaîtront possiblement pas la même détresse à l’adolescence et que des interventions médicales ne sont pas recommandées à ce stade du développement</w:t>
      </w:r>
      <w:r w:rsidRPr="00BD22C2">
        <w:rPr>
          <w:rStyle w:val="Appeldenotedefin"/>
          <w:lang w:val="fr-CA"/>
        </w:rPr>
        <w:endnoteReference w:id="88"/>
      </w:r>
      <w:r w:rsidRPr="00BD22C2">
        <w:rPr>
          <w:lang w:val="fr-CA"/>
        </w:rPr>
        <w:t>. En effet, un diagnostic n’est possiblement pertinent que pour</w:t>
      </w:r>
      <w:r w:rsidR="0013230A" w:rsidRPr="00BD22C2">
        <w:rPr>
          <w:lang w:val="fr-CA"/>
        </w:rPr>
        <w:t xml:space="preserve"> justifier</w:t>
      </w:r>
      <w:r w:rsidRPr="00BD22C2">
        <w:rPr>
          <w:lang w:val="fr-CA"/>
        </w:rPr>
        <w:t xml:space="preserve"> l’accès à des traitements</w:t>
      </w:r>
      <w:bookmarkStart w:id="50" w:name="_Ref168652945"/>
      <w:r w:rsidRPr="00BD22C2">
        <w:rPr>
          <w:rStyle w:val="Appeldenotedefin"/>
          <w:lang w:val="fr-CA"/>
        </w:rPr>
        <w:endnoteReference w:id="89"/>
      </w:r>
      <w:bookmarkEnd w:id="50"/>
      <w:r w:rsidRPr="00BD22C2">
        <w:rPr>
          <w:lang w:val="fr-CA"/>
        </w:rPr>
        <w:t>.</w:t>
      </w:r>
      <w:r w:rsidR="00602F3F" w:rsidRPr="00BD22C2">
        <w:rPr>
          <w:lang w:val="fr-CA"/>
        </w:rPr>
        <w:t xml:space="preserve"> </w:t>
      </w:r>
      <w:r w:rsidR="00910B05" w:rsidRPr="00BD22C2">
        <w:rPr>
          <w:lang w:val="fr-CA"/>
        </w:rPr>
        <w:t>Parmi les personnes concernées</w:t>
      </w:r>
      <w:r w:rsidR="00512D0B" w:rsidRPr="00BD22C2">
        <w:rPr>
          <w:lang w:val="fr-CA"/>
        </w:rPr>
        <w:t xml:space="preserve">, plusieurs </w:t>
      </w:r>
      <w:r w:rsidR="005C74D9" w:rsidRPr="00BD22C2">
        <w:rPr>
          <w:lang w:val="fr-CA"/>
        </w:rPr>
        <w:t xml:space="preserve">ne se perçoivent pas comme ayant une </w:t>
      </w:r>
      <w:r w:rsidR="00F63490" w:rsidRPr="00BD22C2">
        <w:rPr>
          <w:lang w:val="fr-CA"/>
        </w:rPr>
        <w:t xml:space="preserve">condition médicale et </w:t>
      </w:r>
      <w:r w:rsidR="006329D8" w:rsidRPr="00BD22C2">
        <w:rPr>
          <w:lang w:val="fr-CA"/>
        </w:rPr>
        <w:t xml:space="preserve">estiment </w:t>
      </w:r>
      <w:r w:rsidR="00F63490" w:rsidRPr="00BD22C2">
        <w:rPr>
          <w:lang w:val="fr-CA"/>
        </w:rPr>
        <w:t>qu</w:t>
      </w:r>
      <w:r w:rsidR="004F684D" w:rsidRPr="00BD22C2">
        <w:rPr>
          <w:lang w:val="fr-CA"/>
        </w:rPr>
        <w:t xml:space="preserve">’un diagnostic </w:t>
      </w:r>
      <w:r w:rsidR="00C76E59" w:rsidRPr="00BD22C2">
        <w:rPr>
          <w:lang w:val="fr-CA"/>
        </w:rPr>
        <w:t>mine leur autonomie</w:t>
      </w:r>
      <w:r w:rsidR="00F63490" w:rsidRPr="00BD22C2">
        <w:rPr>
          <w:lang w:val="fr-CA"/>
        </w:rPr>
        <w:t xml:space="preserve"> </w:t>
      </w:r>
      <w:r w:rsidR="008A451A" w:rsidRPr="00BD22C2">
        <w:rPr>
          <w:lang w:val="fr-CA"/>
        </w:rPr>
        <w:t>et leur droit à l’autodétermination.</w:t>
      </w:r>
      <w:r w:rsidR="00F63490" w:rsidRPr="00BD22C2">
        <w:rPr>
          <w:lang w:val="fr-CA"/>
        </w:rPr>
        <w:t xml:space="preserve"> </w:t>
      </w:r>
      <w:r w:rsidR="00560368" w:rsidRPr="00BD22C2">
        <w:rPr>
          <w:lang w:val="fr-CA"/>
        </w:rPr>
        <w:t xml:space="preserve">Pour d’autres, </w:t>
      </w:r>
      <w:r w:rsidR="00EC69EE" w:rsidRPr="00BD22C2">
        <w:rPr>
          <w:lang w:val="fr-CA"/>
        </w:rPr>
        <w:t>l’établissement d’un d</w:t>
      </w:r>
      <w:r w:rsidR="00560368" w:rsidRPr="00BD22C2">
        <w:rPr>
          <w:lang w:val="fr-CA"/>
        </w:rPr>
        <w:t xml:space="preserve">iagnostic de dysphorie </w:t>
      </w:r>
      <w:r w:rsidR="009A41EF" w:rsidRPr="00BD22C2">
        <w:rPr>
          <w:lang w:val="fr-CA"/>
        </w:rPr>
        <w:t xml:space="preserve">de genre </w:t>
      </w:r>
      <w:r w:rsidR="00EC69EE" w:rsidRPr="00BD22C2">
        <w:rPr>
          <w:lang w:val="fr-CA"/>
        </w:rPr>
        <w:t>peut avoir pour effet de valider leur expéri</w:t>
      </w:r>
      <w:r w:rsidR="008B77B5" w:rsidRPr="00BD22C2">
        <w:rPr>
          <w:lang w:val="fr-CA"/>
        </w:rPr>
        <w:t xml:space="preserve">ence et </w:t>
      </w:r>
      <w:r w:rsidR="005D7B65" w:rsidRPr="00BD22C2">
        <w:rPr>
          <w:lang w:val="fr-CA"/>
        </w:rPr>
        <w:t>s’avérer important pour l’accès à des traitements</w:t>
      </w:r>
      <w:bookmarkStart w:id="51" w:name="_Ref167352469"/>
      <w:r w:rsidR="00E23F20" w:rsidRPr="00BD22C2">
        <w:rPr>
          <w:rStyle w:val="Appeldenotedefin"/>
          <w:lang w:val="fr-CA"/>
        </w:rPr>
        <w:endnoteReference w:id="90"/>
      </w:r>
      <w:bookmarkEnd w:id="51"/>
      <w:r w:rsidR="005D7B65" w:rsidRPr="00BD22C2">
        <w:rPr>
          <w:lang w:val="fr-CA"/>
        </w:rPr>
        <w:t>.</w:t>
      </w:r>
    </w:p>
    <w:p w14:paraId="04F047AA" w14:textId="27B943EF" w:rsidR="006637BD" w:rsidRPr="00BD22C2" w:rsidRDefault="006637BD" w:rsidP="007B7C46">
      <w:pPr>
        <w:pStyle w:val="Paragraphe"/>
        <w:rPr>
          <w:lang w:val="fr-CA"/>
        </w:rPr>
      </w:pPr>
      <w:r w:rsidRPr="00BD22C2">
        <w:rPr>
          <w:lang w:val="fr-CA"/>
        </w:rPr>
        <w:lastRenderedPageBreak/>
        <w:t>Quelle que soit la conclusion des débats sur la pertinence de maintenir des références à la transidentité dans ces classifications, il reste que la dépathologisation est bien engagée dans ces outils. Mais, comme le souligne</w:t>
      </w:r>
      <w:r w:rsidR="00E25380" w:rsidRPr="00BD22C2">
        <w:rPr>
          <w:lang w:val="fr-CA"/>
        </w:rPr>
        <w:t>nt</w:t>
      </w:r>
      <w:r w:rsidRPr="00BD22C2">
        <w:rPr>
          <w:lang w:val="fr-CA"/>
        </w:rPr>
        <w:t xml:space="preserve"> les experts des Nations Unies, «</w:t>
      </w:r>
      <w:r w:rsidR="00BB3F16" w:rsidRPr="00BD22C2">
        <w:rPr>
          <w:lang w:val="fr-CA"/>
        </w:rPr>
        <w:t> </w:t>
      </w:r>
      <w:r w:rsidRPr="00BD22C2">
        <w:rPr>
          <w:lang w:val="fr-CA"/>
        </w:rPr>
        <w:t>[i]l faut souvent des années avant que les classifications mondiales aient un effet concret sur la vie des gens</w:t>
      </w:r>
      <w:r w:rsidR="00BB3F16" w:rsidRPr="00BD22C2">
        <w:rPr>
          <w:lang w:val="fr-CA"/>
        </w:rPr>
        <w:t> </w:t>
      </w:r>
      <w:r w:rsidRPr="00BD22C2">
        <w:rPr>
          <w:lang w:val="fr-CA"/>
        </w:rPr>
        <w:t>»</w:t>
      </w:r>
      <w:r w:rsidRPr="00BD22C2">
        <w:rPr>
          <w:rStyle w:val="Appeldenotedefin"/>
          <w:lang w:val="fr-CA"/>
        </w:rPr>
        <w:endnoteReference w:id="91"/>
      </w:r>
      <w:r w:rsidRPr="00BD22C2">
        <w:rPr>
          <w:lang w:val="fr-CA"/>
        </w:rPr>
        <w:t>, d’autant plus que la pathologisation a historiquement été un ressort courant des stéréotypes discriminatoires. Outre les personnes homosexuelles et trans, les femmes ont fait</w:t>
      </w:r>
      <w:r w:rsidR="00A4500A" w:rsidRPr="00BD22C2">
        <w:rPr>
          <w:lang w:val="fr-CA"/>
        </w:rPr>
        <w:t>,</w:t>
      </w:r>
      <w:r w:rsidRPr="00BD22C2">
        <w:rPr>
          <w:lang w:val="fr-CA"/>
        </w:rPr>
        <w:t xml:space="preserve"> et font encore</w:t>
      </w:r>
      <w:r w:rsidR="00A4500A" w:rsidRPr="00BD22C2">
        <w:rPr>
          <w:lang w:val="fr-CA"/>
        </w:rPr>
        <w:t>,</w:t>
      </w:r>
      <w:r w:rsidRPr="00BD22C2">
        <w:rPr>
          <w:lang w:val="fr-CA"/>
        </w:rPr>
        <w:t xml:space="preserve"> les frais de tels stéréotypes et préjugés, pouvant voir leurs comportements et attitudes attribués à l’hystérie, à la folie, voire aux règles, notamment pour les disqualifier et discréditer leur parole, entre autres lorsqu’elles transgressent les normes de genre</w:t>
      </w:r>
      <w:r w:rsidRPr="00BD22C2">
        <w:rPr>
          <w:rStyle w:val="Appeldenotedefin"/>
          <w:lang w:val="fr-CA"/>
        </w:rPr>
        <w:endnoteReference w:id="92"/>
      </w:r>
      <w:r w:rsidRPr="00BD22C2">
        <w:rPr>
          <w:lang w:val="fr-CA"/>
        </w:rPr>
        <w:t>.</w:t>
      </w:r>
    </w:p>
    <w:p w14:paraId="10FA020D" w14:textId="463A79CD" w:rsidR="006637BD" w:rsidRPr="00BD22C2" w:rsidRDefault="006637BD" w:rsidP="00846013">
      <w:pPr>
        <w:pStyle w:val="Paragraphe"/>
        <w:rPr>
          <w:lang w:val="fr-CA"/>
        </w:rPr>
      </w:pPr>
      <w:r w:rsidRPr="00BD22C2">
        <w:rPr>
          <w:lang w:val="fr-CA"/>
        </w:rPr>
        <w:t xml:space="preserve">La progression de la dépathologisation des transidentités ne règle cependant pas pleinement l’enjeu des meilleurs soins et accompagnements à offrir aux personnes concernées qui en ont besoin, bien qu’elle soit nécessaire pour parvenir à une offre de soins de santé et de services sociaux exempte de stigmatisation. </w:t>
      </w:r>
      <w:r w:rsidR="00030D09" w:rsidRPr="00BD22C2">
        <w:rPr>
          <w:lang w:val="fr-CA"/>
        </w:rPr>
        <w:t>En plus de</w:t>
      </w:r>
      <w:r w:rsidRPr="00BD22C2">
        <w:rPr>
          <w:lang w:val="fr-CA"/>
        </w:rPr>
        <w:t xml:space="preserve"> la question de la pertinence d’un diagnostic associé à la transidentité et de sa nature plus ou moins </w:t>
      </w:r>
      <w:proofErr w:type="spellStart"/>
      <w:r w:rsidRPr="00BD22C2">
        <w:rPr>
          <w:lang w:val="fr-CA"/>
        </w:rPr>
        <w:t>pathologisante</w:t>
      </w:r>
      <w:proofErr w:type="spellEnd"/>
      <w:r w:rsidRPr="00BD22C2">
        <w:rPr>
          <w:lang w:val="fr-CA"/>
        </w:rPr>
        <w:t xml:space="preserve">, il demeure que ces personnes ont droit à des soins de santé et services sociaux appropriés et de qualité, un point abordé plus loin. La transition médicale n’est de plus qu’une façon parmi d’autres d’affirmer son genre à laquelle ont recours les personnes trans et non binaires. </w:t>
      </w:r>
      <w:r w:rsidR="00E810EF" w:rsidRPr="00BD22C2">
        <w:rPr>
          <w:lang w:val="fr-CA"/>
        </w:rPr>
        <w:t>Peu importe</w:t>
      </w:r>
      <w:r w:rsidRPr="00BD22C2">
        <w:rPr>
          <w:lang w:val="fr-CA"/>
        </w:rPr>
        <w:t xml:space="preserve"> la </w:t>
      </w:r>
      <w:r w:rsidR="005E26E2" w:rsidRPr="00BD22C2">
        <w:rPr>
          <w:lang w:val="fr-CA"/>
        </w:rPr>
        <w:t xml:space="preserve">ou les </w:t>
      </w:r>
      <w:r w:rsidRPr="00BD22C2">
        <w:rPr>
          <w:lang w:val="fr-CA"/>
        </w:rPr>
        <w:t>forme</w:t>
      </w:r>
      <w:r w:rsidR="005E26E2" w:rsidRPr="00BD22C2">
        <w:rPr>
          <w:lang w:val="fr-CA"/>
        </w:rPr>
        <w:t>s</w:t>
      </w:r>
      <w:r w:rsidRPr="00BD22C2">
        <w:rPr>
          <w:lang w:val="fr-CA"/>
        </w:rPr>
        <w:t xml:space="preserve"> de transition adoptée</w:t>
      </w:r>
      <w:r w:rsidR="005E26E2" w:rsidRPr="00BD22C2">
        <w:rPr>
          <w:lang w:val="fr-CA"/>
        </w:rPr>
        <w:t>s</w:t>
      </w:r>
      <w:r w:rsidRPr="00BD22C2">
        <w:rPr>
          <w:lang w:val="fr-CA"/>
        </w:rPr>
        <w:t>, elles ont des besoins en matière de soins de santé et de services sociaux allant au-delà de ceux liés à leur identité de genre, comme toute personne. La Commission insiste uniquement à ce stade sur l’importance de ne pas entretenir un discours associant formellement ou implicitement la transidentité en elle-même à un problème de santé mentale, au risque de contribuer à stigmatiser davantage les personnes trans et non binaires, minant ainsi la réalisation de leur droit à l’égalité.</w:t>
      </w:r>
    </w:p>
    <w:p w14:paraId="0528EFAA" w14:textId="7F9EB02C" w:rsidR="006637BD" w:rsidRPr="00BD22C2" w:rsidRDefault="006637BD" w:rsidP="00EF1CB2">
      <w:pPr>
        <w:pStyle w:val="Titre2"/>
      </w:pPr>
      <w:bookmarkStart w:id="52" w:name="_Toc165301013"/>
      <w:bookmarkStart w:id="53" w:name="_Toc165636096"/>
      <w:r w:rsidRPr="00BD22C2">
        <w:t>Le profilage discriminatoire</w:t>
      </w:r>
      <w:bookmarkEnd w:id="52"/>
      <w:bookmarkEnd w:id="53"/>
    </w:p>
    <w:p w14:paraId="4F9E5887" w14:textId="1C4CE761" w:rsidR="00D57FB4" w:rsidRPr="00BD22C2" w:rsidRDefault="00D57FB4" w:rsidP="002D6A22">
      <w:pPr>
        <w:pStyle w:val="Paragraphe"/>
        <w:rPr>
          <w:lang w:val="fr-CA"/>
        </w:rPr>
      </w:pPr>
      <w:r w:rsidRPr="00BD22C2">
        <w:rPr>
          <w:lang w:val="fr-CA"/>
        </w:rPr>
        <w:t xml:space="preserve">La discrimination qui se manifeste envers les personnes LGBTQ+ peut également prendre la forme du profilage discriminatoire. </w:t>
      </w:r>
    </w:p>
    <w:p w14:paraId="6FFA9CD8" w14:textId="6DDBDDA7" w:rsidR="00D57FB4" w:rsidRPr="00BD22C2" w:rsidRDefault="00D57FB4" w:rsidP="002D6A22">
      <w:pPr>
        <w:pStyle w:val="Paragraphe"/>
        <w:rPr>
          <w:lang w:val="fr-CA"/>
        </w:rPr>
      </w:pPr>
      <w:r w:rsidRPr="00BD22C2">
        <w:rPr>
          <w:lang w:val="fr-CA"/>
        </w:rPr>
        <w:t xml:space="preserve">Au Québec, </w:t>
      </w:r>
      <w:r w:rsidR="002E2D8D" w:rsidRPr="00BD22C2">
        <w:rPr>
          <w:lang w:val="fr-CA"/>
        </w:rPr>
        <w:t xml:space="preserve">c’est </w:t>
      </w:r>
      <w:r w:rsidRPr="00BD22C2" w:rsidDel="000B4E3F">
        <w:rPr>
          <w:lang w:val="fr-CA"/>
        </w:rPr>
        <w:t xml:space="preserve">la notion de profilage </w:t>
      </w:r>
      <w:r w:rsidRPr="00BD22C2" w:rsidDel="00B844BA">
        <w:rPr>
          <w:lang w:val="fr-CA"/>
        </w:rPr>
        <w:t>racial</w:t>
      </w:r>
      <w:r w:rsidR="002E2D8D" w:rsidRPr="00BD22C2">
        <w:rPr>
          <w:lang w:val="fr-CA"/>
        </w:rPr>
        <w:t xml:space="preserve"> qui </w:t>
      </w:r>
      <w:r w:rsidRPr="00BD22C2">
        <w:rPr>
          <w:lang w:val="fr-CA"/>
        </w:rPr>
        <w:t>a d’abord été reconnue</w:t>
      </w:r>
      <w:r w:rsidRPr="00BD22C2" w:rsidDel="00B844BA">
        <w:rPr>
          <w:lang w:val="fr-CA"/>
        </w:rPr>
        <w:t>,</w:t>
      </w:r>
      <w:r w:rsidRPr="00BD22C2">
        <w:rPr>
          <w:lang w:val="fr-CA"/>
        </w:rPr>
        <w:t xml:space="preserve"> en lien avec des motifs de discrimination tels la « race », la couleur, l’origine ethnique ou nationale ou la religion. En 2005, la Commission a développé cette définition du profilage racial, largement reprise depuis : </w:t>
      </w:r>
    </w:p>
    <w:p w14:paraId="39165105" w14:textId="537E61F8" w:rsidR="00D57FB4" w:rsidRPr="00BD22C2" w:rsidRDefault="00D57FB4" w:rsidP="00D57FB4">
      <w:pPr>
        <w:pStyle w:val="Citation"/>
      </w:pPr>
      <w:r w:rsidRPr="00BD22C2">
        <w:lastRenderedPageBreak/>
        <w:t>« toute action prise par une ou des personnes en situation d’autorité à l’égard d’une personne ou d’un groupe de personnes, pour des raisons de sûreté, de sécurité ou de protection du public, qui repose sur des facteurs d’appartenance réelle ou présumée, tel</w:t>
      </w:r>
      <w:r w:rsidR="000E42D1" w:rsidRPr="00BD22C2">
        <w:t>le</w:t>
      </w:r>
      <w:r w:rsidRPr="00BD22C2">
        <w:t xml:space="preserve"> la race, la couleur, l’origine ethnique ou nationale ou la religion, sans motif réel ou soupçon raisonnable, et qui a pour effet d’exposer la personne à un examen ou à un traitement différent.</w:t>
      </w:r>
    </w:p>
    <w:p w14:paraId="06BDB154" w14:textId="77777777" w:rsidR="00D57FB4" w:rsidRPr="00BD22C2" w:rsidRDefault="00D57FB4" w:rsidP="00D57FB4">
      <w:pPr>
        <w:pStyle w:val="Citation"/>
      </w:pPr>
      <w:r w:rsidRPr="00BD22C2">
        <w:t>Le profilage racial inclut aussi toute action de personnes en situation d’autorité qui appliquent une mesure de façon disproportionnée sur des segments de la population du fait, notamment, de leur appartenance raciale, ethnique ou nationale ou religieuse, réelle ou présumée. »</w:t>
      </w:r>
      <w:r w:rsidRPr="00BD22C2">
        <w:rPr>
          <w:rStyle w:val="Appeldenotedefin"/>
        </w:rPr>
        <w:endnoteReference w:id="93"/>
      </w:r>
    </w:p>
    <w:p w14:paraId="36489472" w14:textId="3FEE1A3A" w:rsidR="00D57FB4" w:rsidRPr="00BD22C2" w:rsidRDefault="00D57FB4" w:rsidP="00A52EED">
      <w:pPr>
        <w:pStyle w:val="Paragraphe"/>
        <w:rPr>
          <w:lang w:val="fr-CA"/>
        </w:rPr>
      </w:pPr>
      <w:r w:rsidRPr="00BD22C2">
        <w:rPr>
          <w:lang w:val="fr-CA"/>
        </w:rPr>
        <w:t>C’est</w:t>
      </w:r>
      <w:r w:rsidRPr="00BD22C2" w:rsidDel="00EA7F8B">
        <w:rPr>
          <w:lang w:val="fr-CA"/>
        </w:rPr>
        <w:t xml:space="preserve"> </w:t>
      </w:r>
      <w:r w:rsidR="00EA7F8B" w:rsidRPr="00BD22C2">
        <w:rPr>
          <w:lang w:val="fr-CA"/>
        </w:rPr>
        <w:t>entre autres</w:t>
      </w:r>
      <w:r w:rsidRPr="00BD22C2">
        <w:rPr>
          <w:lang w:val="fr-CA"/>
        </w:rPr>
        <w:t xml:space="preserve"> à travers cette définition que la Commission, aux côtés d’autres acteurs, a joué un rôle de pionnier afin de mettre en lumière les mécanismes </w:t>
      </w:r>
      <w:r w:rsidRPr="00BD22C2">
        <w:rPr>
          <w:rFonts w:cs="Arial"/>
          <w:lang w:val="fr-CA"/>
        </w:rPr>
        <w:t>—</w:t>
      </w:r>
      <w:r w:rsidRPr="00BD22C2">
        <w:rPr>
          <w:lang w:val="fr-CA"/>
        </w:rPr>
        <w:t xml:space="preserve"> souvent systémique</w:t>
      </w:r>
      <w:r w:rsidR="008566A9" w:rsidRPr="00BD22C2">
        <w:rPr>
          <w:lang w:val="fr-CA"/>
        </w:rPr>
        <w:t>s</w:t>
      </w:r>
      <w:r w:rsidRPr="00BD22C2">
        <w:rPr>
          <w:lang w:val="fr-CA"/>
        </w:rPr>
        <w:t xml:space="preserve"> </w:t>
      </w:r>
      <w:r w:rsidRPr="00BD22C2">
        <w:rPr>
          <w:rFonts w:cs="Arial"/>
          <w:lang w:val="fr-CA"/>
        </w:rPr>
        <w:t>—</w:t>
      </w:r>
      <w:r w:rsidRPr="00BD22C2">
        <w:rPr>
          <w:lang w:val="fr-CA"/>
        </w:rPr>
        <w:t xml:space="preserve"> à la base du profilage racial, mais aussi plus largement du profilage discriminatoire fondé sur d’autres motifs de discrimination. Dès 2009, par exemple, la Commission a appliqué la même définition au profilage social lié au motif </w:t>
      </w:r>
      <w:r w:rsidR="006B6222" w:rsidRPr="00BD22C2">
        <w:rPr>
          <w:lang w:val="fr-CA"/>
        </w:rPr>
        <w:t>«</w:t>
      </w:r>
      <w:r w:rsidR="00BB3F16" w:rsidRPr="00BD22C2">
        <w:rPr>
          <w:lang w:val="fr-CA"/>
        </w:rPr>
        <w:t> </w:t>
      </w:r>
      <w:r w:rsidRPr="00BD22C2">
        <w:rPr>
          <w:lang w:val="fr-CA"/>
        </w:rPr>
        <w:t>condition sociale</w:t>
      </w:r>
      <w:r w:rsidR="00BB3F16" w:rsidRPr="00BD22C2">
        <w:rPr>
          <w:lang w:val="fr-CA"/>
        </w:rPr>
        <w:t> </w:t>
      </w:r>
      <w:r w:rsidR="006B6222" w:rsidRPr="00BD22C2">
        <w:rPr>
          <w:lang w:val="fr-CA"/>
        </w:rPr>
        <w:t>»</w:t>
      </w:r>
      <w:r w:rsidRPr="00BD22C2">
        <w:rPr>
          <w:lang w:val="fr-CA"/>
        </w:rPr>
        <w:t xml:space="preserve"> et visant plus particulièrement les personnes en situation d’itinérance</w:t>
      </w:r>
      <w:r w:rsidRPr="00BD22C2">
        <w:rPr>
          <w:rStyle w:val="Appeldenotedefin"/>
          <w:lang w:val="fr-CA"/>
        </w:rPr>
        <w:endnoteReference w:id="94"/>
      </w:r>
      <w:r w:rsidRPr="00BD22C2">
        <w:rPr>
          <w:lang w:val="fr-CA"/>
        </w:rPr>
        <w:t xml:space="preserve">. Au fil des ans, les travaux de la Commission ont également mis en lumière cette forme particulière de discrimination que constitue le profilage fondé sur les motifs </w:t>
      </w:r>
      <w:r w:rsidR="006B6222" w:rsidRPr="00BD22C2">
        <w:rPr>
          <w:lang w:val="fr-CA"/>
        </w:rPr>
        <w:t>«</w:t>
      </w:r>
      <w:r w:rsidR="00BB3F16" w:rsidRPr="00BD22C2">
        <w:rPr>
          <w:lang w:val="fr-CA"/>
        </w:rPr>
        <w:t> </w:t>
      </w:r>
      <w:r w:rsidRPr="00BD22C2">
        <w:rPr>
          <w:lang w:val="fr-CA"/>
        </w:rPr>
        <w:t>orientation sexuelle</w:t>
      </w:r>
      <w:r w:rsidR="00BB3F16" w:rsidRPr="00BD22C2">
        <w:rPr>
          <w:lang w:val="fr-CA"/>
        </w:rPr>
        <w:t> </w:t>
      </w:r>
      <w:r w:rsidR="006B6222" w:rsidRPr="00BD22C2">
        <w:rPr>
          <w:lang w:val="fr-CA"/>
        </w:rPr>
        <w:t>»</w:t>
      </w:r>
      <w:r w:rsidRPr="00BD22C2">
        <w:rPr>
          <w:lang w:val="fr-CA"/>
        </w:rPr>
        <w:t xml:space="preserve"> et </w:t>
      </w:r>
      <w:r w:rsidR="006B6222" w:rsidRPr="00BD22C2">
        <w:rPr>
          <w:lang w:val="fr-CA"/>
        </w:rPr>
        <w:t>«</w:t>
      </w:r>
      <w:r w:rsidR="00BB3F16" w:rsidRPr="00BD22C2">
        <w:rPr>
          <w:lang w:val="fr-CA"/>
        </w:rPr>
        <w:t> </w:t>
      </w:r>
      <w:r w:rsidRPr="00BD22C2">
        <w:rPr>
          <w:lang w:val="fr-CA"/>
        </w:rPr>
        <w:t>l’identité ou l’expression de genre</w:t>
      </w:r>
      <w:r w:rsidR="00BB3F16" w:rsidRPr="00BD22C2">
        <w:rPr>
          <w:lang w:val="fr-CA"/>
        </w:rPr>
        <w:t> </w:t>
      </w:r>
      <w:r w:rsidR="006B6222" w:rsidRPr="00BD22C2">
        <w:rPr>
          <w:lang w:val="fr-CA"/>
        </w:rPr>
        <w:t>»</w:t>
      </w:r>
      <w:bookmarkStart w:id="54" w:name="_Ref167438126"/>
      <w:r w:rsidRPr="00BD22C2">
        <w:rPr>
          <w:rStyle w:val="Appeldenotedefin"/>
          <w:lang w:val="fr-CA"/>
        </w:rPr>
        <w:endnoteReference w:id="95"/>
      </w:r>
      <w:bookmarkEnd w:id="54"/>
      <w:r w:rsidRPr="00BD22C2">
        <w:rPr>
          <w:lang w:val="fr-CA"/>
        </w:rPr>
        <w:t xml:space="preserve">. </w:t>
      </w:r>
    </w:p>
    <w:p w14:paraId="04749006" w14:textId="545A1E9E" w:rsidR="00D57FB4" w:rsidRPr="00BD22C2" w:rsidRDefault="00D172E3" w:rsidP="00A52EED">
      <w:pPr>
        <w:pStyle w:val="Paragraphe"/>
        <w:rPr>
          <w:lang w:val="fr-CA"/>
        </w:rPr>
      </w:pPr>
      <w:r w:rsidRPr="00BD22C2">
        <w:rPr>
          <w:lang w:val="fr-CA"/>
        </w:rPr>
        <w:t xml:space="preserve">La reconnaissance </w:t>
      </w:r>
      <w:r w:rsidR="00C43B65">
        <w:rPr>
          <w:lang w:val="fr-CA"/>
        </w:rPr>
        <w:t>du</w:t>
      </w:r>
      <w:r w:rsidRPr="00BD22C2">
        <w:rPr>
          <w:lang w:val="fr-CA"/>
        </w:rPr>
        <w:t xml:space="preserve"> profilage racial </w:t>
      </w:r>
      <w:r w:rsidR="002C4DFF" w:rsidRPr="00BD22C2">
        <w:rPr>
          <w:lang w:val="fr-CA"/>
        </w:rPr>
        <w:t>demeure</w:t>
      </w:r>
      <w:r w:rsidRPr="00BD22C2">
        <w:rPr>
          <w:lang w:val="fr-CA"/>
        </w:rPr>
        <w:t xml:space="preserve"> récente et le recours à cette notion eu égard à d’autres motifs de discrimination l’est encore davantage. Cela dit, </w:t>
      </w:r>
      <w:r w:rsidR="002C4DFF" w:rsidRPr="00BD22C2">
        <w:rPr>
          <w:lang w:val="fr-CA"/>
        </w:rPr>
        <w:t>d</w:t>
      </w:r>
      <w:r w:rsidR="00D57FB4" w:rsidRPr="00BD22C2">
        <w:rPr>
          <w:lang w:val="fr-CA"/>
        </w:rPr>
        <w:t>ans les faits</w:t>
      </w:r>
      <w:r w:rsidR="00C95989" w:rsidRPr="00BD22C2">
        <w:rPr>
          <w:lang w:val="fr-CA"/>
        </w:rPr>
        <w:t>,</w:t>
      </w:r>
      <w:r w:rsidR="00D57FB4" w:rsidRPr="00BD22C2">
        <w:rPr>
          <w:lang w:val="fr-CA"/>
        </w:rPr>
        <w:t xml:space="preserve"> avant</w:t>
      </w:r>
      <w:r w:rsidR="00AD650D" w:rsidRPr="00BD22C2">
        <w:rPr>
          <w:lang w:val="fr-CA"/>
        </w:rPr>
        <w:t xml:space="preserve"> même</w:t>
      </w:r>
      <w:r w:rsidR="00D57FB4" w:rsidRPr="00BD22C2">
        <w:rPr>
          <w:lang w:val="fr-CA"/>
        </w:rPr>
        <w:t xml:space="preserve"> la reconnaissance </w:t>
      </w:r>
      <w:r w:rsidR="002A71E2" w:rsidRPr="00BD22C2">
        <w:rPr>
          <w:lang w:val="fr-CA"/>
        </w:rPr>
        <w:t>du concept spécifique de profilage discriminatoire</w:t>
      </w:r>
      <w:r w:rsidR="00D57FB4" w:rsidRPr="00BD22C2">
        <w:rPr>
          <w:lang w:val="fr-CA"/>
        </w:rPr>
        <w:t xml:space="preserve">, l’histoire des personnes LGBTQ+ est marquée par cette forme de discrimination menant à la judiciarisation disproportionnée des personnes identifiées comme telles. Bien que les </w:t>
      </w:r>
      <w:r w:rsidR="00D04635" w:rsidRPr="00BD22C2">
        <w:rPr>
          <w:lang w:val="fr-CA"/>
        </w:rPr>
        <w:t>relations</w:t>
      </w:r>
      <w:r w:rsidR="00D57FB4" w:rsidRPr="00BD22C2">
        <w:rPr>
          <w:lang w:val="fr-CA"/>
        </w:rPr>
        <w:t xml:space="preserve"> sexuel</w:t>
      </w:r>
      <w:r w:rsidR="00D04635" w:rsidRPr="00BD22C2">
        <w:rPr>
          <w:lang w:val="fr-CA"/>
        </w:rPr>
        <w:t>le</w:t>
      </w:r>
      <w:r w:rsidR="00D57FB4" w:rsidRPr="00BD22C2">
        <w:rPr>
          <w:lang w:val="fr-CA"/>
        </w:rPr>
        <w:t>s</w:t>
      </w:r>
      <w:r w:rsidR="00D04635" w:rsidRPr="00BD22C2">
        <w:rPr>
          <w:lang w:val="fr-CA"/>
        </w:rPr>
        <w:t xml:space="preserve"> anales</w:t>
      </w:r>
      <w:r w:rsidR="00D57FB4" w:rsidRPr="00BD22C2">
        <w:rPr>
          <w:lang w:val="fr-CA"/>
        </w:rPr>
        <w:t xml:space="preserve"> </w:t>
      </w:r>
      <w:r w:rsidR="00834220" w:rsidRPr="00BD22C2">
        <w:rPr>
          <w:lang w:val="fr-CA"/>
        </w:rPr>
        <w:t xml:space="preserve">consensuelles </w:t>
      </w:r>
      <w:r w:rsidR="00E205DE" w:rsidRPr="00BD22C2">
        <w:rPr>
          <w:lang w:val="fr-CA"/>
        </w:rPr>
        <w:t>pratiquées</w:t>
      </w:r>
      <w:r w:rsidR="00D57FB4" w:rsidRPr="00BD22C2">
        <w:rPr>
          <w:lang w:val="fr-CA"/>
        </w:rPr>
        <w:t xml:space="preserve"> en privé entre deux personnes de 21</w:t>
      </w:r>
      <w:r w:rsidR="009D3E22">
        <w:rPr>
          <w:lang w:val="fr-CA"/>
        </w:rPr>
        <w:t> </w:t>
      </w:r>
      <w:r w:rsidR="00D57FB4" w:rsidRPr="00BD22C2">
        <w:rPr>
          <w:lang w:val="fr-CA"/>
        </w:rPr>
        <w:t>ans et plus aient été décriminalisé</w:t>
      </w:r>
      <w:r w:rsidR="00DC1D57" w:rsidRPr="00BD22C2">
        <w:rPr>
          <w:lang w:val="fr-CA"/>
        </w:rPr>
        <w:t>e</w:t>
      </w:r>
      <w:r w:rsidR="00D57FB4" w:rsidRPr="00BD22C2">
        <w:rPr>
          <w:lang w:val="fr-CA"/>
        </w:rPr>
        <w:t>s au Canada en 1969, plusieurs dispositions du Code criminel ont continué à être employées pour réprimer les personnes LGBTQ+, notamment les articles relatifs à la grossière indécence, les actions indécentes, les maisons de débauche et le vagabondage</w:t>
      </w:r>
      <w:bookmarkStart w:id="55" w:name="_Ref166050479"/>
      <w:r w:rsidR="00D57FB4" w:rsidRPr="00BD22C2">
        <w:rPr>
          <w:rStyle w:val="Appeldenotedefin"/>
          <w:lang w:val="fr-CA"/>
        </w:rPr>
        <w:endnoteReference w:id="96"/>
      </w:r>
      <w:bookmarkEnd w:id="55"/>
      <w:r w:rsidR="00D57FB4" w:rsidRPr="00BD22C2">
        <w:rPr>
          <w:lang w:val="fr-CA"/>
        </w:rPr>
        <w:t>. Concrètement, la police surveillait davantage ces personnes, en particulier les hommes gais et les personnes trans, de même que les lieux qu’elles fréquentaient, dont des bars, saunas et parcs. Elles étaient interpellées et interrogées par la police lorsqu’elle les soupçonnait de comportements «</w:t>
      </w:r>
      <w:r w:rsidR="00BB3F16" w:rsidRPr="00BD22C2">
        <w:rPr>
          <w:lang w:val="fr-CA"/>
        </w:rPr>
        <w:t> </w:t>
      </w:r>
      <w:r w:rsidR="00D57FB4" w:rsidRPr="00BD22C2">
        <w:rPr>
          <w:lang w:val="fr-CA"/>
        </w:rPr>
        <w:t>inappropriés</w:t>
      </w:r>
      <w:r w:rsidR="00BB3F16" w:rsidRPr="00BD22C2">
        <w:rPr>
          <w:lang w:val="fr-CA"/>
        </w:rPr>
        <w:t> </w:t>
      </w:r>
      <w:r w:rsidR="00D57FB4" w:rsidRPr="00BD22C2">
        <w:rPr>
          <w:lang w:val="fr-CA"/>
        </w:rPr>
        <w:t>» ou illégaux ou simplement parce qu’elles étaient présentes dans des lieux associés aux communautés LGBTQ+</w:t>
      </w:r>
      <w:r w:rsidR="00D57FB4" w:rsidRPr="00BD22C2">
        <w:rPr>
          <w:rStyle w:val="Appeldenotedefin"/>
          <w:lang w:val="fr-CA"/>
        </w:rPr>
        <w:endnoteReference w:id="97"/>
      </w:r>
      <w:r w:rsidR="00D57FB4" w:rsidRPr="00BD22C2">
        <w:rPr>
          <w:lang w:val="fr-CA"/>
        </w:rPr>
        <w:t xml:space="preserve">. </w:t>
      </w:r>
    </w:p>
    <w:p w14:paraId="06C5F7AC" w14:textId="0AD351BD" w:rsidR="00D57FB4" w:rsidRPr="00BD22C2" w:rsidRDefault="0028796F" w:rsidP="00A52EED">
      <w:pPr>
        <w:pStyle w:val="Paragraphe"/>
        <w:rPr>
          <w:lang w:val="fr-CA"/>
        </w:rPr>
      </w:pPr>
      <w:r w:rsidRPr="00BD22C2">
        <w:rPr>
          <w:lang w:val="fr-CA"/>
        </w:rPr>
        <w:t>U</w:t>
      </w:r>
      <w:r w:rsidR="00D57FB4" w:rsidRPr="00BD22C2">
        <w:rPr>
          <w:lang w:val="fr-CA"/>
        </w:rPr>
        <w:t xml:space="preserve">ne intervention policière massive au bar </w:t>
      </w:r>
      <w:proofErr w:type="spellStart"/>
      <w:r w:rsidR="00D57FB4" w:rsidRPr="00BD22C2">
        <w:rPr>
          <w:lang w:val="fr-CA"/>
        </w:rPr>
        <w:t>Truxx</w:t>
      </w:r>
      <w:proofErr w:type="spellEnd"/>
      <w:r w:rsidR="00D57FB4" w:rsidRPr="00BD22C2">
        <w:rPr>
          <w:lang w:val="fr-CA"/>
        </w:rPr>
        <w:t xml:space="preserve"> en 1977 à Montréal </w:t>
      </w:r>
      <w:r w:rsidR="00D57FB4" w:rsidRPr="00BD22C2">
        <w:rPr>
          <w:rFonts w:cs="Arial"/>
          <w:lang w:val="fr-CA"/>
        </w:rPr>
        <w:t xml:space="preserve">— </w:t>
      </w:r>
      <w:r w:rsidR="00D57FB4" w:rsidRPr="00BD22C2">
        <w:rPr>
          <w:lang w:val="fr-CA"/>
        </w:rPr>
        <w:t>ayant mené à l’arrestation de 146</w:t>
      </w:r>
      <w:r w:rsidR="009D3E22">
        <w:rPr>
          <w:lang w:val="fr-CA"/>
        </w:rPr>
        <w:t> </w:t>
      </w:r>
      <w:r w:rsidR="00D57FB4" w:rsidRPr="00BD22C2">
        <w:rPr>
          <w:lang w:val="fr-CA"/>
        </w:rPr>
        <w:t xml:space="preserve">hommes gais </w:t>
      </w:r>
      <w:r w:rsidR="00D57FB4" w:rsidRPr="00BD22C2">
        <w:rPr>
          <w:rFonts w:cs="Arial"/>
          <w:lang w:val="fr-CA"/>
        </w:rPr>
        <w:t>—</w:t>
      </w:r>
      <w:r w:rsidR="00DE2FA2" w:rsidRPr="00BD22C2">
        <w:rPr>
          <w:rFonts w:cs="Arial"/>
          <w:lang w:val="fr-CA"/>
        </w:rPr>
        <w:t xml:space="preserve"> </w:t>
      </w:r>
      <w:r w:rsidR="00D57FB4" w:rsidRPr="00BD22C2">
        <w:rPr>
          <w:lang w:val="fr-CA"/>
        </w:rPr>
        <w:t xml:space="preserve">a </w:t>
      </w:r>
      <w:r w:rsidRPr="00BD22C2">
        <w:rPr>
          <w:lang w:val="fr-CA"/>
        </w:rPr>
        <w:t>d’ailleurs</w:t>
      </w:r>
      <w:r w:rsidR="00D57FB4" w:rsidRPr="00BD22C2">
        <w:rPr>
          <w:lang w:val="fr-CA"/>
        </w:rPr>
        <w:t xml:space="preserve"> joué un rôle déterminant en faveur de l’ajout du </w:t>
      </w:r>
      <w:r w:rsidR="00D57FB4" w:rsidRPr="00BD22C2">
        <w:rPr>
          <w:lang w:val="fr-CA"/>
        </w:rPr>
        <w:lastRenderedPageBreak/>
        <w:t>motif «</w:t>
      </w:r>
      <w:r w:rsidR="00BB3F16" w:rsidRPr="00BD22C2">
        <w:rPr>
          <w:lang w:val="fr-CA"/>
        </w:rPr>
        <w:t> </w:t>
      </w:r>
      <w:r w:rsidR="00D57FB4" w:rsidRPr="00BD22C2">
        <w:rPr>
          <w:lang w:val="fr-CA"/>
        </w:rPr>
        <w:t>orientation sexuelle</w:t>
      </w:r>
      <w:r w:rsidR="00BB3F16" w:rsidRPr="00BD22C2">
        <w:rPr>
          <w:lang w:val="fr-CA"/>
        </w:rPr>
        <w:t> </w:t>
      </w:r>
      <w:r w:rsidR="00495CAB" w:rsidRPr="00BD22C2">
        <w:rPr>
          <w:lang w:val="fr-CA"/>
        </w:rPr>
        <w:t>»</w:t>
      </w:r>
      <w:r w:rsidR="00D57FB4" w:rsidRPr="00BD22C2">
        <w:rPr>
          <w:lang w:val="fr-CA"/>
        </w:rPr>
        <w:t xml:space="preserve"> à la Charte québécoise la même année</w:t>
      </w:r>
      <w:r w:rsidR="00D57FB4" w:rsidRPr="00BD22C2">
        <w:rPr>
          <w:rStyle w:val="Appeldenotedefin"/>
          <w:lang w:val="fr-CA"/>
        </w:rPr>
        <w:endnoteReference w:id="98"/>
      </w:r>
      <w:r w:rsidR="00D57FB4" w:rsidRPr="00BD22C2">
        <w:rPr>
          <w:lang w:val="fr-CA"/>
        </w:rPr>
        <w:t xml:space="preserve">. </w:t>
      </w:r>
      <w:r w:rsidR="001928D5" w:rsidRPr="00BD22C2">
        <w:rPr>
          <w:lang w:val="fr-CA"/>
        </w:rPr>
        <w:t>L</w:t>
      </w:r>
      <w:r w:rsidR="00D57FB4" w:rsidRPr="00BD22C2">
        <w:rPr>
          <w:lang w:val="fr-CA"/>
        </w:rPr>
        <w:t xml:space="preserve">a mobilisation menée au cours des années suivantes par des personnes LGB contre la discrimination qu’elles subissaient </w:t>
      </w:r>
      <w:r w:rsidR="00EA13A4" w:rsidRPr="00BD22C2">
        <w:rPr>
          <w:lang w:val="fr-CA"/>
        </w:rPr>
        <w:t>de la part d</w:t>
      </w:r>
      <w:r w:rsidR="00D57FB4" w:rsidRPr="00BD22C2">
        <w:rPr>
          <w:lang w:val="fr-CA"/>
        </w:rPr>
        <w:t>es services de police a conduit à la consultation publique de la Commission sur la violence envers les gais et lesbiennes de 1993</w:t>
      </w:r>
      <w:r w:rsidR="00D57FB4" w:rsidRPr="00BD22C2">
        <w:rPr>
          <w:rStyle w:val="Appeldenotedefin"/>
          <w:lang w:val="fr-CA"/>
        </w:rPr>
        <w:endnoteReference w:id="99"/>
      </w:r>
      <w:r w:rsidR="00D57FB4" w:rsidRPr="00BD22C2">
        <w:rPr>
          <w:lang w:val="fr-CA"/>
        </w:rPr>
        <w:t>.</w:t>
      </w:r>
    </w:p>
    <w:p w14:paraId="73BB2B84" w14:textId="77777777" w:rsidR="00D57FB4" w:rsidRPr="00BD22C2" w:rsidRDefault="00D57FB4" w:rsidP="00A52EED">
      <w:pPr>
        <w:pStyle w:val="Paragraphe"/>
        <w:rPr>
          <w:lang w:val="fr-CA"/>
        </w:rPr>
      </w:pPr>
      <w:r w:rsidRPr="00BD22C2">
        <w:rPr>
          <w:lang w:val="fr-CA"/>
        </w:rPr>
        <w:t>Les infractions alors invoquées illustrent comment le profilage des personnes LGBTQ+ s’appuie sur le stéréotype réduisant ces personnes à leur sexualité. La sexualisation des personnes LGBTQ+ est mobilisée pour les dépeindre comme une menace à l’ordre public, à la famille, aux enfants et même à la santé publique lors de l’épidémie de VIH</w:t>
      </w:r>
      <w:bookmarkStart w:id="56" w:name="_Ref166050439"/>
      <w:r w:rsidRPr="00BD22C2">
        <w:rPr>
          <w:rStyle w:val="Appeldenotedefin"/>
          <w:lang w:val="fr-CA"/>
        </w:rPr>
        <w:endnoteReference w:id="100"/>
      </w:r>
      <w:bookmarkEnd w:id="56"/>
      <w:r w:rsidRPr="00BD22C2">
        <w:rPr>
          <w:lang w:val="fr-CA"/>
        </w:rPr>
        <w:t>.</w:t>
      </w:r>
    </w:p>
    <w:p w14:paraId="6E816355" w14:textId="09B6170D" w:rsidR="00D57FB4" w:rsidRPr="00BD22C2" w:rsidRDefault="00D57FB4" w:rsidP="00A52EED">
      <w:pPr>
        <w:pStyle w:val="Paragraphe"/>
        <w:rPr>
          <w:lang w:val="fr-CA"/>
        </w:rPr>
      </w:pPr>
      <w:r w:rsidRPr="00BD22C2">
        <w:rPr>
          <w:lang w:val="fr-CA"/>
        </w:rPr>
        <w:t>De même, jusque dans les années</w:t>
      </w:r>
      <w:r w:rsidR="00CC76DE" w:rsidRPr="00BD22C2">
        <w:rPr>
          <w:lang w:val="fr-CA"/>
        </w:rPr>
        <w:t> </w:t>
      </w:r>
      <w:r w:rsidRPr="00BD22C2">
        <w:rPr>
          <w:lang w:val="fr-CA"/>
        </w:rPr>
        <w:t xml:space="preserve">1990, les personnes LGBTQ+ ont continué à faire l’objet de profilage discriminatoire dans la fonction publique fédérale, les Forces armées canadiennes et la Gendarmerie royale du Canada. </w:t>
      </w:r>
      <w:r w:rsidR="00FC543F" w:rsidRPr="00BD22C2">
        <w:rPr>
          <w:lang w:val="fr-CA"/>
        </w:rPr>
        <w:t>Toujours sans qu’on réfère spécifiquement à la notion de profilage, d</w:t>
      </w:r>
      <w:r w:rsidRPr="00BD22C2">
        <w:rPr>
          <w:lang w:val="fr-CA"/>
        </w:rPr>
        <w:t>es milliers de personnes ont été soumises à des enquêtes et à des sanctions pouvant aller jusqu’au congédiement, ce qui a été qualifié de purge, soi-disant au nom de la sécurité nationale. Le gouvernement fédéral l’a lui-même reconnu dans un discours d’excuses prononcé en 2017</w:t>
      </w:r>
      <w:r w:rsidRPr="00BD22C2">
        <w:rPr>
          <w:rStyle w:val="Appeldenotedefin"/>
          <w:lang w:val="fr-CA"/>
        </w:rPr>
        <w:endnoteReference w:id="101"/>
      </w:r>
      <w:r w:rsidRPr="00BD22C2">
        <w:rPr>
          <w:lang w:val="fr-CA"/>
        </w:rPr>
        <w:t xml:space="preserve"> et dans une entente de règlement intervenue en 2018</w:t>
      </w:r>
      <w:r w:rsidRPr="00BD22C2">
        <w:rPr>
          <w:rStyle w:val="Appeldenotedefin"/>
          <w:lang w:val="fr-CA"/>
        </w:rPr>
        <w:endnoteReference w:id="102"/>
      </w:r>
      <w:r w:rsidRPr="00BD22C2">
        <w:rPr>
          <w:lang w:val="fr-CA"/>
        </w:rPr>
        <w:t>.</w:t>
      </w:r>
    </w:p>
    <w:p w14:paraId="70B19B3F" w14:textId="5882DE3E" w:rsidR="00D57FB4" w:rsidRPr="00BD22C2" w:rsidRDefault="00D57FB4" w:rsidP="00A52EED">
      <w:pPr>
        <w:pStyle w:val="Paragraphe"/>
        <w:rPr>
          <w:i/>
          <w:iCs/>
          <w:lang w:val="fr-CA"/>
        </w:rPr>
      </w:pPr>
      <w:r w:rsidRPr="00BD22C2">
        <w:rPr>
          <w:lang w:val="fr-CA"/>
        </w:rPr>
        <w:t>Dans son rapport précité de 2007, la Commission a de nouveau relevé «</w:t>
      </w:r>
      <w:r w:rsidR="00BB3F16" w:rsidRPr="00BD22C2">
        <w:rPr>
          <w:lang w:val="fr-CA"/>
        </w:rPr>
        <w:t> </w:t>
      </w:r>
      <w:r w:rsidRPr="00BD22C2">
        <w:rPr>
          <w:lang w:val="fr-CA"/>
        </w:rPr>
        <w:t xml:space="preserve">l’application abusive et inappropriée des règlements municipaux et du </w:t>
      </w:r>
      <w:r w:rsidRPr="00BD22C2">
        <w:rPr>
          <w:i/>
          <w:iCs/>
          <w:lang w:val="fr-CA"/>
        </w:rPr>
        <w:t xml:space="preserve">Code criminel </w:t>
      </w:r>
      <w:r w:rsidRPr="00BD22C2">
        <w:rPr>
          <w:lang w:val="fr-CA"/>
        </w:rPr>
        <w:t>lors d’interceptions ou d’arrestations dans les parcs ou autres endroits publics</w:t>
      </w:r>
      <w:r w:rsidRPr="00BD22C2">
        <w:rPr>
          <w:i/>
          <w:iCs/>
          <w:lang w:val="fr-CA"/>
        </w:rPr>
        <w:t xml:space="preserve"> </w:t>
      </w:r>
      <w:r w:rsidRPr="00BD22C2">
        <w:rPr>
          <w:lang w:val="fr-CA"/>
        </w:rPr>
        <w:t>ciblant principalement des hommes «</w:t>
      </w:r>
      <w:r w:rsidR="0092358E" w:rsidRPr="00BD22C2">
        <w:rPr>
          <w:lang w:val="fr-CA"/>
        </w:rPr>
        <w:t> </w:t>
      </w:r>
      <w:r w:rsidRPr="00BD22C2">
        <w:rPr>
          <w:lang w:val="fr-CA"/>
        </w:rPr>
        <w:t>d’apparence gaie », des personnes transsexuelles</w:t>
      </w:r>
      <w:r w:rsidRPr="00BD22C2">
        <w:rPr>
          <w:i/>
          <w:iCs/>
          <w:lang w:val="fr-CA"/>
        </w:rPr>
        <w:t xml:space="preserve"> </w:t>
      </w:r>
      <w:r w:rsidRPr="00BD22C2">
        <w:rPr>
          <w:lang w:val="fr-CA"/>
        </w:rPr>
        <w:t>et travesties et, d’autre part, des visites improvisées dans les saunas sans</w:t>
      </w:r>
      <w:r w:rsidRPr="00BD22C2">
        <w:rPr>
          <w:i/>
          <w:iCs/>
          <w:lang w:val="fr-CA"/>
        </w:rPr>
        <w:t xml:space="preserve"> </w:t>
      </w:r>
      <w:r w:rsidRPr="00BD22C2">
        <w:rPr>
          <w:lang w:val="fr-CA"/>
        </w:rPr>
        <w:t>motif spécifique</w:t>
      </w:r>
      <w:r w:rsidR="00BB3F16" w:rsidRPr="00BD22C2">
        <w:rPr>
          <w:lang w:val="fr-CA"/>
        </w:rPr>
        <w:t> </w:t>
      </w:r>
      <w:r w:rsidRPr="00BD22C2">
        <w:rPr>
          <w:lang w:val="fr-CA"/>
        </w:rPr>
        <w:t>»</w:t>
      </w:r>
      <w:r w:rsidRPr="00BD22C2">
        <w:rPr>
          <w:rStyle w:val="Appeldenotedefin"/>
          <w:lang w:val="fr-CA"/>
        </w:rPr>
        <w:endnoteReference w:id="103"/>
      </w:r>
      <w:r w:rsidRPr="00BD22C2">
        <w:rPr>
          <w:lang w:val="fr-CA"/>
        </w:rPr>
        <w:t xml:space="preserve">. </w:t>
      </w:r>
    </w:p>
    <w:p w14:paraId="689DC495" w14:textId="45D0F0AD" w:rsidR="00D57FB4" w:rsidRPr="00BD22C2" w:rsidRDefault="00D57FB4" w:rsidP="00A52EED">
      <w:pPr>
        <w:pStyle w:val="Paragraphe"/>
        <w:rPr>
          <w:lang w:val="fr-CA"/>
        </w:rPr>
      </w:pPr>
      <w:r w:rsidRPr="00BD22C2">
        <w:rPr>
          <w:lang w:val="fr-CA"/>
        </w:rPr>
        <w:t>Bien que la situation soit encore peu documentée</w:t>
      </w:r>
      <w:r w:rsidRPr="00BD22C2">
        <w:rPr>
          <w:rStyle w:val="Appeldenotedefin"/>
          <w:lang w:val="fr-CA"/>
        </w:rPr>
        <w:endnoteReference w:id="104"/>
      </w:r>
      <w:r w:rsidRPr="00BD22C2">
        <w:rPr>
          <w:lang w:val="fr-CA"/>
        </w:rPr>
        <w:t xml:space="preserve"> </w:t>
      </w:r>
      <w:r w:rsidR="008611DB" w:rsidRPr="00BD22C2">
        <w:rPr>
          <w:lang w:val="fr-CA"/>
        </w:rPr>
        <w:t>par rapport</w:t>
      </w:r>
      <w:r w:rsidRPr="00BD22C2">
        <w:rPr>
          <w:lang w:val="fr-CA"/>
        </w:rPr>
        <w:t xml:space="preserve"> à d’autres types de profilages discriminatoires, le profilage se poursuit envers les personnes trans</w:t>
      </w:r>
      <w:r w:rsidR="006C63A1" w:rsidRPr="00BD22C2">
        <w:rPr>
          <w:lang w:val="fr-CA"/>
        </w:rPr>
        <w:t xml:space="preserve"> et, </w:t>
      </w:r>
      <w:r w:rsidRPr="00BD22C2">
        <w:rPr>
          <w:lang w:val="fr-CA"/>
        </w:rPr>
        <w:t xml:space="preserve">de façon </w:t>
      </w:r>
      <w:r w:rsidR="006C63A1" w:rsidRPr="00BD22C2">
        <w:rPr>
          <w:lang w:val="fr-CA"/>
        </w:rPr>
        <w:t>encore</w:t>
      </w:r>
      <w:r w:rsidRPr="00BD22C2">
        <w:rPr>
          <w:lang w:val="fr-CA"/>
        </w:rPr>
        <w:t xml:space="preserve"> marquée envers les personnes </w:t>
      </w:r>
      <w:r w:rsidR="006C63A1" w:rsidRPr="00BD22C2">
        <w:rPr>
          <w:lang w:val="fr-CA"/>
        </w:rPr>
        <w:t>trans</w:t>
      </w:r>
      <w:r w:rsidRPr="00BD22C2">
        <w:rPr>
          <w:lang w:val="fr-CA"/>
        </w:rPr>
        <w:t xml:space="preserve"> racisées </w:t>
      </w:r>
      <w:r w:rsidR="00886A7A" w:rsidRPr="00BD22C2">
        <w:rPr>
          <w:lang w:val="fr-CA"/>
        </w:rPr>
        <w:t>et</w:t>
      </w:r>
      <w:r w:rsidRPr="00BD22C2">
        <w:rPr>
          <w:lang w:val="fr-CA"/>
        </w:rPr>
        <w:t xml:space="preserve"> les personnes </w:t>
      </w:r>
      <w:r w:rsidR="006C63A1" w:rsidRPr="00BD22C2">
        <w:rPr>
          <w:lang w:val="fr-CA"/>
        </w:rPr>
        <w:t xml:space="preserve">trans </w:t>
      </w:r>
      <w:r w:rsidRPr="00BD22C2">
        <w:rPr>
          <w:lang w:val="fr-CA"/>
        </w:rPr>
        <w:t>travailleuses du sexe</w:t>
      </w:r>
      <w:bookmarkStart w:id="57" w:name="_Ref167185441"/>
      <w:r w:rsidRPr="00BD22C2">
        <w:rPr>
          <w:rStyle w:val="Appeldenotedefin"/>
          <w:lang w:val="fr-CA"/>
        </w:rPr>
        <w:endnoteReference w:id="105"/>
      </w:r>
      <w:bookmarkEnd w:id="57"/>
      <w:r w:rsidRPr="00BD22C2">
        <w:rPr>
          <w:lang w:val="fr-CA"/>
        </w:rPr>
        <w:t xml:space="preserve">. Une consultation menée auprès des communautés LGBTQ+ en 2019 révélait </w:t>
      </w:r>
      <w:r w:rsidR="00E443EA" w:rsidRPr="00BD22C2">
        <w:rPr>
          <w:lang w:val="fr-CA"/>
        </w:rPr>
        <w:t>d’ailleurs</w:t>
      </w:r>
      <w:r w:rsidRPr="00BD22C2">
        <w:rPr>
          <w:lang w:val="fr-CA"/>
        </w:rPr>
        <w:t xml:space="preserve"> qu’un manque de confiance de celle</w:t>
      </w:r>
      <w:r w:rsidR="00A72A95" w:rsidRPr="00BD22C2">
        <w:rPr>
          <w:lang w:val="fr-CA"/>
        </w:rPr>
        <w:t>s</w:t>
      </w:r>
      <w:r w:rsidRPr="00BD22C2">
        <w:rPr>
          <w:lang w:val="fr-CA"/>
        </w:rPr>
        <w:t>-ci envers les services de police perdure</w:t>
      </w:r>
      <w:r w:rsidRPr="00BD22C2">
        <w:rPr>
          <w:rStyle w:val="Appeldenotedefin"/>
          <w:lang w:val="fr-CA"/>
        </w:rPr>
        <w:endnoteReference w:id="106"/>
      </w:r>
      <w:r w:rsidRPr="00BD22C2">
        <w:rPr>
          <w:lang w:val="fr-CA"/>
        </w:rPr>
        <w:t>. Dans le même sens, un guide de l’Association canadienne des chefs de police publié en 2020 marque la nécessité pour les organisations policières de reconnaître l’impact de leurs actions et de prendre les mesures nécessaires pour réconcilier leur relation endommagée avec la communauté</w:t>
      </w:r>
      <w:r w:rsidR="008B4522">
        <w:rPr>
          <w:lang w:val="fr-CA"/>
        </w:rPr>
        <w:t> </w:t>
      </w:r>
      <w:r w:rsidRPr="00BD22C2">
        <w:rPr>
          <w:lang w:val="fr-CA"/>
        </w:rPr>
        <w:t>2SLGBTQ+</w:t>
      </w:r>
      <w:r w:rsidRPr="00BD22C2">
        <w:rPr>
          <w:rStyle w:val="Appeldenotedefin"/>
          <w:lang w:val="fr-CA"/>
        </w:rPr>
        <w:endnoteReference w:id="107"/>
      </w:r>
      <w:r w:rsidRPr="00BD22C2">
        <w:rPr>
          <w:lang w:val="fr-CA"/>
        </w:rPr>
        <w:t xml:space="preserve">. </w:t>
      </w:r>
    </w:p>
    <w:p w14:paraId="551264FC" w14:textId="4A069A07" w:rsidR="00D57FB4" w:rsidRPr="00BD22C2" w:rsidRDefault="00D57FB4" w:rsidP="00A52EED">
      <w:pPr>
        <w:pStyle w:val="Paragraphe"/>
        <w:rPr>
          <w:lang w:val="fr-CA"/>
        </w:rPr>
      </w:pPr>
      <w:r w:rsidRPr="00BD22C2">
        <w:rPr>
          <w:lang w:val="fr-CA"/>
        </w:rPr>
        <w:lastRenderedPageBreak/>
        <w:t xml:space="preserve">Même sans avoir toujours recours à la notion de profilage discriminatoire, des jugements récents illustrent également des pratiques pouvant constituer du profilage discriminatoire de policiers à l’encontre de personnes LGBTQ+. À titre d’exemple, </w:t>
      </w:r>
      <w:r w:rsidR="007B17F4" w:rsidRPr="00BD22C2">
        <w:rPr>
          <w:lang w:val="fr-CA"/>
        </w:rPr>
        <w:t>dans</w:t>
      </w:r>
      <w:r w:rsidRPr="00BD22C2">
        <w:rPr>
          <w:lang w:val="fr-CA"/>
        </w:rPr>
        <w:t xml:space="preserve"> une décision de 2021</w:t>
      </w:r>
      <w:r w:rsidR="007B17F4" w:rsidRPr="00BD22C2">
        <w:rPr>
          <w:lang w:val="fr-CA"/>
        </w:rPr>
        <w:t>,</w:t>
      </w:r>
      <w:r w:rsidRPr="00BD22C2">
        <w:rPr>
          <w:lang w:val="fr-CA"/>
        </w:rPr>
        <w:t xml:space="preserve"> la Cour du Québec a notamment eu à se pencher sur l’impact, quant au caractère libre et volontaire de la déclaration d’un accusé, du fait que ce dernier a été mégenré tout au long de son interrogatoire par l’enquêtrice de police. Après analyse, la Cour a retenu le témoignage de l’accusé voulant que cela lui ait causé beaucoup de stress et d’anxiété</w:t>
      </w:r>
      <w:r w:rsidRPr="00BD22C2">
        <w:rPr>
          <w:rStyle w:val="Appeldenotedefin"/>
          <w:lang w:val="fr-CA"/>
        </w:rPr>
        <w:endnoteReference w:id="108"/>
      </w:r>
      <w:r w:rsidRPr="00BD22C2">
        <w:rPr>
          <w:lang w:val="fr-CA"/>
        </w:rPr>
        <w:t xml:space="preserve">. </w:t>
      </w:r>
      <w:r w:rsidR="00EF6E44" w:rsidRPr="00BD22C2">
        <w:rPr>
          <w:lang w:val="fr-CA"/>
        </w:rPr>
        <w:t xml:space="preserve">La Cour souligne que </w:t>
      </w:r>
      <w:r w:rsidRPr="00BD22C2">
        <w:rPr>
          <w:rFonts w:cs="Arial"/>
          <w:spacing w:val="-3"/>
          <w:lang w:val="fr-CA"/>
        </w:rPr>
        <w:t>la série de questions inappropriées posées par l’enquêtrice concernant les mœurs ou les pratiques sexuelles de l’accusé</w:t>
      </w:r>
      <w:r w:rsidR="00A709B4">
        <w:rPr>
          <w:rFonts w:cs="Arial"/>
          <w:spacing w:val="-3"/>
          <w:lang w:val="fr-CA"/>
        </w:rPr>
        <w:t xml:space="preserve"> est plus déconcertante encore</w:t>
      </w:r>
      <w:r w:rsidRPr="00BD22C2">
        <w:rPr>
          <w:rStyle w:val="Appeldenotedefin"/>
          <w:rFonts w:cs="Arial"/>
          <w:spacing w:val="-3"/>
          <w:lang w:val="fr-CA"/>
        </w:rPr>
        <w:endnoteReference w:id="109"/>
      </w:r>
      <w:r w:rsidRPr="00BD22C2">
        <w:rPr>
          <w:rFonts w:cs="Arial"/>
          <w:spacing w:val="-3"/>
          <w:lang w:val="fr-CA"/>
        </w:rPr>
        <w:t xml:space="preserve">. </w:t>
      </w:r>
      <w:r w:rsidRPr="00BD22C2">
        <w:rPr>
          <w:rFonts w:cs="Arial"/>
          <w:color w:val="auto"/>
          <w:spacing w:val="-3"/>
          <w:lang w:val="fr-CA"/>
        </w:rPr>
        <w:t xml:space="preserve">Puis, rappelant que </w:t>
      </w:r>
      <w:r w:rsidRPr="00BD22C2">
        <w:rPr>
          <w:rFonts w:cs="Arial"/>
          <w:color w:val="auto"/>
          <w:lang w:val="fr-CA"/>
        </w:rPr>
        <w:t>« l’humiliation </w:t>
      </w:r>
      <w:r w:rsidRPr="00BD22C2">
        <w:rPr>
          <w:rStyle w:val="solexhl"/>
          <w:rFonts w:cs="Arial"/>
          <w:color w:val="auto"/>
          <w:lang w:val="fr-CA"/>
        </w:rPr>
        <w:t>et</w:t>
      </w:r>
      <w:r w:rsidRPr="00BD22C2">
        <w:rPr>
          <w:rFonts w:cs="Arial"/>
          <w:color w:val="auto"/>
          <w:lang w:val="fr-CA"/>
        </w:rPr>
        <w:t> le dénigrement peuvent être tout aussi blessants que la douleur physique </w:t>
      </w:r>
      <w:r w:rsidRPr="00BD22C2">
        <w:rPr>
          <w:rStyle w:val="solexhl"/>
          <w:rFonts w:cs="Arial"/>
          <w:color w:val="auto"/>
          <w:lang w:val="fr-CA"/>
        </w:rPr>
        <w:t>et</w:t>
      </w:r>
      <w:r w:rsidRPr="00BD22C2">
        <w:rPr>
          <w:rFonts w:cs="Arial"/>
          <w:color w:val="auto"/>
          <w:lang w:val="fr-CA"/>
        </w:rPr>
        <w:t> tout aussi stressants </w:t>
      </w:r>
      <w:r w:rsidRPr="00BD22C2">
        <w:rPr>
          <w:rStyle w:val="solexhl"/>
          <w:rFonts w:cs="Arial"/>
          <w:color w:val="auto"/>
          <w:lang w:val="fr-CA"/>
        </w:rPr>
        <w:t>et</w:t>
      </w:r>
      <w:r w:rsidRPr="00BD22C2">
        <w:rPr>
          <w:rFonts w:cs="Arial"/>
          <w:color w:val="auto"/>
          <w:lang w:val="fr-CA"/>
        </w:rPr>
        <w:t> oppressants qu’un interrogatoire prolongé, insistant </w:t>
      </w:r>
      <w:r w:rsidRPr="00BD22C2">
        <w:rPr>
          <w:rStyle w:val="solexhl"/>
          <w:rFonts w:cs="Arial"/>
          <w:color w:val="auto"/>
          <w:lang w:val="fr-CA"/>
        </w:rPr>
        <w:t>et</w:t>
      </w:r>
      <w:r w:rsidRPr="00BD22C2">
        <w:rPr>
          <w:rFonts w:cs="Arial"/>
          <w:color w:val="auto"/>
          <w:lang w:val="fr-CA"/>
        </w:rPr>
        <w:t xml:space="preserve"> accusatoire mené par un policier déterminé », la Cour statue que </w:t>
      </w:r>
      <w:r w:rsidRPr="00BD22C2">
        <w:rPr>
          <w:rFonts w:cs="Arial"/>
          <w:color w:val="auto"/>
          <w:spacing w:val="-3"/>
          <w:lang w:val="fr-CA"/>
        </w:rPr>
        <w:t xml:space="preserve">« le </w:t>
      </w:r>
      <w:proofErr w:type="spellStart"/>
      <w:r w:rsidRPr="00BD22C2">
        <w:rPr>
          <w:rFonts w:cs="Arial"/>
          <w:color w:val="auto"/>
          <w:spacing w:val="-3"/>
          <w:lang w:val="fr-CA"/>
        </w:rPr>
        <w:t>mégenrage</w:t>
      </w:r>
      <w:proofErr w:type="spellEnd"/>
      <w:r w:rsidRPr="00BD22C2">
        <w:rPr>
          <w:rFonts w:cs="Arial"/>
          <w:color w:val="auto"/>
          <w:spacing w:val="-3"/>
          <w:lang w:val="fr-CA"/>
        </w:rPr>
        <w:t xml:space="preserve"> et les questions humiliantes et déplacées de l’enquêtrice ont contribué à créer </w:t>
      </w:r>
      <w:r w:rsidRPr="00BD22C2">
        <w:rPr>
          <w:rFonts w:cs="Arial"/>
          <w:spacing w:val="-3"/>
          <w:lang w:val="fr-CA"/>
        </w:rPr>
        <w:t>un climat d’oppression »</w:t>
      </w:r>
      <w:r w:rsidRPr="00BD22C2">
        <w:rPr>
          <w:rStyle w:val="Appeldenotedefin"/>
          <w:rFonts w:cs="Arial"/>
          <w:spacing w:val="-3"/>
          <w:lang w:val="fr-CA"/>
        </w:rPr>
        <w:endnoteReference w:id="110"/>
      </w:r>
      <w:r w:rsidRPr="00BD22C2">
        <w:rPr>
          <w:rFonts w:cs="Arial"/>
          <w:spacing w:val="-3"/>
          <w:lang w:val="fr-CA"/>
        </w:rPr>
        <w:t>. Sans qualifier celui-ci de profilage</w:t>
      </w:r>
      <w:r w:rsidRPr="00BD22C2">
        <w:rPr>
          <w:rStyle w:val="Appeldenotedefin"/>
          <w:rFonts w:cs="Arial"/>
          <w:spacing w:val="-3"/>
          <w:lang w:val="fr-CA"/>
        </w:rPr>
        <w:endnoteReference w:id="111"/>
      </w:r>
      <w:r w:rsidRPr="00BD22C2">
        <w:rPr>
          <w:rFonts w:cs="Arial"/>
          <w:spacing w:val="-3"/>
          <w:lang w:val="fr-CA"/>
        </w:rPr>
        <w:t xml:space="preserve">, le tribunal se dit d’avis que le traitement subi par l’accusé </w:t>
      </w:r>
      <w:r w:rsidRPr="00BD22C2">
        <w:rPr>
          <w:rFonts w:cs="Arial"/>
          <w:lang w:val="fr-CA"/>
        </w:rPr>
        <w:t>a eu comme conséquence de miner sa capacité d’affirmer son droit au silence, en plus d’être de nature à choquer la collectivité. La Cour conclut donc à l’irrecevabilité de la déclaration en preuve.</w:t>
      </w:r>
    </w:p>
    <w:p w14:paraId="3DB9004C" w14:textId="70F4A597" w:rsidR="00D57FB4" w:rsidRPr="00BD22C2" w:rsidRDefault="00D57FB4" w:rsidP="00A52EED">
      <w:pPr>
        <w:pStyle w:val="Paragraphe"/>
        <w:rPr>
          <w:lang w:val="fr-CA"/>
        </w:rPr>
      </w:pPr>
      <w:r w:rsidRPr="00BD22C2">
        <w:rPr>
          <w:lang w:val="fr-CA"/>
        </w:rPr>
        <w:t>D’autres décisions tendent par ailleurs à montrer que le profilage envers les personnes LG</w:t>
      </w:r>
      <w:r w:rsidR="006024EE" w:rsidRPr="00BD22C2">
        <w:rPr>
          <w:lang w:val="fr-CA"/>
        </w:rPr>
        <w:t>B</w:t>
      </w:r>
      <w:r w:rsidRPr="00BD22C2">
        <w:rPr>
          <w:lang w:val="fr-CA"/>
        </w:rPr>
        <w:t>TQ+ se manifeste au-delà du contexte des interactions avec les services policiers, notamment en lien avec la prestation de service d’autres personnes en situation d’autorité telles que des agents de sécurité</w:t>
      </w:r>
      <w:bookmarkStart w:id="58" w:name="_Ref166845391"/>
      <w:r w:rsidRPr="00BD22C2">
        <w:rPr>
          <w:rStyle w:val="Appeldenotedefin"/>
          <w:lang w:val="fr-CA"/>
        </w:rPr>
        <w:endnoteReference w:id="112"/>
      </w:r>
      <w:bookmarkEnd w:id="58"/>
      <w:r w:rsidRPr="00BD22C2">
        <w:rPr>
          <w:lang w:val="fr-CA"/>
        </w:rPr>
        <w:t xml:space="preserve">. </w:t>
      </w:r>
      <w:r w:rsidR="00572719" w:rsidRPr="00BD22C2">
        <w:rPr>
          <w:lang w:val="fr-CA"/>
        </w:rPr>
        <w:t xml:space="preserve">Comme nous le verrons </w:t>
      </w:r>
      <w:r w:rsidR="00060CC0" w:rsidRPr="00BD22C2">
        <w:rPr>
          <w:lang w:val="fr-CA"/>
        </w:rPr>
        <w:t>plus loin, l</w:t>
      </w:r>
      <w:r w:rsidRPr="00BD22C2">
        <w:rPr>
          <w:lang w:val="fr-CA"/>
        </w:rPr>
        <w:t xml:space="preserve">es comportements, l’apparence et les attitudes des personnes trans ou perçues comme telles sont en outre l’objet d’une attention soutenue de la part d’institutions offrant des espaces et services non mixtes sur le plan du sexe et du genre (toilettes, vestiaires, services </w:t>
      </w:r>
      <w:r w:rsidR="00D20909" w:rsidRPr="00BD22C2">
        <w:rPr>
          <w:lang w:val="fr-CA"/>
        </w:rPr>
        <w:t>correctionnels</w:t>
      </w:r>
      <w:r w:rsidRPr="00BD22C2">
        <w:rPr>
          <w:lang w:val="fr-CA"/>
        </w:rPr>
        <w:t>, etc.), comme l’illustrent des controverses récentes</w:t>
      </w:r>
      <w:r w:rsidRPr="00BD22C2">
        <w:rPr>
          <w:rStyle w:val="Appeldenotedefin"/>
          <w:lang w:val="fr-CA"/>
        </w:rPr>
        <w:endnoteReference w:id="113"/>
      </w:r>
      <w:r w:rsidRPr="00BD22C2">
        <w:rPr>
          <w:lang w:val="fr-CA"/>
        </w:rPr>
        <w:t>.</w:t>
      </w:r>
    </w:p>
    <w:p w14:paraId="7D4D3AE6" w14:textId="44F6B4C7" w:rsidR="00D57FB4" w:rsidRPr="00BD22C2" w:rsidRDefault="00D57FB4" w:rsidP="00A52EED">
      <w:pPr>
        <w:pStyle w:val="Paragraphe"/>
        <w:rPr>
          <w:rFonts w:eastAsia="Calibri"/>
          <w:lang w:val="fr-CA" w:eastAsia="en-US"/>
        </w:rPr>
      </w:pPr>
      <w:r w:rsidRPr="00BD22C2">
        <w:rPr>
          <w:rFonts w:eastAsia="Calibri"/>
          <w:lang w:val="fr-CA" w:eastAsia="en-US"/>
        </w:rPr>
        <w:t xml:space="preserve">Compte tenu de l’héritage persistant du profilage discriminatoire envers les personnes trans et non binaires, la Commission invite le Comité </w:t>
      </w:r>
      <w:r w:rsidR="00DC16F6" w:rsidRPr="00BD22C2">
        <w:rPr>
          <w:rFonts w:eastAsia="Calibri"/>
          <w:lang w:val="fr-CA" w:eastAsia="en-US"/>
        </w:rPr>
        <w:t xml:space="preserve">de sages </w:t>
      </w:r>
      <w:r w:rsidRPr="00BD22C2">
        <w:rPr>
          <w:rFonts w:eastAsia="Calibri"/>
          <w:lang w:val="fr-CA" w:eastAsia="en-US"/>
        </w:rPr>
        <w:t>à garder à l’esprit cette réalité de façon à s’assurer de contribuer à éradiquer les pratiques de profilage discriminatoire visant plus particulièrement les personnes LGBTQ+.</w:t>
      </w:r>
    </w:p>
    <w:p w14:paraId="304AA2E3" w14:textId="7978B744" w:rsidR="00D57FB4" w:rsidRPr="00BD22C2" w:rsidRDefault="00D57FB4" w:rsidP="00A522E6">
      <w:pPr>
        <w:pStyle w:val="TitreRecommandation"/>
        <w:keepNext/>
        <w:keepLines/>
        <w:rPr>
          <w:lang w:eastAsia="en-US"/>
        </w:rPr>
      </w:pPr>
      <w:bookmarkStart w:id="59" w:name="_Hlk163465817"/>
      <w:r w:rsidRPr="00BD22C2">
        <w:rPr>
          <w:lang w:eastAsia="en-US"/>
        </w:rPr>
        <w:lastRenderedPageBreak/>
        <w:t>RECOMMANDATION</w:t>
      </w:r>
      <w:r w:rsidR="00CC76DE" w:rsidRPr="00BD22C2">
        <w:rPr>
          <w:lang w:eastAsia="en-US"/>
        </w:rPr>
        <w:t> </w:t>
      </w:r>
      <w:r w:rsidRPr="00BD22C2">
        <w:rPr>
          <w:lang w:eastAsia="en-US"/>
        </w:rPr>
        <w:t>2</w:t>
      </w:r>
    </w:p>
    <w:p w14:paraId="3A579FF4" w14:textId="01670B25" w:rsidR="00D57FB4" w:rsidRPr="00BD22C2" w:rsidRDefault="00D57FB4" w:rsidP="00A522E6">
      <w:pPr>
        <w:pStyle w:val="Texterecommandation"/>
        <w:keepNext/>
        <w:keepLines/>
        <w:ind w:left="709" w:firstLine="0"/>
      </w:pPr>
      <w:r w:rsidRPr="00BD22C2">
        <w:t>La Commission recommande au Comité de sages sur l’identité de genre de tenir compte, pour l’ensemble des secteurs visés par son mandat, du caractère historique des discriminations à l’égard des personnes trans et non binaires qui sont notamment alimentées par leur pathologisation et le profilage discriminatoire, et ce, de façon à s’assurer de mieux lutter contre celles-ci.</w:t>
      </w:r>
    </w:p>
    <w:bookmarkEnd w:id="59"/>
    <w:p w14:paraId="61F63EAE" w14:textId="6780ED97" w:rsidR="00FC5A9F" w:rsidRPr="00BD22C2" w:rsidRDefault="00CD6749" w:rsidP="00D304CD">
      <w:pPr>
        <w:pStyle w:val="Paragraphe"/>
        <w:rPr>
          <w:rFonts w:eastAsia="Calibri"/>
          <w:lang w:val="fr-CA" w:eastAsia="en-US"/>
        </w:rPr>
      </w:pPr>
      <w:r w:rsidRPr="00BD22C2">
        <w:rPr>
          <w:rFonts w:eastAsia="Calibri"/>
          <w:lang w:val="fr-CA" w:eastAsia="en-US"/>
        </w:rPr>
        <w:t xml:space="preserve">La Commission invite également le Comité de sages à tenir compte du fait que la reconnaissance des droits des personnes trans et non binaires est très récente et qu’elle requiert donc d’être consolidée, </w:t>
      </w:r>
      <w:r w:rsidR="00423EFD" w:rsidRPr="00BD22C2">
        <w:rPr>
          <w:rFonts w:eastAsia="Calibri"/>
          <w:lang w:val="fr-CA" w:eastAsia="en-US"/>
        </w:rPr>
        <w:t>incluant</w:t>
      </w:r>
      <w:r w:rsidRPr="00BD22C2">
        <w:rPr>
          <w:rFonts w:eastAsia="Calibri"/>
          <w:lang w:val="fr-CA" w:eastAsia="en-US"/>
        </w:rPr>
        <w:t xml:space="preserve"> en continuant à mettre en place des mesures</w:t>
      </w:r>
      <w:r w:rsidR="00897BA3" w:rsidRPr="00BD22C2">
        <w:rPr>
          <w:rFonts w:eastAsia="Calibri"/>
          <w:lang w:val="fr-CA" w:eastAsia="en-US"/>
        </w:rPr>
        <w:t xml:space="preserve"> d’éducation et de sensibilisation</w:t>
      </w:r>
      <w:r w:rsidRPr="00BD22C2">
        <w:rPr>
          <w:rFonts w:eastAsia="Calibri"/>
          <w:lang w:val="fr-CA" w:eastAsia="en-US"/>
        </w:rPr>
        <w:t xml:space="preserve"> visant à les faire connaître et comprendre, comme abordé dans la section</w:t>
      </w:r>
      <w:r w:rsidR="0091080B">
        <w:rPr>
          <w:rFonts w:eastAsia="Calibri"/>
          <w:lang w:val="fr-CA" w:eastAsia="en-US"/>
        </w:rPr>
        <w:t> </w:t>
      </w:r>
      <w:r w:rsidRPr="00BD22C2">
        <w:rPr>
          <w:rFonts w:eastAsia="Calibri"/>
          <w:lang w:val="fr-CA" w:eastAsia="en-US"/>
        </w:rPr>
        <w:t>7.</w:t>
      </w:r>
    </w:p>
    <w:p w14:paraId="6CC5CFBA" w14:textId="77777777" w:rsidR="00CD6749" w:rsidRPr="00BD22C2" w:rsidRDefault="00CD6749" w:rsidP="00707395">
      <w:pPr>
        <w:pStyle w:val="Corpsdetexte"/>
        <w:rPr>
          <w:rFonts w:eastAsia="Calibri"/>
          <w:lang w:eastAsia="en-US"/>
        </w:rPr>
      </w:pPr>
    </w:p>
    <w:p w14:paraId="3C34D514" w14:textId="344BB19F" w:rsidR="00FC5A9F" w:rsidRPr="00BD22C2" w:rsidRDefault="00100038" w:rsidP="00152630">
      <w:pPr>
        <w:pStyle w:val="Titre1"/>
        <w:rPr>
          <w:rFonts w:eastAsia="Calibri"/>
          <w:lang w:eastAsia="en-US"/>
        </w:rPr>
      </w:pPr>
      <w:bookmarkStart w:id="60" w:name="_Toc165301014"/>
      <w:bookmarkStart w:id="61" w:name="_Toc165636097"/>
      <w:r w:rsidRPr="00BD22C2">
        <w:rPr>
          <w:rFonts w:eastAsia="Calibri"/>
          <w:lang w:eastAsia="en-US"/>
        </w:rPr>
        <w:t>P</w:t>
      </w:r>
      <w:r w:rsidR="00FC5A9F" w:rsidRPr="00BD22C2">
        <w:rPr>
          <w:rFonts w:eastAsia="Calibri"/>
          <w:lang w:eastAsia="en-US"/>
        </w:rPr>
        <w:t>récisions terminologiques</w:t>
      </w:r>
      <w:bookmarkEnd w:id="60"/>
      <w:bookmarkEnd w:id="61"/>
      <w:r w:rsidR="00FC5A9F" w:rsidRPr="00BD22C2">
        <w:rPr>
          <w:rFonts w:eastAsia="Calibri"/>
          <w:lang w:eastAsia="en-US"/>
        </w:rPr>
        <w:t xml:space="preserve"> </w:t>
      </w:r>
    </w:p>
    <w:p w14:paraId="48C1F1C5" w14:textId="61CF71DE" w:rsidR="00CA367D" w:rsidRPr="00BD22C2" w:rsidRDefault="00CA367D" w:rsidP="00CA367D">
      <w:pPr>
        <w:pStyle w:val="Paragraphe"/>
        <w:rPr>
          <w:lang w:val="fr-CA"/>
        </w:rPr>
      </w:pPr>
      <w:r w:rsidRPr="00BD22C2">
        <w:rPr>
          <w:rFonts w:eastAsia="Calibri"/>
          <w:lang w:val="fr-CA"/>
        </w:rPr>
        <w:t xml:space="preserve">Le mandat du Comité </w:t>
      </w:r>
      <w:r w:rsidR="00DC16F6" w:rsidRPr="00BD22C2">
        <w:rPr>
          <w:rFonts w:eastAsia="Calibri"/>
          <w:lang w:val="fr-CA"/>
        </w:rPr>
        <w:t xml:space="preserve">de sages </w:t>
      </w:r>
      <w:r w:rsidRPr="00BD22C2">
        <w:rPr>
          <w:rFonts w:eastAsia="Calibri"/>
          <w:lang w:val="fr-CA"/>
        </w:rPr>
        <w:t xml:space="preserve">porte sur l’identité de genre. Cette notion est régulièrement utilisée en relation avec celle de sexe. Par exemple, les personnes trans ont une identité de genre qui ne correspond pas au sexe qui leur a été assigné à la naissance, contrairement aux personnes cisgenres. </w:t>
      </w:r>
      <w:r w:rsidRPr="00BD22C2">
        <w:rPr>
          <w:lang w:val="fr-CA"/>
        </w:rPr>
        <w:t xml:space="preserve">Afin de clarifier l’utilisation des notions de sexe et d’identité de genre, il convient de rappeler leurs définitions et les </w:t>
      </w:r>
      <w:r w:rsidRPr="00BD22C2">
        <w:rPr>
          <w:rFonts w:eastAsia="Calibri"/>
          <w:lang w:val="fr-CA"/>
        </w:rPr>
        <w:t>différentes finalités auxquelles elles sont employées dans le droit et les politiques publiques, soit notamment en tant que motifs interdits de discrimination, en lien avec l’état civil et à titre de renseignement</w:t>
      </w:r>
      <w:r w:rsidR="00760EA9" w:rsidRPr="00BD22C2">
        <w:rPr>
          <w:rFonts w:eastAsia="Calibri"/>
          <w:lang w:val="fr-CA"/>
        </w:rPr>
        <w:t>s</w:t>
      </w:r>
      <w:r w:rsidRPr="00BD22C2">
        <w:rPr>
          <w:rFonts w:eastAsia="Calibri"/>
          <w:lang w:val="fr-CA"/>
        </w:rPr>
        <w:t xml:space="preserve"> personnel</w:t>
      </w:r>
      <w:r w:rsidR="00760EA9" w:rsidRPr="00BD22C2">
        <w:rPr>
          <w:rFonts w:eastAsia="Calibri"/>
          <w:lang w:val="fr-CA"/>
        </w:rPr>
        <w:t>s</w:t>
      </w:r>
      <w:r w:rsidRPr="00BD22C2">
        <w:rPr>
          <w:rFonts w:eastAsia="Calibri"/>
          <w:lang w:val="fr-CA"/>
        </w:rPr>
        <w:t>.</w:t>
      </w:r>
    </w:p>
    <w:p w14:paraId="5364FFF6" w14:textId="77777777" w:rsidR="00CA367D" w:rsidRPr="00BD22C2" w:rsidRDefault="00CA367D" w:rsidP="00EF1CB2">
      <w:pPr>
        <w:pStyle w:val="Titre2"/>
      </w:pPr>
      <w:bookmarkStart w:id="62" w:name="_Toc165301015"/>
      <w:bookmarkStart w:id="63" w:name="_Toc165636098"/>
      <w:r w:rsidRPr="00BD22C2">
        <w:rPr>
          <w:rFonts w:eastAsia="Calibri"/>
        </w:rPr>
        <w:t>Le sexe et l’identité de genre comme m</w:t>
      </w:r>
      <w:r w:rsidRPr="00BD22C2">
        <w:rPr>
          <w:rFonts w:eastAsia="Calibri"/>
          <w:bCs/>
        </w:rPr>
        <w:t>otifs interdits de discrimination</w:t>
      </w:r>
      <w:bookmarkEnd w:id="62"/>
      <w:bookmarkEnd w:id="63"/>
    </w:p>
    <w:p w14:paraId="29FCE7FF" w14:textId="5FCB0191" w:rsidR="00CA367D" w:rsidRPr="00BD22C2" w:rsidRDefault="00CA367D" w:rsidP="0042284F">
      <w:pPr>
        <w:pStyle w:val="Paragraphe"/>
        <w:rPr>
          <w:lang w:val="fr-CA"/>
        </w:rPr>
      </w:pPr>
      <w:r w:rsidRPr="00BD22C2">
        <w:rPr>
          <w:lang w:val="fr-CA"/>
        </w:rPr>
        <w:t>Le «</w:t>
      </w:r>
      <w:r w:rsidR="00BB3F16" w:rsidRPr="00BD22C2">
        <w:rPr>
          <w:lang w:val="fr-CA"/>
        </w:rPr>
        <w:t> </w:t>
      </w:r>
      <w:r w:rsidRPr="00BD22C2">
        <w:rPr>
          <w:lang w:val="fr-CA"/>
        </w:rPr>
        <w:t>sexe</w:t>
      </w:r>
      <w:r w:rsidR="00BB3F16" w:rsidRPr="00BD22C2">
        <w:rPr>
          <w:lang w:val="fr-CA"/>
        </w:rPr>
        <w:t> </w:t>
      </w:r>
      <w:r w:rsidRPr="00BD22C2">
        <w:rPr>
          <w:lang w:val="fr-CA"/>
        </w:rPr>
        <w:t xml:space="preserve">» et </w:t>
      </w:r>
      <w:r w:rsidR="00A522E6" w:rsidRPr="00BD22C2">
        <w:rPr>
          <w:lang w:val="fr-CA"/>
        </w:rPr>
        <w:t>l</w:t>
      </w:r>
      <w:proofErr w:type="gramStart"/>
      <w:r w:rsidR="00A522E6" w:rsidRPr="00BD22C2">
        <w:rPr>
          <w:lang w:val="fr-CA"/>
        </w:rPr>
        <w:t>’«</w:t>
      </w:r>
      <w:proofErr w:type="gramEnd"/>
      <w:r w:rsidR="00BB3F16" w:rsidRPr="00BD22C2">
        <w:rPr>
          <w:lang w:val="fr-CA"/>
        </w:rPr>
        <w:t> </w:t>
      </w:r>
      <w:r w:rsidRPr="00BD22C2">
        <w:rPr>
          <w:lang w:val="fr-CA"/>
        </w:rPr>
        <w:t>identité ou expression de genre</w:t>
      </w:r>
      <w:r w:rsidR="00BB3F16" w:rsidRPr="00BD22C2">
        <w:rPr>
          <w:lang w:val="fr-CA"/>
        </w:rPr>
        <w:t> </w:t>
      </w:r>
      <w:r w:rsidRPr="00BD22C2">
        <w:rPr>
          <w:lang w:val="fr-CA"/>
        </w:rPr>
        <w:t>» font partie des motifs de discrimination interdits par l’article</w:t>
      </w:r>
      <w:r w:rsidR="00CC76DE" w:rsidRPr="00BD22C2">
        <w:rPr>
          <w:lang w:val="fr-CA"/>
        </w:rPr>
        <w:t> </w:t>
      </w:r>
      <w:r w:rsidRPr="00BD22C2">
        <w:rPr>
          <w:lang w:val="fr-CA"/>
        </w:rPr>
        <w:t>10 de la Charte. Ces termes ne font pas l’objet de définitions législatives.</w:t>
      </w:r>
    </w:p>
    <w:p w14:paraId="665CDE8D" w14:textId="7A98F620" w:rsidR="00CA367D" w:rsidRPr="00BD22C2" w:rsidRDefault="00CA367D" w:rsidP="0042284F">
      <w:pPr>
        <w:pStyle w:val="Paragraphe"/>
        <w:rPr>
          <w:lang w:val="fr-CA"/>
        </w:rPr>
      </w:pPr>
      <w:r w:rsidRPr="00BD22C2">
        <w:rPr>
          <w:lang w:val="fr-CA"/>
        </w:rPr>
        <w:t xml:space="preserve">La jurisprudence offre cependant des éléments de définition pour en guider l’interprétation. Dans la décision </w:t>
      </w:r>
      <w:r w:rsidRPr="00BD22C2">
        <w:rPr>
          <w:i/>
          <w:lang w:val="fr-CA"/>
        </w:rPr>
        <w:t>Centre de lutte contre l’oppression des genres</w:t>
      </w:r>
      <w:r w:rsidR="00E81CFA" w:rsidRPr="00BD22C2">
        <w:rPr>
          <w:i/>
          <w:iCs/>
          <w:lang w:val="fr-CA"/>
        </w:rPr>
        <w:t xml:space="preserve"> </w:t>
      </w:r>
      <w:r w:rsidR="00E81CFA" w:rsidRPr="00BD22C2">
        <w:rPr>
          <w:lang w:val="fr-CA"/>
        </w:rPr>
        <w:t>de 2021</w:t>
      </w:r>
      <w:r w:rsidRPr="00BD22C2">
        <w:rPr>
          <w:lang w:val="fr-CA"/>
        </w:rPr>
        <w:t xml:space="preserve">, </w:t>
      </w:r>
      <w:r w:rsidR="001A5513" w:rsidRPr="00BD22C2">
        <w:rPr>
          <w:lang w:val="fr-CA"/>
        </w:rPr>
        <w:t>la Cour supérieure</w:t>
      </w:r>
      <w:r w:rsidRPr="00BD22C2">
        <w:rPr>
          <w:lang w:val="fr-CA"/>
        </w:rPr>
        <w:t xml:space="preserve"> s’est par exemple appuyé</w:t>
      </w:r>
      <w:r w:rsidR="009B08AB" w:rsidRPr="00BD22C2">
        <w:rPr>
          <w:lang w:val="fr-CA"/>
        </w:rPr>
        <w:t>e</w:t>
      </w:r>
      <w:r w:rsidRPr="00BD22C2">
        <w:rPr>
          <w:lang w:val="fr-CA"/>
        </w:rPr>
        <w:t xml:space="preserve"> sur les définitions de «</w:t>
      </w:r>
      <w:r w:rsidR="00BB3F16" w:rsidRPr="00BD22C2">
        <w:rPr>
          <w:lang w:val="fr-CA"/>
        </w:rPr>
        <w:t> </w:t>
      </w:r>
      <w:r w:rsidRPr="00BD22C2">
        <w:rPr>
          <w:lang w:val="fr-CA"/>
        </w:rPr>
        <w:t>sexe</w:t>
      </w:r>
      <w:r w:rsidR="00BB3F16" w:rsidRPr="00BD22C2">
        <w:rPr>
          <w:lang w:val="fr-CA"/>
        </w:rPr>
        <w:t> </w:t>
      </w:r>
      <w:r w:rsidRPr="00BD22C2">
        <w:rPr>
          <w:lang w:val="fr-CA"/>
        </w:rPr>
        <w:t>» et de «</w:t>
      </w:r>
      <w:r w:rsidR="00BB3F16" w:rsidRPr="00BD22C2">
        <w:rPr>
          <w:lang w:val="fr-CA"/>
        </w:rPr>
        <w:t> </w:t>
      </w:r>
      <w:r w:rsidRPr="00BD22C2">
        <w:rPr>
          <w:lang w:val="fr-CA"/>
        </w:rPr>
        <w:t>genre</w:t>
      </w:r>
      <w:r w:rsidR="00BB3F16" w:rsidRPr="00BD22C2">
        <w:rPr>
          <w:lang w:val="fr-CA"/>
        </w:rPr>
        <w:t> </w:t>
      </w:r>
      <w:r w:rsidRPr="00BD22C2">
        <w:rPr>
          <w:lang w:val="fr-CA"/>
        </w:rPr>
        <w:t>» de Statistique Canada alors en vigueur</w:t>
      </w:r>
      <w:bookmarkStart w:id="64" w:name="_Ref166756816"/>
      <w:r w:rsidR="00450CDC" w:rsidRPr="00BD22C2">
        <w:rPr>
          <w:rStyle w:val="Appeldenotedefin"/>
          <w:szCs w:val="22"/>
          <w:lang w:val="fr-CA"/>
        </w:rPr>
        <w:endnoteReference w:id="114"/>
      </w:r>
      <w:bookmarkEnd w:id="64"/>
      <w:r w:rsidR="00450CDC" w:rsidRPr="00BD22C2">
        <w:rPr>
          <w:lang w:val="fr-CA"/>
        </w:rPr>
        <w:t>.</w:t>
      </w:r>
      <w:r w:rsidRPr="00BD22C2">
        <w:rPr>
          <w:lang w:val="fr-CA"/>
        </w:rPr>
        <w:t xml:space="preserve"> La notion de sexe renvoie à celui </w:t>
      </w:r>
      <w:r w:rsidR="00BD266A" w:rsidRPr="00BD22C2">
        <w:rPr>
          <w:lang w:val="fr-CA"/>
        </w:rPr>
        <w:t xml:space="preserve">assigné </w:t>
      </w:r>
      <w:r w:rsidRPr="00BD22C2">
        <w:rPr>
          <w:lang w:val="fr-CA"/>
        </w:rPr>
        <w:t>à la naissance, tandis que l’identité de genre renvoie au genre que ressent intimement une personne. Bien qu’il ne s’agisse pas de définitions des motifs de discrimination à proprement parler, elles orientent la décision du juge qui porte sur des atteintes au droit à l’égalité des personnes trans et des personnes non binaires sur la base de l’identité de genre.</w:t>
      </w:r>
    </w:p>
    <w:p w14:paraId="1BB76CDB" w14:textId="77777777" w:rsidR="00226E98" w:rsidRPr="00BD22C2" w:rsidRDefault="00CA367D" w:rsidP="00CA367D">
      <w:pPr>
        <w:pStyle w:val="Paragraphe"/>
        <w:rPr>
          <w:rFonts w:cs="Arial"/>
          <w:lang w:val="fr-CA"/>
        </w:rPr>
      </w:pPr>
      <w:r w:rsidRPr="00BD22C2">
        <w:rPr>
          <w:lang w:val="fr-CA"/>
        </w:rPr>
        <w:lastRenderedPageBreak/>
        <w:t>Les débats parlementaires ayant mené à l’ajout du motif «</w:t>
      </w:r>
      <w:r w:rsidR="00BB3F16" w:rsidRPr="00BD22C2">
        <w:rPr>
          <w:lang w:val="fr-CA"/>
        </w:rPr>
        <w:t> </w:t>
      </w:r>
      <w:r w:rsidRPr="00BD22C2">
        <w:rPr>
          <w:lang w:val="fr-CA"/>
        </w:rPr>
        <w:t>identité ou expression de genre</w:t>
      </w:r>
      <w:r w:rsidR="00BB3F16" w:rsidRPr="00BD22C2">
        <w:rPr>
          <w:lang w:val="fr-CA"/>
        </w:rPr>
        <w:t> </w:t>
      </w:r>
      <w:r w:rsidRPr="00BD22C2">
        <w:rPr>
          <w:lang w:val="fr-CA"/>
        </w:rPr>
        <w:t xml:space="preserve">» à la Charte fournissent des indications supplémentaires allant dans le même sens. La </w:t>
      </w:r>
      <w:r w:rsidRPr="00BD22C2">
        <w:rPr>
          <w:rFonts w:cs="Arial"/>
          <w:lang w:val="fr-CA"/>
        </w:rPr>
        <w:t>ministre de la Justice d’alors, Stéphanie Vallée, a défini l’identité de genre comme étant «</w:t>
      </w:r>
      <w:r w:rsidR="00BB3F16" w:rsidRPr="00BD22C2">
        <w:rPr>
          <w:rFonts w:cs="Arial"/>
          <w:lang w:val="fr-CA"/>
        </w:rPr>
        <w:t> </w:t>
      </w:r>
      <w:r w:rsidRPr="00BD22C2">
        <w:rPr>
          <w:rFonts w:cs="Arial"/>
          <w:lang w:val="fr-CA"/>
        </w:rPr>
        <w:t>ce que la personne ressent</w:t>
      </w:r>
      <w:r w:rsidR="00BB3F16" w:rsidRPr="00BD22C2">
        <w:rPr>
          <w:rFonts w:cs="Arial"/>
          <w:lang w:val="fr-CA"/>
        </w:rPr>
        <w:t> </w:t>
      </w:r>
      <w:r w:rsidRPr="00BD22C2">
        <w:rPr>
          <w:rFonts w:cs="Arial"/>
          <w:lang w:val="fr-CA"/>
        </w:rPr>
        <w:t xml:space="preserve">», et a cité la définition suivante : </w:t>
      </w:r>
    </w:p>
    <w:p w14:paraId="242E5AA3" w14:textId="77777777" w:rsidR="0031228C" w:rsidRPr="00BD22C2" w:rsidRDefault="00CA367D" w:rsidP="00227AB1">
      <w:pPr>
        <w:pStyle w:val="Citation"/>
      </w:pPr>
      <w:r w:rsidRPr="00BD22C2">
        <w:t>«</w:t>
      </w:r>
      <w:r w:rsidR="00BB3F16" w:rsidRPr="00BD22C2">
        <w:t> </w:t>
      </w:r>
      <w:r w:rsidRPr="00BD22C2">
        <w:t>[L’expérience] individuelle du genre d’une personne, qui peut correspondre ou non à son sexe biologique ou assigné à la naissance et qui peut impliquer, avec son consentement, des modifications corporelles, des choix esthétiques ou toutes autres expressions de genre, dont l’habillement ou la façon de se conduire</w:t>
      </w:r>
      <w:r w:rsidR="00BB3F16" w:rsidRPr="00BD22C2">
        <w:t> </w:t>
      </w:r>
      <w:r w:rsidRPr="00BD22C2">
        <w:t>»</w:t>
      </w:r>
      <w:r w:rsidR="00450CDC" w:rsidRPr="00BD22C2">
        <w:rPr>
          <w:vertAlign w:val="superscript"/>
        </w:rPr>
        <w:endnoteReference w:id="115"/>
      </w:r>
      <w:r w:rsidR="00450CDC" w:rsidRPr="00BD22C2">
        <w:t>.</w:t>
      </w:r>
      <w:r w:rsidRPr="00BD22C2">
        <w:t xml:space="preserve"> </w:t>
      </w:r>
    </w:p>
    <w:p w14:paraId="13D2BAEA" w14:textId="7DBF04F6" w:rsidR="00CA367D" w:rsidRPr="00BD22C2" w:rsidRDefault="00CA367D" w:rsidP="00CA367D">
      <w:pPr>
        <w:pStyle w:val="Paragraphe"/>
        <w:rPr>
          <w:lang w:val="fr-CA"/>
        </w:rPr>
      </w:pPr>
      <w:r w:rsidRPr="00BD22C2">
        <w:rPr>
          <w:rFonts w:cs="Arial"/>
          <w:lang w:val="fr-CA"/>
        </w:rPr>
        <w:t>Elle ajoute que</w:t>
      </w:r>
      <w:r w:rsidR="00E8063A" w:rsidRPr="00BD22C2">
        <w:rPr>
          <w:rFonts w:cs="Arial"/>
          <w:lang w:val="fr-CA"/>
        </w:rPr>
        <w:t> </w:t>
      </w:r>
      <w:r w:rsidRPr="00BD22C2">
        <w:rPr>
          <w:rFonts w:cs="Arial"/>
          <w:lang w:val="fr-CA"/>
        </w:rPr>
        <w:t>: «</w:t>
      </w:r>
      <w:r w:rsidR="00BB3F16" w:rsidRPr="00BD22C2">
        <w:rPr>
          <w:rFonts w:cs="Arial"/>
          <w:lang w:val="fr-CA"/>
        </w:rPr>
        <w:t> </w:t>
      </w:r>
      <w:r w:rsidRPr="00BD22C2">
        <w:rPr>
          <w:rFonts w:cs="Arial"/>
          <w:lang w:val="fr-CA"/>
        </w:rPr>
        <w:t>[l]’expression de genre, c’est l’extérieur, c’est comment moi, je vais exprimer cette identité. C’est beaucoup plus</w:t>
      </w:r>
      <w:r w:rsidR="003B361F" w:rsidRPr="00BD22C2">
        <w:rPr>
          <w:rFonts w:cs="Arial"/>
          <w:lang w:val="fr-CA"/>
        </w:rPr>
        <w:t>…</w:t>
      </w:r>
      <w:r w:rsidRPr="00BD22C2">
        <w:rPr>
          <w:rFonts w:cs="Arial"/>
          <w:lang w:val="fr-CA"/>
        </w:rPr>
        <w:t xml:space="preserve"> c’est plus, je vous dirais, cosmétique, peut-être, dans certains cas, c’est l’extériorisation de l’expression de genre. Et ça, bien, ça dépend beaucoup d’une personne à l’autre</w:t>
      </w:r>
      <w:r w:rsidR="00BB3F16" w:rsidRPr="00BD22C2">
        <w:rPr>
          <w:rFonts w:cs="Arial"/>
          <w:lang w:val="fr-CA"/>
        </w:rPr>
        <w:t> </w:t>
      </w:r>
      <w:r w:rsidRPr="00BD22C2">
        <w:rPr>
          <w:rFonts w:cs="Arial"/>
          <w:lang w:val="fr-CA"/>
        </w:rPr>
        <w:t>».</w:t>
      </w:r>
    </w:p>
    <w:p w14:paraId="165967DF" w14:textId="10B09760" w:rsidR="00CA367D" w:rsidRPr="00BD22C2" w:rsidRDefault="00F868CD" w:rsidP="00D37EC4">
      <w:pPr>
        <w:pStyle w:val="Paragraphe"/>
        <w:rPr>
          <w:lang w:val="fr-CA"/>
        </w:rPr>
      </w:pPr>
      <w:r w:rsidRPr="00BD22C2">
        <w:rPr>
          <w:lang w:val="fr-CA"/>
        </w:rPr>
        <w:t>En ce qui a trait au motif «</w:t>
      </w:r>
      <w:r w:rsidR="00BB3F16" w:rsidRPr="00BD22C2">
        <w:rPr>
          <w:lang w:val="fr-CA"/>
        </w:rPr>
        <w:t> </w:t>
      </w:r>
      <w:r w:rsidRPr="00BD22C2">
        <w:rPr>
          <w:lang w:val="fr-CA"/>
        </w:rPr>
        <w:t>sexe</w:t>
      </w:r>
      <w:r w:rsidR="00BB3F16" w:rsidRPr="00BD22C2">
        <w:rPr>
          <w:lang w:val="fr-CA"/>
        </w:rPr>
        <w:t> </w:t>
      </w:r>
      <w:r w:rsidRPr="00BD22C2">
        <w:rPr>
          <w:lang w:val="fr-CA"/>
        </w:rPr>
        <w:t xml:space="preserve">», </w:t>
      </w:r>
      <w:r w:rsidR="0016200E" w:rsidRPr="00BD22C2">
        <w:rPr>
          <w:lang w:val="fr-CA"/>
        </w:rPr>
        <w:t xml:space="preserve">il fut d’abord </w:t>
      </w:r>
      <w:r w:rsidR="00566282" w:rsidRPr="00BD22C2">
        <w:rPr>
          <w:lang w:val="fr-CA"/>
        </w:rPr>
        <w:t xml:space="preserve">plus particulièrement </w:t>
      </w:r>
      <w:r w:rsidR="0016200E" w:rsidRPr="00BD22C2">
        <w:rPr>
          <w:lang w:val="fr-CA"/>
        </w:rPr>
        <w:t>interprété</w:t>
      </w:r>
      <w:r w:rsidR="00F12F78" w:rsidRPr="00BD22C2">
        <w:rPr>
          <w:lang w:val="fr-CA"/>
        </w:rPr>
        <w:t xml:space="preserve"> en vue d’assurer l’égalité entre les femmes et hommes</w:t>
      </w:r>
      <w:r w:rsidR="00FD4F28" w:rsidRPr="00BD22C2">
        <w:rPr>
          <w:lang w:val="fr-CA"/>
        </w:rPr>
        <w:t xml:space="preserve"> et il </w:t>
      </w:r>
      <w:r w:rsidR="001828D1" w:rsidRPr="00BD22C2">
        <w:rPr>
          <w:lang w:val="fr-CA"/>
        </w:rPr>
        <w:t xml:space="preserve">continue d’être un outil d’avancement </w:t>
      </w:r>
      <w:r w:rsidR="00FB6FC4" w:rsidRPr="00BD22C2">
        <w:rPr>
          <w:lang w:val="fr-CA"/>
        </w:rPr>
        <w:t>important</w:t>
      </w:r>
      <w:r w:rsidR="001828D1" w:rsidRPr="00BD22C2">
        <w:rPr>
          <w:lang w:val="fr-CA"/>
        </w:rPr>
        <w:t xml:space="preserve"> </w:t>
      </w:r>
      <w:r w:rsidR="00FD4F28" w:rsidRPr="00BD22C2">
        <w:rPr>
          <w:lang w:val="fr-CA"/>
        </w:rPr>
        <w:t>vers l’atteinte de</w:t>
      </w:r>
      <w:r w:rsidR="001828D1" w:rsidRPr="00BD22C2">
        <w:rPr>
          <w:lang w:val="fr-CA"/>
        </w:rPr>
        <w:t xml:space="preserve"> l’égalité réelle </w:t>
      </w:r>
      <w:r w:rsidR="001444D4" w:rsidRPr="00BD22C2">
        <w:rPr>
          <w:lang w:val="fr-CA"/>
        </w:rPr>
        <w:t xml:space="preserve">pour </w:t>
      </w:r>
      <w:r w:rsidR="000F2093" w:rsidRPr="00BD22C2">
        <w:rPr>
          <w:lang w:val="fr-CA"/>
        </w:rPr>
        <w:t>toutes</w:t>
      </w:r>
      <w:r w:rsidR="001444D4" w:rsidRPr="00BD22C2">
        <w:rPr>
          <w:lang w:val="fr-CA"/>
        </w:rPr>
        <w:t xml:space="preserve"> les</w:t>
      </w:r>
      <w:r w:rsidR="001828D1" w:rsidRPr="00BD22C2">
        <w:rPr>
          <w:lang w:val="fr-CA"/>
        </w:rPr>
        <w:t xml:space="preserve"> femmes</w:t>
      </w:r>
      <w:r w:rsidR="00F12F78" w:rsidRPr="00BD22C2">
        <w:rPr>
          <w:lang w:val="fr-CA"/>
        </w:rPr>
        <w:t>.</w:t>
      </w:r>
      <w:r w:rsidRPr="00BD22C2">
        <w:rPr>
          <w:lang w:val="fr-CA"/>
        </w:rPr>
        <w:t xml:space="preserve"> </w:t>
      </w:r>
      <w:r w:rsidR="00077973" w:rsidRPr="00BD22C2">
        <w:rPr>
          <w:lang w:val="fr-CA"/>
        </w:rPr>
        <w:t>Sur ce chemin</w:t>
      </w:r>
      <w:r w:rsidR="00934824" w:rsidRPr="00BD22C2">
        <w:rPr>
          <w:lang w:val="fr-CA"/>
        </w:rPr>
        <w:t xml:space="preserve">, </w:t>
      </w:r>
      <w:r w:rsidR="00346F37" w:rsidRPr="00BD22C2">
        <w:rPr>
          <w:lang w:val="fr-CA"/>
        </w:rPr>
        <w:t xml:space="preserve">la </w:t>
      </w:r>
      <w:r w:rsidR="00144235" w:rsidRPr="00BD22C2">
        <w:rPr>
          <w:lang w:val="fr-CA"/>
        </w:rPr>
        <w:t>jurisprudence</w:t>
      </w:r>
      <w:r w:rsidR="00346F37" w:rsidRPr="00BD22C2">
        <w:rPr>
          <w:lang w:val="fr-CA"/>
        </w:rPr>
        <w:t xml:space="preserve"> </w:t>
      </w:r>
      <w:r w:rsidR="007B046A" w:rsidRPr="00BD22C2">
        <w:rPr>
          <w:lang w:val="fr-CA"/>
        </w:rPr>
        <w:t xml:space="preserve">a </w:t>
      </w:r>
      <w:r w:rsidR="00A522E6" w:rsidRPr="00BD22C2">
        <w:rPr>
          <w:lang w:val="fr-CA"/>
        </w:rPr>
        <w:t>considéré depuis</w:t>
      </w:r>
      <w:r w:rsidR="00250B97" w:rsidRPr="00BD22C2">
        <w:rPr>
          <w:lang w:val="fr-CA"/>
        </w:rPr>
        <w:t xml:space="preserve"> des décennies</w:t>
      </w:r>
      <w:r w:rsidR="00957DE9" w:rsidRPr="00BD22C2">
        <w:rPr>
          <w:lang w:val="fr-CA"/>
        </w:rPr>
        <w:t xml:space="preserve"> que </w:t>
      </w:r>
      <w:r w:rsidR="003A057A" w:rsidRPr="00BD22C2">
        <w:rPr>
          <w:lang w:val="fr-CA"/>
        </w:rPr>
        <w:t xml:space="preserve">la compréhension </w:t>
      </w:r>
      <w:r w:rsidR="00DA0865" w:rsidRPr="00BD22C2">
        <w:rPr>
          <w:lang w:val="fr-CA"/>
        </w:rPr>
        <w:t xml:space="preserve">de la discrimination </w:t>
      </w:r>
      <w:r w:rsidR="00D866AE" w:rsidRPr="00BD22C2">
        <w:rPr>
          <w:lang w:val="fr-CA"/>
        </w:rPr>
        <w:t xml:space="preserve">fondée sur </w:t>
      </w:r>
      <w:r w:rsidR="00103C6F" w:rsidRPr="00BD22C2">
        <w:rPr>
          <w:lang w:val="fr-CA"/>
        </w:rPr>
        <w:t>le motif «</w:t>
      </w:r>
      <w:r w:rsidR="00444FEB">
        <w:rPr>
          <w:lang w:val="fr-CA"/>
        </w:rPr>
        <w:t> </w:t>
      </w:r>
      <w:r w:rsidR="00103C6F" w:rsidRPr="00BD22C2">
        <w:rPr>
          <w:lang w:val="fr-CA"/>
        </w:rPr>
        <w:t>sexe</w:t>
      </w:r>
      <w:r w:rsidR="00444FEB">
        <w:rPr>
          <w:lang w:val="fr-CA"/>
        </w:rPr>
        <w:t> </w:t>
      </w:r>
      <w:r w:rsidR="00103C6F" w:rsidRPr="00BD22C2">
        <w:rPr>
          <w:lang w:val="fr-CA"/>
        </w:rPr>
        <w:t>»</w:t>
      </w:r>
      <w:r w:rsidR="00D866AE" w:rsidRPr="00BD22C2">
        <w:rPr>
          <w:lang w:val="fr-CA"/>
        </w:rPr>
        <w:t xml:space="preserve"> </w:t>
      </w:r>
      <w:r w:rsidR="00897225" w:rsidRPr="00BD22C2">
        <w:rPr>
          <w:lang w:val="fr-CA"/>
        </w:rPr>
        <w:t xml:space="preserve">ne </w:t>
      </w:r>
      <w:r w:rsidR="00625BDE" w:rsidRPr="00BD22C2">
        <w:rPr>
          <w:lang w:val="fr-CA"/>
        </w:rPr>
        <w:t xml:space="preserve">doit pas </w:t>
      </w:r>
      <w:r w:rsidR="007E68A0" w:rsidRPr="00BD22C2">
        <w:rPr>
          <w:lang w:val="fr-CA"/>
        </w:rPr>
        <w:t>uniquement tenir compte</w:t>
      </w:r>
      <w:r w:rsidR="00826C2B" w:rsidRPr="00BD22C2">
        <w:rPr>
          <w:lang w:val="fr-CA"/>
        </w:rPr>
        <w:t xml:space="preserve"> </w:t>
      </w:r>
      <w:r w:rsidR="007E68A0" w:rsidRPr="00BD22C2">
        <w:rPr>
          <w:lang w:val="fr-CA"/>
        </w:rPr>
        <w:t xml:space="preserve">des </w:t>
      </w:r>
      <w:r w:rsidR="00CD1F85" w:rsidRPr="00BD22C2">
        <w:rPr>
          <w:lang w:val="fr-CA"/>
        </w:rPr>
        <w:t>réalités biologiques</w:t>
      </w:r>
      <w:r w:rsidR="00BA0E30" w:rsidRPr="00BD22C2">
        <w:rPr>
          <w:rStyle w:val="Appeldenotedefin"/>
          <w:lang w:val="fr-CA"/>
        </w:rPr>
        <w:endnoteReference w:id="116"/>
      </w:r>
      <w:r w:rsidR="00BA0E30" w:rsidRPr="00BD22C2">
        <w:rPr>
          <w:lang w:val="fr-CA"/>
        </w:rPr>
        <w:t>.</w:t>
      </w:r>
      <w:r w:rsidRPr="00BD22C2">
        <w:rPr>
          <w:lang w:val="fr-CA"/>
        </w:rPr>
        <w:t xml:space="preserve"> </w:t>
      </w:r>
      <w:r w:rsidR="000F11A7" w:rsidRPr="00BD22C2">
        <w:rPr>
          <w:lang w:val="fr-CA"/>
        </w:rPr>
        <w:t xml:space="preserve">En ce sens, </w:t>
      </w:r>
      <w:r w:rsidR="00103C6F" w:rsidRPr="00BD22C2">
        <w:rPr>
          <w:lang w:val="fr-CA"/>
        </w:rPr>
        <w:t>il</w:t>
      </w:r>
      <w:r w:rsidR="000F11A7" w:rsidRPr="00BD22C2">
        <w:rPr>
          <w:lang w:val="fr-CA"/>
        </w:rPr>
        <w:t xml:space="preserve"> inclut</w:t>
      </w:r>
      <w:r w:rsidR="00103C6F" w:rsidRPr="00BD22C2">
        <w:rPr>
          <w:lang w:val="fr-CA"/>
        </w:rPr>
        <w:t xml:space="preserve"> </w:t>
      </w:r>
      <w:r w:rsidR="00A20D89" w:rsidRPr="00BD22C2">
        <w:rPr>
          <w:lang w:val="fr-CA"/>
        </w:rPr>
        <w:t xml:space="preserve">des </w:t>
      </w:r>
      <w:r w:rsidR="00EF565F" w:rsidRPr="00BD22C2">
        <w:rPr>
          <w:lang w:val="fr-CA"/>
        </w:rPr>
        <w:t>considérations</w:t>
      </w:r>
      <w:r w:rsidR="007D6A0D" w:rsidRPr="00BD22C2">
        <w:rPr>
          <w:lang w:val="fr-CA"/>
        </w:rPr>
        <w:t xml:space="preserve"> comprises dans la notion de genre</w:t>
      </w:r>
      <w:r w:rsidR="009C301F" w:rsidRPr="00BD22C2">
        <w:rPr>
          <w:rStyle w:val="Appeldenotedefin"/>
          <w:lang w:val="fr-CA"/>
        </w:rPr>
        <w:endnoteReference w:id="117"/>
      </w:r>
      <w:r w:rsidR="007D6A0D" w:rsidRPr="00BD22C2">
        <w:rPr>
          <w:lang w:val="fr-CA"/>
        </w:rPr>
        <w:t>.</w:t>
      </w:r>
      <w:r w:rsidRPr="00BD22C2">
        <w:rPr>
          <w:lang w:val="fr-CA"/>
        </w:rPr>
        <w:t xml:space="preserve"> </w:t>
      </w:r>
      <w:r w:rsidR="00A66435" w:rsidRPr="00BD22C2">
        <w:rPr>
          <w:lang w:val="fr-CA"/>
        </w:rPr>
        <w:t xml:space="preserve">S’appuyant </w:t>
      </w:r>
      <w:r w:rsidR="009F6115" w:rsidRPr="00BD22C2">
        <w:rPr>
          <w:lang w:val="fr-CA"/>
        </w:rPr>
        <w:t xml:space="preserve">notamment </w:t>
      </w:r>
      <w:r w:rsidR="00A66435" w:rsidRPr="00BD22C2">
        <w:rPr>
          <w:lang w:val="fr-CA"/>
        </w:rPr>
        <w:t xml:space="preserve">sur </w:t>
      </w:r>
      <w:r w:rsidR="009F6115" w:rsidRPr="00BD22C2">
        <w:rPr>
          <w:lang w:val="fr-CA"/>
        </w:rPr>
        <w:t xml:space="preserve">la jurisprudence de </w:t>
      </w:r>
      <w:r w:rsidR="00144235" w:rsidRPr="00BD22C2">
        <w:rPr>
          <w:lang w:val="fr-CA"/>
        </w:rPr>
        <w:t>la Cour suprême</w:t>
      </w:r>
      <w:r w:rsidR="009F6115" w:rsidRPr="00BD22C2">
        <w:rPr>
          <w:lang w:val="fr-CA"/>
        </w:rPr>
        <w:t xml:space="preserve">, </w:t>
      </w:r>
      <w:r w:rsidR="00BA6566" w:rsidRPr="00BD22C2">
        <w:rPr>
          <w:lang w:val="fr-CA"/>
        </w:rPr>
        <w:t>l</w:t>
      </w:r>
      <w:r w:rsidR="00CA367D" w:rsidRPr="00BD22C2">
        <w:rPr>
          <w:lang w:val="fr-CA"/>
        </w:rPr>
        <w:t xml:space="preserve">e Tribunal des droits de la personne </w:t>
      </w:r>
      <w:r w:rsidR="00EA445D" w:rsidRPr="00BD22C2">
        <w:rPr>
          <w:lang w:val="fr-CA"/>
        </w:rPr>
        <w:t xml:space="preserve">a </w:t>
      </w:r>
      <w:r w:rsidR="00CA367D" w:rsidRPr="00BD22C2">
        <w:rPr>
          <w:lang w:val="fr-CA"/>
        </w:rPr>
        <w:t xml:space="preserve">reconnu dès 1998 </w:t>
      </w:r>
      <w:r w:rsidR="00EA445D" w:rsidRPr="00BD22C2">
        <w:rPr>
          <w:lang w:val="fr-CA"/>
        </w:rPr>
        <w:t>qu</w:t>
      </w:r>
      <w:r w:rsidR="00DB7862" w:rsidRPr="00BD22C2">
        <w:rPr>
          <w:lang w:val="fr-CA"/>
        </w:rPr>
        <w:t>e ce motif</w:t>
      </w:r>
      <w:r w:rsidR="00EA445D" w:rsidRPr="00BD22C2">
        <w:rPr>
          <w:lang w:val="fr-CA"/>
        </w:rPr>
        <w:t xml:space="preserve"> </w:t>
      </w:r>
      <w:r w:rsidR="00CC2273" w:rsidRPr="00BD22C2">
        <w:rPr>
          <w:lang w:val="fr-CA"/>
        </w:rPr>
        <w:t>n</w:t>
      </w:r>
      <w:r w:rsidR="00461EEA" w:rsidRPr="00BD22C2">
        <w:rPr>
          <w:lang w:val="fr-CA"/>
        </w:rPr>
        <w:t>’</w:t>
      </w:r>
      <w:r w:rsidR="00CC2273" w:rsidRPr="00BD22C2">
        <w:rPr>
          <w:lang w:val="fr-CA"/>
        </w:rPr>
        <w:t xml:space="preserve">est </w:t>
      </w:r>
      <w:r w:rsidR="00002CD1" w:rsidRPr="00BD22C2">
        <w:rPr>
          <w:lang w:val="fr-CA"/>
        </w:rPr>
        <w:t>«</w:t>
      </w:r>
      <w:r w:rsidR="00BB3F16" w:rsidRPr="00BD22C2">
        <w:rPr>
          <w:lang w:val="fr-CA"/>
        </w:rPr>
        <w:t> </w:t>
      </w:r>
      <w:r w:rsidR="00CC2273" w:rsidRPr="00BD22C2">
        <w:rPr>
          <w:lang w:val="fr-CA"/>
        </w:rPr>
        <w:t xml:space="preserve">pas limité </w:t>
      </w:r>
      <w:r w:rsidR="00461EEA" w:rsidRPr="00BD22C2">
        <w:rPr>
          <w:lang w:val="fr-CA"/>
        </w:rPr>
        <w:t xml:space="preserve">à la seule dimension biologique </w:t>
      </w:r>
      <w:r w:rsidR="00536A15" w:rsidRPr="00BD22C2">
        <w:rPr>
          <w:lang w:val="fr-CA"/>
        </w:rPr>
        <w:t>qui permet de distinguer les sex</w:t>
      </w:r>
      <w:r w:rsidR="00002CD1" w:rsidRPr="00BD22C2">
        <w:rPr>
          <w:lang w:val="fr-CA"/>
        </w:rPr>
        <w:t xml:space="preserve">es </w:t>
      </w:r>
      <w:r w:rsidR="006B4550" w:rsidRPr="00BD22C2">
        <w:rPr>
          <w:lang w:val="fr-CA"/>
        </w:rPr>
        <w:t>féminins et masculins</w:t>
      </w:r>
      <w:r w:rsidR="00BB3F16" w:rsidRPr="00BD22C2">
        <w:rPr>
          <w:lang w:val="fr-CA"/>
        </w:rPr>
        <w:t> </w:t>
      </w:r>
      <w:r w:rsidR="006B4550" w:rsidRPr="00BD22C2">
        <w:rPr>
          <w:lang w:val="fr-CA"/>
        </w:rPr>
        <w:t>»</w:t>
      </w:r>
      <w:bookmarkStart w:id="65" w:name="_Ref166843602"/>
      <w:r w:rsidR="0001537F" w:rsidRPr="00BD22C2">
        <w:rPr>
          <w:rStyle w:val="Appeldenotedefin"/>
          <w:lang w:val="fr-CA"/>
        </w:rPr>
        <w:endnoteReference w:id="118"/>
      </w:r>
      <w:bookmarkEnd w:id="65"/>
      <w:r w:rsidR="006B4550" w:rsidRPr="00BD22C2">
        <w:rPr>
          <w:lang w:val="fr-CA"/>
        </w:rPr>
        <w:t xml:space="preserve">. </w:t>
      </w:r>
      <w:r w:rsidR="00C07DD4" w:rsidRPr="00BD22C2">
        <w:rPr>
          <w:lang w:val="fr-CA"/>
        </w:rPr>
        <w:t>Il</w:t>
      </w:r>
      <w:r w:rsidR="009227DA" w:rsidRPr="00BD22C2">
        <w:rPr>
          <w:lang w:val="fr-CA"/>
        </w:rPr>
        <w:t xml:space="preserve"> explique </w:t>
      </w:r>
      <w:r w:rsidR="00A23C19" w:rsidRPr="00BD22C2">
        <w:rPr>
          <w:lang w:val="fr-CA"/>
        </w:rPr>
        <w:t xml:space="preserve">que </w:t>
      </w:r>
      <w:r w:rsidR="002C56C8" w:rsidRPr="00BD22C2">
        <w:rPr>
          <w:lang w:val="fr-CA"/>
        </w:rPr>
        <w:t>les contextes social et économique sont déterminants</w:t>
      </w:r>
      <w:r w:rsidR="00BA528E" w:rsidRPr="00BD22C2">
        <w:rPr>
          <w:lang w:val="fr-CA"/>
        </w:rPr>
        <w:t xml:space="preserve"> dans </w:t>
      </w:r>
      <w:r w:rsidR="00390535" w:rsidRPr="00BD22C2">
        <w:rPr>
          <w:lang w:val="fr-CA"/>
        </w:rPr>
        <w:t>sa définition</w:t>
      </w:r>
      <w:r w:rsidR="00003651" w:rsidRPr="00BD22C2">
        <w:rPr>
          <w:lang w:val="fr-CA"/>
        </w:rPr>
        <w:t xml:space="preserve"> et qu’il </w:t>
      </w:r>
      <w:r w:rsidR="002A28FC" w:rsidRPr="00BD22C2">
        <w:rPr>
          <w:lang w:val="fr-CA"/>
        </w:rPr>
        <w:t xml:space="preserve">importe de </w:t>
      </w:r>
      <w:r w:rsidR="00003651" w:rsidRPr="00BD22C2">
        <w:rPr>
          <w:lang w:val="fr-CA"/>
        </w:rPr>
        <w:t xml:space="preserve">s’attarder sur </w:t>
      </w:r>
      <w:r w:rsidR="004E6E2D" w:rsidRPr="00BD22C2">
        <w:rPr>
          <w:lang w:val="fr-CA"/>
        </w:rPr>
        <w:t xml:space="preserve">les conséquences </w:t>
      </w:r>
      <w:r w:rsidR="00CA367D" w:rsidRPr="00BD22C2">
        <w:rPr>
          <w:lang w:val="fr-CA"/>
        </w:rPr>
        <w:t>de la distinction en cause</w:t>
      </w:r>
      <w:r w:rsidR="00E8063A" w:rsidRPr="00BD22C2">
        <w:rPr>
          <w:lang w:val="fr-CA"/>
        </w:rPr>
        <w:t> </w:t>
      </w:r>
      <w:r w:rsidR="00CA367D" w:rsidRPr="00BD22C2">
        <w:rPr>
          <w:lang w:val="fr-CA"/>
        </w:rPr>
        <w:t>:</w:t>
      </w:r>
    </w:p>
    <w:p w14:paraId="7EF286B6" w14:textId="096FE1E6" w:rsidR="00CA367D" w:rsidRPr="00BD22C2" w:rsidRDefault="00CA367D" w:rsidP="00EF1CB2">
      <w:pPr>
        <w:pStyle w:val="Citation"/>
      </w:pPr>
      <w:r w:rsidRPr="00BD22C2">
        <w:t>«</w:t>
      </w:r>
      <w:r w:rsidR="00974BD5" w:rsidRPr="00BD22C2">
        <w:t> </w:t>
      </w:r>
      <w:r w:rsidRPr="00BD22C2">
        <w:t>Reprenant les arrêts </w:t>
      </w:r>
      <w:r w:rsidRPr="00BD22C2">
        <w:rPr>
          <w:i/>
          <w:iCs/>
        </w:rPr>
        <w:t>Bliss</w:t>
      </w:r>
      <w:r w:rsidRPr="00BD22C2">
        <w:t> et </w:t>
      </w:r>
      <w:r w:rsidRPr="00BD22C2">
        <w:rPr>
          <w:i/>
          <w:iCs/>
        </w:rPr>
        <w:t>Brooks</w:t>
      </w:r>
      <w:r w:rsidRPr="00BD22C2">
        <w:t xml:space="preserve">, dans l’affaire </w:t>
      </w:r>
      <w:r w:rsidRPr="00BD22C2">
        <w:rPr>
          <w:i/>
          <w:iCs/>
        </w:rPr>
        <w:t>Miron</w:t>
      </w:r>
      <w:r w:rsidRPr="00BD22C2">
        <w:t> c. </w:t>
      </w:r>
      <w:r w:rsidRPr="00BD22C2">
        <w:rPr>
          <w:i/>
          <w:iCs/>
        </w:rPr>
        <w:t>Trudel</w:t>
      </w:r>
      <w:r w:rsidRPr="00BD22C2">
        <w:t xml:space="preserve">, la juge </w:t>
      </w:r>
      <w:proofErr w:type="spellStart"/>
      <w:r w:rsidRPr="00BD22C2">
        <w:t>McLachlin</w:t>
      </w:r>
      <w:proofErr w:type="spellEnd"/>
      <w:r w:rsidRPr="00BD22C2">
        <w:t xml:space="preserve"> affirme qu’il faut aller au-delà des différences biologiques et examiner les contextes social et économique. Elle dit "Se servir exclusivement du critère de la pertinence pour déterminer si l’on a établi l’existence d’une discrimination et, en conséquence, perdre de vue les valeurs qui sous-tendent le </w:t>
      </w:r>
      <w:hyperlink r:id="rId41" w:history="1">
        <w:r w:rsidRPr="00BD22C2">
          <w:t>par. 15(1)</w:t>
        </w:r>
      </w:hyperlink>
      <w:r w:rsidRPr="00BD22C2">
        <w:t> pose un grave danger lorsque l’on est en présence de différences dites "biologiques".</w:t>
      </w:r>
    </w:p>
    <w:p w14:paraId="3926F6DE" w14:textId="77777777" w:rsidR="00CA367D" w:rsidRPr="00BD22C2" w:rsidRDefault="00CA367D" w:rsidP="00EF1CB2">
      <w:pPr>
        <w:pStyle w:val="Citation"/>
      </w:pPr>
      <w:r w:rsidRPr="00BD22C2">
        <w:t xml:space="preserve">La juge </w:t>
      </w:r>
      <w:proofErr w:type="spellStart"/>
      <w:r w:rsidRPr="00BD22C2">
        <w:t>McLachlin</w:t>
      </w:r>
      <w:proofErr w:type="spellEnd"/>
      <w:r w:rsidRPr="00BD22C2">
        <w:t xml:space="preserve"> ajoute un peu plus loin que :</w:t>
      </w:r>
    </w:p>
    <w:p w14:paraId="26D97B24" w14:textId="5B36FBB5" w:rsidR="00CA367D" w:rsidRPr="00BD22C2" w:rsidRDefault="00CA367D" w:rsidP="00FE4490">
      <w:pPr>
        <w:pStyle w:val="Citation"/>
        <w:ind w:left="1134"/>
      </w:pPr>
      <w:r w:rsidRPr="00BD22C2">
        <w:t>Après la leçon apprise dans l’arrêt </w:t>
      </w:r>
      <w:r w:rsidRPr="00BD22C2">
        <w:rPr>
          <w:i/>
          <w:iCs/>
        </w:rPr>
        <w:t>Brooks</w:t>
      </w:r>
      <w:r w:rsidRPr="00BD22C2">
        <w:t>, j’affirmerais, avec égards, qu’il faut davantage ; si nous ne voulons pas contrecarrer la promesse d’égalité prévue au </w:t>
      </w:r>
      <w:proofErr w:type="spellStart"/>
      <w:r w:rsidR="00426ED8" w:rsidRPr="00BD22C2">
        <w:t>par</w:t>
      </w:r>
      <w:proofErr w:type="spellEnd"/>
      <w:r w:rsidR="00426ED8" w:rsidRPr="00BD22C2">
        <w:t>. 15(1)</w:t>
      </w:r>
      <w:r w:rsidRPr="00BD22C2">
        <w:t> de la </w:t>
      </w:r>
      <w:r w:rsidR="00426ED8" w:rsidRPr="00BD22C2">
        <w:t>Charte</w:t>
      </w:r>
      <w:r w:rsidRPr="00BD22C2">
        <w:t>, </w:t>
      </w:r>
      <w:r w:rsidRPr="00BD22C2">
        <w:rPr>
          <w:u w:val="single"/>
        </w:rPr>
        <w:t xml:space="preserve">nous devons aller au-delà des différences biologiques et examiner l’incidence de la distinction attaquée dans son contexte social et </w:t>
      </w:r>
      <w:r w:rsidRPr="00BD22C2">
        <w:rPr>
          <w:u w:val="single"/>
        </w:rPr>
        <w:lastRenderedPageBreak/>
        <w:t>économique pour déterminer si elle perpétue en fait le stéréotype indésirable que vise à éliminer le par. 15(1)</w:t>
      </w:r>
      <w:r w:rsidRPr="00BD22C2">
        <w:rPr>
          <w:rStyle w:val="c39"/>
        </w:rPr>
        <w:t xml:space="preserve">. </w:t>
      </w:r>
      <w:r w:rsidR="006F5789" w:rsidRPr="00BD22C2">
        <w:t>[soulignements dans le texte]</w:t>
      </w:r>
    </w:p>
    <w:p w14:paraId="0055DB6A" w14:textId="67633DF2" w:rsidR="00450CDC" w:rsidRPr="00BD22C2" w:rsidRDefault="00CA367D" w:rsidP="00EF1CB2">
      <w:pPr>
        <w:pStyle w:val="Citation"/>
      </w:pPr>
      <w:r w:rsidRPr="00BD22C2">
        <w:t xml:space="preserve">Que ce soit sous l’égide de l’article 15(1) de la Charte canadienne ou sous celui de l’article 10 de la Charte des droits et libertés du Québec, </w:t>
      </w:r>
      <w:r w:rsidRPr="00BD22C2">
        <w:rPr>
          <w:u w:val="single"/>
        </w:rPr>
        <w:t>le terme "sexe" a donc beaucoup plus qu’une valeur taxinomique et montre les grandes insuffisances du modèle binaire à propos d’une classification qui a pu passer pour l’archétype du modèle lui-mêm</w:t>
      </w:r>
      <w:bookmarkStart w:id="66" w:name="_ftnref104"/>
      <w:r w:rsidRPr="00BD22C2">
        <w:rPr>
          <w:u w:val="single"/>
        </w:rPr>
        <w:t>e</w:t>
      </w:r>
      <w:r w:rsidRPr="00BD22C2">
        <w:t>.</w:t>
      </w:r>
      <w:r w:rsidR="00974BD5" w:rsidRPr="00BD22C2">
        <w:t> </w:t>
      </w:r>
      <w:r w:rsidRPr="00BD22C2">
        <w:t>»</w:t>
      </w:r>
      <w:bookmarkEnd w:id="66"/>
      <w:r w:rsidR="00450CDC" w:rsidRPr="00BD22C2">
        <w:rPr>
          <w:rStyle w:val="Appeldenotedefin"/>
        </w:rPr>
        <w:endnoteReference w:id="119"/>
      </w:r>
    </w:p>
    <w:p w14:paraId="3D57AE65" w14:textId="63C58CE6" w:rsidR="00CA367D" w:rsidRPr="00BD22C2" w:rsidRDefault="00CA367D" w:rsidP="00D37EC4">
      <w:pPr>
        <w:pStyle w:val="Paragraphe"/>
        <w:rPr>
          <w:lang w:val="fr-CA"/>
        </w:rPr>
      </w:pPr>
      <w:r w:rsidRPr="00BD22C2">
        <w:rPr>
          <w:lang w:val="fr-CA"/>
        </w:rPr>
        <w:t xml:space="preserve">Ce qui est visé par le motif </w:t>
      </w:r>
      <w:r w:rsidR="005543C8" w:rsidRPr="00BD22C2">
        <w:rPr>
          <w:lang w:val="fr-CA"/>
        </w:rPr>
        <w:t>«</w:t>
      </w:r>
      <w:r w:rsidR="00444FEB">
        <w:rPr>
          <w:lang w:val="fr-CA"/>
        </w:rPr>
        <w:t> </w:t>
      </w:r>
      <w:r w:rsidR="005543C8" w:rsidRPr="00BD22C2">
        <w:rPr>
          <w:lang w:val="fr-CA"/>
        </w:rPr>
        <w:t>sexe</w:t>
      </w:r>
      <w:r w:rsidR="00444FEB">
        <w:rPr>
          <w:lang w:val="fr-CA"/>
        </w:rPr>
        <w:t> </w:t>
      </w:r>
      <w:r w:rsidR="005543C8" w:rsidRPr="00BD22C2">
        <w:rPr>
          <w:lang w:val="fr-CA"/>
        </w:rPr>
        <w:t>»</w:t>
      </w:r>
      <w:r w:rsidRPr="00BD22C2">
        <w:rPr>
          <w:lang w:val="fr-CA"/>
        </w:rPr>
        <w:t xml:space="preserve"> est un rapport social distinguant et hiérarchisant des groupes non pas uniquement sur la base de caractéristiques anatomiques, mais surtout de stéréotypes et de leurs effets. La discrimination envers les femmes ne repose pas avant tout sur des différences biologiques ou naturelles (p. ex. une soi-disant aptitude naturelle au soin, une force physique supposée inférieure qui ne permettrait pas d’occuper les mêmes métiers, une ambition dite moindre, etc.). Elle découle plutôt de stéréotypes vis-à-vis des femmes et d’une organisation sociale qui leur est défavorable, comme le reconnaît la </w:t>
      </w:r>
      <w:r w:rsidRPr="00BD22C2">
        <w:rPr>
          <w:i/>
          <w:lang w:val="fr-CA"/>
        </w:rPr>
        <w:t>Stratégie gouvernementale pour l’égalité entre les femmes et les hommes</w:t>
      </w:r>
      <w:r w:rsidR="00450CDC" w:rsidRPr="00BD22C2">
        <w:rPr>
          <w:rStyle w:val="Appeldenotedefin"/>
          <w:lang w:val="fr-CA"/>
        </w:rPr>
        <w:endnoteReference w:id="120"/>
      </w:r>
      <w:r w:rsidRPr="00BD22C2">
        <w:rPr>
          <w:lang w:val="fr-CA"/>
        </w:rPr>
        <w:t xml:space="preserve">. </w:t>
      </w:r>
      <w:r w:rsidR="00120FBE" w:rsidRPr="00BD22C2">
        <w:rPr>
          <w:lang w:val="fr-CA"/>
        </w:rPr>
        <w:t>Le fait</w:t>
      </w:r>
      <w:r w:rsidRPr="00BD22C2">
        <w:rPr>
          <w:lang w:val="fr-CA"/>
        </w:rPr>
        <w:t xml:space="preserve"> que la discrimination sur la base du sexe trouve sa source dans les inégalités sociales n’empêche </w:t>
      </w:r>
      <w:r w:rsidR="00120FBE" w:rsidRPr="00BD22C2">
        <w:rPr>
          <w:lang w:val="fr-CA"/>
        </w:rPr>
        <w:t xml:space="preserve">pas </w:t>
      </w:r>
      <w:r w:rsidRPr="00BD22C2">
        <w:rPr>
          <w:lang w:val="fr-CA"/>
        </w:rPr>
        <w:t xml:space="preserve">que la protection offerte par la Charte contre celle-ci couvre </w:t>
      </w:r>
      <w:r w:rsidR="00603216" w:rsidRPr="00BD22C2">
        <w:rPr>
          <w:lang w:val="fr-CA"/>
        </w:rPr>
        <w:t xml:space="preserve">la variété de ses manifestations et conséquences, incluant </w:t>
      </w:r>
      <w:r w:rsidRPr="00BD22C2">
        <w:rPr>
          <w:lang w:val="fr-CA"/>
        </w:rPr>
        <w:t xml:space="preserve">les atteintes à l’intégrité corporelle des femmes dont </w:t>
      </w:r>
      <w:r w:rsidR="00706D9A" w:rsidRPr="00BD22C2">
        <w:rPr>
          <w:lang w:val="fr-CA"/>
        </w:rPr>
        <w:t>font partie</w:t>
      </w:r>
      <w:r w:rsidRPr="00BD22C2">
        <w:rPr>
          <w:lang w:val="fr-CA"/>
        </w:rPr>
        <w:t xml:space="preserve"> les violences sexuelles.</w:t>
      </w:r>
    </w:p>
    <w:p w14:paraId="510D3394" w14:textId="50454B82" w:rsidR="00CA367D" w:rsidRPr="00BD22C2" w:rsidRDefault="000928DC" w:rsidP="00D37EC4">
      <w:pPr>
        <w:pStyle w:val="Paragraphe"/>
        <w:rPr>
          <w:lang w:val="fr-CA"/>
        </w:rPr>
      </w:pPr>
      <w:r w:rsidRPr="00BD22C2">
        <w:rPr>
          <w:lang w:val="fr-CA"/>
        </w:rPr>
        <w:t>Ainsi, l</w:t>
      </w:r>
      <w:r w:rsidR="00CA367D" w:rsidRPr="00BD22C2">
        <w:rPr>
          <w:lang w:val="fr-CA"/>
        </w:rPr>
        <w:t>es motifs «</w:t>
      </w:r>
      <w:r w:rsidR="00974BD5" w:rsidRPr="00BD22C2">
        <w:rPr>
          <w:lang w:val="fr-CA"/>
        </w:rPr>
        <w:t> </w:t>
      </w:r>
      <w:r w:rsidR="00CA367D" w:rsidRPr="00BD22C2">
        <w:rPr>
          <w:lang w:val="fr-CA"/>
        </w:rPr>
        <w:t>sexe</w:t>
      </w:r>
      <w:r w:rsidR="00974BD5" w:rsidRPr="00BD22C2">
        <w:rPr>
          <w:lang w:val="fr-CA"/>
        </w:rPr>
        <w:t> </w:t>
      </w:r>
      <w:r w:rsidR="00CA367D" w:rsidRPr="00BD22C2">
        <w:rPr>
          <w:lang w:val="fr-CA"/>
        </w:rPr>
        <w:t>» et «</w:t>
      </w:r>
      <w:r w:rsidR="00974BD5" w:rsidRPr="00BD22C2">
        <w:rPr>
          <w:lang w:val="fr-CA"/>
        </w:rPr>
        <w:t> </w:t>
      </w:r>
      <w:r w:rsidR="00CA367D" w:rsidRPr="00BD22C2">
        <w:rPr>
          <w:lang w:val="fr-CA"/>
        </w:rPr>
        <w:t>identité de genre</w:t>
      </w:r>
      <w:r w:rsidR="00974BD5" w:rsidRPr="00BD22C2">
        <w:rPr>
          <w:lang w:val="fr-CA"/>
        </w:rPr>
        <w:t> </w:t>
      </w:r>
      <w:r w:rsidR="00CA367D" w:rsidRPr="00BD22C2">
        <w:rPr>
          <w:lang w:val="fr-CA"/>
        </w:rPr>
        <w:t xml:space="preserve">» ne sont pas une protection des femmes </w:t>
      </w:r>
      <w:r w:rsidR="00F70252" w:rsidRPr="00BD22C2">
        <w:rPr>
          <w:lang w:val="fr-CA"/>
        </w:rPr>
        <w:t>cisgenres</w:t>
      </w:r>
      <w:r w:rsidR="00CA367D" w:rsidRPr="00BD22C2">
        <w:rPr>
          <w:lang w:val="fr-CA"/>
        </w:rPr>
        <w:t xml:space="preserve"> ou des personnes trans, même si elles sont les premières à en bénéficier, mais plutôt </w:t>
      </w:r>
      <w:r w:rsidR="00B375A6" w:rsidRPr="00BD22C2">
        <w:rPr>
          <w:lang w:val="fr-CA"/>
        </w:rPr>
        <w:t xml:space="preserve">une protection </w:t>
      </w:r>
      <w:r w:rsidR="00CA367D" w:rsidRPr="00BD22C2">
        <w:rPr>
          <w:lang w:val="fr-CA"/>
        </w:rPr>
        <w:t>contre le</w:t>
      </w:r>
      <w:r w:rsidR="000D4398" w:rsidRPr="00BD22C2">
        <w:rPr>
          <w:lang w:val="fr-CA"/>
        </w:rPr>
        <w:t>s effets du</w:t>
      </w:r>
      <w:r w:rsidR="00CA367D" w:rsidRPr="00BD22C2">
        <w:rPr>
          <w:lang w:val="fr-CA"/>
        </w:rPr>
        <w:t xml:space="preserve"> sexisme et </w:t>
      </w:r>
      <w:r w:rsidR="000D4398" w:rsidRPr="00BD22C2">
        <w:rPr>
          <w:lang w:val="fr-CA"/>
        </w:rPr>
        <w:t xml:space="preserve">du </w:t>
      </w:r>
      <w:r w:rsidR="00CA367D" w:rsidRPr="00BD22C2">
        <w:rPr>
          <w:lang w:val="fr-CA"/>
        </w:rPr>
        <w:t>cissexisme. Le motif «</w:t>
      </w:r>
      <w:r w:rsidR="00974BD5" w:rsidRPr="00BD22C2">
        <w:rPr>
          <w:lang w:val="fr-CA"/>
        </w:rPr>
        <w:t> </w:t>
      </w:r>
      <w:r w:rsidR="00CA367D" w:rsidRPr="00BD22C2">
        <w:rPr>
          <w:lang w:val="fr-CA"/>
        </w:rPr>
        <w:t>sexe</w:t>
      </w:r>
      <w:r w:rsidR="00974BD5" w:rsidRPr="00BD22C2">
        <w:rPr>
          <w:lang w:val="fr-CA"/>
        </w:rPr>
        <w:t> </w:t>
      </w:r>
      <w:r w:rsidR="00CA367D" w:rsidRPr="00BD22C2">
        <w:rPr>
          <w:lang w:val="fr-CA"/>
        </w:rPr>
        <w:t>» pourrait par exemple s’appliquer aux femmes trans en raison des formes particulières de discrimination qu’elles subissent du fait qu’elles sont des personnes trans et des femmes</w:t>
      </w:r>
      <w:r w:rsidR="00450CDC" w:rsidRPr="00BD22C2">
        <w:rPr>
          <w:rStyle w:val="Appeldenotedefin"/>
          <w:lang w:val="fr-CA"/>
        </w:rPr>
        <w:endnoteReference w:id="121"/>
      </w:r>
      <w:r w:rsidR="00450CDC" w:rsidRPr="00BD22C2">
        <w:rPr>
          <w:lang w:val="fr-CA"/>
        </w:rPr>
        <w:t>.</w:t>
      </w:r>
      <w:r w:rsidR="00CA367D" w:rsidRPr="00BD22C2">
        <w:rPr>
          <w:lang w:val="fr-CA"/>
        </w:rPr>
        <w:t xml:space="preserve"> Le motif «</w:t>
      </w:r>
      <w:r w:rsidR="00974BD5" w:rsidRPr="00BD22C2">
        <w:rPr>
          <w:lang w:val="fr-CA"/>
        </w:rPr>
        <w:t> </w:t>
      </w:r>
      <w:r w:rsidR="00CA367D" w:rsidRPr="00BD22C2">
        <w:rPr>
          <w:lang w:val="fr-CA"/>
        </w:rPr>
        <w:t>expression de genre</w:t>
      </w:r>
      <w:r w:rsidR="00974BD5" w:rsidRPr="00BD22C2">
        <w:rPr>
          <w:lang w:val="fr-CA"/>
        </w:rPr>
        <w:t> </w:t>
      </w:r>
      <w:r w:rsidR="00CA367D" w:rsidRPr="00BD22C2">
        <w:rPr>
          <w:lang w:val="fr-CA"/>
        </w:rPr>
        <w:t>» pourrait aussi s’appliquer à des femmes ou hommes cisgenres. Il s’agit de penser à une femme cisgenre ayant une expression de genre minoritaire qui se verrait discriminer sur cette base</w:t>
      </w:r>
      <w:bookmarkStart w:id="67" w:name="_Ref166844712"/>
      <w:r w:rsidR="00450CDC" w:rsidRPr="00BD22C2">
        <w:rPr>
          <w:rStyle w:val="Appeldenotedefin"/>
          <w:lang w:val="fr-CA"/>
        </w:rPr>
        <w:endnoteReference w:id="122"/>
      </w:r>
      <w:bookmarkEnd w:id="67"/>
      <w:r w:rsidR="00450CDC" w:rsidRPr="00BD22C2">
        <w:rPr>
          <w:lang w:val="fr-CA"/>
        </w:rPr>
        <w:t>.</w:t>
      </w:r>
    </w:p>
    <w:p w14:paraId="1B973A32" w14:textId="419E6364" w:rsidR="00CA367D" w:rsidRPr="00BD22C2" w:rsidRDefault="00CA367D" w:rsidP="00D37EC4">
      <w:pPr>
        <w:pStyle w:val="Paragraphe"/>
        <w:rPr>
          <w:lang w:val="fr-CA"/>
        </w:rPr>
      </w:pPr>
      <w:r w:rsidRPr="00BD22C2">
        <w:rPr>
          <w:lang w:val="fr-CA"/>
        </w:rPr>
        <w:t>Les motifs «</w:t>
      </w:r>
      <w:r w:rsidR="00974BD5" w:rsidRPr="00BD22C2">
        <w:rPr>
          <w:lang w:val="fr-CA"/>
        </w:rPr>
        <w:t> </w:t>
      </w:r>
      <w:r w:rsidRPr="00BD22C2">
        <w:rPr>
          <w:lang w:val="fr-CA"/>
        </w:rPr>
        <w:t>sexe</w:t>
      </w:r>
      <w:r w:rsidR="00974BD5" w:rsidRPr="00BD22C2">
        <w:rPr>
          <w:lang w:val="fr-CA"/>
        </w:rPr>
        <w:t> </w:t>
      </w:r>
      <w:r w:rsidRPr="00BD22C2">
        <w:rPr>
          <w:lang w:val="fr-CA"/>
        </w:rPr>
        <w:t>» et «</w:t>
      </w:r>
      <w:r w:rsidR="00974BD5" w:rsidRPr="00BD22C2">
        <w:rPr>
          <w:lang w:val="fr-CA"/>
        </w:rPr>
        <w:t> </w:t>
      </w:r>
      <w:r w:rsidRPr="00BD22C2">
        <w:rPr>
          <w:lang w:val="fr-CA"/>
        </w:rPr>
        <w:t>identité ou expression de genre</w:t>
      </w:r>
      <w:r w:rsidR="00974BD5" w:rsidRPr="00BD22C2">
        <w:rPr>
          <w:lang w:val="fr-CA"/>
        </w:rPr>
        <w:t> </w:t>
      </w:r>
      <w:r w:rsidRPr="00BD22C2">
        <w:rPr>
          <w:lang w:val="fr-CA"/>
        </w:rPr>
        <w:t>» offrent donc des protections complémentaires contre la discrimination</w:t>
      </w:r>
      <w:r w:rsidR="00205FCA" w:rsidRPr="00BD22C2">
        <w:rPr>
          <w:lang w:val="fr-CA"/>
        </w:rPr>
        <w:t xml:space="preserve">. Tel que mentionné </w:t>
      </w:r>
      <w:r w:rsidR="00B54940" w:rsidRPr="00BD22C2">
        <w:rPr>
          <w:lang w:val="fr-CA"/>
        </w:rPr>
        <w:t>en introduction</w:t>
      </w:r>
      <w:r w:rsidR="00205FCA" w:rsidRPr="00BD22C2">
        <w:rPr>
          <w:lang w:val="fr-CA"/>
        </w:rPr>
        <w:t xml:space="preserve">, </w:t>
      </w:r>
      <w:r w:rsidR="00310725" w:rsidRPr="00BD22C2">
        <w:rPr>
          <w:lang w:val="fr-CA"/>
        </w:rPr>
        <w:t xml:space="preserve">ils </w:t>
      </w:r>
      <w:r w:rsidRPr="00BD22C2">
        <w:rPr>
          <w:lang w:val="fr-CA"/>
        </w:rPr>
        <w:t>se renforcent mutuellement.</w:t>
      </w:r>
    </w:p>
    <w:p w14:paraId="08E7BE61" w14:textId="77777777" w:rsidR="00CA367D" w:rsidRPr="00BD22C2" w:rsidRDefault="00CA367D" w:rsidP="00FD2096">
      <w:pPr>
        <w:pStyle w:val="Titre2"/>
        <w:keepLines/>
      </w:pPr>
      <w:bookmarkStart w:id="68" w:name="_Toc165301016"/>
      <w:bookmarkStart w:id="69" w:name="_Toc165636099"/>
      <w:r w:rsidRPr="00BD22C2">
        <w:lastRenderedPageBreak/>
        <w:t>Le sexe et l’identité de genre en lien avec l’état civil</w:t>
      </w:r>
      <w:bookmarkEnd w:id="68"/>
      <w:bookmarkEnd w:id="69"/>
    </w:p>
    <w:p w14:paraId="26827D01" w14:textId="3EDF173C" w:rsidR="0058213A" w:rsidRPr="00BD22C2" w:rsidRDefault="00CA367D" w:rsidP="00FD2096">
      <w:pPr>
        <w:pStyle w:val="Paragraphe"/>
        <w:keepNext/>
        <w:keepLines/>
        <w:rPr>
          <w:lang w:val="fr-CA"/>
        </w:rPr>
      </w:pPr>
      <w:r w:rsidRPr="00BD22C2">
        <w:rPr>
          <w:lang w:val="fr-CA"/>
        </w:rPr>
        <w:t>Les notions de sexe et d’identité de genre sont également employées en lien avec le concept de «</w:t>
      </w:r>
      <w:r w:rsidR="00974BD5" w:rsidRPr="00BD22C2">
        <w:rPr>
          <w:lang w:val="fr-CA"/>
        </w:rPr>
        <w:t> </w:t>
      </w:r>
      <w:r w:rsidRPr="00BD22C2">
        <w:rPr>
          <w:lang w:val="fr-CA"/>
        </w:rPr>
        <w:t>mention du sexe</w:t>
      </w:r>
      <w:r w:rsidR="00974BD5" w:rsidRPr="00BD22C2">
        <w:rPr>
          <w:lang w:val="fr-CA"/>
        </w:rPr>
        <w:t> </w:t>
      </w:r>
      <w:r w:rsidRPr="00BD22C2">
        <w:rPr>
          <w:lang w:val="fr-CA"/>
        </w:rPr>
        <w:t xml:space="preserve">» qui est utilisé dans le </w:t>
      </w:r>
      <w:r w:rsidRPr="00BD22C2">
        <w:rPr>
          <w:i/>
          <w:lang w:val="fr-CA"/>
        </w:rPr>
        <w:t>Code civil du Québec</w:t>
      </w:r>
      <w:r w:rsidRPr="00BD22C2">
        <w:rPr>
          <w:lang w:val="fr-CA"/>
        </w:rPr>
        <w:t xml:space="preserve"> </w:t>
      </w:r>
      <w:r w:rsidR="00790716" w:rsidRPr="00BD22C2">
        <w:rPr>
          <w:lang w:val="fr-CA"/>
        </w:rPr>
        <w:t>(ci-après «</w:t>
      </w:r>
      <w:r w:rsidR="0051216B" w:rsidRPr="00BD22C2">
        <w:rPr>
          <w:lang w:val="fr-CA"/>
        </w:rPr>
        <w:t> </w:t>
      </w:r>
      <w:r w:rsidR="00790716" w:rsidRPr="00BD22C2">
        <w:rPr>
          <w:lang w:val="fr-CA"/>
        </w:rPr>
        <w:t>C.c.Q.</w:t>
      </w:r>
      <w:r w:rsidR="0051216B" w:rsidRPr="00BD22C2">
        <w:rPr>
          <w:lang w:val="fr-CA"/>
        </w:rPr>
        <w:t> </w:t>
      </w:r>
      <w:r w:rsidR="00790716" w:rsidRPr="00BD22C2">
        <w:rPr>
          <w:lang w:val="fr-CA"/>
        </w:rPr>
        <w:t>»)</w:t>
      </w:r>
      <w:r w:rsidRPr="00BD22C2">
        <w:rPr>
          <w:lang w:val="fr-CA"/>
        </w:rPr>
        <w:t xml:space="preserve"> en matière d’état civil</w:t>
      </w:r>
      <w:r w:rsidR="00F93F6E" w:rsidRPr="00BD22C2">
        <w:rPr>
          <w:lang w:val="fr-CA"/>
        </w:rPr>
        <w:t xml:space="preserve">. Cette mention </w:t>
      </w:r>
      <w:r w:rsidR="0058213A" w:rsidRPr="00BD22C2">
        <w:rPr>
          <w:lang w:val="fr-CA"/>
        </w:rPr>
        <w:t>apparaît sur les actes et certificats d’état civil</w:t>
      </w:r>
      <w:r w:rsidR="00247A6E" w:rsidRPr="00BD22C2">
        <w:rPr>
          <w:lang w:val="fr-CA"/>
        </w:rPr>
        <w:t>. E</w:t>
      </w:r>
      <w:r w:rsidR="00D017BA" w:rsidRPr="00BD22C2">
        <w:rPr>
          <w:lang w:val="fr-CA"/>
        </w:rPr>
        <w:t>lle est de plus r</w:t>
      </w:r>
      <w:r w:rsidR="006C32AF" w:rsidRPr="00BD22C2">
        <w:rPr>
          <w:lang w:val="fr-CA"/>
        </w:rPr>
        <w:t xml:space="preserve">eproduite </w:t>
      </w:r>
      <w:r w:rsidR="00D017BA" w:rsidRPr="00BD22C2">
        <w:rPr>
          <w:lang w:val="fr-CA"/>
        </w:rPr>
        <w:t>sur</w:t>
      </w:r>
      <w:r w:rsidR="0058213A" w:rsidRPr="00BD22C2">
        <w:rPr>
          <w:lang w:val="fr-CA"/>
        </w:rPr>
        <w:t xml:space="preserve"> des documents d’identité utilisés au quotidien comme la carte d’assurance maladie et le permis de conduire.</w:t>
      </w:r>
    </w:p>
    <w:p w14:paraId="572F0CA4" w14:textId="75149DC2" w:rsidR="00CA367D" w:rsidRPr="00BD22C2" w:rsidRDefault="0058213A" w:rsidP="0042284F">
      <w:pPr>
        <w:pStyle w:val="Paragraphe"/>
        <w:rPr>
          <w:lang w:val="fr-CA"/>
        </w:rPr>
      </w:pPr>
      <w:r w:rsidRPr="00BD22C2">
        <w:rPr>
          <w:lang w:val="fr-CA"/>
        </w:rPr>
        <w:t>Le C.c.Q. définit la mention du sexe comme suit</w:t>
      </w:r>
      <w:r w:rsidR="00CA367D" w:rsidRPr="00BD22C2">
        <w:rPr>
          <w:lang w:val="fr-CA"/>
        </w:rPr>
        <w:t> :</w:t>
      </w:r>
    </w:p>
    <w:p w14:paraId="4304D9D4" w14:textId="73CD830F" w:rsidR="00450CDC" w:rsidRPr="00BD22C2" w:rsidRDefault="00CA367D" w:rsidP="00CA367D">
      <w:pPr>
        <w:pStyle w:val="Citation"/>
      </w:pPr>
      <w:r w:rsidRPr="00BD22C2">
        <w:t>«</w:t>
      </w:r>
      <w:r w:rsidR="00974BD5" w:rsidRPr="00BD22C2">
        <w:t> </w:t>
      </w:r>
      <w:r w:rsidRPr="00BD22C2">
        <w:t xml:space="preserve">La mention du sexe figurant à l’acte de naissance et de décès d’une personne désigne </w:t>
      </w:r>
      <w:r w:rsidRPr="00BD22C2">
        <w:rPr>
          <w:u w:val="single"/>
        </w:rPr>
        <w:t>le sexe de cette personne constaté à sa naissance ou encore son identité de genre, lorsque cette dernière n’y correspond pas</w:t>
      </w:r>
      <w:r w:rsidRPr="00BD22C2">
        <w:t>.</w:t>
      </w:r>
      <w:r w:rsidR="00974BD5" w:rsidRPr="00BD22C2">
        <w:t> </w:t>
      </w:r>
      <w:r w:rsidRPr="00BD22C2">
        <w:t>»</w:t>
      </w:r>
      <w:r w:rsidR="00450CDC" w:rsidRPr="00BD22C2">
        <w:rPr>
          <w:rStyle w:val="Appeldenotedefin"/>
        </w:rPr>
        <w:endnoteReference w:id="123"/>
      </w:r>
    </w:p>
    <w:p w14:paraId="315C46F1" w14:textId="3F16EB67" w:rsidR="00CA367D" w:rsidRPr="00BD22C2" w:rsidRDefault="00CA367D" w:rsidP="00D37EC4">
      <w:pPr>
        <w:pStyle w:val="Paragraphe"/>
        <w:rPr>
          <w:lang w:val="fr-CA"/>
        </w:rPr>
      </w:pPr>
      <w:r w:rsidRPr="00BD22C2">
        <w:rPr>
          <w:lang w:val="fr-CA"/>
        </w:rPr>
        <w:t>Les termes «</w:t>
      </w:r>
      <w:r w:rsidR="00974BD5" w:rsidRPr="00BD22C2">
        <w:rPr>
          <w:lang w:val="fr-CA"/>
        </w:rPr>
        <w:t> </w:t>
      </w:r>
      <w:r w:rsidRPr="00BD22C2">
        <w:rPr>
          <w:lang w:val="fr-CA"/>
        </w:rPr>
        <w:t>sexe</w:t>
      </w:r>
      <w:r w:rsidR="00974BD5" w:rsidRPr="00BD22C2">
        <w:rPr>
          <w:lang w:val="fr-CA"/>
        </w:rPr>
        <w:t> </w:t>
      </w:r>
      <w:r w:rsidRPr="00BD22C2">
        <w:rPr>
          <w:lang w:val="fr-CA"/>
        </w:rPr>
        <w:t>» et «</w:t>
      </w:r>
      <w:r w:rsidR="00974BD5" w:rsidRPr="00BD22C2">
        <w:rPr>
          <w:lang w:val="fr-CA"/>
        </w:rPr>
        <w:t> </w:t>
      </w:r>
      <w:r w:rsidRPr="00BD22C2">
        <w:rPr>
          <w:lang w:val="fr-CA"/>
        </w:rPr>
        <w:t>identité de genre</w:t>
      </w:r>
      <w:r w:rsidR="00974BD5" w:rsidRPr="00BD22C2">
        <w:rPr>
          <w:lang w:val="fr-CA"/>
        </w:rPr>
        <w:t> </w:t>
      </w:r>
      <w:r w:rsidRPr="00BD22C2">
        <w:rPr>
          <w:lang w:val="fr-CA"/>
        </w:rPr>
        <w:t xml:space="preserve">» </w:t>
      </w:r>
      <w:r w:rsidR="00FA13E5" w:rsidRPr="00BD22C2">
        <w:rPr>
          <w:lang w:val="fr-CA"/>
        </w:rPr>
        <w:t xml:space="preserve">n’y </w:t>
      </w:r>
      <w:r w:rsidRPr="00BD22C2">
        <w:rPr>
          <w:lang w:val="fr-CA"/>
        </w:rPr>
        <w:t xml:space="preserve">sont </w:t>
      </w:r>
      <w:r w:rsidR="00FE4765" w:rsidRPr="00BD22C2">
        <w:rPr>
          <w:lang w:val="fr-CA"/>
        </w:rPr>
        <w:t>toutefois</w:t>
      </w:r>
      <w:r w:rsidRPr="00BD22C2">
        <w:rPr>
          <w:lang w:val="fr-CA"/>
        </w:rPr>
        <w:t xml:space="preserve"> pas explicitement définis.</w:t>
      </w:r>
    </w:p>
    <w:p w14:paraId="5ABF09DD" w14:textId="34C3338D" w:rsidR="00CA367D" w:rsidRPr="00BD22C2" w:rsidRDefault="00CA367D" w:rsidP="00D37EC4">
      <w:pPr>
        <w:pStyle w:val="Paragraphe"/>
        <w:rPr>
          <w:lang w:val="fr-CA"/>
        </w:rPr>
      </w:pPr>
      <w:r w:rsidRPr="00BD22C2">
        <w:rPr>
          <w:lang w:val="fr-CA"/>
        </w:rPr>
        <w:t>On comprend que le terme «</w:t>
      </w:r>
      <w:r w:rsidR="00974BD5" w:rsidRPr="00BD22C2">
        <w:rPr>
          <w:lang w:val="fr-CA"/>
        </w:rPr>
        <w:t> </w:t>
      </w:r>
      <w:r w:rsidRPr="00BD22C2">
        <w:rPr>
          <w:lang w:val="fr-CA"/>
        </w:rPr>
        <w:t>sexe</w:t>
      </w:r>
      <w:r w:rsidR="00974BD5" w:rsidRPr="00BD22C2">
        <w:rPr>
          <w:lang w:val="fr-CA"/>
        </w:rPr>
        <w:t> </w:t>
      </w:r>
      <w:r w:rsidRPr="00BD22C2">
        <w:rPr>
          <w:lang w:val="fr-CA"/>
        </w:rPr>
        <w:t>» réfère au sexe anatomique, soit essentiellement l’apparence des organes génitaux, puisqu’il est question du sexe «</w:t>
      </w:r>
      <w:r w:rsidR="00974BD5" w:rsidRPr="00BD22C2">
        <w:rPr>
          <w:lang w:val="fr-CA"/>
        </w:rPr>
        <w:t> </w:t>
      </w:r>
      <w:r w:rsidRPr="00BD22C2">
        <w:rPr>
          <w:lang w:val="fr-CA"/>
        </w:rPr>
        <w:t>constaté à la naissance</w:t>
      </w:r>
      <w:r w:rsidR="00974BD5" w:rsidRPr="00BD22C2">
        <w:rPr>
          <w:lang w:val="fr-CA"/>
        </w:rPr>
        <w:t> </w:t>
      </w:r>
      <w:r w:rsidRPr="00BD22C2">
        <w:rPr>
          <w:lang w:val="fr-CA"/>
        </w:rPr>
        <w:t>».</w:t>
      </w:r>
    </w:p>
    <w:p w14:paraId="4E490585" w14:textId="4DBED144" w:rsidR="00CA367D" w:rsidRPr="00BD22C2" w:rsidRDefault="00CA367D" w:rsidP="00D37EC4">
      <w:pPr>
        <w:pStyle w:val="Paragraphe"/>
        <w:rPr>
          <w:lang w:val="fr-CA"/>
        </w:rPr>
      </w:pPr>
      <w:r w:rsidRPr="00BD22C2">
        <w:rPr>
          <w:lang w:val="fr-CA"/>
        </w:rPr>
        <w:t>Le terme «</w:t>
      </w:r>
      <w:r w:rsidR="00974BD5" w:rsidRPr="00BD22C2">
        <w:rPr>
          <w:lang w:val="fr-CA"/>
        </w:rPr>
        <w:t> </w:t>
      </w:r>
      <w:r w:rsidRPr="00BD22C2">
        <w:rPr>
          <w:lang w:val="fr-CA"/>
        </w:rPr>
        <w:t>identité de genre</w:t>
      </w:r>
      <w:r w:rsidR="00974BD5" w:rsidRPr="00BD22C2">
        <w:rPr>
          <w:lang w:val="fr-CA"/>
        </w:rPr>
        <w:t> </w:t>
      </w:r>
      <w:r w:rsidRPr="00BD22C2">
        <w:rPr>
          <w:lang w:val="fr-CA"/>
        </w:rPr>
        <w:t>» semble quant à lui renvoyer à la façon dont la personne dit ressentir son genre, puisqu’on comprend que celle-ci peut différer du sexe anatomique.</w:t>
      </w:r>
    </w:p>
    <w:p w14:paraId="70AB4E70" w14:textId="1C99B272" w:rsidR="00CA367D" w:rsidRPr="00BD22C2" w:rsidRDefault="00CA367D" w:rsidP="00D37EC4">
      <w:pPr>
        <w:pStyle w:val="Paragraphe"/>
        <w:rPr>
          <w:lang w:val="fr-CA"/>
        </w:rPr>
      </w:pPr>
      <w:r w:rsidRPr="00BD22C2">
        <w:rPr>
          <w:lang w:val="fr-CA"/>
        </w:rPr>
        <w:t xml:space="preserve">Bien que ces deux notions apparaissent dans le </w:t>
      </w:r>
      <w:r w:rsidR="00790716" w:rsidRPr="00BD22C2">
        <w:rPr>
          <w:lang w:val="fr-CA"/>
        </w:rPr>
        <w:t>C.c.Q.</w:t>
      </w:r>
      <w:r w:rsidRPr="00BD22C2">
        <w:rPr>
          <w:lang w:val="fr-CA"/>
        </w:rPr>
        <w:t>, le seul concept juridique utilisé aux fins de l’état civil sur les différents documents d’identité est celui de «</w:t>
      </w:r>
      <w:r w:rsidR="00974BD5" w:rsidRPr="00BD22C2">
        <w:rPr>
          <w:lang w:val="fr-CA"/>
        </w:rPr>
        <w:t> </w:t>
      </w:r>
      <w:r w:rsidRPr="00BD22C2">
        <w:rPr>
          <w:lang w:val="fr-CA"/>
        </w:rPr>
        <w:t>mention du sexe</w:t>
      </w:r>
      <w:r w:rsidR="00974BD5" w:rsidRPr="00BD22C2">
        <w:rPr>
          <w:lang w:val="fr-CA"/>
        </w:rPr>
        <w:t> </w:t>
      </w:r>
      <w:r w:rsidRPr="00BD22C2">
        <w:rPr>
          <w:lang w:val="fr-CA"/>
        </w:rPr>
        <w:t>».</w:t>
      </w:r>
    </w:p>
    <w:p w14:paraId="07AB6856" w14:textId="3086CAEC" w:rsidR="00450CDC" w:rsidRPr="00BD22C2" w:rsidRDefault="00CA367D" w:rsidP="0042284F">
      <w:pPr>
        <w:pStyle w:val="Paragraphe"/>
        <w:rPr>
          <w:lang w:val="fr-CA"/>
        </w:rPr>
      </w:pPr>
      <w:r w:rsidRPr="00BD22C2">
        <w:rPr>
          <w:lang w:val="fr-CA"/>
        </w:rPr>
        <w:t xml:space="preserve">Pour mieux comprendre ce que recouvre la mention du sexe, il faut se pencher sur les conditions qui permettent d’en demander le changement. Celles-ci se trouvent dans le </w:t>
      </w:r>
      <w:r w:rsidR="00790716" w:rsidRPr="00BD22C2">
        <w:rPr>
          <w:lang w:val="fr-CA"/>
        </w:rPr>
        <w:t>C.c.Q.</w:t>
      </w:r>
      <w:r w:rsidR="00450CDC" w:rsidRPr="00BD22C2">
        <w:rPr>
          <w:rStyle w:val="Appeldenotedefin"/>
          <w:lang w:val="fr-CA"/>
        </w:rPr>
        <w:endnoteReference w:id="124"/>
      </w:r>
      <w:r w:rsidR="00450CDC" w:rsidRPr="00BD22C2">
        <w:rPr>
          <w:lang w:val="fr-CA"/>
        </w:rPr>
        <w:t xml:space="preserve"> </w:t>
      </w:r>
      <w:r w:rsidRPr="00BD22C2">
        <w:rPr>
          <w:lang w:val="fr-CA"/>
        </w:rPr>
        <w:t>et le règlement d’application associé</w:t>
      </w:r>
      <w:r w:rsidR="00450CDC" w:rsidRPr="00BD22C2">
        <w:rPr>
          <w:rStyle w:val="Appeldenotedefin"/>
          <w:lang w:val="fr-CA"/>
        </w:rPr>
        <w:endnoteReference w:id="125"/>
      </w:r>
      <w:r w:rsidR="00450CDC" w:rsidRPr="00BD22C2">
        <w:rPr>
          <w:lang w:val="fr-CA"/>
        </w:rPr>
        <w:t>. On en retient que, de fait, dans la majorité des cas, soit pour les personnes cisgenres, la mention du sexe correspond au sexe constaté à la naissance ainsi qu’à leur identité de genre. Pour les personnes trans et non binaires, elle reflète aussi leur identité de genre si elles ont procédé au changement de la mention du sexe. Les seuls cas où la mention du sexe ne refléterait pas l’identité de genre d’une personne serai</w:t>
      </w:r>
      <w:r w:rsidR="0088271F" w:rsidRPr="00BD22C2">
        <w:rPr>
          <w:lang w:val="fr-CA"/>
        </w:rPr>
        <w:t>en</w:t>
      </w:r>
      <w:r w:rsidR="00450CDC" w:rsidRPr="00BD22C2">
        <w:rPr>
          <w:lang w:val="fr-CA"/>
        </w:rPr>
        <w:t>t pour les personnes ne s’identifiant pas aux options offertes (masculin, féminin, non binaire) ou n’ayant pas procédé au changement de la mention.</w:t>
      </w:r>
    </w:p>
    <w:p w14:paraId="6AAF9805" w14:textId="42B4DFCA" w:rsidR="00CA367D" w:rsidRPr="00BD22C2" w:rsidRDefault="00450CDC" w:rsidP="0042284F">
      <w:pPr>
        <w:pStyle w:val="Paragraphe"/>
        <w:rPr>
          <w:rFonts w:cs="Arial"/>
          <w:szCs w:val="22"/>
          <w:lang w:val="fr-CA"/>
        </w:rPr>
      </w:pPr>
      <w:r w:rsidRPr="00BD22C2">
        <w:rPr>
          <w:lang w:val="fr-CA"/>
        </w:rPr>
        <w:t xml:space="preserve">Ce constat n’est pas nouveau. Depuis que le </w:t>
      </w:r>
      <w:r w:rsidR="00790716" w:rsidRPr="00BD22C2">
        <w:rPr>
          <w:lang w:val="fr-CA"/>
        </w:rPr>
        <w:t>C.c.Q.</w:t>
      </w:r>
      <w:r w:rsidRPr="00BD22C2">
        <w:rPr>
          <w:lang w:val="fr-CA"/>
        </w:rPr>
        <w:t xml:space="preserve"> a été modifié</w:t>
      </w:r>
      <w:r w:rsidR="009A1EC8" w:rsidRPr="00BD22C2">
        <w:rPr>
          <w:lang w:val="fr-CA"/>
        </w:rPr>
        <w:t xml:space="preserve"> en </w:t>
      </w:r>
      <w:r w:rsidRPr="00BD22C2">
        <w:rPr>
          <w:lang w:val="fr-CA"/>
        </w:rPr>
        <w:t>201</w:t>
      </w:r>
      <w:r w:rsidR="00C92E6F" w:rsidRPr="00BD22C2">
        <w:rPr>
          <w:lang w:val="fr-CA"/>
        </w:rPr>
        <w:t>3</w:t>
      </w:r>
      <w:r w:rsidRPr="00BD22C2">
        <w:rPr>
          <w:rStyle w:val="Appeldenotedefin"/>
          <w:lang w:val="fr-CA"/>
        </w:rPr>
        <w:endnoteReference w:id="126"/>
      </w:r>
      <w:r w:rsidRPr="00BD22C2">
        <w:rPr>
          <w:lang w:val="fr-CA"/>
        </w:rPr>
        <w:t xml:space="preserve"> pour préciser que le changement de la mention du sexe ne peut être conditionné à une intervention médicale ou chirurgicale, la mention du sexe ne désigne pas nécessairement le sexe anatomique des </w:t>
      </w:r>
      <w:r w:rsidRPr="00BD22C2">
        <w:rPr>
          <w:lang w:val="fr-CA"/>
        </w:rPr>
        <w:lastRenderedPageBreak/>
        <w:t xml:space="preserve">personnes. </w:t>
      </w:r>
      <w:r w:rsidRPr="00BD22C2">
        <w:rPr>
          <w:rFonts w:cs="Arial"/>
          <w:szCs w:val="22"/>
          <w:lang w:val="fr-CA"/>
        </w:rPr>
        <w:t xml:space="preserve">Dans une lettre de 2015 commentant </w:t>
      </w:r>
      <w:r w:rsidR="00DD7DA8" w:rsidRPr="00BD22C2">
        <w:rPr>
          <w:rFonts w:cs="Arial"/>
          <w:szCs w:val="22"/>
          <w:lang w:val="fr-CA"/>
        </w:rPr>
        <w:t>l</w:t>
      </w:r>
      <w:r w:rsidRPr="00BD22C2">
        <w:rPr>
          <w:rFonts w:cs="Arial"/>
          <w:szCs w:val="22"/>
          <w:lang w:val="fr-CA"/>
        </w:rPr>
        <w:t>es modifications</w:t>
      </w:r>
      <w:r w:rsidR="00DD7DA8" w:rsidRPr="00BD22C2">
        <w:rPr>
          <w:rFonts w:cs="Arial"/>
          <w:szCs w:val="22"/>
          <w:lang w:val="fr-CA"/>
        </w:rPr>
        <w:t xml:space="preserve"> </w:t>
      </w:r>
      <w:r w:rsidR="00706A33" w:rsidRPr="00BD22C2">
        <w:rPr>
          <w:rFonts w:cs="Arial"/>
          <w:szCs w:val="22"/>
          <w:lang w:val="fr-CA"/>
        </w:rPr>
        <w:t xml:space="preserve">réglementaires proposées </w:t>
      </w:r>
      <w:r w:rsidR="006A3BA0" w:rsidRPr="00BD22C2">
        <w:rPr>
          <w:rFonts w:cs="Arial"/>
          <w:szCs w:val="22"/>
          <w:lang w:val="fr-CA"/>
        </w:rPr>
        <w:t>po</w:t>
      </w:r>
      <w:r w:rsidR="00DC224E" w:rsidRPr="00BD22C2">
        <w:rPr>
          <w:rFonts w:cs="Arial"/>
          <w:szCs w:val="22"/>
          <w:lang w:val="fr-CA"/>
        </w:rPr>
        <w:t xml:space="preserve">ur déterminer les </w:t>
      </w:r>
      <w:r w:rsidR="001E6126" w:rsidRPr="00BD22C2">
        <w:rPr>
          <w:rFonts w:cs="Arial"/>
          <w:szCs w:val="22"/>
          <w:lang w:val="fr-CA"/>
        </w:rPr>
        <w:t xml:space="preserve">nouvelles </w:t>
      </w:r>
      <w:r w:rsidR="00DC224E" w:rsidRPr="00BD22C2">
        <w:rPr>
          <w:rFonts w:cs="Arial"/>
          <w:szCs w:val="22"/>
          <w:lang w:val="fr-CA"/>
        </w:rPr>
        <w:t>conditions</w:t>
      </w:r>
      <w:r w:rsidRPr="00BD22C2">
        <w:rPr>
          <w:rFonts w:cs="Arial"/>
          <w:szCs w:val="22"/>
          <w:lang w:val="fr-CA"/>
        </w:rPr>
        <w:t xml:space="preserve"> </w:t>
      </w:r>
      <w:r w:rsidR="00150937" w:rsidRPr="00BD22C2">
        <w:rPr>
          <w:rFonts w:cs="Arial"/>
          <w:szCs w:val="22"/>
          <w:lang w:val="fr-CA"/>
        </w:rPr>
        <w:t>pour le changement de cette mention</w:t>
      </w:r>
      <w:r w:rsidRPr="00BD22C2">
        <w:rPr>
          <w:rFonts w:cs="Arial"/>
          <w:szCs w:val="22"/>
          <w:lang w:val="fr-CA"/>
        </w:rPr>
        <w:t>,</w:t>
      </w:r>
      <w:r w:rsidR="00CA367D" w:rsidRPr="00BD22C2">
        <w:rPr>
          <w:rFonts w:cs="Arial"/>
          <w:szCs w:val="22"/>
          <w:lang w:val="fr-CA"/>
        </w:rPr>
        <w:t xml:space="preserve"> le Conseil du statut de la femme </w:t>
      </w:r>
      <w:r w:rsidR="00D53F10" w:rsidRPr="00BD22C2">
        <w:rPr>
          <w:rFonts w:cs="Arial"/>
          <w:szCs w:val="22"/>
          <w:lang w:val="fr-CA"/>
        </w:rPr>
        <w:t>(ci-après «</w:t>
      </w:r>
      <w:r w:rsidR="00444FEB">
        <w:rPr>
          <w:rFonts w:cs="Arial"/>
          <w:szCs w:val="22"/>
          <w:lang w:val="fr-CA"/>
        </w:rPr>
        <w:t> </w:t>
      </w:r>
      <w:r w:rsidR="00D53F10" w:rsidRPr="00BD22C2">
        <w:rPr>
          <w:rFonts w:cs="Arial"/>
          <w:szCs w:val="22"/>
          <w:lang w:val="fr-CA"/>
        </w:rPr>
        <w:t>CSF</w:t>
      </w:r>
      <w:r w:rsidR="00444FEB">
        <w:rPr>
          <w:rFonts w:cs="Arial"/>
          <w:szCs w:val="22"/>
          <w:lang w:val="fr-CA"/>
        </w:rPr>
        <w:t> </w:t>
      </w:r>
      <w:r w:rsidR="00D53F10" w:rsidRPr="00BD22C2">
        <w:rPr>
          <w:rFonts w:cs="Arial"/>
          <w:szCs w:val="22"/>
          <w:lang w:val="fr-CA"/>
        </w:rPr>
        <w:t xml:space="preserve">») </w:t>
      </w:r>
      <w:r w:rsidR="00CA367D" w:rsidRPr="00BD22C2">
        <w:rPr>
          <w:rFonts w:cs="Arial"/>
          <w:szCs w:val="22"/>
          <w:lang w:val="fr-CA"/>
        </w:rPr>
        <w:t>mettait de l’avant la nature sociale des inégalités entre les sexes :</w:t>
      </w:r>
    </w:p>
    <w:p w14:paraId="6D67E9B4" w14:textId="3E2C3E49" w:rsidR="00450CDC" w:rsidRPr="00BD22C2" w:rsidRDefault="00CA367D" w:rsidP="00CA367D">
      <w:pPr>
        <w:pStyle w:val="Citation"/>
      </w:pPr>
      <w:r w:rsidRPr="00BD22C2">
        <w:t xml:space="preserve">« D’autre part, les pressions du mouvement des femmes au cours des dernières décennies ont permis qu’émerge, dans les institutions publiques québécoises comme dans celles de la plupart des pays occidentaux, une compréhension des inégalités entre les sexes comme un phénomène social, non fondé sur la biologie ou la nature. </w:t>
      </w:r>
      <w:r w:rsidRPr="00BD22C2">
        <w:rPr>
          <w:u w:val="single"/>
        </w:rPr>
        <w:t>Il nous apparaît important que le débat entourant le changement d’identité de genre au registre de l’état civil ne soit pas l’occasion de réintroduire des conceptions essentialistes de ce que sont les femmes et les hommes, notamment en les réduisant à leurs appareils génitaux</w:t>
      </w:r>
      <w:r w:rsidRPr="00BD22C2">
        <w:t>. C’est à partir du moment où les sexes sont définis comme des catégories socialement construites qu’il devient possible de lutter contre les stéréotypes associés aux visions traditionnelles de l’un et l’autre sexe, et d’instaurer une vision égalitaire des rapports entre les femmes et les hommes. »</w:t>
      </w:r>
      <w:r w:rsidR="00450CDC" w:rsidRPr="00BD22C2">
        <w:rPr>
          <w:rStyle w:val="Appeldenotedefin"/>
          <w:rFonts w:cs="Arial"/>
        </w:rPr>
        <w:endnoteReference w:id="127"/>
      </w:r>
    </w:p>
    <w:p w14:paraId="02208641" w14:textId="2C619E33" w:rsidR="003A0F98" w:rsidRPr="00BD22C2" w:rsidRDefault="003A0F98" w:rsidP="00D37EC4">
      <w:pPr>
        <w:pStyle w:val="Paragraphe"/>
        <w:rPr>
          <w:lang w:val="fr-CA"/>
        </w:rPr>
      </w:pPr>
      <w:r w:rsidRPr="00BD22C2">
        <w:rPr>
          <w:lang w:val="fr-CA"/>
        </w:rPr>
        <w:t>Le CSF ajout</w:t>
      </w:r>
      <w:r w:rsidR="005824EE" w:rsidRPr="00BD22C2">
        <w:rPr>
          <w:lang w:val="fr-CA"/>
        </w:rPr>
        <w:t>ait</w:t>
      </w:r>
      <w:r w:rsidRPr="00BD22C2">
        <w:rPr>
          <w:lang w:val="fr-CA"/>
        </w:rPr>
        <w:t xml:space="preserve"> que la réforme proposée à l’état civil s’appu</w:t>
      </w:r>
      <w:r w:rsidR="009F1409" w:rsidRPr="00BD22C2">
        <w:rPr>
          <w:lang w:val="fr-CA"/>
        </w:rPr>
        <w:t>yait</w:t>
      </w:r>
      <w:r w:rsidRPr="00BD22C2">
        <w:rPr>
          <w:lang w:val="fr-CA"/>
        </w:rPr>
        <w:t xml:space="preserve"> sur le principe selon lequel chaque personne devrait pouvoir définir le genre qui lui correspond :</w:t>
      </w:r>
    </w:p>
    <w:p w14:paraId="6E2DEA8F" w14:textId="71F4F454" w:rsidR="003A0F98" w:rsidRPr="00BD22C2" w:rsidRDefault="003A0F98" w:rsidP="003A0F98">
      <w:pPr>
        <w:pStyle w:val="Citation"/>
      </w:pPr>
      <w:r w:rsidRPr="00BD22C2">
        <w:t xml:space="preserve">« L’un des principes poursuivis par la réforme envisagée est la reconnaissance de la capacité de chaque personne de se définir en choisissant le genre qui correspond le mieux à la perception qu’elle a d’elle-même. C’est ce principe sous-jacent qui pousse le Conseil du statut de la femme à accueillir favorablement le projet de règlement modifiant le Règlement relatif au changement de nom et d’autres qualités de l’état civil. </w:t>
      </w:r>
      <w:r w:rsidRPr="00BD22C2">
        <w:rPr>
          <w:u w:val="single"/>
        </w:rPr>
        <w:t>Ce serait un retour en arrière, selon nous, de « naturaliser » le débat en refusant de reconnaître comme femmes des personnes qui se perçoivent comme telles, au prétexte qu’elles n’ont pas les attributs anatomiques et physiques féminins</w:t>
      </w:r>
      <w:r w:rsidRPr="00BD22C2">
        <w:t>. »</w:t>
      </w:r>
      <w:r w:rsidR="002F7C70" w:rsidRPr="00BD22C2">
        <w:rPr>
          <w:rStyle w:val="Appeldenotedefin"/>
          <w:rFonts w:cs="Arial"/>
          <w:sz w:val="22"/>
        </w:rPr>
        <w:endnoteReference w:id="128"/>
      </w:r>
      <w:r w:rsidR="002F7C70" w:rsidRPr="00BD22C2">
        <w:t xml:space="preserve"> </w:t>
      </w:r>
    </w:p>
    <w:p w14:paraId="467DA230" w14:textId="53293047" w:rsidR="00CA367D" w:rsidRPr="00BD22C2" w:rsidRDefault="00CA367D" w:rsidP="0042284F">
      <w:pPr>
        <w:pStyle w:val="Paragraphe"/>
        <w:rPr>
          <w:lang w:val="fr-CA"/>
        </w:rPr>
      </w:pPr>
      <w:r w:rsidRPr="00BD22C2">
        <w:rPr>
          <w:lang w:val="fr-CA"/>
        </w:rPr>
        <w:t>Les notions de sexe et d’identité de genre associées à la mention du sexe sur les documents d’identité ne visent ainsi à renseigner ni sur l’expression de genre de la personne ni sur l’apparence de ses caractéristiques sexuelles.</w:t>
      </w:r>
    </w:p>
    <w:p w14:paraId="70FE6892" w14:textId="656FAAA4" w:rsidR="002F5B3F" w:rsidRPr="00BD22C2" w:rsidRDefault="002F5B3F" w:rsidP="002F5B3F">
      <w:pPr>
        <w:pStyle w:val="Paragraphe"/>
        <w:rPr>
          <w:lang w:val="fr-CA"/>
        </w:rPr>
      </w:pPr>
      <w:r w:rsidRPr="00BD22C2">
        <w:rPr>
          <w:lang w:val="fr-CA"/>
        </w:rPr>
        <w:t>À titre de rappel, la possibilité de créer une mention de l’identité de genre différente de la mention du sexe avait soulevé une controverse en 2021 à la suite de laquelle le gouvernement avait reculé</w:t>
      </w:r>
      <w:r w:rsidRPr="00BD22C2">
        <w:rPr>
          <w:rStyle w:val="Appeldenotedefin"/>
          <w:lang w:val="fr-CA"/>
        </w:rPr>
        <w:endnoteReference w:id="129"/>
      </w:r>
      <w:r w:rsidRPr="00BD22C2">
        <w:rPr>
          <w:lang w:val="fr-CA"/>
        </w:rPr>
        <w:t>. La Commission avait pris fermement position contre cette idée qui était susceptible de porter atteinte à plusieurs droits des personnes trans et non binaires qui auraient pu voir leur transidentité exposée contre leur gré</w:t>
      </w:r>
      <w:bookmarkStart w:id="70" w:name="_Ref167182710"/>
      <w:r w:rsidRPr="00BD22C2">
        <w:rPr>
          <w:rStyle w:val="Appeldenotedefin"/>
          <w:lang w:val="fr-CA"/>
        </w:rPr>
        <w:endnoteReference w:id="130"/>
      </w:r>
      <w:bookmarkEnd w:id="70"/>
      <w:r w:rsidRPr="00BD22C2">
        <w:rPr>
          <w:lang w:val="fr-CA"/>
        </w:rPr>
        <w:t>.</w:t>
      </w:r>
    </w:p>
    <w:p w14:paraId="652B04D7" w14:textId="0D2658DB" w:rsidR="00CA367D" w:rsidRPr="00BD22C2" w:rsidRDefault="00CA367D" w:rsidP="00FD2096">
      <w:pPr>
        <w:pStyle w:val="Titre2"/>
        <w:keepLines/>
      </w:pPr>
      <w:bookmarkStart w:id="71" w:name="_Toc165301017"/>
      <w:bookmarkStart w:id="72" w:name="_Toc165636100"/>
      <w:r w:rsidRPr="00BD22C2">
        <w:lastRenderedPageBreak/>
        <w:t>Le sexe et l’identité de genre comme renseignements personnels</w:t>
      </w:r>
      <w:bookmarkEnd w:id="71"/>
      <w:bookmarkEnd w:id="72"/>
    </w:p>
    <w:p w14:paraId="3E658831" w14:textId="14FDBF68" w:rsidR="00CA367D" w:rsidRPr="00BD22C2" w:rsidRDefault="00CA367D" w:rsidP="00FD2096">
      <w:pPr>
        <w:pStyle w:val="Paragraphe"/>
        <w:keepNext/>
        <w:keepLines/>
        <w:rPr>
          <w:lang w:val="fr-CA"/>
        </w:rPr>
      </w:pPr>
      <w:r w:rsidRPr="00BD22C2">
        <w:rPr>
          <w:lang w:val="fr-CA"/>
        </w:rPr>
        <w:t xml:space="preserve">Comme la Commission l’a exposé dans son mémoire </w:t>
      </w:r>
      <w:r w:rsidR="00FE125E" w:rsidRPr="00BD22C2">
        <w:rPr>
          <w:lang w:val="fr-CA"/>
        </w:rPr>
        <w:t xml:space="preserve">de 2022 </w:t>
      </w:r>
      <w:r w:rsidRPr="00BD22C2">
        <w:rPr>
          <w:lang w:val="fr-CA"/>
        </w:rPr>
        <w:t>sur le projet de loi n</w:t>
      </w:r>
      <w:r w:rsidRPr="00BD22C2">
        <w:rPr>
          <w:vertAlign w:val="superscript"/>
          <w:lang w:val="fr-CA"/>
        </w:rPr>
        <w:t>o</w:t>
      </w:r>
      <w:r w:rsidR="00CC76DE" w:rsidRPr="00BD22C2">
        <w:rPr>
          <w:lang w:val="fr-CA"/>
        </w:rPr>
        <w:t> </w:t>
      </w:r>
      <w:r w:rsidRPr="00BD22C2">
        <w:rPr>
          <w:lang w:val="fr-CA"/>
        </w:rPr>
        <w:t>2</w:t>
      </w:r>
      <w:r w:rsidR="00543030" w:rsidRPr="00BD22C2">
        <w:rPr>
          <w:lang w:val="fr-CA"/>
        </w:rPr>
        <w:t>,</w:t>
      </w:r>
      <w:r w:rsidR="00466007" w:rsidRPr="00BD22C2">
        <w:rPr>
          <w:lang w:val="fr-CA"/>
        </w:rPr>
        <w:t xml:space="preserve"> </w:t>
      </w:r>
      <w:r w:rsidR="00466007" w:rsidRPr="00BD22C2">
        <w:rPr>
          <w:i/>
          <w:lang w:val="fr-CA"/>
        </w:rPr>
        <w:t>Loi portant sur la réforme du droit de la famille en matière de filiation et modifiant le Code civil en matière de droits de la personnalité et d’état civil</w:t>
      </w:r>
      <w:r w:rsidRPr="00BD22C2">
        <w:rPr>
          <w:lang w:val="fr-CA"/>
        </w:rPr>
        <w:t>, le sexe et l’identité de genre peuvent être traités comme des renseignements personnels, au même titre que les données liées à d’autres motifs de discrimination.</w:t>
      </w:r>
    </w:p>
    <w:p w14:paraId="5D3CCA9A" w14:textId="59F3C4DA" w:rsidR="00CA367D" w:rsidRPr="00BD22C2" w:rsidRDefault="00CA367D" w:rsidP="0042284F">
      <w:pPr>
        <w:pStyle w:val="Paragraphe"/>
        <w:rPr>
          <w:lang w:val="fr-CA"/>
        </w:rPr>
      </w:pPr>
      <w:r w:rsidRPr="00BD22C2">
        <w:rPr>
          <w:lang w:val="fr-CA"/>
        </w:rPr>
        <w:t xml:space="preserve">Des données démographiques, incluant sur le sexe et l’identité de genre, peuvent être pertinentes et importantes afin d’assurer l’administration et la prestation de services, comme l’expose cet extrait du jugement </w:t>
      </w:r>
      <w:r w:rsidR="0007720E" w:rsidRPr="00BD22C2">
        <w:rPr>
          <w:lang w:val="fr-CA"/>
        </w:rPr>
        <w:t>rendu en première instance par la Cour supérieure dans l’affaire</w:t>
      </w:r>
      <w:r w:rsidRPr="00BD22C2">
        <w:rPr>
          <w:lang w:val="fr-CA"/>
        </w:rPr>
        <w:t xml:space="preserve"> </w:t>
      </w:r>
      <w:r w:rsidRPr="00BD22C2">
        <w:rPr>
          <w:i/>
          <w:iCs/>
          <w:lang w:val="fr-CA"/>
        </w:rPr>
        <w:t>Centre de lutte contre l’oppression des genres</w:t>
      </w:r>
      <w:r w:rsidR="006F7B1C" w:rsidRPr="00BD22C2">
        <w:rPr>
          <w:i/>
          <w:iCs/>
          <w:lang w:val="fr-CA"/>
        </w:rPr>
        <w:t>.</w:t>
      </w:r>
      <w:r w:rsidR="006F7B1C" w:rsidRPr="00BD22C2">
        <w:rPr>
          <w:lang w:val="fr-CA"/>
        </w:rPr>
        <w:t xml:space="preserve"> Cette preuve n’a pas été remise</w:t>
      </w:r>
      <w:r w:rsidR="00AB6615" w:rsidRPr="00BD22C2">
        <w:rPr>
          <w:lang w:val="fr-CA"/>
        </w:rPr>
        <w:t xml:space="preserve"> en question</w:t>
      </w:r>
      <w:r w:rsidR="00AB6615" w:rsidRPr="00BD22C2">
        <w:rPr>
          <w:i/>
          <w:lang w:val="fr-CA"/>
        </w:rPr>
        <w:t xml:space="preserve"> </w:t>
      </w:r>
      <w:r w:rsidR="00404AEE" w:rsidRPr="00BD22C2">
        <w:rPr>
          <w:lang w:val="fr-CA"/>
        </w:rPr>
        <w:t>en appel</w:t>
      </w:r>
      <w:r w:rsidR="00E8063A" w:rsidRPr="00BD22C2">
        <w:rPr>
          <w:lang w:val="fr-CA"/>
        </w:rPr>
        <w:t> </w:t>
      </w:r>
      <w:r w:rsidRPr="00BD22C2">
        <w:rPr>
          <w:lang w:val="fr-CA"/>
        </w:rPr>
        <w:t>:</w:t>
      </w:r>
    </w:p>
    <w:p w14:paraId="18344457" w14:textId="031CB6E9" w:rsidR="00450CDC" w:rsidRPr="00BD22C2" w:rsidRDefault="00CA367D" w:rsidP="00CA367D">
      <w:pPr>
        <w:pStyle w:val="Citation"/>
        <w:rPr>
          <w:lang w:eastAsia="en-US"/>
        </w:rPr>
      </w:pPr>
      <w:r w:rsidRPr="00BD22C2">
        <w:t>« </w:t>
      </w:r>
      <w:r w:rsidRPr="00BD22C2">
        <w:rPr>
          <w:lang w:eastAsia="en-US"/>
        </w:rPr>
        <w:t>Le procureur général a produit une preuve imposante pour démontrer l’importance de la désignation du sexe</w:t>
      </w:r>
      <w:r w:rsidR="00434E21" w:rsidRPr="00BD22C2">
        <w:rPr>
          <w:lang w:eastAsia="en-US"/>
        </w:rPr>
        <w:t xml:space="preserve"> [mention du sexe]</w:t>
      </w:r>
      <w:r w:rsidRPr="00BD22C2">
        <w:rPr>
          <w:lang w:eastAsia="en-US"/>
        </w:rPr>
        <w:t>. Des témoins du ministère de l’Éducation, du ministère de la Justice, de la Régie de l’</w:t>
      </w:r>
      <w:r w:rsidR="0088271F" w:rsidRPr="00BD22C2">
        <w:rPr>
          <w:lang w:eastAsia="en-US"/>
        </w:rPr>
        <w:t>assurance-maladie</w:t>
      </w:r>
      <w:r w:rsidRPr="00BD22C2">
        <w:rPr>
          <w:lang w:eastAsia="en-US"/>
        </w:rPr>
        <w:t xml:space="preserve">, de Retraite Québec et du milieu universitaire ont expliqué comment </w:t>
      </w:r>
      <w:r w:rsidRPr="00BD22C2">
        <w:rPr>
          <w:u w:val="single"/>
          <w:lang w:eastAsia="en-US"/>
        </w:rPr>
        <w:t>des renseignements exacts sur le sexe des Québécois, tirés du registre de l’état civil, étaient utilisés et nécessaires pour fournir à la population les services attendus</w:t>
      </w:r>
      <w:r w:rsidRPr="00BD22C2">
        <w:rPr>
          <w:lang w:eastAsia="en-US"/>
        </w:rPr>
        <w:t>. »</w:t>
      </w:r>
      <w:r w:rsidR="00450CDC" w:rsidRPr="00BD22C2">
        <w:rPr>
          <w:vertAlign w:val="superscript"/>
          <w:lang w:eastAsia="en-US"/>
        </w:rPr>
        <w:endnoteReference w:id="131"/>
      </w:r>
    </w:p>
    <w:p w14:paraId="448221C9" w14:textId="2FB36A18" w:rsidR="00CA367D" w:rsidRPr="00BD22C2" w:rsidRDefault="00CA367D" w:rsidP="00EF1CB2">
      <w:pPr>
        <w:pStyle w:val="Titre2"/>
      </w:pPr>
      <w:bookmarkStart w:id="73" w:name="_Toc165301018"/>
      <w:bookmarkStart w:id="74" w:name="_Toc165636101"/>
      <w:r w:rsidRPr="00BD22C2">
        <w:t>Utiliser les bons termes aux bonnes fins</w:t>
      </w:r>
      <w:bookmarkEnd w:id="73"/>
      <w:bookmarkEnd w:id="74"/>
    </w:p>
    <w:p w14:paraId="076CC3B7" w14:textId="53EED94F" w:rsidR="00CA367D" w:rsidRPr="00BD22C2" w:rsidRDefault="00CA367D" w:rsidP="00B65E77">
      <w:pPr>
        <w:pStyle w:val="Paragraphe"/>
        <w:rPr>
          <w:rFonts w:eastAsia="Calibri"/>
          <w:lang w:val="fr-CA"/>
        </w:rPr>
      </w:pPr>
      <w:r w:rsidRPr="00BD22C2">
        <w:rPr>
          <w:rFonts w:eastAsia="Calibri"/>
          <w:lang w:val="fr-CA"/>
        </w:rPr>
        <w:t>Au terme de ces précisions, on constate que les termes «</w:t>
      </w:r>
      <w:r w:rsidR="00974BD5" w:rsidRPr="00BD22C2">
        <w:rPr>
          <w:rFonts w:eastAsia="Calibri"/>
          <w:lang w:val="fr-CA"/>
        </w:rPr>
        <w:t> </w:t>
      </w:r>
      <w:r w:rsidRPr="00BD22C2">
        <w:rPr>
          <w:rFonts w:eastAsia="Calibri"/>
          <w:lang w:val="fr-CA"/>
        </w:rPr>
        <w:t>identité de genre</w:t>
      </w:r>
      <w:r w:rsidR="00974BD5" w:rsidRPr="00BD22C2">
        <w:rPr>
          <w:rFonts w:eastAsia="Calibri"/>
          <w:lang w:val="fr-CA"/>
        </w:rPr>
        <w:t> </w:t>
      </w:r>
      <w:r w:rsidRPr="00BD22C2">
        <w:rPr>
          <w:rFonts w:eastAsia="Calibri"/>
          <w:lang w:val="fr-CA"/>
        </w:rPr>
        <w:t>» et «</w:t>
      </w:r>
      <w:r w:rsidR="00974BD5" w:rsidRPr="00BD22C2">
        <w:rPr>
          <w:rFonts w:eastAsia="Calibri"/>
          <w:lang w:val="fr-CA"/>
        </w:rPr>
        <w:t> </w:t>
      </w:r>
      <w:r w:rsidRPr="00BD22C2">
        <w:rPr>
          <w:rFonts w:eastAsia="Calibri"/>
          <w:lang w:val="fr-CA"/>
        </w:rPr>
        <w:t>sexe</w:t>
      </w:r>
      <w:r w:rsidR="00974BD5" w:rsidRPr="00BD22C2">
        <w:rPr>
          <w:rFonts w:eastAsia="Calibri"/>
          <w:lang w:val="fr-CA"/>
        </w:rPr>
        <w:t> </w:t>
      </w:r>
      <w:r w:rsidRPr="00BD22C2">
        <w:rPr>
          <w:rFonts w:eastAsia="Calibri"/>
          <w:lang w:val="fr-CA"/>
        </w:rPr>
        <w:t xml:space="preserve">» sont utilisés à différentes fins, bien que leur sens général demeure le même. Ils visent à offrir une protection contre la discrimination. Ils constituent des faits de l’état civil. Ils sont aussi des renseignements personnels. Afin d’éviter des glissements de sens, les termes doivent être bien définis et utilisés aux fins pour lesquelles ils ont été conçus. </w:t>
      </w:r>
      <w:r w:rsidRPr="00BD22C2">
        <w:rPr>
          <w:rFonts w:eastAsia="Calibri" w:cs="Arial"/>
          <w:lang w:val="fr-CA"/>
        </w:rPr>
        <w:t>Lorsque les distinctions appropriées sont faites, les questions à poser s’expriment plus clairement et rejoignent des enjeux classiques en droits de la personne : il faut déterminer, au cas par cas, s</w:t>
      </w:r>
      <w:r w:rsidR="008D2100" w:rsidRPr="00BD22C2">
        <w:rPr>
          <w:rFonts w:eastAsia="Calibri" w:cs="Arial"/>
          <w:lang w:val="fr-CA"/>
        </w:rPr>
        <w:t>i</w:t>
      </w:r>
      <w:r w:rsidR="00E26928" w:rsidRPr="00BD22C2">
        <w:rPr>
          <w:rFonts w:eastAsia="Calibri" w:cs="Arial"/>
          <w:lang w:val="fr-CA"/>
        </w:rPr>
        <w:t>,</w:t>
      </w:r>
      <w:r w:rsidR="008D2100" w:rsidRPr="00BD22C2">
        <w:rPr>
          <w:rFonts w:eastAsia="Calibri" w:cs="Arial"/>
          <w:lang w:val="fr-CA"/>
        </w:rPr>
        <w:t xml:space="preserve"> </w:t>
      </w:r>
      <w:r w:rsidRPr="00BD22C2">
        <w:rPr>
          <w:rFonts w:eastAsia="Calibri" w:cs="Arial"/>
          <w:lang w:val="fr-CA"/>
        </w:rPr>
        <w:t>à quelles fins et à quelles conditions il est possible et pertinent d’opérer des distinctions s’appuyant sur ces notions.</w:t>
      </w:r>
    </w:p>
    <w:tbl>
      <w:tblPr>
        <w:tblStyle w:val="Grilledutableau"/>
        <w:tblW w:w="0" w:type="auto"/>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ook w:val="04A0" w:firstRow="1" w:lastRow="0" w:firstColumn="1" w:lastColumn="0" w:noHBand="0" w:noVBand="1"/>
      </w:tblPr>
      <w:tblGrid>
        <w:gridCol w:w="9330"/>
      </w:tblGrid>
      <w:tr w:rsidR="00B65E77" w:rsidRPr="00BD22C2" w14:paraId="6C92C39A" w14:textId="77777777" w:rsidTr="00EF1CB2">
        <w:tc>
          <w:tcPr>
            <w:tcW w:w="9350" w:type="dxa"/>
          </w:tcPr>
          <w:p w14:paraId="69B26921" w14:textId="73DFC0B8" w:rsidR="00B65E77" w:rsidRPr="00F277D5" w:rsidRDefault="00B65E77" w:rsidP="00FD2096">
            <w:pPr>
              <w:keepNext/>
              <w:keepLines/>
              <w:rPr>
                <w:b/>
                <w:bCs/>
              </w:rPr>
            </w:pPr>
            <w:r w:rsidRPr="00A33251">
              <w:rPr>
                <w:b/>
                <w:bCs/>
              </w:rPr>
              <w:lastRenderedPageBreak/>
              <w:t>Les personnes intersexes</w:t>
            </w:r>
          </w:p>
          <w:p w14:paraId="7616DDDD" w14:textId="4F044932" w:rsidR="00791BB0" w:rsidRPr="00BD22C2" w:rsidRDefault="00902B0B" w:rsidP="00FD2096">
            <w:pPr>
              <w:pStyle w:val="Paragraphe"/>
              <w:keepNext/>
              <w:keepLines/>
              <w:rPr>
                <w:lang w:val="fr-CA"/>
              </w:rPr>
            </w:pPr>
            <w:r w:rsidRPr="00BD22C2">
              <w:rPr>
                <w:lang w:val="fr-CA"/>
              </w:rPr>
              <w:t xml:space="preserve">L’intersexuation n’est pas une identité de genre. Les personnes intersexes peuvent avoir différentes identités de genre. </w:t>
            </w:r>
            <w:r w:rsidR="00AC6B7E" w:rsidRPr="00BD22C2">
              <w:rPr>
                <w:lang w:val="fr-CA"/>
              </w:rPr>
              <w:t xml:space="preserve">Elles peuvent </w:t>
            </w:r>
            <w:r w:rsidR="00065DC9" w:rsidRPr="00BD22C2">
              <w:rPr>
                <w:lang w:val="fr-CA"/>
              </w:rPr>
              <w:t>s</w:t>
            </w:r>
            <w:r w:rsidR="00AC6B7E" w:rsidRPr="00BD22C2">
              <w:rPr>
                <w:lang w:val="fr-CA"/>
              </w:rPr>
              <w:t>’identifier comme femme, homme, personne non binaire ou autrement.</w:t>
            </w:r>
            <w:r w:rsidR="00315F8D" w:rsidRPr="00BD22C2">
              <w:rPr>
                <w:lang w:val="fr-CA"/>
              </w:rPr>
              <w:t xml:space="preserve"> C</w:t>
            </w:r>
            <w:r w:rsidR="00315F8D" w:rsidRPr="00BD22C2">
              <w:rPr>
                <w:rFonts w:cs="Arial"/>
                <w:lang w:val="fr-CA"/>
              </w:rPr>
              <w:t>es personnes se distinguent par leurs caractéristiques sexuelles et ne doivent pas être confondues avec les personnes trans qui se distinguent par leur modalité de genre (le fait d’être cisgenre ou transgenre). Elles ont cependant aussi le droit de définir le genre auquel elles s’identifient.</w:t>
            </w:r>
          </w:p>
          <w:p w14:paraId="174590CE" w14:textId="2D102AE1" w:rsidR="00351028" w:rsidRPr="00BD22C2" w:rsidRDefault="00552AE2" w:rsidP="00D37EC4">
            <w:pPr>
              <w:pStyle w:val="Paragraphe"/>
              <w:rPr>
                <w:rFonts w:eastAsia="Calibri"/>
                <w:lang w:val="fr-CA"/>
              </w:rPr>
            </w:pPr>
            <w:r w:rsidRPr="00BD22C2">
              <w:rPr>
                <w:rFonts w:eastAsia="Calibri"/>
                <w:lang w:val="fr-CA"/>
              </w:rPr>
              <w:t>C</w:t>
            </w:r>
            <w:r w:rsidR="00E25220" w:rsidRPr="00BD22C2">
              <w:rPr>
                <w:rFonts w:eastAsia="Calibri"/>
                <w:lang w:val="fr-CA"/>
              </w:rPr>
              <w:t>omme le mandat du Comité</w:t>
            </w:r>
            <w:r w:rsidR="00DC16F6" w:rsidRPr="00BD22C2">
              <w:rPr>
                <w:rFonts w:eastAsia="Calibri"/>
                <w:lang w:val="fr-CA"/>
              </w:rPr>
              <w:t xml:space="preserve"> de sages</w:t>
            </w:r>
            <w:r w:rsidR="00E25220" w:rsidRPr="00BD22C2">
              <w:rPr>
                <w:rFonts w:eastAsia="Calibri"/>
                <w:lang w:val="fr-CA"/>
              </w:rPr>
              <w:t xml:space="preserve"> porte sur l’identité de genre, </w:t>
            </w:r>
            <w:r w:rsidR="007945AD" w:rsidRPr="00BD22C2">
              <w:rPr>
                <w:rFonts w:eastAsia="Calibri"/>
                <w:lang w:val="fr-CA"/>
              </w:rPr>
              <w:t>c</w:t>
            </w:r>
            <w:r w:rsidRPr="00BD22C2">
              <w:rPr>
                <w:rFonts w:eastAsia="Calibri"/>
                <w:lang w:val="fr-CA"/>
              </w:rPr>
              <w:t>e mémoire ne traite pas des droits s</w:t>
            </w:r>
            <w:r w:rsidR="00A2177D" w:rsidRPr="00BD22C2">
              <w:rPr>
                <w:rFonts w:eastAsia="Calibri"/>
                <w:lang w:val="fr-CA"/>
              </w:rPr>
              <w:t xml:space="preserve">’appliquant </w:t>
            </w:r>
            <w:r w:rsidR="00704913" w:rsidRPr="00BD22C2">
              <w:rPr>
                <w:rFonts w:eastAsia="Calibri"/>
                <w:lang w:val="fr-CA"/>
              </w:rPr>
              <w:t xml:space="preserve">spécifiquement </w:t>
            </w:r>
            <w:r w:rsidR="00A2177D" w:rsidRPr="00BD22C2">
              <w:rPr>
                <w:rFonts w:eastAsia="Calibri"/>
                <w:lang w:val="fr-CA"/>
              </w:rPr>
              <w:t xml:space="preserve">à </w:t>
            </w:r>
            <w:r w:rsidR="00F278EE" w:rsidRPr="00BD22C2">
              <w:rPr>
                <w:rFonts w:eastAsia="Calibri"/>
                <w:lang w:val="fr-CA"/>
              </w:rPr>
              <w:t>leur situation que l</w:t>
            </w:r>
            <w:r w:rsidR="004934B6" w:rsidRPr="00BD22C2">
              <w:rPr>
                <w:rFonts w:eastAsia="Calibri"/>
                <w:lang w:val="fr-CA"/>
              </w:rPr>
              <w:t>e gouvernement du Québ</w:t>
            </w:r>
            <w:r w:rsidR="00475418" w:rsidRPr="00BD22C2">
              <w:rPr>
                <w:rFonts w:eastAsia="Calibri"/>
                <w:lang w:val="fr-CA"/>
              </w:rPr>
              <w:t>ec</w:t>
            </w:r>
            <w:r w:rsidR="00156D64" w:rsidRPr="00BD22C2">
              <w:rPr>
                <w:rFonts w:eastAsia="Calibri"/>
                <w:lang w:val="fr-CA"/>
              </w:rPr>
              <w:t xml:space="preserve"> décrit comme suit dans un lexique en ligne :</w:t>
            </w:r>
            <w:r w:rsidR="00170109" w:rsidRPr="00BD22C2">
              <w:rPr>
                <w:rFonts w:eastAsia="Calibri"/>
                <w:lang w:val="fr-CA"/>
              </w:rPr>
              <w:t> </w:t>
            </w:r>
          </w:p>
          <w:p w14:paraId="13027D9D" w14:textId="2CD2F553" w:rsidR="00351028" w:rsidRPr="00BD22C2" w:rsidRDefault="00156D64" w:rsidP="00D37EC4">
            <w:pPr>
              <w:pStyle w:val="Citation"/>
            </w:pPr>
            <w:r w:rsidRPr="00BD22C2">
              <w:t>«</w:t>
            </w:r>
            <w:r w:rsidR="00974BD5" w:rsidRPr="00BD22C2">
              <w:t> </w:t>
            </w:r>
            <w:r w:rsidR="0055174E" w:rsidRPr="00BD22C2">
              <w:t>Les personnes intersexes naissent avec des caractéristiques sexuelles (chromosomiques, gonadiques, hormonales ou génitales) qui ne correspondent pas aux critères médicaux binaires des corps masculins ou féminins. Les personnes intersexes sont souvent soumises dès leur plus jeune âge à des interventions non consenties, irréversibles et non cruciales au maintien de leur santé, afin que leur corps se conforme aux attentes médicales envers les hommes et les femmes. L’intersexuation ne détermine ni l’orientation sexuelle ni l’identité de genre de la personne.</w:t>
            </w:r>
            <w:r w:rsidR="00974BD5" w:rsidRPr="00BD22C2">
              <w:t> </w:t>
            </w:r>
            <w:r w:rsidR="0055174E" w:rsidRPr="00BD22C2">
              <w:t>»</w:t>
            </w:r>
            <w:bookmarkStart w:id="75" w:name="_Ref166748871"/>
            <w:r w:rsidR="0055174E" w:rsidRPr="00BD22C2">
              <w:rPr>
                <w:rStyle w:val="Appeldenotedefin"/>
              </w:rPr>
              <w:endnoteReference w:id="132"/>
            </w:r>
            <w:bookmarkEnd w:id="75"/>
            <w:r w:rsidRPr="00BD22C2">
              <w:rPr>
                <w:vertAlign w:val="superscript"/>
              </w:rPr>
              <w:t xml:space="preserve"> </w:t>
            </w:r>
          </w:p>
          <w:p w14:paraId="61F419E8" w14:textId="73FDFDB0" w:rsidR="00B65E77" w:rsidRPr="00BD22C2" w:rsidRDefault="00156D64" w:rsidP="00D37EC4">
            <w:pPr>
              <w:pStyle w:val="Paragraphe"/>
              <w:rPr>
                <w:rFonts w:eastAsia="Calibri"/>
                <w:lang w:val="fr-CA"/>
              </w:rPr>
            </w:pPr>
            <w:r w:rsidRPr="00BD22C2">
              <w:rPr>
                <w:lang w:val="fr-CA"/>
              </w:rPr>
              <w:t>Cette définition rejoint celle de l’initiative Libres et égaux des Nations Unies</w:t>
            </w:r>
            <w:r w:rsidR="005E6735" w:rsidRPr="00BD22C2">
              <w:rPr>
                <w:rStyle w:val="Appeldenotedefin"/>
                <w:lang w:val="fr-CA"/>
              </w:rPr>
              <w:endnoteReference w:id="133"/>
            </w:r>
            <w:r w:rsidRPr="00BD22C2">
              <w:rPr>
                <w:lang w:val="fr-CA"/>
              </w:rPr>
              <w:t>.</w:t>
            </w:r>
          </w:p>
        </w:tc>
      </w:tr>
    </w:tbl>
    <w:p w14:paraId="7A669DB6" w14:textId="77777777" w:rsidR="00FC5A9F" w:rsidRPr="00BD22C2" w:rsidRDefault="00FC5A9F" w:rsidP="00212F94">
      <w:pPr>
        <w:pStyle w:val="Paragraphe"/>
        <w:rPr>
          <w:rFonts w:eastAsia="Calibri"/>
          <w:lang w:val="fr-CA" w:eastAsia="en-US"/>
        </w:rPr>
      </w:pPr>
    </w:p>
    <w:p w14:paraId="70262ABA" w14:textId="18297064" w:rsidR="00FC5A9F" w:rsidRPr="00BD22C2" w:rsidRDefault="00100038" w:rsidP="008565F1">
      <w:pPr>
        <w:pStyle w:val="Titre1"/>
        <w:rPr>
          <w:rFonts w:eastAsia="Calibri"/>
          <w:lang w:eastAsia="en-US"/>
        </w:rPr>
      </w:pPr>
      <w:bookmarkStart w:id="76" w:name="_Toc165301019"/>
      <w:bookmarkStart w:id="77" w:name="_Toc165636102"/>
      <w:r w:rsidRPr="00BD22C2">
        <w:rPr>
          <w:rFonts w:eastAsia="Calibri"/>
          <w:lang w:eastAsia="en-US"/>
        </w:rPr>
        <w:t>B</w:t>
      </w:r>
      <w:r w:rsidR="00FC5A9F" w:rsidRPr="00BD22C2">
        <w:rPr>
          <w:rFonts w:eastAsia="Calibri"/>
          <w:lang w:eastAsia="en-US"/>
        </w:rPr>
        <w:t xml:space="preserve">ref portrait </w:t>
      </w:r>
      <w:r w:rsidR="005A1174" w:rsidRPr="00BD22C2">
        <w:rPr>
          <w:rFonts w:eastAsia="Calibri"/>
          <w:lang w:eastAsia="en-US"/>
        </w:rPr>
        <w:t xml:space="preserve">statistique </w:t>
      </w:r>
      <w:r w:rsidR="00FC5A9F" w:rsidRPr="00BD22C2">
        <w:rPr>
          <w:rFonts w:eastAsia="Calibri"/>
          <w:lang w:eastAsia="en-US"/>
        </w:rPr>
        <w:t>de la situation des personnes trans et non binaires au Québec</w:t>
      </w:r>
      <w:bookmarkEnd w:id="76"/>
      <w:bookmarkEnd w:id="77"/>
    </w:p>
    <w:p w14:paraId="3120943B" w14:textId="739632B2" w:rsidR="00F63416" w:rsidRPr="00BD22C2" w:rsidRDefault="00F63416" w:rsidP="00F63416">
      <w:pPr>
        <w:pStyle w:val="Corpsdetexte"/>
      </w:pPr>
      <w:r w:rsidRPr="00BD22C2">
        <w:t xml:space="preserve">Toujours à </w:t>
      </w:r>
      <w:r w:rsidRPr="00BD22C2">
        <w:rPr>
          <w:rStyle w:val="ParagrapheCar"/>
          <w:lang w:val="fr-CA"/>
        </w:rPr>
        <w:t>titre de repères pour traiter des questions que devra aborder le Comité, il apparaît essentiel pour la Commission d’esquisser</w:t>
      </w:r>
      <w:r w:rsidRPr="00BD22C2">
        <w:t xml:space="preserve"> un bref portrait de la situation des personnes trans et non binaires au Québec afin de guider la mise en œuvre de leurs droits.</w:t>
      </w:r>
    </w:p>
    <w:p w14:paraId="49E365E9" w14:textId="41630D88" w:rsidR="00F63416" w:rsidRPr="00BD22C2" w:rsidRDefault="00F63416" w:rsidP="00EF1CB2">
      <w:pPr>
        <w:pStyle w:val="Titre2"/>
      </w:pPr>
      <w:bookmarkStart w:id="78" w:name="_Toc165301020"/>
      <w:bookmarkStart w:id="79" w:name="_Toc165636103"/>
      <w:r w:rsidRPr="00BD22C2">
        <w:t>Le nombre de personnes trans et non binaires au Québec</w:t>
      </w:r>
      <w:bookmarkEnd w:id="78"/>
      <w:bookmarkEnd w:id="79"/>
    </w:p>
    <w:p w14:paraId="0272640E" w14:textId="25D5D182" w:rsidR="001072FF" w:rsidRPr="00BD22C2" w:rsidRDefault="001072FF" w:rsidP="00F63416">
      <w:pPr>
        <w:pStyle w:val="Corpsdetexte"/>
        <w:rPr>
          <w:rFonts w:eastAsia="Calibri"/>
          <w:lang w:eastAsia="en-US"/>
        </w:rPr>
      </w:pPr>
      <w:r w:rsidRPr="00BD22C2">
        <w:t xml:space="preserve">Les données sur le nombre de personnes s’identifiant comme trans ou non binaires sont importantes et nécessaires parce qu’elles visibilisent ces personnes et qu’elles ouvrent la possibilité de suivre l’évolution de leurs réalités. Comme la Commission l’avait toutefois soutenu en 1994 au sujet des données sur la proportion de personnes homosexuelles dans la population, </w:t>
      </w:r>
      <w:r w:rsidRPr="00BD22C2">
        <w:rPr>
          <w:rFonts w:eastAsia="Calibri"/>
          <w:lang w:eastAsia="en-US"/>
        </w:rPr>
        <w:lastRenderedPageBreak/>
        <w:t>« les mesures à envisager pour contrer les manifestations de discrimination et de violence dont les membres de cette minorité sont victimes n’[ont] rien à voir avec leur poids démographique »</w:t>
      </w:r>
      <w:r w:rsidRPr="00BD22C2">
        <w:rPr>
          <w:rStyle w:val="Appeldenotedefin"/>
          <w:rFonts w:eastAsia="Calibri"/>
          <w:lang w:eastAsia="en-US"/>
        </w:rPr>
        <w:endnoteReference w:id="134"/>
      </w:r>
      <w:r w:rsidRPr="00BD22C2">
        <w:rPr>
          <w:rFonts w:eastAsia="Calibri"/>
          <w:lang w:eastAsia="en-US"/>
        </w:rPr>
        <w:t>. Comme toute personne, les personnes trans et les personnes non binaires sont titulaires de l’ensemble des droits et libertés et</w:t>
      </w:r>
      <w:r w:rsidR="00474C48" w:rsidRPr="00BD22C2">
        <w:rPr>
          <w:rFonts w:eastAsia="Calibri"/>
          <w:lang w:eastAsia="en-US"/>
        </w:rPr>
        <w:t xml:space="preserve"> ceux-ci</w:t>
      </w:r>
      <w:r w:rsidRPr="00BD22C2">
        <w:rPr>
          <w:rFonts w:eastAsia="Calibri"/>
          <w:lang w:eastAsia="en-US"/>
        </w:rPr>
        <w:t xml:space="preserve"> doivent être respectés en toute </w:t>
      </w:r>
      <w:proofErr w:type="spellStart"/>
      <w:r w:rsidRPr="00BD22C2">
        <w:rPr>
          <w:rFonts w:eastAsia="Calibri"/>
          <w:lang w:eastAsia="en-US"/>
        </w:rPr>
        <w:t>égalité</w:t>
      </w:r>
      <w:proofErr w:type="spellEnd"/>
      <w:r w:rsidRPr="00BD22C2">
        <w:rPr>
          <w:rFonts w:eastAsia="Calibri"/>
          <w:lang w:eastAsia="en-US"/>
        </w:rPr>
        <w:t>.</w:t>
      </w:r>
    </w:p>
    <w:p w14:paraId="45EF4B44" w14:textId="08D0E18F" w:rsidR="00EF1CB2" w:rsidRDefault="00F63416" w:rsidP="00F63416">
      <w:pPr>
        <w:pStyle w:val="Corpsdetexte"/>
      </w:pPr>
      <w:r w:rsidRPr="00BD22C2">
        <w:t>En 2022, Statistique Canada a publié ses premières données sur les personnes transgenres et les personnes non binaires issues du recensement de 2021</w:t>
      </w:r>
      <w:r w:rsidR="007B554A" w:rsidRPr="00BD22C2">
        <w:rPr>
          <w:rStyle w:val="Appeldenotedefin"/>
        </w:rPr>
        <w:endnoteReference w:id="135"/>
      </w:r>
      <w:r w:rsidR="007B554A" w:rsidRPr="00BD22C2">
        <w:t xml:space="preserve">. </w:t>
      </w:r>
    </w:p>
    <w:p w14:paraId="40C8EE88" w14:textId="77777777" w:rsidR="00D26B8E" w:rsidRPr="00EE7B70" w:rsidRDefault="00A100DD" w:rsidP="005C252B">
      <w:pPr>
        <w:pStyle w:val="Paragraphe"/>
        <w:spacing w:before="0" w:line="240" w:lineRule="auto"/>
        <w:rPr>
          <w:b/>
          <w:bCs/>
          <w:sz w:val="20"/>
          <w:szCs w:val="20"/>
          <w:lang w:val="fr-CA"/>
        </w:rPr>
      </w:pPr>
      <w:r w:rsidRPr="00EE7B70">
        <w:rPr>
          <w:b/>
          <w:bCs/>
          <w:sz w:val="20"/>
          <w:szCs w:val="20"/>
          <w:lang w:val="fr-CA"/>
        </w:rPr>
        <w:t>Tableau</w:t>
      </w:r>
      <w:r w:rsidR="0091080B" w:rsidRPr="00EE7B70">
        <w:rPr>
          <w:b/>
          <w:bCs/>
          <w:sz w:val="20"/>
          <w:szCs w:val="20"/>
          <w:lang w:val="fr-CA"/>
        </w:rPr>
        <w:t> </w:t>
      </w:r>
      <w:r w:rsidRPr="00EE7B70">
        <w:rPr>
          <w:b/>
          <w:bCs/>
          <w:sz w:val="20"/>
          <w:szCs w:val="20"/>
          <w:lang w:val="fr-CA"/>
        </w:rPr>
        <w:t>1</w:t>
      </w:r>
    </w:p>
    <w:p w14:paraId="5D7587AE" w14:textId="036EE30F" w:rsidR="002F0BA4" w:rsidRPr="005C252B" w:rsidRDefault="00E33B4F" w:rsidP="005C252B">
      <w:pPr>
        <w:pStyle w:val="Paragraphe"/>
        <w:spacing w:before="0" w:line="240" w:lineRule="auto"/>
        <w:rPr>
          <w:i/>
          <w:iCs/>
          <w:sz w:val="18"/>
          <w:szCs w:val="18"/>
          <w:lang w:val="fr-CA"/>
        </w:rPr>
      </w:pPr>
      <w:r w:rsidRPr="00EE7B70">
        <w:rPr>
          <w:b/>
          <w:bCs/>
          <w:sz w:val="20"/>
          <w:szCs w:val="20"/>
          <w:lang w:val="fr-CA"/>
        </w:rPr>
        <w:t>Nombre</w:t>
      </w:r>
      <w:r w:rsidR="00DA0B9C" w:rsidRPr="00EE7B70">
        <w:rPr>
          <w:b/>
          <w:bCs/>
          <w:sz w:val="20"/>
          <w:szCs w:val="20"/>
          <w:lang w:val="fr-CA"/>
        </w:rPr>
        <w:t>s</w:t>
      </w:r>
      <w:r w:rsidRPr="00EE7B70">
        <w:rPr>
          <w:b/>
          <w:bCs/>
          <w:sz w:val="20"/>
          <w:szCs w:val="20"/>
          <w:lang w:val="fr-CA"/>
        </w:rPr>
        <w:t xml:space="preserve"> et p</w:t>
      </w:r>
      <w:r w:rsidR="005C252B" w:rsidRPr="00EE7B70">
        <w:rPr>
          <w:b/>
          <w:bCs/>
          <w:sz w:val="20"/>
          <w:szCs w:val="20"/>
          <w:lang w:val="fr-CA"/>
        </w:rPr>
        <w:t>roportions de personnes transgenres et de personnes non binaires</w:t>
      </w:r>
      <w:r w:rsidR="00C95381" w:rsidRPr="00EE7B70">
        <w:rPr>
          <w:b/>
          <w:bCs/>
          <w:sz w:val="20"/>
          <w:szCs w:val="20"/>
          <w:lang w:val="fr-CA"/>
        </w:rPr>
        <w:t xml:space="preserve"> selon l’âge</w:t>
      </w:r>
      <w:r w:rsidR="005C252B" w:rsidRPr="00EE7B70">
        <w:rPr>
          <w:b/>
          <w:bCs/>
          <w:sz w:val="20"/>
          <w:szCs w:val="20"/>
          <w:lang w:val="fr-CA"/>
        </w:rPr>
        <w:t xml:space="preserve"> au Québec</w:t>
      </w:r>
    </w:p>
    <w:tbl>
      <w:tblPr>
        <w:tblStyle w:val="Grilledutableau"/>
        <w:tblW w:w="9394" w:type="dxa"/>
        <w:tblCellMar>
          <w:top w:w="28" w:type="dxa"/>
          <w:left w:w="113" w:type="dxa"/>
          <w:bottom w:w="28" w:type="dxa"/>
          <w:right w:w="113" w:type="dxa"/>
        </w:tblCellMar>
        <w:tblLook w:val="04A0" w:firstRow="1" w:lastRow="0" w:firstColumn="1" w:lastColumn="0" w:noHBand="0" w:noVBand="1"/>
      </w:tblPr>
      <w:tblGrid>
        <w:gridCol w:w="2986"/>
        <w:gridCol w:w="3425"/>
        <w:gridCol w:w="2983"/>
      </w:tblGrid>
      <w:tr w:rsidR="008D7239" w:rsidRPr="00BD22C2" w14:paraId="52268931" w14:textId="77777777" w:rsidTr="00662C4B">
        <w:trPr>
          <w:trHeight w:val="390"/>
        </w:trPr>
        <w:tc>
          <w:tcPr>
            <w:tcW w:w="2986" w:type="dxa"/>
            <w:shd w:val="clear" w:color="auto" w:fill="1B9BC3"/>
            <w:vAlign w:val="center"/>
          </w:tcPr>
          <w:p w14:paraId="194DCC85" w14:textId="204447DD" w:rsidR="008D7239" w:rsidRDefault="00360B5A" w:rsidP="00EF1CB2">
            <w:pPr>
              <w:pStyle w:val="Corpsdetexte"/>
              <w:spacing w:line="240" w:lineRule="auto"/>
              <w:jc w:val="left"/>
              <w:rPr>
                <w:b/>
                <w:bCs/>
                <w:sz w:val="20"/>
                <w:szCs w:val="20"/>
              </w:rPr>
            </w:pPr>
            <w:r>
              <w:rPr>
                <w:b/>
                <w:bCs/>
                <w:sz w:val="20"/>
                <w:szCs w:val="20"/>
              </w:rPr>
              <w:t>Population transgenre et non binaire</w:t>
            </w:r>
          </w:p>
        </w:tc>
        <w:tc>
          <w:tcPr>
            <w:tcW w:w="3425" w:type="dxa"/>
            <w:vAlign w:val="center"/>
          </w:tcPr>
          <w:p w14:paraId="302DB6C3" w14:textId="22EC9C54" w:rsidR="008D7239" w:rsidRPr="00BD22C2" w:rsidRDefault="008D7239" w:rsidP="00DB6CF2">
            <w:pPr>
              <w:pStyle w:val="Corpsdetexte"/>
              <w:spacing w:line="240" w:lineRule="auto"/>
              <w:jc w:val="center"/>
              <w:rPr>
                <w:b/>
                <w:bCs/>
                <w:sz w:val="20"/>
                <w:szCs w:val="20"/>
              </w:rPr>
            </w:pPr>
            <w:r w:rsidRPr="00BD22C2">
              <w:rPr>
                <w:b/>
                <w:bCs/>
                <w:sz w:val="20"/>
                <w:szCs w:val="20"/>
              </w:rPr>
              <w:t>15</w:t>
            </w:r>
            <w:r>
              <w:rPr>
                <w:b/>
                <w:bCs/>
                <w:sz w:val="20"/>
                <w:szCs w:val="20"/>
              </w:rPr>
              <w:t> </w:t>
            </w:r>
            <w:r w:rsidRPr="00BD22C2">
              <w:rPr>
                <w:b/>
                <w:bCs/>
                <w:sz w:val="20"/>
                <w:szCs w:val="20"/>
              </w:rPr>
              <w:t>ans et plus</w:t>
            </w:r>
            <w:r w:rsidRPr="00BD22C2">
              <w:rPr>
                <w:rStyle w:val="Appeldenotedefin"/>
                <w:b/>
                <w:bCs/>
                <w:sz w:val="20"/>
                <w:szCs w:val="20"/>
              </w:rPr>
              <w:endnoteReference w:id="136"/>
            </w:r>
          </w:p>
        </w:tc>
        <w:tc>
          <w:tcPr>
            <w:tcW w:w="2983" w:type="dxa"/>
            <w:vAlign w:val="center"/>
          </w:tcPr>
          <w:p w14:paraId="58ABCEBA" w14:textId="6BCF7479" w:rsidR="008D7239" w:rsidRPr="00BD22C2" w:rsidRDefault="008D7239" w:rsidP="00DB6CF2">
            <w:pPr>
              <w:pStyle w:val="Corpsdetexte"/>
              <w:spacing w:line="240" w:lineRule="auto"/>
              <w:jc w:val="center"/>
              <w:rPr>
                <w:b/>
                <w:bCs/>
                <w:sz w:val="20"/>
                <w:szCs w:val="20"/>
              </w:rPr>
            </w:pPr>
            <w:r w:rsidRPr="00BD22C2">
              <w:rPr>
                <w:b/>
                <w:bCs/>
                <w:sz w:val="20"/>
                <w:szCs w:val="20"/>
              </w:rPr>
              <w:t>15 à 34</w:t>
            </w:r>
            <w:r>
              <w:rPr>
                <w:b/>
                <w:bCs/>
                <w:sz w:val="20"/>
                <w:szCs w:val="20"/>
              </w:rPr>
              <w:t> </w:t>
            </w:r>
            <w:r w:rsidRPr="00BD22C2">
              <w:rPr>
                <w:b/>
                <w:bCs/>
                <w:sz w:val="20"/>
                <w:szCs w:val="20"/>
              </w:rPr>
              <w:t>ans</w:t>
            </w:r>
            <w:r w:rsidRPr="00BD22C2">
              <w:rPr>
                <w:rStyle w:val="Appeldenotedefin"/>
                <w:b/>
                <w:bCs/>
                <w:sz w:val="20"/>
                <w:szCs w:val="20"/>
              </w:rPr>
              <w:endnoteReference w:id="137"/>
            </w:r>
          </w:p>
        </w:tc>
      </w:tr>
      <w:tr w:rsidR="00F63416" w:rsidRPr="00BD22C2" w14:paraId="5AB1904A" w14:textId="77777777" w:rsidTr="004B07A6">
        <w:trPr>
          <w:trHeight w:val="401"/>
        </w:trPr>
        <w:tc>
          <w:tcPr>
            <w:tcW w:w="2986" w:type="dxa"/>
            <w:vAlign w:val="center"/>
          </w:tcPr>
          <w:p w14:paraId="583BECE9" w14:textId="77777777" w:rsidR="00F63416" w:rsidRPr="00BD22C2" w:rsidRDefault="00F63416" w:rsidP="00EF1CB2">
            <w:pPr>
              <w:pStyle w:val="Corpsdetexte"/>
              <w:spacing w:line="240" w:lineRule="auto"/>
              <w:jc w:val="left"/>
              <w:rPr>
                <w:b/>
                <w:bCs/>
                <w:sz w:val="20"/>
                <w:szCs w:val="20"/>
              </w:rPr>
            </w:pPr>
            <w:r w:rsidRPr="00BD22C2">
              <w:rPr>
                <w:b/>
                <w:bCs/>
                <w:sz w:val="20"/>
                <w:szCs w:val="20"/>
              </w:rPr>
              <w:t>Personnes transgenres</w:t>
            </w:r>
          </w:p>
        </w:tc>
        <w:tc>
          <w:tcPr>
            <w:tcW w:w="3425" w:type="dxa"/>
            <w:vAlign w:val="center"/>
          </w:tcPr>
          <w:p w14:paraId="0DFC90E5" w14:textId="32297247" w:rsidR="00F63416" w:rsidRPr="00BD22C2" w:rsidRDefault="00483D41" w:rsidP="00EF1CB2">
            <w:pPr>
              <w:pStyle w:val="Corpsdetexte"/>
              <w:spacing w:line="240" w:lineRule="auto"/>
              <w:jc w:val="center"/>
              <w:rPr>
                <w:sz w:val="20"/>
                <w:szCs w:val="20"/>
              </w:rPr>
            </w:pPr>
            <w:r w:rsidRPr="00BD22C2">
              <w:rPr>
                <w:sz w:val="20"/>
                <w:szCs w:val="20"/>
              </w:rPr>
              <w:t>9865 (</w:t>
            </w:r>
            <w:r w:rsidR="00F63416" w:rsidRPr="00BD22C2">
              <w:rPr>
                <w:sz w:val="20"/>
                <w:szCs w:val="20"/>
              </w:rPr>
              <w:t>0,14</w:t>
            </w:r>
            <w:r w:rsidR="0051216B" w:rsidRPr="00BD22C2">
              <w:rPr>
                <w:sz w:val="20"/>
                <w:szCs w:val="20"/>
              </w:rPr>
              <w:t> </w:t>
            </w:r>
            <w:r w:rsidRPr="00BD22C2">
              <w:rPr>
                <w:sz w:val="20"/>
                <w:szCs w:val="20"/>
              </w:rPr>
              <w:t>%)</w:t>
            </w:r>
          </w:p>
        </w:tc>
        <w:tc>
          <w:tcPr>
            <w:tcW w:w="2983" w:type="dxa"/>
            <w:vAlign w:val="center"/>
          </w:tcPr>
          <w:p w14:paraId="2D4F6A66" w14:textId="77CAD0B6" w:rsidR="00F63416" w:rsidRPr="00BD22C2" w:rsidRDefault="00DE504C" w:rsidP="00EF1CB2">
            <w:pPr>
              <w:pStyle w:val="Corpsdetexte"/>
              <w:spacing w:line="240" w:lineRule="auto"/>
              <w:jc w:val="center"/>
              <w:rPr>
                <w:sz w:val="20"/>
                <w:szCs w:val="20"/>
              </w:rPr>
            </w:pPr>
            <w:r w:rsidRPr="00BD22C2">
              <w:rPr>
                <w:sz w:val="20"/>
                <w:szCs w:val="20"/>
              </w:rPr>
              <w:t>5230 (</w:t>
            </w:r>
            <w:r w:rsidR="00F63416" w:rsidRPr="00BD22C2">
              <w:rPr>
                <w:sz w:val="20"/>
                <w:szCs w:val="20"/>
              </w:rPr>
              <w:t>0,27</w:t>
            </w:r>
            <w:r w:rsidR="0051216B" w:rsidRPr="00BD22C2">
              <w:rPr>
                <w:sz w:val="20"/>
                <w:szCs w:val="20"/>
              </w:rPr>
              <w:t> </w:t>
            </w:r>
            <w:r w:rsidRPr="00BD22C2">
              <w:rPr>
                <w:sz w:val="20"/>
                <w:szCs w:val="20"/>
              </w:rPr>
              <w:t>%)</w:t>
            </w:r>
          </w:p>
        </w:tc>
      </w:tr>
      <w:tr w:rsidR="00F63416" w:rsidRPr="00BD22C2" w14:paraId="0D0CB62F" w14:textId="77777777" w:rsidTr="004B07A6">
        <w:trPr>
          <w:trHeight w:val="411"/>
        </w:trPr>
        <w:tc>
          <w:tcPr>
            <w:tcW w:w="2986" w:type="dxa"/>
            <w:vAlign w:val="center"/>
          </w:tcPr>
          <w:p w14:paraId="68F93A6D" w14:textId="77777777" w:rsidR="00F63416" w:rsidRPr="00BD22C2" w:rsidRDefault="00F63416" w:rsidP="001770D6">
            <w:pPr>
              <w:pStyle w:val="Corpsdetexte"/>
              <w:spacing w:line="240" w:lineRule="auto"/>
              <w:jc w:val="right"/>
              <w:rPr>
                <w:b/>
                <w:bCs/>
                <w:sz w:val="20"/>
                <w:szCs w:val="20"/>
              </w:rPr>
            </w:pPr>
            <w:r w:rsidRPr="00BD22C2">
              <w:rPr>
                <w:b/>
                <w:bCs/>
                <w:sz w:val="20"/>
                <w:szCs w:val="20"/>
              </w:rPr>
              <w:t>Hommes transgenres</w:t>
            </w:r>
          </w:p>
        </w:tc>
        <w:tc>
          <w:tcPr>
            <w:tcW w:w="3425" w:type="dxa"/>
            <w:vAlign w:val="center"/>
          </w:tcPr>
          <w:p w14:paraId="3C4355BE" w14:textId="6C9B5D28" w:rsidR="00F63416" w:rsidRPr="00BD22C2" w:rsidRDefault="007F2A4E" w:rsidP="00EF1CB2">
            <w:pPr>
              <w:pStyle w:val="Corpsdetexte"/>
              <w:spacing w:line="240" w:lineRule="auto"/>
              <w:jc w:val="center"/>
              <w:rPr>
                <w:sz w:val="20"/>
                <w:szCs w:val="20"/>
              </w:rPr>
            </w:pPr>
            <w:r w:rsidRPr="00BD22C2">
              <w:rPr>
                <w:sz w:val="20"/>
                <w:szCs w:val="20"/>
              </w:rPr>
              <w:t>4705 (</w:t>
            </w:r>
            <w:r w:rsidR="00F63416" w:rsidRPr="00BD22C2">
              <w:rPr>
                <w:sz w:val="20"/>
                <w:szCs w:val="20"/>
              </w:rPr>
              <w:t>0,07</w:t>
            </w:r>
            <w:r w:rsidR="0051216B" w:rsidRPr="00BD22C2">
              <w:rPr>
                <w:sz w:val="20"/>
                <w:szCs w:val="20"/>
              </w:rPr>
              <w:t> </w:t>
            </w:r>
            <w:r w:rsidRPr="00BD22C2">
              <w:rPr>
                <w:sz w:val="20"/>
                <w:szCs w:val="20"/>
              </w:rPr>
              <w:t>%)</w:t>
            </w:r>
          </w:p>
        </w:tc>
        <w:tc>
          <w:tcPr>
            <w:tcW w:w="2983" w:type="dxa"/>
            <w:vAlign w:val="center"/>
          </w:tcPr>
          <w:p w14:paraId="7E3D344F" w14:textId="1AAE1F91" w:rsidR="00F63416" w:rsidRPr="00BD22C2" w:rsidRDefault="005C28F6" w:rsidP="00EF1CB2">
            <w:pPr>
              <w:pStyle w:val="Corpsdetexte"/>
              <w:spacing w:line="240" w:lineRule="auto"/>
              <w:jc w:val="center"/>
              <w:rPr>
                <w:sz w:val="20"/>
                <w:szCs w:val="20"/>
              </w:rPr>
            </w:pPr>
            <w:r w:rsidRPr="00BD22C2">
              <w:rPr>
                <w:sz w:val="20"/>
                <w:szCs w:val="20"/>
              </w:rPr>
              <w:t>2915 (</w:t>
            </w:r>
            <w:r w:rsidR="00F63416" w:rsidRPr="00BD22C2">
              <w:rPr>
                <w:sz w:val="20"/>
                <w:szCs w:val="20"/>
              </w:rPr>
              <w:t>0,15</w:t>
            </w:r>
            <w:r w:rsidR="0051216B" w:rsidRPr="00BD22C2">
              <w:rPr>
                <w:sz w:val="20"/>
                <w:szCs w:val="20"/>
              </w:rPr>
              <w:t> </w:t>
            </w:r>
            <w:r w:rsidRPr="00BD22C2">
              <w:rPr>
                <w:sz w:val="20"/>
                <w:szCs w:val="20"/>
              </w:rPr>
              <w:t>%)</w:t>
            </w:r>
          </w:p>
        </w:tc>
      </w:tr>
      <w:tr w:rsidR="00F63416" w:rsidRPr="00BD22C2" w14:paraId="3DB6D60B" w14:textId="77777777" w:rsidTr="004B07A6">
        <w:trPr>
          <w:trHeight w:val="401"/>
        </w:trPr>
        <w:tc>
          <w:tcPr>
            <w:tcW w:w="2986" w:type="dxa"/>
            <w:vAlign w:val="center"/>
          </w:tcPr>
          <w:p w14:paraId="3BB5E9BD" w14:textId="77777777" w:rsidR="00F63416" w:rsidRPr="00BD22C2" w:rsidRDefault="00F63416" w:rsidP="001770D6">
            <w:pPr>
              <w:pStyle w:val="Corpsdetexte"/>
              <w:spacing w:line="240" w:lineRule="auto"/>
              <w:jc w:val="right"/>
              <w:rPr>
                <w:b/>
                <w:bCs/>
                <w:sz w:val="20"/>
                <w:szCs w:val="20"/>
              </w:rPr>
            </w:pPr>
            <w:r w:rsidRPr="00BD22C2">
              <w:rPr>
                <w:b/>
                <w:bCs/>
                <w:sz w:val="20"/>
                <w:szCs w:val="20"/>
              </w:rPr>
              <w:t>Femmes transgenres</w:t>
            </w:r>
          </w:p>
        </w:tc>
        <w:tc>
          <w:tcPr>
            <w:tcW w:w="3425" w:type="dxa"/>
            <w:vAlign w:val="center"/>
          </w:tcPr>
          <w:p w14:paraId="4CD4C822" w14:textId="36D1F0B1" w:rsidR="00F63416" w:rsidRPr="00BD22C2" w:rsidRDefault="00482B97" w:rsidP="00EF1CB2">
            <w:pPr>
              <w:pStyle w:val="Corpsdetexte"/>
              <w:spacing w:line="240" w:lineRule="auto"/>
              <w:jc w:val="center"/>
              <w:rPr>
                <w:sz w:val="20"/>
                <w:szCs w:val="20"/>
              </w:rPr>
            </w:pPr>
            <w:r w:rsidRPr="00BD22C2">
              <w:rPr>
                <w:sz w:val="20"/>
                <w:szCs w:val="20"/>
              </w:rPr>
              <w:t>51</w:t>
            </w:r>
            <w:r w:rsidR="00FD332E" w:rsidRPr="00BD22C2">
              <w:rPr>
                <w:sz w:val="20"/>
                <w:szCs w:val="20"/>
              </w:rPr>
              <w:t>60</w:t>
            </w:r>
            <w:r w:rsidRPr="00BD22C2">
              <w:rPr>
                <w:sz w:val="20"/>
                <w:szCs w:val="20"/>
              </w:rPr>
              <w:t xml:space="preserve"> (</w:t>
            </w:r>
            <w:r w:rsidR="00F63416" w:rsidRPr="00BD22C2">
              <w:rPr>
                <w:sz w:val="20"/>
                <w:szCs w:val="20"/>
              </w:rPr>
              <w:t>0,07</w:t>
            </w:r>
            <w:r w:rsidR="0051216B" w:rsidRPr="00BD22C2">
              <w:rPr>
                <w:sz w:val="20"/>
                <w:szCs w:val="20"/>
              </w:rPr>
              <w:t> </w:t>
            </w:r>
            <w:r w:rsidRPr="00BD22C2">
              <w:rPr>
                <w:sz w:val="20"/>
                <w:szCs w:val="20"/>
              </w:rPr>
              <w:t>%)</w:t>
            </w:r>
          </w:p>
        </w:tc>
        <w:tc>
          <w:tcPr>
            <w:tcW w:w="2983" w:type="dxa"/>
            <w:vAlign w:val="center"/>
          </w:tcPr>
          <w:p w14:paraId="1A0E9D57" w14:textId="659D952D" w:rsidR="00F63416" w:rsidRPr="00BD22C2" w:rsidRDefault="007112C8" w:rsidP="00EF1CB2">
            <w:pPr>
              <w:pStyle w:val="Corpsdetexte"/>
              <w:spacing w:line="240" w:lineRule="auto"/>
              <w:jc w:val="center"/>
              <w:rPr>
                <w:sz w:val="20"/>
                <w:szCs w:val="20"/>
              </w:rPr>
            </w:pPr>
            <w:r w:rsidRPr="00BD22C2">
              <w:rPr>
                <w:sz w:val="20"/>
                <w:szCs w:val="20"/>
              </w:rPr>
              <w:t>2315 (</w:t>
            </w:r>
            <w:r w:rsidR="00F63416" w:rsidRPr="00BD22C2">
              <w:rPr>
                <w:sz w:val="20"/>
                <w:szCs w:val="20"/>
              </w:rPr>
              <w:t>0,12</w:t>
            </w:r>
            <w:r w:rsidR="0051216B" w:rsidRPr="00BD22C2">
              <w:rPr>
                <w:sz w:val="20"/>
                <w:szCs w:val="20"/>
              </w:rPr>
              <w:t> </w:t>
            </w:r>
            <w:r w:rsidRPr="00BD22C2">
              <w:rPr>
                <w:sz w:val="20"/>
                <w:szCs w:val="20"/>
              </w:rPr>
              <w:t>%)</w:t>
            </w:r>
          </w:p>
        </w:tc>
      </w:tr>
      <w:tr w:rsidR="00F63416" w:rsidRPr="00BD22C2" w14:paraId="5531AA70" w14:textId="77777777" w:rsidTr="004B07A6">
        <w:trPr>
          <w:trHeight w:val="411"/>
        </w:trPr>
        <w:tc>
          <w:tcPr>
            <w:tcW w:w="2986" w:type="dxa"/>
            <w:vAlign w:val="center"/>
          </w:tcPr>
          <w:p w14:paraId="2A3E29C2" w14:textId="77777777" w:rsidR="00F63416" w:rsidRPr="00BD22C2" w:rsidRDefault="00F63416" w:rsidP="00EF1CB2">
            <w:pPr>
              <w:pStyle w:val="Corpsdetexte"/>
              <w:spacing w:line="240" w:lineRule="auto"/>
              <w:jc w:val="left"/>
              <w:rPr>
                <w:b/>
                <w:bCs/>
                <w:sz w:val="20"/>
                <w:szCs w:val="20"/>
              </w:rPr>
            </w:pPr>
            <w:r w:rsidRPr="00BD22C2">
              <w:rPr>
                <w:b/>
                <w:bCs/>
                <w:sz w:val="20"/>
                <w:szCs w:val="20"/>
              </w:rPr>
              <w:t>Personnes non binaires</w:t>
            </w:r>
          </w:p>
        </w:tc>
        <w:tc>
          <w:tcPr>
            <w:tcW w:w="3425" w:type="dxa"/>
            <w:vAlign w:val="center"/>
          </w:tcPr>
          <w:p w14:paraId="2DD4AF13" w14:textId="27AAB383" w:rsidR="00F63416" w:rsidRPr="00BD22C2" w:rsidRDefault="00484205" w:rsidP="00EF1CB2">
            <w:pPr>
              <w:pStyle w:val="Corpsdetexte"/>
              <w:spacing w:line="240" w:lineRule="auto"/>
              <w:jc w:val="center"/>
              <w:rPr>
                <w:sz w:val="20"/>
                <w:szCs w:val="20"/>
              </w:rPr>
            </w:pPr>
            <w:r w:rsidRPr="00BD22C2">
              <w:rPr>
                <w:sz w:val="20"/>
                <w:szCs w:val="20"/>
              </w:rPr>
              <w:t>6360 (</w:t>
            </w:r>
            <w:r w:rsidR="00F63416" w:rsidRPr="00BD22C2">
              <w:rPr>
                <w:sz w:val="20"/>
                <w:szCs w:val="20"/>
              </w:rPr>
              <w:t>0,09</w:t>
            </w:r>
            <w:r w:rsidR="0051216B" w:rsidRPr="00BD22C2">
              <w:rPr>
                <w:sz w:val="20"/>
                <w:szCs w:val="20"/>
              </w:rPr>
              <w:t> </w:t>
            </w:r>
            <w:r w:rsidRPr="00BD22C2">
              <w:rPr>
                <w:sz w:val="20"/>
                <w:szCs w:val="20"/>
              </w:rPr>
              <w:t>%)</w:t>
            </w:r>
          </w:p>
        </w:tc>
        <w:tc>
          <w:tcPr>
            <w:tcW w:w="2983" w:type="dxa"/>
            <w:vAlign w:val="center"/>
          </w:tcPr>
          <w:p w14:paraId="534D3D33" w14:textId="7DFB02EB" w:rsidR="00F63416" w:rsidRPr="00BD22C2" w:rsidRDefault="00A56CDE" w:rsidP="00EF1CB2">
            <w:pPr>
              <w:pStyle w:val="Corpsdetexte"/>
              <w:spacing w:line="240" w:lineRule="auto"/>
              <w:jc w:val="center"/>
              <w:rPr>
                <w:sz w:val="20"/>
                <w:szCs w:val="20"/>
              </w:rPr>
            </w:pPr>
            <w:r w:rsidRPr="00BD22C2">
              <w:rPr>
                <w:sz w:val="20"/>
                <w:szCs w:val="20"/>
              </w:rPr>
              <w:t>4925 (</w:t>
            </w:r>
            <w:r w:rsidR="00F63416" w:rsidRPr="00BD22C2">
              <w:rPr>
                <w:sz w:val="20"/>
                <w:szCs w:val="20"/>
              </w:rPr>
              <w:t>0,25</w:t>
            </w:r>
            <w:r w:rsidR="0051216B" w:rsidRPr="00BD22C2">
              <w:rPr>
                <w:sz w:val="20"/>
                <w:szCs w:val="20"/>
              </w:rPr>
              <w:t> </w:t>
            </w:r>
            <w:r w:rsidRPr="00BD22C2">
              <w:rPr>
                <w:sz w:val="20"/>
                <w:szCs w:val="20"/>
              </w:rPr>
              <w:t>%)</w:t>
            </w:r>
          </w:p>
        </w:tc>
      </w:tr>
      <w:tr w:rsidR="00F63416" w:rsidRPr="00BD22C2" w14:paraId="22BD0250" w14:textId="77777777" w:rsidTr="004B07A6">
        <w:trPr>
          <w:trHeight w:val="411"/>
        </w:trPr>
        <w:tc>
          <w:tcPr>
            <w:tcW w:w="2986" w:type="dxa"/>
            <w:shd w:val="clear" w:color="auto" w:fill="D9D9D9" w:themeFill="background1" w:themeFillShade="D9"/>
            <w:vAlign w:val="center"/>
          </w:tcPr>
          <w:p w14:paraId="6D646D84" w14:textId="77777777" w:rsidR="00F63416" w:rsidRPr="00BD22C2" w:rsidRDefault="00F63416" w:rsidP="00EF1CB2">
            <w:pPr>
              <w:pStyle w:val="Corpsdetexte"/>
              <w:spacing w:line="240" w:lineRule="auto"/>
              <w:jc w:val="left"/>
              <w:rPr>
                <w:b/>
                <w:bCs/>
                <w:sz w:val="20"/>
                <w:szCs w:val="20"/>
              </w:rPr>
            </w:pPr>
            <w:r w:rsidRPr="00BD22C2">
              <w:rPr>
                <w:b/>
                <w:bCs/>
                <w:sz w:val="20"/>
                <w:szCs w:val="20"/>
              </w:rPr>
              <w:t>Total</w:t>
            </w:r>
          </w:p>
        </w:tc>
        <w:tc>
          <w:tcPr>
            <w:tcW w:w="3425" w:type="dxa"/>
            <w:shd w:val="clear" w:color="auto" w:fill="D9D9D9" w:themeFill="background1" w:themeFillShade="D9"/>
            <w:vAlign w:val="center"/>
          </w:tcPr>
          <w:p w14:paraId="40CA5132" w14:textId="3D8DB563" w:rsidR="00F63416" w:rsidRPr="00BD22C2" w:rsidRDefault="000F3645" w:rsidP="00EF1CB2">
            <w:pPr>
              <w:pStyle w:val="Corpsdetexte"/>
              <w:spacing w:line="240" w:lineRule="auto"/>
              <w:jc w:val="center"/>
              <w:rPr>
                <w:b/>
                <w:bCs/>
                <w:sz w:val="20"/>
                <w:szCs w:val="20"/>
              </w:rPr>
            </w:pPr>
            <w:r w:rsidRPr="00BD22C2">
              <w:rPr>
                <w:b/>
                <w:bCs/>
                <w:sz w:val="20"/>
                <w:szCs w:val="20"/>
              </w:rPr>
              <w:t>16</w:t>
            </w:r>
            <w:r w:rsidR="0051216B" w:rsidRPr="00BD22C2">
              <w:rPr>
                <w:b/>
                <w:bCs/>
                <w:sz w:val="20"/>
                <w:szCs w:val="20"/>
              </w:rPr>
              <w:t> </w:t>
            </w:r>
            <w:r w:rsidRPr="00BD22C2">
              <w:rPr>
                <w:b/>
                <w:bCs/>
                <w:sz w:val="20"/>
                <w:szCs w:val="20"/>
              </w:rPr>
              <w:t>225 (</w:t>
            </w:r>
            <w:r w:rsidR="00F63416" w:rsidRPr="00BD22C2">
              <w:rPr>
                <w:b/>
                <w:bCs/>
                <w:sz w:val="20"/>
                <w:szCs w:val="20"/>
              </w:rPr>
              <w:t>0,23</w:t>
            </w:r>
            <w:r w:rsidR="0051216B" w:rsidRPr="00BD22C2">
              <w:rPr>
                <w:b/>
                <w:bCs/>
                <w:sz w:val="20"/>
                <w:szCs w:val="20"/>
              </w:rPr>
              <w:t> </w:t>
            </w:r>
            <w:r w:rsidRPr="00BD22C2">
              <w:rPr>
                <w:b/>
                <w:bCs/>
                <w:sz w:val="20"/>
                <w:szCs w:val="20"/>
              </w:rPr>
              <w:t>%)</w:t>
            </w:r>
          </w:p>
        </w:tc>
        <w:tc>
          <w:tcPr>
            <w:tcW w:w="2983" w:type="dxa"/>
            <w:shd w:val="clear" w:color="auto" w:fill="D9D9D9" w:themeFill="background1" w:themeFillShade="D9"/>
            <w:vAlign w:val="center"/>
          </w:tcPr>
          <w:p w14:paraId="2C99C8E7" w14:textId="0BB13C30" w:rsidR="00F63416" w:rsidRPr="00BD22C2" w:rsidRDefault="00A56CDE" w:rsidP="00EF1CB2">
            <w:pPr>
              <w:pStyle w:val="Corpsdetexte"/>
              <w:spacing w:line="240" w:lineRule="auto"/>
              <w:jc w:val="center"/>
              <w:rPr>
                <w:b/>
                <w:bCs/>
                <w:sz w:val="20"/>
                <w:szCs w:val="20"/>
              </w:rPr>
            </w:pPr>
            <w:r w:rsidRPr="00BD22C2">
              <w:rPr>
                <w:b/>
                <w:bCs/>
                <w:sz w:val="20"/>
                <w:szCs w:val="20"/>
              </w:rPr>
              <w:t>10</w:t>
            </w:r>
            <w:r w:rsidR="0051216B" w:rsidRPr="00BD22C2">
              <w:rPr>
                <w:b/>
                <w:bCs/>
                <w:sz w:val="20"/>
                <w:szCs w:val="20"/>
              </w:rPr>
              <w:t> </w:t>
            </w:r>
            <w:r w:rsidRPr="00BD22C2">
              <w:rPr>
                <w:b/>
                <w:bCs/>
                <w:sz w:val="20"/>
                <w:szCs w:val="20"/>
              </w:rPr>
              <w:t>155</w:t>
            </w:r>
            <w:r w:rsidR="004F68AF" w:rsidRPr="00BD22C2">
              <w:rPr>
                <w:b/>
                <w:bCs/>
                <w:sz w:val="20"/>
                <w:szCs w:val="20"/>
              </w:rPr>
              <w:t xml:space="preserve"> (</w:t>
            </w:r>
            <w:r w:rsidR="00F63416" w:rsidRPr="00BD22C2">
              <w:rPr>
                <w:b/>
                <w:bCs/>
                <w:sz w:val="20"/>
                <w:szCs w:val="20"/>
              </w:rPr>
              <w:t>0,52</w:t>
            </w:r>
            <w:r w:rsidR="0051216B" w:rsidRPr="00BD22C2">
              <w:rPr>
                <w:b/>
                <w:bCs/>
                <w:sz w:val="20"/>
                <w:szCs w:val="20"/>
              </w:rPr>
              <w:t> </w:t>
            </w:r>
            <w:r w:rsidR="004F68AF" w:rsidRPr="00BD22C2">
              <w:rPr>
                <w:b/>
                <w:bCs/>
                <w:sz w:val="20"/>
                <w:szCs w:val="20"/>
              </w:rPr>
              <w:t>%)</w:t>
            </w:r>
          </w:p>
        </w:tc>
      </w:tr>
    </w:tbl>
    <w:p w14:paraId="256A7505" w14:textId="3A794E3A" w:rsidR="00D8573A" w:rsidRPr="007B0D96" w:rsidRDefault="00415D2D" w:rsidP="00F63416">
      <w:pPr>
        <w:pStyle w:val="Paragraphe"/>
        <w:rPr>
          <w:sz w:val="18"/>
          <w:szCs w:val="18"/>
          <w:lang w:val="fr-CA"/>
        </w:rPr>
      </w:pPr>
      <w:r>
        <w:rPr>
          <w:i/>
          <w:iCs/>
          <w:sz w:val="18"/>
          <w:szCs w:val="18"/>
          <w:lang w:val="fr-CA"/>
        </w:rPr>
        <w:t xml:space="preserve">Source : Recensement 2021 de Statistique </w:t>
      </w:r>
      <w:r w:rsidRPr="00415D2D">
        <w:rPr>
          <w:i/>
          <w:iCs/>
          <w:sz w:val="18"/>
          <w:szCs w:val="18"/>
          <w:lang w:val="fr-CA"/>
        </w:rPr>
        <w:t>Canada</w:t>
      </w:r>
      <w:r>
        <w:rPr>
          <w:sz w:val="18"/>
          <w:szCs w:val="18"/>
          <w:lang w:val="fr-CA"/>
        </w:rPr>
        <w:t xml:space="preserve">. </w:t>
      </w:r>
      <w:r w:rsidR="00D8573A" w:rsidRPr="00415D2D">
        <w:rPr>
          <w:sz w:val="18"/>
          <w:szCs w:val="18"/>
          <w:lang w:val="fr-CA"/>
        </w:rPr>
        <w:t>Les</w:t>
      </w:r>
      <w:r w:rsidR="00D8573A">
        <w:rPr>
          <w:i/>
          <w:iCs/>
          <w:sz w:val="18"/>
          <w:szCs w:val="18"/>
          <w:lang w:val="fr-CA"/>
        </w:rPr>
        <w:t xml:space="preserve"> pourcentages sont </w:t>
      </w:r>
      <w:r w:rsidR="0093044D">
        <w:rPr>
          <w:i/>
          <w:iCs/>
          <w:sz w:val="18"/>
          <w:szCs w:val="18"/>
          <w:lang w:val="fr-CA"/>
        </w:rPr>
        <w:t>calculés par rapport à la population</w:t>
      </w:r>
      <w:r w:rsidR="007B0D96">
        <w:rPr>
          <w:i/>
          <w:iCs/>
          <w:sz w:val="18"/>
          <w:szCs w:val="18"/>
          <w:lang w:val="fr-CA"/>
        </w:rPr>
        <w:t xml:space="preserve"> totale</w:t>
      </w:r>
      <w:r w:rsidR="001F1A41">
        <w:rPr>
          <w:i/>
          <w:iCs/>
          <w:sz w:val="18"/>
          <w:szCs w:val="18"/>
          <w:lang w:val="fr-CA"/>
        </w:rPr>
        <w:t xml:space="preserve"> de chaque groupe d’âge</w:t>
      </w:r>
      <w:r w:rsidR="007B0D96">
        <w:rPr>
          <w:i/>
          <w:iCs/>
          <w:sz w:val="18"/>
          <w:szCs w:val="18"/>
          <w:lang w:val="fr-CA"/>
        </w:rPr>
        <w:t>,</w:t>
      </w:r>
      <w:r w:rsidR="0093044D">
        <w:rPr>
          <w:i/>
          <w:iCs/>
          <w:sz w:val="18"/>
          <w:szCs w:val="18"/>
          <w:lang w:val="fr-CA"/>
        </w:rPr>
        <w:t xml:space="preserve"> âgée de 15 ans et plus vivant dans un ménage privé</w:t>
      </w:r>
      <w:r w:rsidR="007B0D96">
        <w:rPr>
          <w:i/>
          <w:iCs/>
          <w:sz w:val="18"/>
          <w:szCs w:val="18"/>
          <w:lang w:val="fr-CA"/>
        </w:rPr>
        <w:t>.</w:t>
      </w:r>
    </w:p>
    <w:p w14:paraId="23B8C586" w14:textId="1A540C59" w:rsidR="007657A6" w:rsidRPr="00BD22C2" w:rsidRDefault="00F63416" w:rsidP="00F63416">
      <w:pPr>
        <w:pStyle w:val="Paragraphe"/>
        <w:rPr>
          <w:lang w:val="fr-CA"/>
        </w:rPr>
      </w:pPr>
      <w:r w:rsidRPr="00BD22C2">
        <w:rPr>
          <w:lang w:val="fr-CA"/>
        </w:rPr>
        <w:t>L</w:t>
      </w:r>
      <w:r w:rsidR="007B554A" w:rsidRPr="00BD22C2">
        <w:rPr>
          <w:lang w:val="fr-CA"/>
        </w:rPr>
        <w:t>a proportion</w:t>
      </w:r>
      <w:r w:rsidRPr="00BD22C2">
        <w:rPr>
          <w:lang w:val="fr-CA"/>
        </w:rPr>
        <w:t xml:space="preserve"> de personnes se déclarant transgenres ou non binaires est en augmentation chez les plus jeunes générations, bien que la proportion demeure très petite au regard de l’ensemble de la population canadienne (0,85</w:t>
      </w:r>
      <w:r w:rsidR="0051216B" w:rsidRPr="00BD22C2">
        <w:rPr>
          <w:lang w:val="fr-CA"/>
        </w:rPr>
        <w:t> </w:t>
      </w:r>
      <w:r w:rsidRPr="00BD22C2">
        <w:rPr>
          <w:lang w:val="fr-CA"/>
        </w:rPr>
        <w:t>% chez les 20-24</w:t>
      </w:r>
      <w:r w:rsidR="009D3E22">
        <w:rPr>
          <w:lang w:val="fr-CA"/>
        </w:rPr>
        <w:t> </w:t>
      </w:r>
      <w:r w:rsidRPr="00BD22C2">
        <w:rPr>
          <w:lang w:val="fr-CA"/>
        </w:rPr>
        <w:t>ans, soit six fois plus que chez les 65</w:t>
      </w:r>
      <w:r w:rsidR="009D3E22">
        <w:rPr>
          <w:lang w:val="fr-CA"/>
        </w:rPr>
        <w:t> </w:t>
      </w:r>
      <w:r w:rsidRPr="00BD22C2">
        <w:rPr>
          <w:lang w:val="fr-CA"/>
        </w:rPr>
        <w:t>ans et plus)</w:t>
      </w:r>
      <w:r w:rsidR="00891CE5" w:rsidRPr="00BD22C2">
        <w:rPr>
          <w:rStyle w:val="Appeldenotedefin"/>
          <w:rFonts w:cs="Arial"/>
          <w:lang w:val="fr-CA"/>
        </w:rPr>
        <w:endnoteReference w:id="138"/>
      </w:r>
      <w:r w:rsidR="00891CE5" w:rsidRPr="00BD22C2">
        <w:rPr>
          <w:lang w:val="fr-CA"/>
        </w:rPr>
        <w:t>. Pour expliquer cette différence intergénérationnelle, Statistique Canada avance que les personnes plus jeunes pourraient se sentir plus à l’aise que les générations précédentes de déclarer leur identité de genre, entre autres en raison de l</w:t>
      </w:r>
      <w:r w:rsidR="00017A6C" w:rsidRPr="00BD22C2">
        <w:rPr>
          <w:lang w:val="fr-CA"/>
        </w:rPr>
        <w:t>a</w:t>
      </w:r>
      <w:r w:rsidR="00891CE5" w:rsidRPr="00BD22C2">
        <w:rPr>
          <w:lang w:val="fr-CA"/>
        </w:rPr>
        <w:t xml:space="preserve"> récente reconnaissance sociale et légale</w:t>
      </w:r>
      <w:r w:rsidR="00017A6C" w:rsidRPr="00BD22C2">
        <w:rPr>
          <w:lang w:val="fr-CA"/>
        </w:rPr>
        <w:t xml:space="preserve"> des personnes trans et non binaires</w:t>
      </w:r>
      <w:r w:rsidR="00891CE5" w:rsidRPr="00BD22C2">
        <w:rPr>
          <w:lang w:val="fr-CA"/>
        </w:rPr>
        <w:t>, mais aussi parce que l’accès à Internet et aux médias sociaux a pu contribuer à leur sensibilisation sur la diversité de genre et à leur prise de contact avec des communautés de soutien virtuelles</w:t>
      </w:r>
      <w:r w:rsidR="00891CE5" w:rsidRPr="00BD22C2">
        <w:rPr>
          <w:rStyle w:val="Appeldenotedefin"/>
          <w:lang w:val="fr-CA"/>
        </w:rPr>
        <w:endnoteReference w:id="139"/>
      </w:r>
      <w:r w:rsidR="00891CE5" w:rsidRPr="00BD22C2">
        <w:rPr>
          <w:lang w:val="fr-CA"/>
        </w:rPr>
        <w:t>. Chez les plus jeunes générations, la proportion d’hommes trans est plus grande par rapport à la proportion de femmes trans.</w:t>
      </w:r>
      <w:r w:rsidR="000308DC" w:rsidRPr="00BD22C2">
        <w:rPr>
          <w:lang w:val="fr-CA"/>
        </w:rPr>
        <w:t xml:space="preserve"> </w:t>
      </w:r>
      <w:r w:rsidR="00F453A5" w:rsidRPr="00BD22C2">
        <w:rPr>
          <w:lang w:val="fr-CA"/>
        </w:rPr>
        <w:t>L</w:t>
      </w:r>
      <w:r w:rsidR="00891CE5" w:rsidRPr="00BD22C2">
        <w:rPr>
          <w:lang w:val="fr-CA"/>
        </w:rPr>
        <w:t xml:space="preserve">a hausse </w:t>
      </w:r>
      <w:r w:rsidR="00CB61BC" w:rsidRPr="00BD22C2">
        <w:rPr>
          <w:lang w:val="fr-CA"/>
        </w:rPr>
        <w:t>du nombre de personnes concernées</w:t>
      </w:r>
      <w:r w:rsidR="00891CE5" w:rsidRPr="00BD22C2">
        <w:rPr>
          <w:lang w:val="fr-CA"/>
        </w:rPr>
        <w:t xml:space="preserve"> et le changement du ratio hommes/femmes trans </w:t>
      </w:r>
      <w:r w:rsidR="00891CE5" w:rsidRPr="00BD22C2">
        <w:rPr>
          <w:lang w:val="fr-CA"/>
        </w:rPr>
        <w:lastRenderedPageBreak/>
        <w:t xml:space="preserve">se </w:t>
      </w:r>
      <w:r w:rsidR="009778A1" w:rsidRPr="00BD22C2">
        <w:rPr>
          <w:lang w:val="fr-CA"/>
        </w:rPr>
        <w:t xml:space="preserve">reflètent </w:t>
      </w:r>
      <w:r w:rsidR="00891CE5" w:rsidRPr="00BD22C2">
        <w:rPr>
          <w:lang w:val="fr-CA"/>
        </w:rPr>
        <w:t xml:space="preserve">aussi </w:t>
      </w:r>
      <w:r w:rsidR="00597A22" w:rsidRPr="00BD22C2">
        <w:rPr>
          <w:lang w:val="fr-CA"/>
        </w:rPr>
        <w:t>dans</w:t>
      </w:r>
      <w:r w:rsidR="00891CE5" w:rsidRPr="00BD22C2">
        <w:rPr>
          <w:lang w:val="fr-CA"/>
        </w:rPr>
        <w:t xml:space="preserve"> la demande pour des soins et services de santé d’affirmation de genre dans différents pays</w:t>
      </w:r>
      <w:r w:rsidR="00891CE5" w:rsidRPr="00BD22C2">
        <w:rPr>
          <w:rStyle w:val="Appeldenotedefin"/>
          <w:lang w:val="fr-CA"/>
        </w:rPr>
        <w:endnoteReference w:id="140"/>
      </w:r>
      <w:r w:rsidR="00891CE5" w:rsidRPr="00BD22C2">
        <w:rPr>
          <w:lang w:val="fr-CA"/>
        </w:rPr>
        <w:t>.</w:t>
      </w:r>
    </w:p>
    <w:p w14:paraId="0F9B1F56" w14:textId="7B3E4BB4" w:rsidR="00986126" w:rsidRPr="00BD22C2" w:rsidRDefault="00891CE5" w:rsidP="00F63416">
      <w:pPr>
        <w:pStyle w:val="Paragraphe"/>
        <w:rPr>
          <w:lang w:val="fr-CA"/>
        </w:rPr>
      </w:pPr>
      <w:r w:rsidRPr="00BD22C2">
        <w:rPr>
          <w:lang w:val="fr-CA"/>
        </w:rPr>
        <w:t xml:space="preserve">Les explications de ces </w:t>
      </w:r>
      <w:r w:rsidR="005C108F" w:rsidRPr="00BD22C2">
        <w:rPr>
          <w:lang w:val="fr-CA"/>
        </w:rPr>
        <w:t xml:space="preserve">évolutions </w:t>
      </w:r>
      <w:r w:rsidRPr="00BD22C2">
        <w:rPr>
          <w:lang w:val="fr-CA"/>
        </w:rPr>
        <w:t>sont probablement de différents ordres (biologiques, psychologiques et sociaux) et difficiles à désintriquer. Il est ainsi clair que la «</w:t>
      </w:r>
      <w:r w:rsidR="0051216B" w:rsidRPr="00BD22C2">
        <w:rPr>
          <w:lang w:val="fr-CA"/>
        </w:rPr>
        <w:t> </w:t>
      </w:r>
      <w:r w:rsidRPr="00BD22C2">
        <w:rPr>
          <w:lang w:val="fr-CA"/>
        </w:rPr>
        <w:t>contagion sociale</w:t>
      </w:r>
      <w:r w:rsidR="0051216B" w:rsidRPr="00BD22C2">
        <w:rPr>
          <w:lang w:val="fr-CA"/>
        </w:rPr>
        <w:t> </w:t>
      </w:r>
      <w:r w:rsidRPr="00BD22C2">
        <w:rPr>
          <w:lang w:val="fr-CA"/>
        </w:rPr>
        <w:t>» ou «</w:t>
      </w:r>
      <w:r w:rsidR="0051216B" w:rsidRPr="00BD22C2">
        <w:rPr>
          <w:lang w:val="fr-CA"/>
        </w:rPr>
        <w:t> </w:t>
      </w:r>
      <w:r w:rsidRPr="00BD22C2">
        <w:rPr>
          <w:lang w:val="fr-CA"/>
        </w:rPr>
        <w:t>ces personnes sont nées comme ça</w:t>
      </w:r>
      <w:r w:rsidR="0051216B" w:rsidRPr="00BD22C2">
        <w:rPr>
          <w:lang w:val="fr-CA"/>
        </w:rPr>
        <w:t> </w:t>
      </w:r>
      <w:r w:rsidRPr="00BD22C2">
        <w:rPr>
          <w:lang w:val="fr-CA"/>
        </w:rPr>
        <w:t>» sont des explications trop simplistes. Elles ne rendent pas compte de la complexité de ces réalités et dévalorisent l’expérience des personnes concernées</w:t>
      </w:r>
      <w:r w:rsidRPr="00BD22C2">
        <w:rPr>
          <w:rStyle w:val="Appeldenotedefin"/>
          <w:lang w:val="fr-CA"/>
        </w:rPr>
        <w:endnoteReference w:id="141"/>
      </w:r>
      <w:r w:rsidRPr="00BD22C2">
        <w:rPr>
          <w:lang w:val="fr-CA"/>
        </w:rPr>
        <w:t>.</w:t>
      </w:r>
      <w:r w:rsidR="00F63416" w:rsidRPr="00BD22C2">
        <w:rPr>
          <w:lang w:val="fr-CA"/>
        </w:rPr>
        <w:t xml:space="preserve"> </w:t>
      </w:r>
    </w:p>
    <w:p w14:paraId="6E6A2729" w14:textId="01F211A1" w:rsidR="00F63416" w:rsidRPr="00BD22C2" w:rsidRDefault="00F63416" w:rsidP="00F63416">
      <w:pPr>
        <w:pStyle w:val="Paragraphe"/>
        <w:rPr>
          <w:lang w:val="fr-CA"/>
        </w:rPr>
      </w:pPr>
      <w:r w:rsidRPr="00BD22C2">
        <w:rPr>
          <w:lang w:val="fr-CA"/>
        </w:rPr>
        <w:t>Cela dit, l’analyse de la Commission ne se situe pas sur le terrain des explications causales, mais bien du respect des droits des personnes concernées. Elle se préoccupe du fait que les controverses sur les causes soient instrumentalisées pour justifier des atteintes aux droits, que ce soit en pathologisant l’expérience des personnes trans et non binaires ou encore en les considérant comme des revendications identitaires frivoles</w:t>
      </w:r>
      <w:r w:rsidR="00ED4504" w:rsidRPr="00BD22C2">
        <w:rPr>
          <w:lang w:val="fr-CA"/>
        </w:rPr>
        <w:t xml:space="preserve">. </w:t>
      </w:r>
      <w:r w:rsidR="00B46C7F" w:rsidRPr="00BD22C2">
        <w:rPr>
          <w:lang w:val="fr-CA"/>
        </w:rPr>
        <w:t xml:space="preserve">Ce groupe </w:t>
      </w:r>
      <w:r w:rsidR="00A16AC4" w:rsidRPr="00BD22C2">
        <w:rPr>
          <w:lang w:val="fr-CA"/>
        </w:rPr>
        <w:t xml:space="preserve">a d’ailleurs comme particularité de voir </w:t>
      </w:r>
      <w:r w:rsidR="009173CB" w:rsidRPr="00BD22C2">
        <w:rPr>
          <w:lang w:val="fr-CA"/>
        </w:rPr>
        <w:t xml:space="preserve">son </w:t>
      </w:r>
      <w:r w:rsidR="00A16AC4" w:rsidRPr="00BD22C2">
        <w:rPr>
          <w:lang w:val="fr-CA"/>
        </w:rPr>
        <w:t>«</w:t>
      </w:r>
      <w:r w:rsidR="0051216B" w:rsidRPr="00BD22C2">
        <w:rPr>
          <w:lang w:val="fr-CA"/>
        </w:rPr>
        <w:t> </w:t>
      </w:r>
      <w:r w:rsidR="00A16AC4" w:rsidRPr="00BD22C2">
        <w:rPr>
          <w:lang w:val="fr-CA"/>
        </w:rPr>
        <w:t>existence même f</w:t>
      </w:r>
      <w:r w:rsidR="002F5339" w:rsidRPr="00BD22C2">
        <w:rPr>
          <w:lang w:val="fr-CA"/>
        </w:rPr>
        <w:t>aire l’objet de débats de société et de condamnations publiques</w:t>
      </w:r>
      <w:r w:rsidR="0051216B" w:rsidRPr="00BD22C2">
        <w:rPr>
          <w:lang w:val="fr-CA"/>
        </w:rPr>
        <w:t> </w:t>
      </w:r>
      <w:r w:rsidR="002F5339" w:rsidRPr="00BD22C2">
        <w:rPr>
          <w:lang w:val="fr-CA"/>
        </w:rPr>
        <w:t>», com</w:t>
      </w:r>
      <w:r w:rsidR="009173CB" w:rsidRPr="00BD22C2">
        <w:rPr>
          <w:lang w:val="fr-CA"/>
        </w:rPr>
        <w:t xml:space="preserve">me </w:t>
      </w:r>
      <w:r w:rsidR="00ED4504" w:rsidRPr="00BD22C2">
        <w:rPr>
          <w:lang w:val="fr-CA"/>
        </w:rPr>
        <w:t xml:space="preserve">l’a </w:t>
      </w:r>
      <w:r w:rsidR="00465BDF" w:rsidRPr="00BD22C2">
        <w:rPr>
          <w:lang w:val="fr-CA"/>
        </w:rPr>
        <w:t>rappelé</w:t>
      </w:r>
      <w:r w:rsidR="00A32215" w:rsidRPr="00BD22C2">
        <w:rPr>
          <w:lang w:val="fr-CA"/>
        </w:rPr>
        <w:t xml:space="preserve"> la Cour suprême du Canada</w:t>
      </w:r>
      <w:r w:rsidR="003C2310" w:rsidRPr="00BD22C2">
        <w:rPr>
          <w:rStyle w:val="Appeldenotedefin"/>
          <w:lang w:val="fr-CA"/>
        </w:rPr>
        <w:endnoteReference w:id="142"/>
      </w:r>
      <w:r w:rsidR="003C2310" w:rsidRPr="00BD22C2">
        <w:rPr>
          <w:lang w:val="fr-CA"/>
        </w:rPr>
        <w:t>, citant une décision du Tribunal des droits de la personne de Colombie-Britannique</w:t>
      </w:r>
      <w:r w:rsidR="003C2310" w:rsidRPr="00BD22C2">
        <w:rPr>
          <w:rStyle w:val="Appeldenotedefin"/>
          <w:lang w:val="fr-CA"/>
        </w:rPr>
        <w:endnoteReference w:id="143"/>
      </w:r>
      <w:r w:rsidR="003C2310" w:rsidRPr="00BD22C2">
        <w:rPr>
          <w:lang w:val="fr-CA"/>
        </w:rPr>
        <w:t>.</w:t>
      </w:r>
    </w:p>
    <w:p w14:paraId="70D7AA23" w14:textId="1F8CFDE4" w:rsidR="00F63416" w:rsidRPr="00BD22C2" w:rsidRDefault="00F63416" w:rsidP="00EF1CB2">
      <w:pPr>
        <w:pStyle w:val="Titre2"/>
        <w:rPr>
          <w:rFonts w:eastAsia="Calibri"/>
          <w:lang w:eastAsia="en-US"/>
        </w:rPr>
      </w:pPr>
      <w:bookmarkStart w:id="80" w:name="_Toc165301021"/>
      <w:bookmarkStart w:id="81" w:name="_Toc165636104"/>
      <w:r w:rsidRPr="00BD22C2">
        <w:rPr>
          <w:rFonts w:eastAsia="Calibri"/>
          <w:lang w:eastAsia="en-US"/>
        </w:rPr>
        <w:t>L</w:t>
      </w:r>
      <w:r w:rsidR="009B1884" w:rsidRPr="00BD22C2">
        <w:rPr>
          <w:rFonts w:eastAsia="Calibri"/>
          <w:lang w:eastAsia="en-US"/>
        </w:rPr>
        <w:t>a situation de vulnérabilité des personnes trans et non binaires</w:t>
      </w:r>
      <w:bookmarkEnd w:id="80"/>
      <w:bookmarkEnd w:id="81"/>
    </w:p>
    <w:p w14:paraId="1CA6FD53" w14:textId="5B8804B4" w:rsidR="00F63416" w:rsidRPr="00BD22C2" w:rsidRDefault="00F63416" w:rsidP="00F63416">
      <w:pPr>
        <w:pStyle w:val="Corpsdetexte"/>
        <w:rPr>
          <w:rFonts w:eastAsia="Calibri"/>
          <w:lang w:eastAsia="en-US"/>
        </w:rPr>
      </w:pPr>
      <w:r w:rsidRPr="00BD22C2">
        <w:rPr>
          <w:rFonts w:eastAsia="Calibri"/>
          <w:lang w:eastAsia="en-US"/>
        </w:rPr>
        <w:t>Les personnes trans et non binaires sont marginalisées, stigmatisées et vulnérabilisées dans les différents aspects de leur vie, et ce</w:t>
      </w:r>
      <w:r w:rsidR="004F60EB" w:rsidRPr="00BD22C2">
        <w:rPr>
          <w:rFonts w:eastAsia="Calibri"/>
          <w:lang w:eastAsia="en-US"/>
        </w:rPr>
        <w:t>,</w:t>
      </w:r>
      <w:r w:rsidRPr="00BD22C2">
        <w:rPr>
          <w:rFonts w:eastAsia="Calibri"/>
          <w:lang w:eastAsia="en-US"/>
        </w:rPr>
        <w:t xml:space="preserve"> d’autant plus si elles se situent au croisement de plusieurs motifs interdits de discrimination.</w:t>
      </w:r>
    </w:p>
    <w:p w14:paraId="4E64A014" w14:textId="26AC95E5" w:rsidR="00EF1CB2" w:rsidRPr="00BD22C2" w:rsidRDefault="00F63416" w:rsidP="00EF1CB2">
      <w:pPr>
        <w:pStyle w:val="Corpsdetexte"/>
        <w:spacing w:line="240" w:lineRule="auto"/>
        <w:rPr>
          <w:rFonts w:eastAsia="Calibri"/>
          <w:b/>
          <w:bCs/>
          <w:sz w:val="20"/>
          <w:szCs w:val="20"/>
          <w:lang w:eastAsia="en-US"/>
        </w:rPr>
      </w:pPr>
      <w:r w:rsidRPr="00BD22C2">
        <w:rPr>
          <w:rFonts w:eastAsia="Calibri"/>
          <w:b/>
          <w:bCs/>
          <w:sz w:val="20"/>
          <w:szCs w:val="20"/>
          <w:lang w:eastAsia="en-US"/>
        </w:rPr>
        <w:t>Tableau</w:t>
      </w:r>
      <w:r w:rsidR="0091080B">
        <w:rPr>
          <w:rFonts w:eastAsia="Calibri"/>
          <w:b/>
          <w:bCs/>
          <w:sz w:val="20"/>
          <w:szCs w:val="20"/>
          <w:lang w:eastAsia="en-US"/>
        </w:rPr>
        <w:t> </w:t>
      </w:r>
      <w:r w:rsidRPr="00BD22C2">
        <w:rPr>
          <w:rFonts w:eastAsia="Calibri"/>
          <w:b/>
          <w:bCs/>
          <w:sz w:val="20"/>
          <w:szCs w:val="20"/>
          <w:lang w:eastAsia="en-US"/>
        </w:rPr>
        <w:t>2 </w:t>
      </w:r>
    </w:p>
    <w:p w14:paraId="73D03858" w14:textId="3EBC06FB" w:rsidR="00F63416" w:rsidRPr="009A43AD" w:rsidRDefault="00F63416" w:rsidP="00EF1CB2">
      <w:pPr>
        <w:pStyle w:val="Corpsdetexte"/>
        <w:spacing w:line="240" w:lineRule="auto"/>
        <w:rPr>
          <w:rFonts w:eastAsia="Calibri"/>
          <w:b/>
          <w:bCs/>
          <w:sz w:val="20"/>
          <w:szCs w:val="20"/>
          <w:lang w:eastAsia="en-US"/>
        </w:rPr>
      </w:pPr>
      <w:r w:rsidRPr="009A43AD">
        <w:rPr>
          <w:rFonts w:eastAsia="Calibri"/>
          <w:b/>
          <w:bCs/>
          <w:sz w:val="20"/>
          <w:szCs w:val="20"/>
          <w:lang w:eastAsia="en-US"/>
        </w:rPr>
        <w:t xml:space="preserve">Situation des personnes trans et non binaires </w:t>
      </w:r>
      <w:r w:rsidR="00497975" w:rsidRPr="009A43AD">
        <w:rPr>
          <w:rFonts w:eastAsia="Calibri"/>
          <w:b/>
          <w:bCs/>
          <w:sz w:val="20"/>
          <w:szCs w:val="20"/>
          <w:lang w:eastAsia="en-US"/>
        </w:rPr>
        <w:t xml:space="preserve">vivant au Québec </w:t>
      </w:r>
      <w:r w:rsidRPr="009A43AD">
        <w:rPr>
          <w:rFonts w:eastAsia="Calibri"/>
          <w:b/>
          <w:bCs/>
          <w:sz w:val="20"/>
          <w:szCs w:val="20"/>
          <w:lang w:eastAsia="en-US"/>
        </w:rPr>
        <w:t>ayant participé à l’Enquête SAVIE-LGBTQ dans différents domaines de leur vie (2019-202</w:t>
      </w:r>
      <w:r w:rsidR="00925C21" w:rsidRPr="009A43AD">
        <w:rPr>
          <w:rFonts w:eastAsia="Calibri"/>
          <w:b/>
          <w:bCs/>
          <w:sz w:val="20"/>
          <w:szCs w:val="20"/>
          <w:lang w:eastAsia="en-US"/>
        </w:rPr>
        <w:t>0</w:t>
      </w:r>
      <w:r w:rsidRPr="009A43AD">
        <w:rPr>
          <w:rFonts w:eastAsia="Calibri"/>
          <w:b/>
          <w:bCs/>
          <w:sz w:val="20"/>
          <w:szCs w:val="20"/>
          <w:lang w:eastAsia="en-US"/>
        </w:rPr>
        <w:t>)</w:t>
      </w:r>
    </w:p>
    <w:tbl>
      <w:tblPr>
        <w:tblStyle w:val="Grilledutableau"/>
        <w:tblW w:w="0" w:type="auto"/>
        <w:tblBorders>
          <w:top w:val="single" w:sz="8" w:space="0" w:color="1B9BC3"/>
          <w:left w:val="single" w:sz="8" w:space="0" w:color="1B9BC3"/>
          <w:bottom w:val="single" w:sz="8" w:space="0" w:color="1B9BC3"/>
          <w:right w:val="single" w:sz="8" w:space="0" w:color="1B9BC3"/>
          <w:insideH w:val="single" w:sz="8" w:space="0" w:color="1B9BC3"/>
          <w:insideV w:val="single" w:sz="8" w:space="0" w:color="1B9BC3"/>
        </w:tblBorders>
        <w:tblLook w:val="04A0" w:firstRow="1" w:lastRow="0" w:firstColumn="1" w:lastColumn="0" w:noHBand="0" w:noVBand="1"/>
      </w:tblPr>
      <w:tblGrid>
        <w:gridCol w:w="1172"/>
        <w:gridCol w:w="8168"/>
      </w:tblGrid>
      <w:tr w:rsidR="00F63416" w:rsidRPr="00BD22C2" w14:paraId="1BAED018" w14:textId="77777777" w:rsidTr="00707395">
        <w:tc>
          <w:tcPr>
            <w:tcW w:w="988" w:type="dxa"/>
            <w:tcMar>
              <w:top w:w="113" w:type="dxa"/>
              <w:bottom w:w="113" w:type="dxa"/>
            </w:tcMar>
          </w:tcPr>
          <w:p w14:paraId="160E8A0C" w14:textId="77777777" w:rsidR="00F63416" w:rsidRPr="00BD22C2" w:rsidRDefault="00F63416" w:rsidP="00EF1CB2">
            <w:pPr>
              <w:pStyle w:val="Corpsdetexte"/>
              <w:spacing w:after="0" w:line="240" w:lineRule="auto"/>
              <w:rPr>
                <w:rFonts w:eastAsia="Calibri"/>
                <w:b/>
                <w:bCs/>
                <w:sz w:val="20"/>
                <w:szCs w:val="20"/>
              </w:rPr>
            </w:pPr>
            <w:r w:rsidRPr="00BD22C2">
              <w:rPr>
                <w:rFonts w:eastAsia="Calibri"/>
                <w:b/>
                <w:bCs/>
                <w:sz w:val="20"/>
                <w:szCs w:val="20"/>
              </w:rPr>
              <w:t>Emploi</w:t>
            </w:r>
          </w:p>
        </w:tc>
        <w:tc>
          <w:tcPr>
            <w:tcW w:w="8362" w:type="dxa"/>
            <w:tcMar>
              <w:top w:w="113" w:type="dxa"/>
              <w:bottom w:w="113" w:type="dxa"/>
            </w:tcMar>
          </w:tcPr>
          <w:p w14:paraId="46D2AE6C" w14:textId="4A9E13F2" w:rsidR="00F63416" w:rsidRPr="00BD22C2" w:rsidRDefault="00F63416" w:rsidP="00EF1CB2">
            <w:pPr>
              <w:pStyle w:val="Corpsdetexte"/>
              <w:numPr>
                <w:ilvl w:val="0"/>
                <w:numId w:val="36"/>
              </w:numPr>
              <w:spacing w:after="0" w:line="240" w:lineRule="auto"/>
              <w:ind w:left="266" w:hanging="219"/>
              <w:jc w:val="left"/>
              <w:rPr>
                <w:rFonts w:eastAsia="Calibri"/>
                <w:sz w:val="20"/>
                <w:szCs w:val="20"/>
              </w:rPr>
            </w:pPr>
            <w:r w:rsidRPr="00BD22C2">
              <w:rPr>
                <w:rFonts w:eastAsia="Calibri"/>
                <w:sz w:val="20"/>
                <w:szCs w:val="20"/>
              </w:rPr>
              <w:t>67</w:t>
            </w:r>
            <w:r w:rsidR="0051216B" w:rsidRPr="00BD22C2">
              <w:rPr>
                <w:rFonts w:eastAsia="Calibri"/>
                <w:sz w:val="20"/>
                <w:szCs w:val="20"/>
              </w:rPr>
              <w:t> </w:t>
            </w:r>
            <w:r w:rsidRPr="00BD22C2">
              <w:rPr>
                <w:rFonts w:eastAsia="Calibri"/>
                <w:sz w:val="20"/>
                <w:szCs w:val="20"/>
              </w:rPr>
              <w:t>% ont vécu au moins un obstacle durant leur trajectoire professionnel</w:t>
            </w:r>
            <w:r w:rsidR="00B41D67" w:rsidRPr="00BD22C2">
              <w:rPr>
                <w:rFonts w:eastAsia="Calibri"/>
                <w:sz w:val="20"/>
                <w:szCs w:val="20"/>
              </w:rPr>
              <w:t>le</w:t>
            </w:r>
            <w:r w:rsidRPr="00BD22C2">
              <w:rPr>
                <w:rFonts w:eastAsia="Calibri"/>
                <w:sz w:val="20"/>
                <w:szCs w:val="20"/>
              </w:rPr>
              <w:t xml:space="preserve"> (refus d’embauche, rétrogradation, congédiement injuste, etc.) au cours de leur vie</w:t>
            </w:r>
          </w:p>
          <w:p w14:paraId="48159288" w14:textId="45693592" w:rsidR="00A836EA" w:rsidRPr="00BD22C2" w:rsidRDefault="00A836EA"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55</w:t>
            </w:r>
            <w:r w:rsidR="00DA1935">
              <w:rPr>
                <w:rFonts w:eastAsia="Calibri"/>
                <w:sz w:val="20"/>
                <w:szCs w:val="20"/>
              </w:rPr>
              <w:t> </w:t>
            </w:r>
            <w:r w:rsidRPr="00BD22C2">
              <w:rPr>
                <w:rFonts w:eastAsia="Calibri"/>
                <w:sz w:val="20"/>
                <w:szCs w:val="20"/>
              </w:rPr>
              <w:t>% pour les personnes cisgenres LGBQ</w:t>
            </w:r>
            <w:r w:rsidR="006100CF" w:rsidRPr="00BD22C2">
              <w:rPr>
                <w:rFonts w:eastAsia="Calibri"/>
                <w:sz w:val="20"/>
                <w:szCs w:val="20"/>
              </w:rPr>
              <w:t>+</w:t>
            </w:r>
          </w:p>
          <w:p w14:paraId="1B7A4AB1" w14:textId="435FAA50"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74</w:t>
            </w:r>
            <w:r w:rsidR="0051216B" w:rsidRPr="00BD22C2">
              <w:rPr>
                <w:rFonts w:eastAsia="Calibri"/>
                <w:sz w:val="20"/>
                <w:szCs w:val="20"/>
              </w:rPr>
              <w:t> </w:t>
            </w:r>
            <w:r w:rsidRPr="00BD22C2">
              <w:rPr>
                <w:rFonts w:eastAsia="Calibri"/>
                <w:sz w:val="20"/>
                <w:szCs w:val="20"/>
              </w:rPr>
              <w:t>% pour les personnes trans et non binaires racisées, 64</w:t>
            </w:r>
            <w:r w:rsidR="0051216B" w:rsidRPr="00BD22C2">
              <w:rPr>
                <w:rFonts w:eastAsia="Calibri"/>
                <w:sz w:val="20"/>
                <w:szCs w:val="20"/>
              </w:rPr>
              <w:t> </w:t>
            </w:r>
            <w:r w:rsidRPr="00BD22C2">
              <w:rPr>
                <w:rFonts w:eastAsia="Calibri"/>
                <w:sz w:val="20"/>
                <w:szCs w:val="20"/>
              </w:rPr>
              <w:t>% pour celles qui sont blanches</w:t>
            </w:r>
          </w:p>
          <w:p w14:paraId="3D901987" w14:textId="26BDA041"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73</w:t>
            </w:r>
            <w:r w:rsidR="0051216B" w:rsidRPr="00BD22C2">
              <w:rPr>
                <w:rFonts w:eastAsia="Calibri"/>
                <w:sz w:val="20"/>
                <w:szCs w:val="20"/>
              </w:rPr>
              <w:t> </w:t>
            </w:r>
            <w:r w:rsidRPr="00BD22C2">
              <w:rPr>
                <w:rFonts w:eastAsia="Calibri"/>
                <w:sz w:val="20"/>
                <w:szCs w:val="20"/>
              </w:rPr>
              <w:t>% pour les personnes trans et non binaires avec restrictions d’activités (limitations fonctionnelles), 59</w:t>
            </w:r>
            <w:r w:rsidR="0051216B" w:rsidRPr="00BD22C2">
              <w:rPr>
                <w:rFonts w:eastAsia="Calibri"/>
                <w:sz w:val="20"/>
                <w:szCs w:val="20"/>
              </w:rPr>
              <w:t> </w:t>
            </w:r>
            <w:r w:rsidRPr="00BD22C2">
              <w:rPr>
                <w:rFonts w:eastAsia="Calibri"/>
                <w:sz w:val="20"/>
                <w:szCs w:val="20"/>
              </w:rPr>
              <w:t xml:space="preserve">% pour celles </w:t>
            </w:r>
            <w:proofErr w:type="gramStart"/>
            <w:r w:rsidRPr="00BD22C2">
              <w:rPr>
                <w:rFonts w:eastAsia="Calibri"/>
                <w:sz w:val="20"/>
                <w:szCs w:val="20"/>
              </w:rPr>
              <w:t>sans restrictions</w:t>
            </w:r>
            <w:proofErr w:type="gramEnd"/>
            <w:r w:rsidRPr="00BD22C2">
              <w:rPr>
                <w:rFonts w:eastAsia="Calibri"/>
                <w:sz w:val="20"/>
                <w:szCs w:val="20"/>
              </w:rPr>
              <w:t xml:space="preserve"> d’activités</w:t>
            </w:r>
          </w:p>
          <w:p w14:paraId="5C3036D8" w14:textId="5260093D" w:rsidR="00F63416" w:rsidRPr="00BD22C2" w:rsidRDefault="00F63416" w:rsidP="00707395">
            <w:pPr>
              <w:pStyle w:val="Corpsdetexte"/>
              <w:numPr>
                <w:ilvl w:val="0"/>
                <w:numId w:val="36"/>
              </w:numPr>
              <w:spacing w:before="120" w:after="0" w:line="240" w:lineRule="auto"/>
              <w:ind w:left="266" w:hanging="221"/>
              <w:jc w:val="left"/>
              <w:rPr>
                <w:rFonts w:eastAsia="Calibri"/>
                <w:sz w:val="20"/>
                <w:szCs w:val="20"/>
              </w:rPr>
            </w:pPr>
            <w:r w:rsidRPr="00BD22C2">
              <w:rPr>
                <w:rFonts w:eastAsia="Calibri"/>
                <w:sz w:val="20"/>
                <w:szCs w:val="20"/>
              </w:rPr>
              <w:t>26</w:t>
            </w:r>
            <w:r w:rsidR="0051216B" w:rsidRPr="00BD22C2">
              <w:rPr>
                <w:rFonts w:eastAsia="Calibri"/>
                <w:sz w:val="20"/>
                <w:szCs w:val="20"/>
              </w:rPr>
              <w:t> </w:t>
            </w:r>
            <w:r w:rsidRPr="00BD22C2">
              <w:rPr>
                <w:rFonts w:eastAsia="Calibri"/>
                <w:sz w:val="20"/>
                <w:szCs w:val="20"/>
              </w:rPr>
              <w:t>% des personnes ayant un travail ont vécu du harcèlement au travail durant les 12</w:t>
            </w:r>
            <w:r w:rsidR="009D3E22">
              <w:rPr>
                <w:rFonts w:eastAsia="Calibri"/>
                <w:sz w:val="20"/>
                <w:szCs w:val="20"/>
              </w:rPr>
              <w:t> </w:t>
            </w:r>
            <w:r w:rsidRPr="00BD22C2">
              <w:rPr>
                <w:rFonts w:eastAsia="Calibri"/>
                <w:sz w:val="20"/>
                <w:szCs w:val="20"/>
              </w:rPr>
              <w:t xml:space="preserve">mois ayant précédé l’enquête </w:t>
            </w:r>
          </w:p>
          <w:p w14:paraId="6FDB7E9F" w14:textId="56546AB3" w:rsidR="0064698A" w:rsidRPr="00BD22C2" w:rsidRDefault="00F36E63"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13</w:t>
            </w:r>
            <w:r w:rsidR="00DA1935">
              <w:rPr>
                <w:rFonts w:eastAsia="Calibri"/>
                <w:sz w:val="20"/>
                <w:szCs w:val="20"/>
              </w:rPr>
              <w:t> </w:t>
            </w:r>
            <w:r w:rsidRPr="00BD22C2">
              <w:rPr>
                <w:rFonts w:eastAsia="Calibri"/>
                <w:sz w:val="20"/>
                <w:szCs w:val="20"/>
              </w:rPr>
              <w:t>% pour les personnes cisgenres LGBQ</w:t>
            </w:r>
            <w:r w:rsidR="006100CF" w:rsidRPr="00BD22C2">
              <w:rPr>
                <w:rFonts w:eastAsia="Calibri"/>
                <w:sz w:val="20"/>
                <w:szCs w:val="20"/>
              </w:rPr>
              <w:t>+</w:t>
            </w:r>
          </w:p>
          <w:p w14:paraId="40B4DE66" w14:textId="4064A35A"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38</w:t>
            </w:r>
            <w:r w:rsidR="0051216B" w:rsidRPr="00BD22C2">
              <w:rPr>
                <w:rFonts w:eastAsia="Calibri"/>
                <w:sz w:val="20"/>
                <w:szCs w:val="20"/>
              </w:rPr>
              <w:t> </w:t>
            </w:r>
            <w:r w:rsidRPr="00BD22C2">
              <w:rPr>
                <w:rFonts w:eastAsia="Calibri"/>
                <w:sz w:val="20"/>
                <w:szCs w:val="20"/>
              </w:rPr>
              <w:t>% pour les personnes trans et non binaires racisées, 23</w:t>
            </w:r>
            <w:r w:rsidR="0051216B" w:rsidRPr="00BD22C2">
              <w:rPr>
                <w:rFonts w:eastAsia="Calibri"/>
                <w:sz w:val="20"/>
                <w:szCs w:val="20"/>
              </w:rPr>
              <w:t> </w:t>
            </w:r>
            <w:r w:rsidRPr="00BD22C2">
              <w:rPr>
                <w:rFonts w:eastAsia="Calibri"/>
                <w:sz w:val="20"/>
                <w:szCs w:val="20"/>
              </w:rPr>
              <w:t>% pour celles qui sont blanches</w:t>
            </w:r>
          </w:p>
          <w:p w14:paraId="75C4D867" w14:textId="54038CEB"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lastRenderedPageBreak/>
              <w:t>31</w:t>
            </w:r>
            <w:r w:rsidR="0051216B" w:rsidRPr="00BD22C2">
              <w:rPr>
                <w:rFonts w:eastAsia="Calibri"/>
                <w:sz w:val="20"/>
                <w:szCs w:val="20"/>
              </w:rPr>
              <w:t> </w:t>
            </w:r>
            <w:r w:rsidRPr="00BD22C2">
              <w:rPr>
                <w:rFonts w:eastAsia="Calibri"/>
                <w:sz w:val="20"/>
                <w:szCs w:val="20"/>
              </w:rPr>
              <w:t xml:space="preserve">% pour les personnes </w:t>
            </w:r>
            <w:r w:rsidR="004B2C1F" w:rsidRPr="00BD22C2">
              <w:rPr>
                <w:rFonts w:eastAsia="Calibri"/>
                <w:sz w:val="20"/>
                <w:szCs w:val="20"/>
              </w:rPr>
              <w:t xml:space="preserve">trans et non binaires </w:t>
            </w:r>
            <w:r w:rsidRPr="00BD22C2">
              <w:rPr>
                <w:rFonts w:eastAsia="Calibri"/>
                <w:sz w:val="20"/>
                <w:szCs w:val="20"/>
              </w:rPr>
              <w:t>avec restrictions d’activités (limitations fonctionnelles), 21</w:t>
            </w:r>
            <w:r w:rsidR="0051216B" w:rsidRPr="00BD22C2">
              <w:rPr>
                <w:rFonts w:eastAsia="Calibri"/>
                <w:sz w:val="20"/>
                <w:szCs w:val="20"/>
              </w:rPr>
              <w:t> </w:t>
            </w:r>
            <w:r w:rsidRPr="00BD22C2">
              <w:rPr>
                <w:rFonts w:eastAsia="Calibri"/>
                <w:sz w:val="20"/>
                <w:szCs w:val="20"/>
              </w:rPr>
              <w:t xml:space="preserve">% pour celles </w:t>
            </w:r>
            <w:proofErr w:type="gramStart"/>
            <w:r w:rsidRPr="00BD22C2">
              <w:rPr>
                <w:rFonts w:eastAsia="Calibri"/>
                <w:sz w:val="20"/>
                <w:szCs w:val="20"/>
              </w:rPr>
              <w:t>sans restrictions</w:t>
            </w:r>
            <w:proofErr w:type="gramEnd"/>
            <w:r w:rsidRPr="00BD22C2">
              <w:rPr>
                <w:rFonts w:eastAsia="Calibri"/>
                <w:sz w:val="20"/>
                <w:szCs w:val="20"/>
              </w:rPr>
              <w:t xml:space="preserve"> d’activités</w:t>
            </w:r>
          </w:p>
        </w:tc>
      </w:tr>
      <w:tr w:rsidR="00F63416" w:rsidRPr="00BD22C2" w14:paraId="491DE4C0" w14:textId="77777777" w:rsidTr="00CD4987">
        <w:tc>
          <w:tcPr>
            <w:tcW w:w="988" w:type="dxa"/>
            <w:shd w:val="clear" w:color="auto" w:fill="FFFFFF" w:themeFill="background1"/>
            <w:tcMar>
              <w:top w:w="113" w:type="dxa"/>
              <w:bottom w:w="113" w:type="dxa"/>
            </w:tcMar>
          </w:tcPr>
          <w:p w14:paraId="1C71F91F" w14:textId="77777777" w:rsidR="00F63416" w:rsidRPr="00BD22C2" w:rsidRDefault="00F63416" w:rsidP="00EF1CB2">
            <w:pPr>
              <w:pStyle w:val="Corpsdetexte"/>
              <w:spacing w:after="0" w:line="240" w:lineRule="auto"/>
              <w:rPr>
                <w:rFonts w:eastAsia="Calibri"/>
                <w:b/>
                <w:bCs/>
                <w:sz w:val="20"/>
                <w:szCs w:val="20"/>
              </w:rPr>
            </w:pPr>
            <w:r w:rsidRPr="00BD22C2">
              <w:rPr>
                <w:rFonts w:eastAsia="Calibri"/>
                <w:b/>
                <w:bCs/>
                <w:sz w:val="20"/>
                <w:szCs w:val="20"/>
              </w:rPr>
              <w:lastRenderedPageBreak/>
              <w:t>Logement</w:t>
            </w:r>
          </w:p>
        </w:tc>
        <w:tc>
          <w:tcPr>
            <w:tcW w:w="8362" w:type="dxa"/>
            <w:shd w:val="clear" w:color="auto" w:fill="FFFFFF" w:themeFill="background1"/>
            <w:tcMar>
              <w:top w:w="113" w:type="dxa"/>
              <w:bottom w:w="113" w:type="dxa"/>
            </w:tcMar>
          </w:tcPr>
          <w:p w14:paraId="5B6EC9EA" w14:textId="627E9312" w:rsidR="00F63416" w:rsidRPr="00BD22C2" w:rsidRDefault="00F63416" w:rsidP="00EF1CB2">
            <w:pPr>
              <w:pStyle w:val="Corpsdetexte"/>
              <w:numPr>
                <w:ilvl w:val="0"/>
                <w:numId w:val="36"/>
              </w:numPr>
              <w:spacing w:after="0" w:line="240" w:lineRule="auto"/>
              <w:ind w:left="266" w:hanging="219"/>
              <w:jc w:val="left"/>
              <w:rPr>
                <w:rFonts w:eastAsia="Calibri"/>
                <w:sz w:val="20"/>
                <w:szCs w:val="20"/>
              </w:rPr>
            </w:pPr>
            <w:r w:rsidRPr="00BD22C2">
              <w:rPr>
                <w:rFonts w:eastAsia="Calibri"/>
                <w:sz w:val="20"/>
                <w:szCs w:val="20"/>
              </w:rPr>
              <w:t>25</w:t>
            </w:r>
            <w:r w:rsidR="0051216B" w:rsidRPr="00BD22C2">
              <w:rPr>
                <w:rFonts w:eastAsia="Calibri"/>
                <w:sz w:val="20"/>
                <w:szCs w:val="20"/>
              </w:rPr>
              <w:t> </w:t>
            </w:r>
            <w:r w:rsidRPr="00BD22C2">
              <w:rPr>
                <w:rFonts w:eastAsia="Calibri"/>
                <w:sz w:val="20"/>
                <w:szCs w:val="20"/>
              </w:rPr>
              <w:t>% ont déjà vécu de la discrimination lors d’une recherche de logement au cours de leur vie</w:t>
            </w:r>
            <w:r w:rsidR="0051216B" w:rsidRPr="00BD22C2">
              <w:rPr>
                <w:rFonts w:eastAsia="Calibri"/>
                <w:sz w:val="20"/>
                <w:szCs w:val="20"/>
              </w:rPr>
              <w:t> </w:t>
            </w:r>
            <w:r w:rsidRPr="00BD22C2">
              <w:rPr>
                <w:rFonts w:eastAsia="Calibri"/>
                <w:sz w:val="20"/>
                <w:szCs w:val="20"/>
              </w:rPr>
              <w:t>;</w:t>
            </w:r>
          </w:p>
          <w:p w14:paraId="0A010B23" w14:textId="101E247E" w:rsidR="00C00756" w:rsidRPr="00BD22C2" w:rsidRDefault="00C0075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13</w:t>
            </w:r>
            <w:r w:rsidR="00DA1935">
              <w:rPr>
                <w:rFonts w:eastAsia="Calibri"/>
                <w:sz w:val="20"/>
                <w:szCs w:val="20"/>
              </w:rPr>
              <w:t> </w:t>
            </w:r>
            <w:r w:rsidRPr="00BD22C2">
              <w:rPr>
                <w:rFonts w:eastAsia="Calibri"/>
                <w:sz w:val="20"/>
                <w:szCs w:val="20"/>
              </w:rPr>
              <w:t>% pour les personnes cisgenres LGBQ+</w:t>
            </w:r>
          </w:p>
          <w:p w14:paraId="444503ED" w14:textId="08DD0094"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37</w:t>
            </w:r>
            <w:r w:rsidR="0051216B" w:rsidRPr="00BD22C2">
              <w:rPr>
                <w:rFonts w:eastAsia="Calibri"/>
                <w:sz w:val="20"/>
                <w:szCs w:val="20"/>
              </w:rPr>
              <w:t> </w:t>
            </w:r>
            <w:r w:rsidRPr="00BD22C2">
              <w:rPr>
                <w:rFonts w:eastAsia="Calibri"/>
                <w:sz w:val="20"/>
                <w:szCs w:val="20"/>
              </w:rPr>
              <w:t>% pour les personnes</w:t>
            </w:r>
            <w:r w:rsidR="004B2C1F" w:rsidRPr="00BD22C2">
              <w:rPr>
                <w:rFonts w:eastAsia="Calibri"/>
                <w:sz w:val="20"/>
                <w:szCs w:val="20"/>
              </w:rPr>
              <w:t xml:space="preserve"> trans et non binaires</w:t>
            </w:r>
            <w:r w:rsidRPr="00BD22C2">
              <w:rPr>
                <w:rFonts w:eastAsia="Calibri"/>
                <w:sz w:val="20"/>
                <w:szCs w:val="20"/>
              </w:rPr>
              <w:t xml:space="preserve"> racisées, 22</w:t>
            </w:r>
            <w:r w:rsidR="0051216B" w:rsidRPr="00BD22C2">
              <w:rPr>
                <w:rFonts w:eastAsia="Calibri"/>
                <w:sz w:val="20"/>
                <w:szCs w:val="20"/>
              </w:rPr>
              <w:t> </w:t>
            </w:r>
            <w:r w:rsidRPr="00BD22C2">
              <w:rPr>
                <w:rFonts w:eastAsia="Calibri"/>
                <w:sz w:val="20"/>
                <w:szCs w:val="20"/>
              </w:rPr>
              <w:t>% pour les personnes blanches</w:t>
            </w:r>
          </w:p>
          <w:p w14:paraId="26B486D9" w14:textId="0DDD0A01" w:rsidR="00F63416" w:rsidRPr="00BD22C2" w:rsidRDefault="00F63416" w:rsidP="00707395">
            <w:pPr>
              <w:pStyle w:val="Corpsdetexte"/>
              <w:numPr>
                <w:ilvl w:val="0"/>
                <w:numId w:val="36"/>
              </w:numPr>
              <w:spacing w:before="120" w:after="0" w:line="240" w:lineRule="auto"/>
              <w:ind w:left="266" w:hanging="221"/>
              <w:jc w:val="left"/>
              <w:rPr>
                <w:rFonts w:eastAsia="Calibri"/>
                <w:sz w:val="20"/>
                <w:szCs w:val="20"/>
              </w:rPr>
            </w:pPr>
            <w:r w:rsidRPr="00BD22C2">
              <w:rPr>
                <w:rFonts w:eastAsia="Calibri"/>
                <w:sz w:val="20"/>
                <w:szCs w:val="20"/>
              </w:rPr>
              <w:t>17</w:t>
            </w:r>
            <w:r w:rsidR="0051216B" w:rsidRPr="00BD22C2">
              <w:rPr>
                <w:rFonts w:eastAsia="Calibri"/>
                <w:sz w:val="20"/>
                <w:szCs w:val="20"/>
              </w:rPr>
              <w:t> </w:t>
            </w:r>
            <w:r w:rsidRPr="00BD22C2">
              <w:rPr>
                <w:rFonts w:eastAsia="Calibri"/>
                <w:sz w:val="20"/>
                <w:szCs w:val="20"/>
              </w:rPr>
              <w:t>% ont rapporté de l’instabilité résidentielle au cours de leur vie :</w:t>
            </w:r>
          </w:p>
          <w:p w14:paraId="42EA18FB" w14:textId="6961D421" w:rsidR="007B143F" w:rsidRPr="00BD22C2" w:rsidRDefault="007B143F"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7</w:t>
            </w:r>
            <w:r w:rsidR="00DA1935">
              <w:rPr>
                <w:rFonts w:eastAsia="Calibri"/>
                <w:sz w:val="20"/>
                <w:szCs w:val="20"/>
              </w:rPr>
              <w:t> </w:t>
            </w:r>
            <w:r w:rsidRPr="00BD22C2">
              <w:rPr>
                <w:rFonts w:eastAsia="Calibri"/>
                <w:sz w:val="20"/>
                <w:szCs w:val="20"/>
              </w:rPr>
              <w:t>% pour les personnes cisgenres LGBQ+</w:t>
            </w:r>
          </w:p>
          <w:p w14:paraId="76A5EDF3" w14:textId="05741104"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24</w:t>
            </w:r>
            <w:r w:rsidR="0051216B" w:rsidRPr="00BD22C2">
              <w:rPr>
                <w:rFonts w:eastAsia="Calibri"/>
                <w:sz w:val="20"/>
                <w:szCs w:val="20"/>
              </w:rPr>
              <w:t> </w:t>
            </w:r>
            <w:r w:rsidRPr="00BD22C2">
              <w:rPr>
                <w:rFonts w:eastAsia="Calibri"/>
                <w:sz w:val="20"/>
                <w:szCs w:val="20"/>
              </w:rPr>
              <w:t xml:space="preserve">% pour les personnes </w:t>
            </w:r>
            <w:r w:rsidR="00AB6AC4" w:rsidRPr="00BD22C2">
              <w:rPr>
                <w:rFonts w:eastAsia="Calibri"/>
                <w:sz w:val="20"/>
                <w:szCs w:val="20"/>
              </w:rPr>
              <w:t xml:space="preserve">trans et non binaires </w:t>
            </w:r>
            <w:r w:rsidRPr="00BD22C2">
              <w:rPr>
                <w:rFonts w:eastAsia="Calibri"/>
                <w:sz w:val="20"/>
                <w:szCs w:val="20"/>
              </w:rPr>
              <w:t>racisées, 15</w:t>
            </w:r>
            <w:r w:rsidR="0051216B" w:rsidRPr="00BD22C2">
              <w:rPr>
                <w:rFonts w:eastAsia="Calibri"/>
                <w:sz w:val="20"/>
                <w:szCs w:val="20"/>
              </w:rPr>
              <w:t> </w:t>
            </w:r>
            <w:r w:rsidRPr="00BD22C2">
              <w:rPr>
                <w:rFonts w:eastAsia="Calibri"/>
                <w:sz w:val="20"/>
                <w:szCs w:val="20"/>
              </w:rPr>
              <w:t>% pour les personnes blanches</w:t>
            </w:r>
            <w:r w:rsidR="0051216B" w:rsidRPr="00BD22C2">
              <w:rPr>
                <w:rFonts w:eastAsia="Calibri"/>
                <w:sz w:val="20"/>
                <w:szCs w:val="20"/>
              </w:rPr>
              <w:t> </w:t>
            </w:r>
            <w:r w:rsidRPr="00BD22C2">
              <w:rPr>
                <w:rFonts w:eastAsia="Calibri"/>
                <w:sz w:val="20"/>
                <w:szCs w:val="20"/>
              </w:rPr>
              <w:t>;</w:t>
            </w:r>
          </w:p>
          <w:p w14:paraId="56A6692E" w14:textId="778D95F2"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20</w:t>
            </w:r>
            <w:r w:rsidR="0051216B" w:rsidRPr="00BD22C2">
              <w:rPr>
                <w:rFonts w:eastAsia="Calibri"/>
                <w:sz w:val="20"/>
                <w:szCs w:val="20"/>
              </w:rPr>
              <w:t> </w:t>
            </w:r>
            <w:r w:rsidRPr="00BD22C2">
              <w:rPr>
                <w:rFonts w:eastAsia="Calibri"/>
                <w:sz w:val="20"/>
                <w:szCs w:val="20"/>
              </w:rPr>
              <w:t xml:space="preserve">% pour les personnes </w:t>
            </w:r>
            <w:r w:rsidR="00AB6AC4" w:rsidRPr="00BD22C2">
              <w:rPr>
                <w:rFonts w:eastAsia="Calibri"/>
                <w:sz w:val="20"/>
                <w:szCs w:val="20"/>
              </w:rPr>
              <w:t xml:space="preserve">trans et non binaires </w:t>
            </w:r>
            <w:r w:rsidRPr="00BD22C2">
              <w:rPr>
                <w:rFonts w:eastAsia="Calibri"/>
                <w:sz w:val="20"/>
                <w:szCs w:val="20"/>
              </w:rPr>
              <w:t xml:space="preserve">avec restrictions d’activités (limitations fonctionnelles), 12 % pour celles </w:t>
            </w:r>
            <w:proofErr w:type="gramStart"/>
            <w:r w:rsidRPr="00BD22C2">
              <w:rPr>
                <w:rFonts w:eastAsia="Calibri"/>
                <w:sz w:val="20"/>
                <w:szCs w:val="20"/>
              </w:rPr>
              <w:t>sans restrictions</w:t>
            </w:r>
            <w:proofErr w:type="gramEnd"/>
            <w:r w:rsidRPr="00BD22C2">
              <w:rPr>
                <w:rFonts w:eastAsia="Calibri"/>
                <w:sz w:val="20"/>
                <w:szCs w:val="20"/>
              </w:rPr>
              <w:t xml:space="preserve"> d’activités</w:t>
            </w:r>
          </w:p>
        </w:tc>
      </w:tr>
      <w:tr w:rsidR="00F63416" w:rsidRPr="00BD22C2" w14:paraId="59FB44CF" w14:textId="77777777" w:rsidTr="00707395">
        <w:tc>
          <w:tcPr>
            <w:tcW w:w="988" w:type="dxa"/>
            <w:tcMar>
              <w:top w:w="113" w:type="dxa"/>
              <w:bottom w:w="113" w:type="dxa"/>
            </w:tcMar>
          </w:tcPr>
          <w:p w14:paraId="1ADD67D4" w14:textId="77777777" w:rsidR="00F63416" w:rsidRPr="00BD22C2" w:rsidRDefault="00F63416" w:rsidP="00EF1CB2">
            <w:pPr>
              <w:pStyle w:val="Corpsdetexte"/>
              <w:spacing w:after="0" w:line="240" w:lineRule="auto"/>
              <w:rPr>
                <w:rFonts w:eastAsia="Calibri"/>
                <w:b/>
                <w:bCs/>
                <w:sz w:val="20"/>
                <w:szCs w:val="20"/>
              </w:rPr>
            </w:pPr>
            <w:r w:rsidRPr="00BD22C2">
              <w:rPr>
                <w:rFonts w:eastAsia="Calibri"/>
                <w:b/>
                <w:bCs/>
                <w:sz w:val="20"/>
                <w:szCs w:val="20"/>
              </w:rPr>
              <w:t>Pauvreté</w:t>
            </w:r>
          </w:p>
        </w:tc>
        <w:tc>
          <w:tcPr>
            <w:tcW w:w="8362" w:type="dxa"/>
            <w:tcMar>
              <w:top w:w="113" w:type="dxa"/>
              <w:bottom w:w="113" w:type="dxa"/>
            </w:tcMar>
          </w:tcPr>
          <w:p w14:paraId="3AE4EDD5" w14:textId="003A6F24" w:rsidR="00F63416" w:rsidRPr="00BD22C2" w:rsidRDefault="00F63416" w:rsidP="00EF1CB2">
            <w:pPr>
              <w:pStyle w:val="Corpsdetexte"/>
              <w:numPr>
                <w:ilvl w:val="0"/>
                <w:numId w:val="36"/>
              </w:numPr>
              <w:spacing w:after="0" w:line="240" w:lineRule="auto"/>
              <w:ind w:left="266" w:hanging="219"/>
              <w:jc w:val="left"/>
              <w:rPr>
                <w:rFonts w:eastAsia="Calibri"/>
                <w:sz w:val="20"/>
                <w:szCs w:val="20"/>
              </w:rPr>
            </w:pPr>
            <w:r w:rsidRPr="00BD22C2">
              <w:rPr>
                <w:rFonts w:eastAsia="Calibri"/>
                <w:sz w:val="20"/>
                <w:szCs w:val="20"/>
              </w:rPr>
              <w:t>35</w:t>
            </w:r>
            <w:r w:rsidR="0051216B" w:rsidRPr="00BD22C2">
              <w:rPr>
                <w:rFonts w:eastAsia="Calibri"/>
                <w:sz w:val="20"/>
                <w:szCs w:val="20"/>
              </w:rPr>
              <w:t> </w:t>
            </w:r>
            <w:r w:rsidRPr="00BD22C2">
              <w:rPr>
                <w:rFonts w:eastAsia="Calibri"/>
                <w:sz w:val="20"/>
                <w:szCs w:val="20"/>
              </w:rPr>
              <w:t>% ont difficilement ou très difficilement bouclé leurs fins de mois dans les 12</w:t>
            </w:r>
            <w:r w:rsidR="009D3E22">
              <w:rPr>
                <w:rFonts w:eastAsia="Calibri"/>
                <w:sz w:val="20"/>
                <w:szCs w:val="20"/>
              </w:rPr>
              <w:t> </w:t>
            </w:r>
            <w:r w:rsidRPr="00BD22C2">
              <w:rPr>
                <w:rFonts w:eastAsia="Calibri"/>
                <w:sz w:val="20"/>
                <w:szCs w:val="20"/>
              </w:rPr>
              <w:t>mois ayant précédé l’enquête</w:t>
            </w:r>
          </w:p>
          <w:p w14:paraId="35B3FC24" w14:textId="38F33FDC" w:rsidR="00B51BA8" w:rsidRPr="00BD22C2" w:rsidRDefault="00B51BA8"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19</w:t>
            </w:r>
            <w:r w:rsidR="00DA1935">
              <w:rPr>
                <w:rFonts w:eastAsia="Calibri"/>
                <w:sz w:val="20"/>
                <w:szCs w:val="20"/>
              </w:rPr>
              <w:t> </w:t>
            </w:r>
            <w:r w:rsidRPr="00BD22C2">
              <w:rPr>
                <w:rFonts w:eastAsia="Calibri"/>
                <w:sz w:val="20"/>
                <w:szCs w:val="20"/>
              </w:rPr>
              <w:t>% pour les personnes cisgenres LGBQ+</w:t>
            </w:r>
          </w:p>
          <w:p w14:paraId="7B84D898" w14:textId="0E6038E2"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45</w:t>
            </w:r>
            <w:r w:rsidR="0051216B" w:rsidRPr="00BD22C2">
              <w:rPr>
                <w:rFonts w:eastAsia="Calibri"/>
                <w:sz w:val="20"/>
                <w:szCs w:val="20"/>
              </w:rPr>
              <w:t> </w:t>
            </w:r>
            <w:r w:rsidRPr="00BD22C2">
              <w:rPr>
                <w:rFonts w:eastAsia="Calibri"/>
                <w:sz w:val="20"/>
                <w:szCs w:val="20"/>
              </w:rPr>
              <w:t>% pour les personnes</w:t>
            </w:r>
            <w:r w:rsidR="00E402FB" w:rsidRPr="00BD22C2">
              <w:rPr>
                <w:rFonts w:eastAsia="Calibri"/>
                <w:sz w:val="20"/>
                <w:szCs w:val="20"/>
              </w:rPr>
              <w:t xml:space="preserve"> trans et non binaires</w:t>
            </w:r>
            <w:r w:rsidRPr="00BD22C2">
              <w:rPr>
                <w:rFonts w:eastAsia="Calibri"/>
                <w:sz w:val="20"/>
                <w:szCs w:val="20"/>
              </w:rPr>
              <w:t xml:space="preserve"> racisées, 32</w:t>
            </w:r>
            <w:r w:rsidR="0051216B" w:rsidRPr="00BD22C2">
              <w:rPr>
                <w:rFonts w:eastAsia="Calibri"/>
                <w:sz w:val="20"/>
                <w:szCs w:val="20"/>
              </w:rPr>
              <w:t> </w:t>
            </w:r>
            <w:r w:rsidRPr="00BD22C2">
              <w:rPr>
                <w:rFonts w:eastAsia="Calibri"/>
                <w:sz w:val="20"/>
                <w:szCs w:val="20"/>
              </w:rPr>
              <w:t>% pour les personnes blanches</w:t>
            </w:r>
            <w:r w:rsidR="0051216B" w:rsidRPr="00BD22C2">
              <w:rPr>
                <w:rFonts w:eastAsia="Calibri"/>
                <w:sz w:val="20"/>
                <w:szCs w:val="20"/>
              </w:rPr>
              <w:t> </w:t>
            </w:r>
            <w:r w:rsidRPr="00BD22C2">
              <w:rPr>
                <w:rFonts w:eastAsia="Calibri"/>
                <w:sz w:val="20"/>
                <w:szCs w:val="20"/>
              </w:rPr>
              <w:t>;</w:t>
            </w:r>
          </w:p>
          <w:p w14:paraId="327645B7" w14:textId="5CE90237"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44</w:t>
            </w:r>
            <w:r w:rsidR="0051216B" w:rsidRPr="00BD22C2">
              <w:rPr>
                <w:rFonts w:eastAsia="Calibri"/>
                <w:sz w:val="20"/>
                <w:szCs w:val="20"/>
              </w:rPr>
              <w:t> </w:t>
            </w:r>
            <w:r w:rsidRPr="00BD22C2">
              <w:rPr>
                <w:rFonts w:eastAsia="Calibri"/>
                <w:sz w:val="20"/>
                <w:szCs w:val="20"/>
              </w:rPr>
              <w:t>% pour les personnes</w:t>
            </w:r>
            <w:r w:rsidR="00E402FB" w:rsidRPr="00BD22C2">
              <w:rPr>
                <w:rFonts w:eastAsia="Calibri"/>
                <w:sz w:val="20"/>
                <w:szCs w:val="20"/>
              </w:rPr>
              <w:t xml:space="preserve"> trans et non binaires</w:t>
            </w:r>
            <w:r w:rsidRPr="00BD22C2">
              <w:rPr>
                <w:rFonts w:eastAsia="Calibri"/>
                <w:sz w:val="20"/>
                <w:szCs w:val="20"/>
              </w:rPr>
              <w:t xml:space="preserve"> avec restrictions d’activités (limitations fonctionnelles), 22 % pour celles </w:t>
            </w:r>
            <w:proofErr w:type="gramStart"/>
            <w:r w:rsidRPr="00BD22C2">
              <w:rPr>
                <w:rFonts w:eastAsia="Calibri"/>
                <w:sz w:val="20"/>
                <w:szCs w:val="20"/>
              </w:rPr>
              <w:t>sans restrictions</w:t>
            </w:r>
            <w:proofErr w:type="gramEnd"/>
            <w:r w:rsidRPr="00BD22C2">
              <w:rPr>
                <w:rFonts w:eastAsia="Calibri"/>
                <w:sz w:val="20"/>
                <w:szCs w:val="20"/>
              </w:rPr>
              <w:t xml:space="preserve"> d’activités</w:t>
            </w:r>
          </w:p>
          <w:p w14:paraId="7E5D591D" w14:textId="30935FBC" w:rsidR="00F63416" w:rsidRPr="00BD22C2" w:rsidRDefault="00F63416" w:rsidP="00707395">
            <w:pPr>
              <w:pStyle w:val="Corpsdetexte"/>
              <w:numPr>
                <w:ilvl w:val="0"/>
                <w:numId w:val="36"/>
              </w:numPr>
              <w:spacing w:before="120" w:after="0" w:line="240" w:lineRule="auto"/>
              <w:ind w:left="266" w:hanging="221"/>
              <w:jc w:val="left"/>
              <w:rPr>
                <w:rFonts w:eastAsia="Calibri"/>
                <w:sz w:val="20"/>
                <w:szCs w:val="20"/>
              </w:rPr>
            </w:pPr>
            <w:r w:rsidRPr="00BD22C2">
              <w:rPr>
                <w:rFonts w:eastAsia="Calibri"/>
                <w:sz w:val="20"/>
                <w:szCs w:val="20"/>
              </w:rPr>
              <w:t>30</w:t>
            </w:r>
            <w:r w:rsidR="0051216B" w:rsidRPr="00BD22C2">
              <w:rPr>
                <w:rFonts w:eastAsia="Calibri"/>
                <w:sz w:val="20"/>
                <w:szCs w:val="20"/>
              </w:rPr>
              <w:t> </w:t>
            </w:r>
            <w:r w:rsidRPr="00BD22C2">
              <w:rPr>
                <w:rFonts w:eastAsia="Calibri"/>
                <w:sz w:val="20"/>
                <w:szCs w:val="20"/>
              </w:rPr>
              <w:t>% ont un revenu annuel du ménage inférieur à 20</w:t>
            </w:r>
            <w:r w:rsidR="0051216B" w:rsidRPr="00BD22C2">
              <w:rPr>
                <w:rFonts w:eastAsia="Calibri"/>
                <w:sz w:val="20"/>
                <w:szCs w:val="20"/>
              </w:rPr>
              <w:t> 000 </w:t>
            </w:r>
            <w:r w:rsidRPr="00BD22C2">
              <w:rPr>
                <w:rFonts w:eastAsia="Calibri"/>
                <w:sz w:val="20"/>
                <w:szCs w:val="20"/>
              </w:rPr>
              <w:t>$ avant impôts et déductions</w:t>
            </w:r>
          </w:p>
          <w:p w14:paraId="3FD3CFCC" w14:textId="1451BA27" w:rsidR="00B51BA8" w:rsidRPr="00BD22C2" w:rsidRDefault="00593C2C"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14</w:t>
            </w:r>
            <w:r w:rsidR="00DA1935">
              <w:rPr>
                <w:rFonts w:eastAsia="Calibri"/>
                <w:sz w:val="20"/>
                <w:szCs w:val="20"/>
              </w:rPr>
              <w:t> </w:t>
            </w:r>
            <w:r w:rsidRPr="00BD22C2">
              <w:rPr>
                <w:rFonts w:eastAsia="Calibri"/>
                <w:sz w:val="20"/>
                <w:szCs w:val="20"/>
              </w:rPr>
              <w:t>% pour les personnes cisgenres LGBQ+</w:t>
            </w:r>
          </w:p>
          <w:p w14:paraId="5E30B35B" w14:textId="45FE1B3E"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40</w:t>
            </w:r>
            <w:r w:rsidR="0051216B" w:rsidRPr="00BD22C2">
              <w:rPr>
                <w:rFonts w:eastAsia="Calibri"/>
                <w:sz w:val="20"/>
                <w:szCs w:val="20"/>
              </w:rPr>
              <w:t> </w:t>
            </w:r>
            <w:r w:rsidRPr="00BD22C2">
              <w:rPr>
                <w:rFonts w:eastAsia="Calibri"/>
                <w:sz w:val="20"/>
                <w:szCs w:val="20"/>
              </w:rPr>
              <w:t>% pour les personnes</w:t>
            </w:r>
            <w:r w:rsidR="00593C2C" w:rsidRPr="00BD22C2">
              <w:rPr>
                <w:rFonts w:eastAsia="Calibri"/>
                <w:sz w:val="20"/>
                <w:szCs w:val="20"/>
              </w:rPr>
              <w:t xml:space="preserve"> trans et non binaires</w:t>
            </w:r>
            <w:r w:rsidRPr="00BD22C2">
              <w:rPr>
                <w:rFonts w:eastAsia="Calibri"/>
                <w:sz w:val="20"/>
                <w:szCs w:val="20"/>
              </w:rPr>
              <w:t xml:space="preserve"> racisées, 27</w:t>
            </w:r>
            <w:r w:rsidR="0051216B" w:rsidRPr="00BD22C2">
              <w:rPr>
                <w:rFonts w:eastAsia="Calibri"/>
                <w:sz w:val="20"/>
                <w:szCs w:val="20"/>
              </w:rPr>
              <w:t> </w:t>
            </w:r>
            <w:r w:rsidRPr="00BD22C2">
              <w:rPr>
                <w:rFonts w:eastAsia="Calibri"/>
                <w:sz w:val="20"/>
                <w:szCs w:val="20"/>
              </w:rPr>
              <w:t>% pour les personnes blanches</w:t>
            </w:r>
            <w:r w:rsidR="0051216B" w:rsidRPr="00BD22C2">
              <w:rPr>
                <w:rFonts w:eastAsia="Calibri"/>
                <w:sz w:val="20"/>
                <w:szCs w:val="20"/>
              </w:rPr>
              <w:t> </w:t>
            </w:r>
            <w:r w:rsidRPr="00BD22C2">
              <w:rPr>
                <w:rFonts w:eastAsia="Calibri"/>
                <w:sz w:val="20"/>
                <w:szCs w:val="20"/>
              </w:rPr>
              <w:t>;</w:t>
            </w:r>
          </w:p>
          <w:p w14:paraId="0D5D93C9" w14:textId="0A191B46" w:rsidR="00F63416" w:rsidRPr="00BD22C2" w:rsidRDefault="00F63416" w:rsidP="00EF1CB2">
            <w:pPr>
              <w:pStyle w:val="Corpsdetexte"/>
              <w:numPr>
                <w:ilvl w:val="1"/>
                <w:numId w:val="29"/>
              </w:numPr>
              <w:spacing w:after="0" w:line="240" w:lineRule="auto"/>
              <w:ind w:left="833" w:hanging="284"/>
              <w:jc w:val="left"/>
              <w:rPr>
                <w:rFonts w:eastAsia="Calibri"/>
                <w:sz w:val="20"/>
                <w:szCs w:val="20"/>
              </w:rPr>
            </w:pPr>
            <w:r w:rsidRPr="00BD22C2">
              <w:rPr>
                <w:rFonts w:eastAsia="Calibri"/>
                <w:sz w:val="20"/>
                <w:szCs w:val="20"/>
              </w:rPr>
              <w:t>33</w:t>
            </w:r>
            <w:r w:rsidR="0051216B" w:rsidRPr="00BD22C2">
              <w:rPr>
                <w:rFonts w:eastAsia="Calibri"/>
                <w:sz w:val="20"/>
                <w:szCs w:val="20"/>
              </w:rPr>
              <w:t> </w:t>
            </w:r>
            <w:r w:rsidRPr="00BD22C2">
              <w:rPr>
                <w:rFonts w:eastAsia="Calibri"/>
                <w:sz w:val="20"/>
                <w:szCs w:val="20"/>
              </w:rPr>
              <w:t xml:space="preserve">% pour les personnes </w:t>
            </w:r>
            <w:r w:rsidR="00593C2C" w:rsidRPr="00BD22C2">
              <w:rPr>
                <w:rFonts w:eastAsia="Calibri"/>
                <w:sz w:val="20"/>
                <w:szCs w:val="20"/>
              </w:rPr>
              <w:t xml:space="preserve">trans et non binaires </w:t>
            </w:r>
            <w:r w:rsidRPr="00BD22C2">
              <w:rPr>
                <w:rFonts w:eastAsia="Calibri"/>
                <w:sz w:val="20"/>
                <w:szCs w:val="20"/>
              </w:rPr>
              <w:t xml:space="preserve">avec restrictions d’activités (limitations fonctionnelles), 23 % pour celles </w:t>
            </w:r>
            <w:proofErr w:type="gramStart"/>
            <w:r w:rsidRPr="00BD22C2">
              <w:rPr>
                <w:rFonts w:eastAsia="Calibri"/>
                <w:sz w:val="20"/>
                <w:szCs w:val="20"/>
              </w:rPr>
              <w:t>sans restrictions</w:t>
            </w:r>
            <w:proofErr w:type="gramEnd"/>
            <w:r w:rsidRPr="00BD22C2">
              <w:rPr>
                <w:rFonts w:eastAsia="Calibri"/>
                <w:sz w:val="20"/>
                <w:szCs w:val="20"/>
              </w:rPr>
              <w:t xml:space="preserve"> d’activités</w:t>
            </w:r>
          </w:p>
        </w:tc>
      </w:tr>
    </w:tbl>
    <w:p w14:paraId="178B9B48" w14:textId="3D73870F" w:rsidR="00F63416" w:rsidRPr="00BD22C2" w:rsidRDefault="00F63416" w:rsidP="00EF1CB2">
      <w:pPr>
        <w:pStyle w:val="Corpsdetexte"/>
        <w:spacing w:before="120" w:after="360" w:line="240" w:lineRule="auto"/>
        <w:rPr>
          <w:rFonts w:eastAsia="Calibri"/>
          <w:i/>
          <w:iCs/>
          <w:sz w:val="18"/>
          <w:szCs w:val="18"/>
          <w:lang w:eastAsia="en-US"/>
        </w:rPr>
      </w:pPr>
      <w:r w:rsidRPr="00BD22C2">
        <w:rPr>
          <w:rFonts w:eastAsia="Calibri"/>
          <w:i/>
          <w:iCs/>
          <w:sz w:val="18"/>
          <w:szCs w:val="18"/>
          <w:lang w:eastAsia="en-US"/>
        </w:rPr>
        <w:t>Source : Enquête SAVIE-LGBTQ (2019-2020), Chaire de recherche sur la diversité sexuelle et la pluralité des genres</w:t>
      </w:r>
      <w:r w:rsidR="00891CE5" w:rsidRPr="00BD22C2">
        <w:rPr>
          <w:rFonts w:eastAsia="Calibri"/>
          <w:i/>
          <w:iCs/>
          <w:sz w:val="18"/>
          <w:szCs w:val="18"/>
          <w:lang w:eastAsia="en-US"/>
        </w:rPr>
        <w:t xml:space="preserve"> </w:t>
      </w:r>
      <w:r w:rsidRPr="00BD22C2">
        <w:rPr>
          <w:rFonts w:eastAsia="Calibri"/>
          <w:i/>
          <w:iCs/>
          <w:sz w:val="18"/>
          <w:szCs w:val="18"/>
          <w:lang w:eastAsia="en-US"/>
        </w:rPr>
        <w:t>Ces résultats sont tirés d’une enquête en ligne auprès de 4980</w:t>
      </w:r>
      <w:r w:rsidR="009D3E22">
        <w:rPr>
          <w:rFonts w:eastAsia="Calibri"/>
          <w:i/>
          <w:iCs/>
          <w:sz w:val="18"/>
          <w:szCs w:val="18"/>
          <w:lang w:eastAsia="en-US"/>
        </w:rPr>
        <w:t> </w:t>
      </w:r>
      <w:proofErr w:type="spellStart"/>
      <w:r w:rsidRPr="00BD22C2">
        <w:rPr>
          <w:rFonts w:eastAsia="Calibri"/>
          <w:i/>
          <w:iCs/>
          <w:sz w:val="18"/>
          <w:szCs w:val="18"/>
          <w:lang w:eastAsia="en-US"/>
        </w:rPr>
        <w:t>participant.</w:t>
      </w:r>
      <w:proofErr w:type="gramStart"/>
      <w:r w:rsidRPr="00BD22C2">
        <w:rPr>
          <w:rFonts w:eastAsia="Calibri"/>
          <w:i/>
          <w:iCs/>
          <w:sz w:val="18"/>
          <w:szCs w:val="18"/>
          <w:lang w:eastAsia="en-US"/>
        </w:rPr>
        <w:t>e.s</w:t>
      </w:r>
      <w:proofErr w:type="spellEnd"/>
      <w:proofErr w:type="gramEnd"/>
      <w:r w:rsidRPr="00BD22C2">
        <w:rPr>
          <w:rFonts w:eastAsia="Calibri"/>
          <w:i/>
          <w:iCs/>
          <w:sz w:val="18"/>
          <w:szCs w:val="18"/>
          <w:lang w:eastAsia="en-US"/>
        </w:rPr>
        <w:t xml:space="preserve"> LGBTQ de 18</w:t>
      </w:r>
      <w:r w:rsidR="009D3E22">
        <w:rPr>
          <w:rFonts w:eastAsia="Calibri"/>
          <w:i/>
          <w:iCs/>
          <w:sz w:val="18"/>
          <w:szCs w:val="18"/>
          <w:lang w:eastAsia="en-US"/>
        </w:rPr>
        <w:t> </w:t>
      </w:r>
      <w:r w:rsidRPr="00BD22C2">
        <w:rPr>
          <w:rFonts w:eastAsia="Calibri"/>
          <w:i/>
          <w:iCs/>
          <w:sz w:val="18"/>
          <w:szCs w:val="18"/>
          <w:lang w:eastAsia="en-US"/>
        </w:rPr>
        <w:t xml:space="preserve">ans et plus vivant au Québec. Seules les données statistiquement significatives sont présentées. </w:t>
      </w:r>
    </w:p>
    <w:p w14:paraId="5D510D07" w14:textId="0F9D7A8A" w:rsidR="005C4D2E" w:rsidRPr="00BD22C2" w:rsidRDefault="00F63416" w:rsidP="00F63416">
      <w:pPr>
        <w:pStyle w:val="Corpsdetexte"/>
        <w:rPr>
          <w:rFonts w:eastAsia="Calibri"/>
          <w:lang w:eastAsia="en-US"/>
        </w:rPr>
      </w:pPr>
      <w:r w:rsidRPr="00BD22C2">
        <w:rPr>
          <w:rStyle w:val="ParagrapheCar"/>
          <w:rFonts w:eastAsia="Calibri"/>
          <w:lang w:val="fr-CA"/>
        </w:rPr>
        <w:t xml:space="preserve">Ce portrait, loin d’être exhaustif, illustre </w:t>
      </w:r>
      <w:r w:rsidR="007A3D5B" w:rsidRPr="00BD22C2">
        <w:rPr>
          <w:rStyle w:val="ParagrapheCar"/>
          <w:rFonts w:eastAsia="Calibri"/>
          <w:lang w:val="fr-CA"/>
        </w:rPr>
        <w:t>le fait</w:t>
      </w:r>
      <w:r w:rsidRPr="00BD22C2">
        <w:rPr>
          <w:rStyle w:val="ParagrapheCar"/>
          <w:rFonts w:eastAsia="Calibri"/>
          <w:lang w:val="fr-CA"/>
        </w:rPr>
        <w:t xml:space="preserve"> que les personnes trans et non binaires sont défavorisées dans différents</w:t>
      </w:r>
      <w:r w:rsidRPr="00BD22C2">
        <w:rPr>
          <w:rFonts w:eastAsia="Calibri"/>
          <w:lang w:eastAsia="en-US"/>
        </w:rPr>
        <w:t xml:space="preserve"> domaines de leur vie</w:t>
      </w:r>
      <w:r w:rsidR="00317982" w:rsidRPr="00BD22C2">
        <w:rPr>
          <w:rFonts w:eastAsia="Calibri"/>
          <w:lang w:eastAsia="en-US"/>
        </w:rPr>
        <w:t xml:space="preserve"> (</w:t>
      </w:r>
      <w:r w:rsidR="00544200" w:rsidRPr="00BD22C2">
        <w:rPr>
          <w:rFonts w:eastAsia="Calibri"/>
          <w:lang w:eastAsia="en-US"/>
        </w:rPr>
        <w:t xml:space="preserve">le soutien familial, </w:t>
      </w:r>
      <w:r w:rsidR="00317982" w:rsidRPr="00BD22C2">
        <w:rPr>
          <w:rFonts w:eastAsia="Calibri"/>
          <w:lang w:eastAsia="en-US"/>
        </w:rPr>
        <w:t xml:space="preserve">les services de santé </w:t>
      </w:r>
      <w:r w:rsidR="00317982" w:rsidRPr="00BD22C2">
        <w:rPr>
          <w:rStyle w:val="ParagrapheCar"/>
          <w:rFonts w:eastAsia="Calibri"/>
          <w:lang w:val="fr-CA"/>
        </w:rPr>
        <w:t>et le milieu scolaire seront abordés plus loin)</w:t>
      </w:r>
      <w:r w:rsidR="007A3D5B" w:rsidRPr="00BD22C2">
        <w:rPr>
          <w:rStyle w:val="ParagrapheCar"/>
          <w:rFonts w:eastAsia="Calibri"/>
          <w:lang w:val="fr-CA"/>
        </w:rPr>
        <w:t xml:space="preserve"> et que ces personnes ne forment pas un groupe homogène</w:t>
      </w:r>
      <w:r w:rsidR="00317982" w:rsidRPr="00BD22C2">
        <w:rPr>
          <w:rStyle w:val="ParagrapheCar"/>
          <w:rFonts w:eastAsia="Calibri"/>
          <w:lang w:val="fr-CA"/>
        </w:rPr>
        <w:t>.</w:t>
      </w:r>
      <w:r w:rsidR="00317982" w:rsidRPr="00BD22C2">
        <w:rPr>
          <w:rFonts w:eastAsia="Calibri"/>
          <w:lang w:eastAsia="en-US"/>
        </w:rPr>
        <w:t xml:space="preserve"> </w:t>
      </w:r>
    </w:p>
    <w:p w14:paraId="61D0EA14" w14:textId="71C63E4D" w:rsidR="00F63416" w:rsidRPr="00BD22C2" w:rsidRDefault="00F63416" w:rsidP="00EF1CB2">
      <w:pPr>
        <w:pStyle w:val="Paragraphe"/>
        <w:rPr>
          <w:rFonts w:eastAsia="Calibri"/>
          <w:lang w:val="fr-CA" w:eastAsia="en-US"/>
        </w:rPr>
      </w:pPr>
      <w:r w:rsidRPr="00BD22C2">
        <w:rPr>
          <w:rFonts w:eastAsia="Calibri"/>
          <w:lang w:val="fr-CA" w:eastAsia="en-US"/>
        </w:rPr>
        <w:t xml:space="preserve">Dans une perspective de droits de la personne, ces éléments soulignent l’importance d’adopter une approche intersectionnelle pour favoriser la réalisation de leur droit à l’égalité. Lorsque les personnes trans et non binaires se trouvent au croisement de plusieurs motifs de discrimination (sexe, identité de genre, race, origine ethnique ou nationale, </w:t>
      </w:r>
      <w:r w:rsidR="007E4085" w:rsidRPr="00BD22C2">
        <w:rPr>
          <w:rFonts w:eastAsia="Calibri"/>
          <w:lang w:val="fr-CA" w:eastAsia="en-US"/>
        </w:rPr>
        <w:t>handicap</w:t>
      </w:r>
      <w:r w:rsidR="00317982" w:rsidRPr="00BD22C2">
        <w:rPr>
          <w:rFonts w:eastAsia="Calibri"/>
          <w:lang w:val="fr-CA" w:eastAsia="en-US"/>
        </w:rPr>
        <w:t xml:space="preserve"> ou moyen pour le pallier, </w:t>
      </w:r>
      <w:r w:rsidRPr="00BD22C2">
        <w:rPr>
          <w:rFonts w:eastAsia="Calibri"/>
          <w:lang w:val="fr-CA" w:eastAsia="en-US"/>
        </w:rPr>
        <w:t xml:space="preserve">âge, etc.), les mesures pour tenir compte de leurs besoins spécifiques et pour contrer la discrimination à leur égard peuvent varier. Ces données montrent également l’importance d’analyser les droits des personnes trans et non binaires comme étant interdépendants. Une </w:t>
      </w:r>
      <w:r w:rsidRPr="00BD22C2">
        <w:rPr>
          <w:rFonts w:eastAsia="Calibri"/>
          <w:lang w:val="fr-CA" w:eastAsia="en-US"/>
        </w:rPr>
        <w:lastRenderedPageBreak/>
        <w:t>atteinte discriminatoire à leur droit au logement peut par exemple se répercuter sur leur droit à la sûreté en les poussant vers une situation d’itinérance.</w:t>
      </w:r>
    </w:p>
    <w:p w14:paraId="6ACF6119" w14:textId="71C897FB" w:rsidR="00F63416" w:rsidRPr="00BD22C2" w:rsidRDefault="00F63416" w:rsidP="00EF1CB2">
      <w:pPr>
        <w:pStyle w:val="Titre2"/>
        <w:rPr>
          <w:rFonts w:eastAsia="Calibri"/>
          <w:lang w:eastAsia="en-US"/>
        </w:rPr>
      </w:pPr>
      <w:bookmarkStart w:id="82" w:name="_Toc165301022"/>
      <w:bookmarkStart w:id="83" w:name="_Toc165636105"/>
      <w:r w:rsidRPr="00BD22C2">
        <w:rPr>
          <w:rFonts w:eastAsia="Calibri"/>
          <w:lang w:eastAsia="en-US"/>
        </w:rPr>
        <w:t>Collecte de données désagrégées</w:t>
      </w:r>
      <w:bookmarkEnd w:id="82"/>
      <w:bookmarkEnd w:id="83"/>
    </w:p>
    <w:p w14:paraId="404B2D0C" w14:textId="2D7012D7" w:rsidR="00F63416" w:rsidRPr="00BD22C2" w:rsidRDefault="00F63416" w:rsidP="00EF1CB2">
      <w:pPr>
        <w:pStyle w:val="Paragraphe"/>
        <w:rPr>
          <w:rFonts w:eastAsia="Calibri"/>
          <w:lang w:val="fr-CA" w:eastAsia="en-US"/>
        </w:rPr>
      </w:pPr>
      <w:r w:rsidRPr="00BD22C2">
        <w:rPr>
          <w:rFonts w:eastAsia="Calibri"/>
          <w:lang w:val="fr-CA" w:eastAsia="en-US"/>
        </w:rPr>
        <w:t>Les données que Statistique Canada a commen</w:t>
      </w:r>
      <w:r w:rsidR="00317982" w:rsidRPr="00BD22C2">
        <w:rPr>
          <w:rFonts w:eastAsia="Calibri"/>
          <w:lang w:val="fr-CA" w:eastAsia="en-US"/>
        </w:rPr>
        <w:t>c</w:t>
      </w:r>
      <w:r w:rsidRPr="00BD22C2">
        <w:rPr>
          <w:rFonts w:eastAsia="Calibri"/>
          <w:lang w:val="fr-CA" w:eastAsia="en-US"/>
        </w:rPr>
        <w:t>é à collecter à partir du recensement, de même que celles produites par des projets de recherche comme l’Enquête SAVIE-LGBTQ</w:t>
      </w:r>
      <w:r w:rsidR="00205444" w:rsidRPr="00BD22C2">
        <w:rPr>
          <w:rStyle w:val="Appeldenotedefin"/>
          <w:rFonts w:eastAsia="Calibri"/>
          <w:lang w:val="fr-CA" w:eastAsia="en-US"/>
        </w:rPr>
        <w:endnoteReference w:id="144"/>
      </w:r>
      <w:r w:rsidRPr="00BD22C2">
        <w:rPr>
          <w:rFonts w:eastAsia="Calibri"/>
          <w:lang w:val="fr-CA" w:eastAsia="en-US"/>
        </w:rPr>
        <w:t>, fournissent des informations précieuses sur la population trans et non binaire. Cependant, les données sur cette population demeurent fort limitées, comme c’est le cas pour d’autres groupes minorisés.</w:t>
      </w:r>
    </w:p>
    <w:p w14:paraId="12D0B5B8" w14:textId="72C11A24" w:rsidR="00187621" w:rsidRPr="00BD22C2" w:rsidRDefault="00187621" w:rsidP="00EF1CB2">
      <w:pPr>
        <w:pStyle w:val="Paragraphe"/>
        <w:rPr>
          <w:rFonts w:eastAsia="Calibri"/>
          <w:lang w:val="fr-CA" w:eastAsia="en-US"/>
        </w:rPr>
      </w:pPr>
      <w:r w:rsidRPr="00BD22C2">
        <w:rPr>
          <w:rFonts w:eastAsia="Calibri"/>
          <w:lang w:val="fr-CA" w:eastAsia="en-US"/>
        </w:rPr>
        <w:t>Une collecte de données mettant en cause un ou des motifs de discrimination implique toujours le respect d’importantes balises permettant d’assurer le respect de l’ensemble des droits et libertés, à toutes les étapes de celle-ci. Or, le dévoilement de l’orientation sexuelle ou de l’identité de genre peut s’avérer encore plus délicat.</w:t>
      </w:r>
      <w:r w:rsidRPr="00BD22C2">
        <w:rPr>
          <w:lang w:val="fr-CA"/>
        </w:rPr>
        <w:t xml:space="preserve"> Rappelons que l</w:t>
      </w:r>
      <w:r w:rsidRPr="00BD22C2">
        <w:rPr>
          <w:rFonts w:eastAsia="Calibri"/>
          <w:lang w:val="fr-CA" w:eastAsia="en-US"/>
        </w:rPr>
        <w:t xml:space="preserve">’enjeu du dévoilement apparaît, dans la littérature académique, comme central dans l’expérience des discriminations </w:t>
      </w:r>
      <w:proofErr w:type="spellStart"/>
      <w:r w:rsidRPr="00BD22C2">
        <w:rPr>
          <w:rFonts w:eastAsia="Calibri"/>
          <w:lang w:val="fr-CA" w:eastAsia="en-US"/>
        </w:rPr>
        <w:t>hétérocissexistes</w:t>
      </w:r>
      <w:proofErr w:type="spellEnd"/>
      <w:r w:rsidRPr="00BD22C2">
        <w:rPr>
          <w:rStyle w:val="Appeldenotedefin"/>
          <w:rFonts w:eastAsia="Calibri"/>
          <w:lang w:val="fr-CA" w:eastAsia="en-US"/>
        </w:rPr>
        <w:endnoteReference w:id="145"/>
      </w:r>
      <w:r w:rsidRPr="00BD22C2">
        <w:rPr>
          <w:rFonts w:eastAsia="Calibri"/>
          <w:lang w:val="fr-CA" w:eastAsia="en-US"/>
        </w:rPr>
        <w:t xml:space="preserve">. </w:t>
      </w:r>
      <w:r w:rsidR="007C7672" w:rsidRPr="00BD22C2">
        <w:rPr>
          <w:rFonts w:eastAsia="Calibri"/>
          <w:lang w:val="fr-CA" w:eastAsia="en-US"/>
        </w:rPr>
        <w:t xml:space="preserve">Les risques associés </w:t>
      </w:r>
      <w:r w:rsidR="005E09DD" w:rsidRPr="00BD22C2">
        <w:rPr>
          <w:rFonts w:eastAsia="Calibri"/>
          <w:lang w:val="fr-CA" w:eastAsia="en-US"/>
        </w:rPr>
        <w:t>à la divulgation involontaire de son identité de genre</w:t>
      </w:r>
      <w:r w:rsidR="00083531" w:rsidRPr="00BD22C2">
        <w:rPr>
          <w:rFonts w:eastAsia="Calibri"/>
          <w:lang w:val="fr-CA" w:eastAsia="en-US"/>
        </w:rPr>
        <w:t>, notamment en regard des droits protégés par la Charte,</w:t>
      </w:r>
      <w:r w:rsidR="00C62CCE" w:rsidRPr="00BD22C2">
        <w:rPr>
          <w:rFonts w:eastAsia="Calibri"/>
          <w:lang w:val="fr-CA" w:eastAsia="en-US"/>
        </w:rPr>
        <w:t xml:space="preserve"> </w:t>
      </w:r>
      <w:r w:rsidR="00083531" w:rsidRPr="00BD22C2">
        <w:rPr>
          <w:rFonts w:eastAsia="Calibri"/>
          <w:lang w:val="fr-CA" w:eastAsia="en-US"/>
        </w:rPr>
        <w:t>son</w:t>
      </w:r>
      <w:r w:rsidR="00B41D67" w:rsidRPr="00BD22C2">
        <w:rPr>
          <w:rFonts w:eastAsia="Calibri"/>
          <w:lang w:val="fr-CA" w:eastAsia="en-US"/>
        </w:rPr>
        <w:t>t</w:t>
      </w:r>
      <w:r w:rsidR="00C62CCE" w:rsidRPr="00BD22C2">
        <w:rPr>
          <w:rFonts w:eastAsia="Calibri"/>
          <w:lang w:val="fr-CA" w:eastAsia="en-US"/>
        </w:rPr>
        <w:t xml:space="preserve"> également reconnu</w:t>
      </w:r>
      <w:r w:rsidR="00083531" w:rsidRPr="00BD22C2">
        <w:rPr>
          <w:rFonts w:eastAsia="Calibri"/>
          <w:lang w:val="fr-CA" w:eastAsia="en-US"/>
        </w:rPr>
        <w:t>s</w:t>
      </w:r>
      <w:r w:rsidR="00C62CCE" w:rsidRPr="00BD22C2">
        <w:rPr>
          <w:rFonts w:eastAsia="Calibri"/>
          <w:lang w:val="fr-CA" w:eastAsia="en-US"/>
        </w:rPr>
        <w:t xml:space="preserve"> par la jurisprudence</w:t>
      </w:r>
      <w:r w:rsidR="00C62CCE" w:rsidRPr="00BD22C2">
        <w:rPr>
          <w:rStyle w:val="Appeldenotedefin"/>
          <w:rFonts w:eastAsia="Calibri"/>
          <w:lang w:val="fr-CA" w:eastAsia="en-US"/>
        </w:rPr>
        <w:endnoteReference w:id="146"/>
      </w:r>
      <w:r w:rsidR="00C62CCE" w:rsidRPr="00BD22C2">
        <w:rPr>
          <w:rFonts w:eastAsia="Calibri"/>
          <w:lang w:val="fr-CA" w:eastAsia="en-US"/>
        </w:rPr>
        <w:t xml:space="preserve">. </w:t>
      </w:r>
      <w:r w:rsidRPr="00BD22C2">
        <w:rPr>
          <w:rFonts w:eastAsia="Calibri"/>
          <w:lang w:val="fr-CA" w:eastAsia="en-US"/>
        </w:rPr>
        <w:t xml:space="preserve">Le dévoilement s’inscrit généralement dans un long processus de réflexion relativement à ses implications et conséquences, celui-ci pouvant être plus ou moins difficile et douloureux selon le vécu et le contexte de la personne. Bien que cet enjeu </w:t>
      </w:r>
      <w:r w:rsidR="00B203BA" w:rsidRPr="00BD22C2">
        <w:rPr>
          <w:rFonts w:eastAsia="Calibri"/>
          <w:lang w:val="fr-CA" w:eastAsia="en-US"/>
        </w:rPr>
        <w:t>ne rende pas impossible une</w:t>
      </w:r>
      <w:r w:rsidRPr="00BD22C2">
        <w:rPr>
          <w:rFonts w:eastAsia="Calibri"/>
          <w:lang w:val="fr-CA" w:eastAsia="en-US"/>
        </w:rPr>
        <w:t xml:space="preserve"> </w:t>
      </w:r>
      <w:proofErr w:type="spellStart"/>
      <w:r w:rsidRPr="00BD22C2">
        <w:rPr>
          <w:rFonts w:eastAsia="Calibri"/>
          <w:lang w:val="fr-CA" w:eastAsia="en-US"/>
        </w:rPr>
        <w:t>auto-identification</w:t>
      </w:r>
      <w:proofErr w:type="spellEnd"/>
      <w:r w:rsidRPr="00BD22C2">
        <w:rPr>
          <w:rFonts w:eastAsia="Calibri"/>
          <w:lang w:val="fr-CA" w:eastAsia="en-US"/>
        </w:rPr>
        <w:t xml:space="preserve"> confidentielle dans le cadre d’une collecte de données visant à lutter contre la discrimination et respectueuse de l’ensemble des droits et libertés protégés par la Charte, elle est susceptible de représenter un défi auquel il faut apporter toute l’attention nécessaire. </w:t>
      </w:r>
    </w:p>
    <w:p w14:paraId="6BD81182" w14:textId="6BF838E4" w:rsidR="00187621" w:rsidRPr="00BD22C2" w:rsidRDefault="00187621" w:rsidP="001D21BE">
      <w:pPr>
        <w:pStyle w:val="Paragraphe"/>
        <w:rPr>
          <w:lang w:val="fr-CA"/>
        </w:rPr>
      </w:pPr>
      <w:r w:rsidRPr="00BD22C2">
        <w:rPr>
          <w:rFonts w:eastAsia="Calibri"/>
          <w:lang w:val="fr-CA" w:eastAsia="en-US"/>
        </w:rPr>
        <w:t>L</w:t>
      </w:r>
      <w:r w:rsidRPr="00BD22C2">
        <w:rPr>
          <w:lang w:val="fr-CA"/>
        </w:rPr>
        <w:t>a Commission a insisté à de nombreuses reprises</w:t>
      </w:r>
      <w:bookmarkStart w:id="85" w:name="_Ref166843520"/>
      <w:r w:rsidRPr="00BD22C2">
        <w:rPr>
          <w:rStyle w:val="Appeldenotedefin"/>
          <w:lang w:val="fr-CA"/>
        </w:rPr>
        <w:endnoteReference w:id="147"/>
      </w:r>
      <w:bookmarkEnd w:id="85"/>
      <w:r w:rsidRPr="00BD22C2">
        <w:rPr>
          <w:lang w:val="fr-CA"/>
        </w:rPr>
        <w:t xml:space="preserve"> sur </w:t>
      </w:r>
      <w:r w:rsidR="008E4DBF" w:rsidRPr="00BD22C2">
        <w:rPr>
          <w:lang w:val="fr-CA"/>
        </w:rPr>
        <w:t xml:space="preserve">la nécessité </w:t>
      </w:r>
      <w:r w:rsidR="00571A64" w:rsidRPr="00BD22C2">
        <w:rPr>
          <w:lang w:val="fr-CA"/>
        </w:rPr>
        <w:t>de définir</w:t>
      </w:r>
      <w:r w:rsidRPr="00BD22C2">
        <w:rPr>
          <w:lang w:val="fr-CA"/>
        </w:rPr>
        <w:t xml:space="preserve"> d</w:t>
      </w:r>
      <w:r w:rsidR="00571A64" w:rsidRPr="00BD22C2">
        <w:rPr>
          <w:lang w:val="fr-CA"/>
        </w:rPr>
        <w:t xml:space="preserve">es </w:t>
      </w:r>
      <w:r w:rsidRPr="00BD22C2">
        <w:rPr>
          <w:lang w:val="fr-CA"/>
        </w:rPr>
        <w:t>indicateurs et de</w:t>
      </w:r>
      <w:r w:rsidR="000B63DD" w:rsidRPr="00BD22C2">
        <w:rPr>
          <w:lang w:val="fr-CA"/>
        </w:rPr>
        <w:t>s mécanismes</w:t>
      </w:r>
      <w:r w:rsidRPr="00BD22C2">
        <w:rPr>
          <w:lang w:val="fr-CA"/>
        </w:rPr>
        <w:t xml:space="preserve"> de collecte de données désagrégées, effectuée conformément à l’ensemble des droits garantis par la Charte, afin de permettre de dresser un état des lieux exhaustif quant à l’impact discriminatoire que des normes, politiques et pratiques peuvent avoir en fonction de différents motifs de discrimination interdits par l’article</w:t>
      </w:r>
      <w:r w:rsidR="0091080B">
        <w:rPr>
          <w:lang w:val="fr-CA"/>
        </w:rPr>
        <w:t> </w:t>
      </w:r>
      <w:r w:rsidRPr="00BD22C2">
        <w:rPr>
          <w:lang w:val="fr-CA"/>
        </w:rPr>
        <w:t xml:space="preserve">10 (ou de l’entrecroisement de ceux-ci), </w:t>
      </w:r>
      <w:r w:rsidR="00976420" w:rsidRPr="00BD22C2">
        <w:rPr>
          <w:lang w:val="fr-CA"/>
        </w:rPr>
        <w:t>comme</w:t>
      </w:r>
      <w:r w:rsidRPr="00BD22C2">
        <w:rPr>
          <w:lang w:val="fr-CA"/>
        </w:rPr>
        <w:t xml:space="preserve"> le sexe et l’identité de genre. Un tel portrait est aussi essentiel pour identifier les actions à prendre pour lutter contre la discrimination</w:t>
      </w:r>
      <w:r w:rsidR="004E736D" w:rsidRPr="00BD22C2">
        <w:rPr>
          <w:lang w:val="fr-CA"/>
        </w:rPr>
        <w:t>, incluant les actions gouvernementales</w:t>
      </w:r>
      <w:r w:rsidRPr="00BD22C2">
        <w:rPr>
          <w:lang w:val="fr-CA"/>
        </w:rPr>
        <w:t>. Il demeure ensuite nécessaire pour mesurer les résultats obtenus, le cas échéant, et rendre compte des mesures prises et de leur impact</w:t>
      </w:r>
      <w:r w:rsidRPr="00BD22C2">
        <w:rPr>
          <w:rStyle w:val="Appeldenotedefin"/>
          <w:lang w:val="fr-CA"/>
        </w:rPr>
        <w:endnoteReference w:id="148"/>
      </w:r>
      <w:r w:rsidRPr="00BD22C2">
        <w:rPr>
          <w:lang w:val="fr-CA"/>
        </w:rPr>
        <w:t>.</w:t>
      </w:r>
    </w:p>
    <w:p w14:paraId="5B2494DF" w14:textId="0EA4D64C" w:rsidR="00187621" w:rsidRPr="00BD22C2" w:rsidRDefault="00187621" w:rsidP="00187621">
      <w:pPr>
        <w:pStyle w:val="Paragraphe"/>
        <w:rPr>
          <w:lang w:val="fr-CA"/>
        </w:rPr>
      </w:pPr>
      <w:r w:rsidRPr="00BD22C2">
        <w:rPr>
          <w:lang w:val="fr-CA"/>
        </w:rPr>
        <w:lastRenderedPageBreak/>
        <w:t xml:space="preserve">Les balises associées à une telle collecte prennent encore plus d’importance en regard d’un exercice de documentation de la discrimination, du harcèlement ou du profilage discriminatoires visant des membres de groupes ciblés en fonction des motifs </w:t>
      </w:r>
      <w:r w:rsidR="003E1C7E" w:rsidRPr="00BD22C2">
        <w:rPr>
          <w:lang w:val="fr-CA"/>
        </w:rPr>
        <w:t>comme</w:t>
      </w:r>
      <w:r w:rsidRPr="00BD22C2">
        <w:rPr>
          <w:lang w:val="fr-CA"/>
        </w:rPr>
        <w:t xml:space="preserve"> l’orientation sexuelle et l’identité ou expression de genre. </w:t>
      </w:r>
    </w:p>
    <w:p w14:paraId="2570178A" w14:textId="53C5F237" w:rsidR="00187621" w:rsidRPr="00BD22C2" w:rsidRDefault="00187621" w:rsidP="00187621">
      <w:pPr>
        <w:pStyle w:val="Paragraphe"/>
        <w:rPr>
          <w:lang w:val="fr-CA"/>
        </w:rPr>
      </w:pPr>
      <w:r w:rsidRPr="00BD22C2">
        <w:rPr>
          <w:lang w:val="fr-CA"/>
        </w:rPr>
        <w:t xml:space="preserve">Ainsi, </w:t>
      </w:r>
      <w:r w:rsidR="002449E9" w:rsidRPr="00BD22C2">
        <w:rPr>
          <w:lang w:val="fr-CA"/>
        </w:rPr>
        <w:t>la</w:t>
      </w:r>
      <w:r w:rsidRPr="00BD22C2">
        <w:rPr>
          <w:lang w:val="fr-CA"/>
        </w:rPr>
        <w:t xml:space="preserve"> collecte de données </w:t>
      </w:r>
      <w:r w:rsidR="002449E9" w:rsidRPr="00BD22C2">
        <w:rPr>
          <w:lang w:val="fr-CA"/>
        </w:rPr>
        <w:t>ne</w:t>
      </w:r>
      <w:r w:rsidRPr="00BD22C2">
        <w:rPr>
          <w:lang w:val="fr-CA"/>
        </w:rPr>
        <w:t xml:space="preserve"> doit être réalisée que dans le but explicite de lutter contre la discrimination. Elle</w:t>
      </w:r>
      <w:r w:rsidRPr="00BD22C2">
        <w:rPr>
          <w:sz w:val="16"/>
          <w:szCs w:val="16"/>
          <w:lang w:val="fr-CA"/>
        </w:rPr>
        <w:t xml:space="preserve"> </w:t>
      </w:r>
      <w:r w:rsidRPr="00BD22C2">
        <w:rPr>
          <w:lang w:val="fr-CA"/>
        </w:rPr>
        <w:t>ne doit pas non plus créer ou accroître la discrimination ou les préjugés visant les groupes marginalisés</w:t>
      </w:r>
      <w:r w:rsidRPr="00BD22C2">
        <w:rPr>
          <w:rStyle w:val="Appeldenotedefin"/>
          <w:lang w:val="fr-CA"/>
        </w:rPr>
        <w:endnoteReference w:id="149"/>
      </w:r>
      <w:r w:rsidRPr="00BD22C2">
        <w:rPr>
          <w:lang w:val="fr-CA"/>
        </w:rPr>
        <w:t>. Elle doit également se faire dans le respect de l’ensemble des droits protégés par la Charte, particulièrement le</w:t>
      </w:r>
      <w:r w:rsidRPr="00BD22C2" w:rsidDel="00464718">
        <w:rPr>
          <w:lang w:val="fr-CA"/>
        </w:rPr>
        <w:t xml:space="preserve"> </w:t>
      </w:r>
      <w:r w:rsidRPr="00BD22C2">
        <w:rPr>
          <w:lang w:val="fr-CA"/>
        </w:rPr>
        <w:t>droit à la sauvegarde de sa dignité et le droit au respect de sa vie privée. La cueillette de renseignements personnels doit donc être soumise à un encadrement strict permettant de respecter les dispositions de la Charte, notamment l’article 5 de celle-ci de même que les dispositions législatives plus particulières qui en découlent</w:t>
      </w:r>
      <w:r w:rsidRPr="00BD22C2">
        <w:rPr>
          <w:rStyle w:val="Appeldenotedefin"/>
          <w:lang w:val="fr-CA"/>
        </w:rPr>
        <w:endnoteReference w:id="150"/>
      </w:r>
      <w:r w:rsidRPr="00BD22C2">
        <w:rPr>
          <w:lang w:val="fr-CA"/>
        </w:rPr>
        <w:t>, et ce, à toutes les étapes du traitement des renseignements en cause.</w:t>
      </w:r>
    </w:p>
    <w:p w14:paraId="4417606B" w14:textId="77777777" w:rsidR="003E0D24" w:rsidRDefault="00AA1709" w:rsidP="00EF1CB2">
      <w:pPr>
        <w:pStyle w:val="Paragraphe"/>
        <w:rPr>
          <w:lang w:val="fr-CA"/>
        </w:rPr>
      </w:pPr>
      <w:r w:rsidRPr="00BD22C2">
        <w:rPr>
          <w:lang w:val="fr-CA"/>
        </w:rPr>
        <w:t>Soulignons e</w:t>
      </w:r>
      <w:r w:rsidR="00951C4C" w:rsidRPr="00BD22C2">
        <w:rPr>
          <w:lang w:val="fr-CA"/>
        </w:rPr>
        <w:t>n outre</w:t>
      </w:r>
      <w:r w:rsidR="00794150" w:rsidRPr="00BD22C2">
        <w:rPr>
          <w:lang w:val="fr-CA"/>
        </w:rPr>
        <w:t xml:space="preserve"> que</w:t>
      </w:r>
      <w:r w:rsidR="00951C4C" w:rsidRPr="00BD22C2">
        <w:rPr>
          <w:lang w:val="fr-CA"/>
        </w:rPr>
        <w:t xml:space="preserve">, dans </w:t>
      </w:r>
      <w:r w:rsidR="00F63416" w:rsidRPr="00BD22C2">
        <w:rPr>
          <w:lang w:val="fr-CA"/>
        </w:rPr>
        <w:t xml:space="preserve">ses nouvelles normes, Statistique Canada préconise que la variable « genre de la personne » </w:t>
      </w:r>
      <w:r w:rsidR="00187621" w:rsidRPr="00BD22C2">
        <w:rPr>
          <w:lang w:val="fr-CA"/>
        </w:rPr>
        <w:t xml:space="preserve">soit </w:t>
      </w:r>
      <w:r w:rsidR="00F63416" w:rsidRPr="00BD22C2">
        <w:rPr>
          <w:lang w:val="fr-CA"/>
        </w:rPr>
        <w:t>utilisée « par défaut » dans la plupart de ses programmes statistiques</w:t>
      </w:r>
      <w:r w:rsidR="003D0A4D" w:rsidRPr="00BD22C2">
        <w:rPr>
          <w:rStyle w:val="Appeldenotedefin"/>
          <w:lang w:val="fr-CA"/>
        </w:rPr>
        <w:endnoteReference w:id="151"/>
      </w:r>
      <w:r w:rsidR="003D0A4D" w:rsidRPr="00BD22C2">
        <w:rPr>
          <w:lang w:val="fr-CA"/>
        </w:rPr>
        <w:t>.</w:t>
      </w:r>
      <w:r w:rsidR="00F63416" w:rsidRPr="00BD22C2">
        <w:rPr>
          <w:lang w:val="fr-CA"/>
        </w:rPr>
        <w:t xml:space="preserve"> La variable « sexe à la naissance » peut quant à elle être utilisée « lorsque des renseignements sur le sexe à la naissance sont nécessaires, par exemple dans le calcul de certains indicateurs démographiques ou de santé »</w:t>
      </w:r>
      <w:r w:rsidR="00F63416" w:rsidRPr="00BD22C2">
        <w:rPr>
          <w:rStyle w:val="Appeldenotedefin"/>
          <w:rFonts w:cs="Arial"/>
          <w:lang w:val="fr-CA"/>
        </w:rPr>
        <w:endnoteReference w:id="152"/>
      </w:r>
      <w:r w:rsidR="00F63416" w:rsidRPr="00BD22C2">
        <w:rPr>
          <w:lang w:val="fr-CA"/>
        </w:rPr>
        <w:t>. Lorsque ces deux variables sont combinées, elles permettent d’estimer la population trans.</w:t>
      </w:r>
    </w:p>
    <w:p w14:paraId="4E93C439" w14:textId="4A74160B" w:rsidR="00F63416" w:rsidRPr="00BD22C2" w:rsidRDefault="00F63416" w:rsidP="00EF1CB2">
      <w:pPr>
        <w:pStyle w:val="Paragraphe"/>
        <w:rPr>
          <w:lang w:val="fr-CA"/>
        </w:rPr>
      </w:pPr>
      <w:r w:rsidRPr="00BD22C2">
        <w:rPr>
          <w:lang w:val="fr-CA"/>
        </w:rPr>
        <w:t>Selon la Commission, les données nécessaires à l’évaluation de la discrimination sur la base du sexe et de l’identité ou l’expression de genre doivent être désagrégées, lorsque pertinent</w:t>
      </w:r>
      <w:r w:rsidR="00B87500">
        <w:rPr>
          <w:lang w:val="fr-CA"/>
        </w:rPr>
        <w:t>es</w:t>
      </w:r>
      <w:r w:rsidRPr="00BD22C2">
        <w:rPr>
          <w:lang w:val="fr-CA"/>
        </w:rPr>
        <w:t>, selon le sexe à la naissance (sexe masculin, sexe féminin, intersexe), l’identité de genre (homme, femme, non</w:t>
      </w:r>
      <w:r w:rsidR="00EB7D87" w:rsidRPr="00BD22C2">
        <w:rPr>
          <w:lang w:val="fr-CA"/>
        </w:rPr>
        <w:t xml:space="preserve"> </w:t>
      </w:r>
      <w:r w:rsidRPr="00BD22C2">
        <w:rPr>
          <w:lang w:val="fr-CA"/>
        </w:rPr>
        <w:t xml:space="preserve">binaire </w:t>
      </w:r>
      <w:r w:rsidR="004C3B14" w:rsidRPr="00BD22C2">
        <w:rPr>
          <w:lang w:val="fr-CA"/>
        </w:rPr>
        <w:t>et</w:t>
      </w:r>
      <w:r w:rsidRPr="00BD22C2">
        <w:rPr>
          <w:lang w:val="fr-CA"/>
        </w:rPr>
        <w:t xml:space="preserve"> autres) et la modalité de genre (cisgenre ou transgenre).</w:t>
      </w:r>
    </w:p>
    <w:p w14:paraId="044526D9" w14:textId="461D11B6" w:rsidR="00001F67" w:rsidRPr="00BD22C2" w:rsidRDefault="00AF64E9" w:rsidP="003E0D24">
      <w:pPr>
        <w:pStyle w:val="TitreRecommandation"/>
        <w:keepNext/>
        <w:keepLines/>
        <w:rPr>
          <w:rFonts w:eastAsia="Calibri"/>
          <w:lang w:eastAsia="en-US"/>
        </w:rPr>
      </w:pPr>
      <w:r w:rsidRPr="00BD22C2">
        <w:rPr>
          <w:rFonts w:eastAsia="Calibri"/>
          <w:lang w:eastAsia="en-US"/>
        </w:rPr>
        <w:lastRenderedPageBreak/>
        <w:t>Recommandation</w:t>
      </w:r>
      <w:r w:rsidR="0091080B">
        <w:rPr>
          <w:rFonts w:eastAsia="Calibri"/>
          <w:lang w:eastAsia="en-US"/>
        </w:rPr>
        <w:t> </w:t>
      </w:r>
      <w:r w:rsidR="00037F47" w:rsidRPr="00BD22C2">
        <w:rPr>
          <w:rFonts w:eastAsia="Calibri"/>
          <w:lang w:eastAsia="en-US"/>
        </w:rPr>
        <w:t>3</w:t>
      </w:r>
    </w:p>
    <w:p w14:paraId="190B787D" w14:textId="64BDE2B8" w:rsidR="00187621" w:rsidRPr="00BD22C2" w:rsidRDefault="00187621" w:rsidP="003E0D24">
      <w:pPr>
        <w:pStyle w:val="Texterecommandation"/>
        <w:keepNext/>
        <w:keepLines/>
        <w:ind w:left="709" w:firstLine="0"/>
      </w:pPr>
      <w:r w:rsidRPr="00BD22C2">
        <w:rPr>
          <w:lang w:eastAsia="en-US"/>
        </w:rPr>
        <w:t xml:space="preserve">La Commission recommande que </w:t>
      </w:r>
      <w:r w:rsidRPr="00BD22C2">
        <w:t xml:space="preserve">le Comité de sages sur l’identité de genre invite le gouvernement à </w:t>
      </w:r>
      <w:r w:rsidR="00B23AD5" w:rsidRPr="00BD22C2">
        <w:t>fixer</w:t>
      </w:r>
      <w:r w:rsidRPr="00BD22C2">
        <w:t xml:space="preserve"> des balises relatives à la définition d’indicateurs uniformes ainsi qu’à une collecte de données désagrégées </w:t>
      </w:r>
      <w:r w:rsidR="00A46FA5" w:rsidRPr="00BD22C2">
        <w:t>visant à</w:t>
      </w:r>
      <w:r w:rsidRPr="00BD22C2">
        <w:t xml:space="preserve"> déceler les manifestations et conséquences de la discrimination, notamment de la discrimination systémique, touchant plus particulièrement les personnes trans et non binaires. Une telle collecte devrait être respectueuse de l’ensemble des droits et libertés de la personne, particulièrement du droit au respect de sa vie privée, et être strictement encadrée à cette fin. Elle pourrait en outre être accompagnée de modalités complémentaires de suivi permettant de documenter de manière qualitative l’expérience de ces dernières.</w:t>
      </w:r>
    </w:p>
    <w:p w14:paraId="681A23CE" w14:textId="77777777" w:rsidR="00187621" w:rsidRPr="00BD22C2" w:rsidRDefault="00187621" w:rsidP="003E0D24">
      <w:pPr>
        <w:pStyle w:val="Texterecommandation"/>
        <w:keepNext/>
        <w:keepLines/>
        <w:ind w:left="709" w:firstLine="0"/>
      </w:pPr>
      <w:r w:rsidRPr="00BD22C2">
        <w:t>La Commission recommande aussi que ces balises soient définies en fonction des paramètres déjà formulés par la Commission, compte tenu des adaptations nécessaires, ainsi qu’en collaboration avec des personnes expertes indépendantes en la matière et après consultation de personnes représentant les populations trans et non binaires.</w:t>
      </w:r>
    </w:p>
    <w:p w14:paraId="7B94132F" w14:textId="77777777" w:rsidR="00EC5121" w:rsidRPr="00BD22C2" w:rsidRDefault="00EC5121" w:rsidP="005A5B5A">
      <w:pPr>
        <w:pStyle w:val="Paragraphe"/>
        <w:rPr>
          <w:rFonts w:eastAsia="Calibri"/>
          <w:lang w:val="fr-CA" w:eastAsia="en-US"/>
        </w:rPr>
      </w:pPr>
    </w:p>
    <w:p w14:paraId="2DADFCE1" w14:textId="2379EB55" w:rsidR="00212F94" w:rsidRPr="00BD22C2" w:rsidRDefault="00212F94" w:rsidP="005A5B5A">
      <w:pPr>
        <w:pStyle w:val="Paragraphe"/>
        <w:rPr>
          <w:rFonts w:eastAsia="Calibri"/>
          <w:lang w:val="fr-CA" w:eastAsia="en-US"/>
        </w:rPr>
      </w:pPr>
      <w:r w:rsidRPr="00BD22C2">
        <w:rPr>
          <w:rFonts w:eastAsia="Calibri"/>
          <w:lang w:val="fr-CA" w:eastAsia="en-US"/>
        </w:rPr>
        <w:br w:type="page"/>
      </w:r>
    </w:p>
    <w:p w14:paraId="1FA66B93" w14:textId="29FDA6A7" w:rsidR="00FC5A9F" w:rsidRPr="00F277D5" w:rsidRDefault="00100038" w:rsidP="009110C5">
      <w:pPr>
        <w:pStyle w:val="Titre"/>
        <w:ind w:left="1276" w:hanging="1276"/>
        <w:rPr>
          <w:rFonts w:eastAsia="Calibri"/>
          <w:lang w:eastAsia="en-US"/>
        </w:rPr>
      </w:pPr>
      <w:bookmarkStart w:id="86" w:name="_Toc165301023"/>
      <w:bookmarkStart w:id="87" w:name="_Toc165636106"/>
      <w:r w:rsidRPr="003E0D24">
        <w:rPr>
          <w:rFonts w:eastAsia="Calibri"/>
          <w:lang w:eastAsia="en-US"/>
        </w:rPr>
        <w:lastRenderedPageBreak/>
        <w:t>P</w:t>
      </w:r>
      <w:r w:rsidR="003644CE" w:rsidRPr="003E0D24">
        <w:rPr>
          <w:rFonts w:eastAsia="Calibri"/>
          <w:lang w:eastAsia="en-US"/>
        </w:rPr>
        <w:t>artie</w:t>
      </w:r>
      <w:r w:rsidR="00CC76DE" w:rsidRPr="003E0D24">
        <w:rPr>
          <w:rFonts w:eastAsia="Calibri"/>
          <w:lang w:eastAsia="en-US"/>
        </w:rPr>
        <w:t> </w:t>
      </w:r>
      <w:r w:rsidR="003644CE" w:rsidRPr="003E0D24">
        <w:rPr>
          <w:rFonts w:eastAsia="Calibri"/>
          <w:lang w:eastAsia="en-US"/>
        </w:rPr>
        <w:t>2</w:t>
      </w:r>
      <w:r w:rsidR="00183889" w:rsidRPr="003E0D24">
        <w:rPr>
          <w:rFonts w:eastAsia="Calibri"/>
          <w:lang w:eastAsia="en-US"/>
        </w:rPr>
        <w:t xml:space="preserve"> — L</w:t>
      </w:r>
      <w:r w:rsidR="00610C23" w:rsidRPr="003E0D24">
        <w:rPr>
          <w:rFonts w:eastAsia="Calibri"/>
          <w:lang w:eastAsia="en-US"/>
        </w:rPr>
        <w:t xml:space="preserve">a charte </w:t>
      </w:r>
      <w:r w:rsidR="00DA0ED7" w:rsidRPr="003E0D24">
        <w:rPr>
          <w:rFonts w:eastAsia="Calibri"/>
          <w:lang w:eastAsia="en-US"/>
        </w:rPr>
        <w:t xml:space="preserve">et l’approche des droits de l’enfant </w:t>
      </w:r>
      <w:r w:rsidR="00610C23" w:rsidRPr="003E0D24">
        <w:rPr>
          <w:rFonts w:eastAsia="Calibri"/>
          <w:lang w:eastAsia="en-US"/>
        </w:rPr>
        <w:t>pour garder le cap</w:t>
      </w:r>
      <w:bookmarkEnd w:id="86"/>
      <w:bookmarkEnd w:id="87"/>
    </w:p>
    <w:p w14:paraId="1CD39A1A" w14:textId="35896729" w:rsidR="005B3D71" w:rsidRPr="00BD22C2" w:rsidRDefault="008A370C" w:rsidP="005A5B5A">
      <w:pPr>
        <w:pStyle w:val="Paragraphe"/>
        <w:rPr>
          <w:rFonts w:eastAsia="Calibri"/>
          <w:lang w:val="fr-CA" w:eastAsia="en-US"/>
        </w:rPr>
      </w:pPr>
      <w:r w:rsidRPr="00BD22C2">
        <w:rPr>
          <w:rFonts w:eastAsia="Calibri"/>
          <w:lang w:val="fr-CA" w:eastAsia="en-US"/>
        </w:rPr>
        <w:t xml:space="preserve">Le cadre de la Charte et l’approche fondée sur les droits de l’enfant fournissent tous les outils nécessaires pour aborder les questions que le Comité de sages est appelé à traiter. </w:t>
      </w:r>
      <w:r w:rsidR="00FD4D74" w:rsidRPr="00BD22C2">
        <w:rPr>
          <w:rFonts w:eastAsia="Calibri"/>
          <w:lang w:val="fr-CA" w:eastAsia="en-US"/>
        </w:rPr>
        <w:t>D’une part, ces enjeux mettent en cause des droits que la Charte québécoise et l’approche fondée sur les droits de l’enfant nous engagent à respecter. D’autre part, les outils normatifs relatifs aux droits de la personne et aux droits de l’enfant incluent tous les mécanismes permettant d’aménager l’exercice de ces droits ou de concilier ceux-ci avec les droits d’autrui lorsque nécessaire</w:t>
      </w:r>
      <w:r w:rsidR="005B3D71" w:rsidRPr="00BD22C2">
        <w:rPr>
          <w:rFonts w:eastAsia="Calibri"/>
          <w:lang w:val="fr-CA" w:eastAsia="en-US"/>
        </w:rPr>
        <w:t>, dont l’accommodement raisonnable, la conciliation des droits et l’intérêt de l’enfant.</w:t>
      </w:r>
    </w:p>
    <w:p w14:paraId="7CCB9F13" w14:textId="4B7AA042" w:rsidR="005B3D71" w:rsidRPr="00BD22C2" w:rsidRDefault="005B3D71" w:rsidP="005A5B5A">
      <w:pPr>
        <w:pStyle w:val="Paragraphe"/>
        <w:rPr>
          <w:rFonts w:eastAsia="Calibri"/>
          <w:lang w:val="fr-CA" w:eastAsia="en-US"/>
        </w:rPr>
      </w:pPr>
      <w:r w:rsidRPr="00BD22C2">
        <w:rPr>
          <w:rFonts w:eastAsia="Calibri"/>
          <w:lang w:val="fr-CA" w:eastAsia="en-US"/>
        </w:rPr>
        <w:t>Il importe cependant de rappeler qu’une bonne utilisation de ces outils se fonde avant tout sur une démarche proche des faits, applicable à des cas d’espèce donnés, de façon à éviter de tomber dans une crise de perceptions qui se fonderait sur des impressions ou préjugés. On se rappellera la «</w:t>
      </w:r>
      <w:r w:rsidR="00974BD5" w:rsidRPr="00BD22C2">
        <w:rPr>
          <w:rFonts w:eastAsia="Calibri"/>
          <w:lang w:val="fr-CA" w:eastAsia="en-US"/>
        </w:rPr>
        <w:t> </w:t>
      </w:r>
      <w:r w:rsidRPr="00BD22C2">
        <w:rPr>
          <w:rFonts w:eastAsia="Calibri"/>
          <w:lang w:val="fr-CA" w:eastAsia="en-US"/>
        </w:rPr>
        <w:t>crise</w:t>
      </w:r>
      <w:r w:rsidR="00974BD5" w:rsidRPr="00BD22C2">
        <w:rPr>
          <w:rFonts w:eastAsia="Calibri"/>
          <w:lang w:val="fr-CA" w:eastAsia="en-US"/>
        </w:rPr>
        <w:t> </w:t>
      </w:r>
      <w:r w:rsidRPr="00BD22C2">
        <w:rPr>
          <w:rFonts w:eastAsia="Calibri"/>
          <w:lang w:val="fr-CA" w:eastAsia="en-US"/>
        </w:rPr>
        <w:t>» des accommodements raisonnables qui découlait notamment d’un discours public ayant perdu de vue les faits à l’origine des controverses et qui reposait en partie sur une mauvaise utilisation de la notion d’accommodement</w:t>
      </w:r>
      <w:r w:rsidR="00BC0E8A" w:rsidRPr="00BD22C2">
        <w:rPr>
          <w:rStyle w:val="Appeldenotedefin"/>
          <w:rFonts w:eastAsia="Calibri"/>
          <w:lang w:val="fr-CA" w:eastAsia="en-US"/>
        </w:rPr>
        <w:endnoteReference w:id="153"/>
      </w:r>
      <w:r w:rsidRPr="00BD22C2">
        <w:rPr>
          <w:rFonts w:eastAsia="Calibri"/>
          <w:lang w:val="fr-CA" w:eastAsia="en-US"/>
        </w:rPr>
        <w:t xml:space="preserve">. Pour ces raisons, la Commission entend ici faire état du cadre applicable en évitant </w:t>
      </w:r>
      <w:r w:rsidR="00DD50DD" w:rsidRPr="00BD22C2">
        <w:rPr>
          <w:rFonts w:eastAsia="Calibri"/>
          <w:lang w:val="fr-CA" w:eastAsia="en-US"/>
        </w:rPr>
        <w:t xml:space="preserve">de </w:t>
      </w:r>
      <w:r w:rsidRPr="00BD22C2">
        <w:rPr>
          <w:rFonts w:eastAsia="Calibri"/>
          <w:lang w:val="fr-CA" w:eastAsia="en-US"/>
        </w:rPr>
        <w:t xml:space="preserve">présenter des exemples d’application sur lesquels elle ne se serait pas penchée ou qui relèveraient uniquement d’hypothèses. </w:t>
      </w:r>
    </w:p>
    <w:p w14:paraId="131EBA09" w14:textId="77777777" w:rsidR="005B3D71" w:rsidRPr="00BD22C2" w:rsidRDefault="005B3D71" w:rsidP="005A5B5A">
      <w:pPr>
        <w:pStyle w:val="Paragraphe"/>
        <w:rPr>
          <w:rFonts w:eastAsia="Calibri"/>
          <w:lang w:val="fr-CA" w:eastAsia="en-US"/>
        </w:rPr>
      </w:pPr>
    </w:p>
    <w:p w14:paraId="2D3E99D0" w14:textId="401678CC" w:rsidR="00FC5A9F" w:rsidRPr="00BD22C2" w:rsidRDefault="00100038" w:rsidP="008565F1">
      <w:pPr>
        <w:pStyle w:val="Titre1"/>
        <w:rPr>
          <w:rFonts w:eastAsia="Calibri"/>
          <w:lang w:eastAsia="en-US"/>
        </w:rPr>
      </w:pPr>
      <w:bookmarkStart w:id="88" w:name="_Ref165037330"/>
      <w:bookmarkStart w:id="89" w:name="_Ref165131980"/>
      <w:bookmarkStart w:id="90" w:name="_Ref165281643"/>
      <w:bookmarkStart w:id="91" w:name="_Toc165301024"/>
      <w:bookmarkStart w:id="92" w:name="_Toc165636107"/>
      <w:r w:rsidRPr="00BD22C2">
        <w:rPr>
          <w:rFonts w:eastAsia="Calibri"/>
          <w:lang w:eastAsia="en-US"/>
        </w:rPr>
        <w:t>L</w:t>
      </w:r>
      <w:r w:rsidR="00FC5A9F" w:rsidRPr="00BD22C2">
        <w:rPr>
          <w:rFonts w:eastAsia="Calibri"/>
          <w:lang w:eastAsia="en-US"/>
        </w:rPr>
        <w:t>e cadre de la charte québécoise</w:t>
      </w:r>
      <w:bookmarkEnd w:id="88"/>
      <w:bookmarkEnd w:id="89"/>
      <w:bookmarkEnd w:id="90"/>
      <w:bookmarkEnd w:id="91"/>
      <w:bookmarkEnd w:id="92"/>
    </w:p>
    <w:p w14:paraId="09663CE6" w14:textId="0D545522" w:rsidR="00C220C6" w:rsidRPr="00BD22C2" w:rsidRDefault="00EE6B00" w:rsidP="00EF1CB2">
      <w:pPr>
        <w:pStyle w:val="Titre2"/>
        <w:rPr>
          <w:rFonts w:eastAsia="Calibri"/>
          <w:lang w:eastAsia="en-US"/>
        </w:rPr>
      </w:pPr>
      <w:bookmarkStart w:id="93" w:name="_Toc165301025"/>
      <w:bookmarkStart w:id="94" w:name="_Toc165636108"/>
      <w:r w:rsidRPr="00BD22C2">
        <w:rPr>
          <w:rFonts w:eastAsia="Calibri"/>
          <w:lang w:eastAsia="en-US"/>
        </w:rPr>
        <w:t>Une</w:t>
      </w:r>
      <w:r w:rsidR="008322B7" w:rsidRPr="00BD22C2">
        <w:rPr>
          <w:rFonts w:eastAsia="Calibri"/>
          <w:lang w:eastAsia="en-US"/>
        </w:rPr>
        <w:t xml:space="preserve"> protection générale offerte par </w:t>
      </w:r>
      <w:r w:rsidRPr="00BD22C2">
        <w:rPr>
          <w:rFonts w:eastAsia="Calibri"/>
          <w:lang w:eastAsia="en-US"/>
        </w:rPr>
        <w:t xml:space="preserve">un </w:t>
      </w:r>
      <w:r w:rsidR="00712F5F" w:rsidRPr="00BD22C2">
        <w:rPr>
          <w:rFonts w:eastAsia="Calibri"/>
          <w:lang w:eastAsia="en-US"/>
        </w:rPr>
        <w:t>document unique</w:t>
      </w:r>
      <w:bookmarkEnd w:id="93"/>
      <w:bookmarkEnd w:id="94"/>
    </w:p>
    <w:p w14:paraId="569E2390" w14:textId="3BD45B5B" w:rsidR="00591A8F" w:rsidRPr="00BD22C2" w:rsidRDefault="00064B49" w:rsidP="00C220C6">
      <w:pPr>
        <w:pStyle w:val="Paragraphe"/>
        <w:rPr>
          <w:rFonts w:eastAsia="Calibri"/>
          <w:lang w:val="fr-CA" w:eastAsia="en-US"/>
        </w:rPr>
      </w:pPr>
      <w:r w:rsidRPr="00BD22C2">
        <w:rPr>
          <w:rFonts w:eastAsia="Calibri"/>
          <w:lang w:val="fr-CA" w:eastAsia="en-US"/>
        </w:rPr>
        <w:t xml:space="preserve">La Charte québécoise se distingue à plusieurs égards des autres lois et codes </w:t>
      </w:r>
      <w:r w:rsidR="00430A9F" w:rsidRPr="00BD22C2">
        <w:rPr>
          <w:rFonts w:eastAsia="Calibri"/>
          <w:lang w:val="fr-CA" w:eastAsia="en-US"/>
        </w:rPr>
        <w:t>protégeant les</w:t>
      </w:r>
      <w:r w:rsidRPr="00BD22C2">
        <w:rPr>
          <w:rFonts w:eastAsia="Calibri"/>
          <w:lang w:val="fr-CA" w:eastAsia="en-US"/>
        </w:rPr>
        <w:t xml:space="preserve"> droits de la personne au Canada. Bien que les instruments adoptés dans les autres provinces portent généralement le nom de «</w:t>
      </w:r>
      <w:r w:rsidR="00974BD5" w:rsidRPr="00BD22C2">
        <w:rPr>
          <w:rFonts w:eastAsia="Calibri"/>
          <w:lang w:val="fr-CA" w:eastAsia="en-US"/>
        </w:rPr>
        <w:t> </w:t>
      </w:r>
      <w:r w:rsidRPr="00BD22C2">
        <w:rPr>
          <w:rFonts w:eastAsia="Calibri"/>
          <w:lang w:val="fr-CA" w:eastAsia="en-US"/>
        </w:rPr>
        <w:t>Loi sur les droits de la personne</w:t>
      </w:r>
      <w:r w:rsidR="00974BD5" w:rsidRPr="00BD22C2">
        <w:rPr>
          <w:rFonts w:eastAsia="Calibri"/>
          <w:lang w:val="fr-CA" w:eastAsia="en-US"/>
        </w:rPr>
        <w:t> </w:t>
      </w:r>
      <w:r w:rsidRPr="00BD22C2">
        <w:rPr>
          <w:rFonts w:eastAsia="Calibri"/>
          <w:lang w:val="fr-CA" w:eastAsia="en-US"/>
        </w:rPr>
        <w:t xml:space="preserve">», </w:t>
      </w:r>
      <w:r w:rsidR="00B63A79" w:rsidRPr="00BD22C2">
        <w:rPr>
          <w:rFonts w:eastAsia="Calibri"/>
          <w:lang w:val="fr-CA" w:eastAsia="en-US"/>
        </w:rPr>
        <w:t>ils</w:t>
      </w:r>
      <w:r w:rsidR="00502CCC" w:rsidRPr="00BD22C2">
        <w:rPr>
          <w:rFonts w:eastAsia="Calibri"/>
          <w:lang w:val="fr-CA" w:eastAsia="en-US"/>
        </w:rPr>
        <w:t xml:space="preserve"> vise</w:t>
      </w:r>
      <w:r w:rsidR="00B63A79" w:rsidRPr="00BD22C2">
        <w:rPr>
          <w:rFonts w:eastAsia="Calibri"/>
          <w:lang w:val="fr-CA" w:eastAsia="en-US"/>
        </w:rPr>
        <w:t>nt</w:t>
      </w:r>
      <w:r w:rsidR="00502CCC" w:rsidRPr="00BD22C2">
        <w:rPr>
          <w:rFonts w:eastAsia="Calibri"/>
          <w:lang w:val="fr-CA" w:eastAsia="en-US"/>
        </w:rPr>
        <w:t xml:space="preserve"> plus particulièrement la protection du</w:t>
      </w:r>
      <w:r w:rsidRPr="00BD22C2">
        <w:rPr>
          <w:rFonts w:eastAsia="Calibri"/>
          <w:lang w:val="fr-CA" w:eastAsia="en-US"/>
        </w:rPr>
        <w:t xml:space="preserve"> droit à l’égalité, ou son corollaire, la protection contre la discrimination</w:t>
      </w:r>
      <w:r w:rsidR="00F33F79" w:rsidRPr="00BD22C2">
        <w:rPr>
          <w:rStyle w:val="Appeldenotedefin"/>
          <w:rFonts w:eastAsia="Calibri"/>
          <w:lang w:val="fr-CA" w:eastAsia="en-US"/>
        </w:rPr>
        <w:endnoteReference w:id="154"/>
      </w:r>
      <w:r w:rsidR="00F33F79" w:rsidRPr="00BD22C2">
        <w:rPr>
          <w:rFonts w:eastAsia="Calibri"/>
          <w:lang w:val="fr-CA" w:eastAsia="en-US"/>
        </w:rPr>
        <w:t>.</w:t>
      </w:r>
      <w:r w:rsidRPr="00BD22C2">
        <w:rPr>
          <w:rFonts w:eastAsia="Calibri"/>
          <w:lang w:val="fr-CA" w:eastAsia="en-US"/>
        </w:rPr>
        <w:t xml:space="preserve"> La Charte québécoise a une portée beaucoup plus large</w:t>
      </w:r>
      <w:r w:rsidR="00D22373" w:rsidRPr="00BD22C2">
        <w:rPr>
          <w:rFonts w:eastAsia="Calibri"/>
          <w:lang w:val="fr-CA" w:eastAsia="en-US"/>
        </w:rPr>
        <w:t> : e</w:t>
      </w:r>
      <w:r w:rsidRPr="00BD22C2">
        <w:rPr>
          <w:rFonts w:eastAsia="Calibri"/>
          <w:lang w:val="fr-CA" w:eastAsia="en-US"/>
        </w:rPr>
        <w:t>n plus de consacrer le droit à l’égalité dans la reconnaissance et l’exercice des droits et libertés à</w:t>
      </w:r>
      <w:r w:rsidR="00AF68BB" w:rsidRPr="00BD22C2">
        <w:rPr>
          <w:rFonts w:eastAsia="Calibri"/>
          <w:lang w:val="fr-CA" w:eastAsia="en-US"/>
        </w:rPr>
        <w:t xml:space="preserve"> ses articles</w:t>
      </w:r>
      <w:r w:rsidR="00CC76DE" w:rsidRPr="00BD22C2">
        <w:rPr>
          <w:rFonts w:eastAsia="Calibri"/>
          <w:lang w:val="fr-CA" w:eastAsia="en-US"/>
        </w:rPr>
        <w:t> </w:t>
      </w:r>
      <w:r w:rsidR="00AF68BB" w:rsidRPr="00BD22C2">
        <w:rPr>
          <w:rFonts w:eastAsia="Calibri"/>
          <w:lang w:val="fr-CA" w:eastAsia="en-US"/>
        </w:rPr>
        <w:t>10 à 20, elle protège une série de</w:t>
      </w:r>
      <w:r w:rsidR="00605FF0" w:rsidRPr="00BD22C2">
        <w:rPr>
          <w:rFonts w:eastAsia="Calibri"/>
          <w:lang w:val="fr-CA" w:eastAsia="en-US"/>
        </w:rPr>
        <w:t xml:space="preserve"> libertés et</w:t>
      </w:r>
      <w:r w:rsidR="00AF68BB" w:rsidRPr="00BD22C2">
        <w:rPr>
          <w:rFonts w:eastAsia="Calibri"/>
          <w:lang w:val="fr-CA" w:eastAsia="en-US"/>
        </w:rPr>
        <w:t xml:space="preserve"> droit</w:t>
      </w:r>
      <w:r w:rsidR="000454C5" w:rsidRPr="00BD22C2">
        <w:rPr>
          <w:rFonts w:eastAsia="Calibri"/>
          <w:lang w:val="fr-CA" w:eastAsia="en-US"/>
        </w:rPr>
        <w:t xml:space="preserve">s fondamentaux </w:t>
      </w:r>
      <w:r w:rsidR="004768D3" w:rsidRPr="00BD22C2">
        <w:rPr>
          <w:rFonts w:eastAsia="Calibri"/>
          <w:lang w:val="fr-CA" w:eastAsia="en-US"/>
        </w:rPr>
        <w:t>(art.</w:t>
      </w:r>
      <w:r w:rsidR="00CC76DE" w:rsidRPr="00BD22C2">
        <w:rPr>
          <w:rFonts w:eastAsia="Calibri"/>
          <w:lang w:val="fr-CA" w:eastAsia="en-US"/>
        </w:rPr>
        <w:t> </w:t>
      </w:r>
      <w:r w:rsidR="004768D3" w:rsidRPr="00BD22C2">
        <w:rPr>
          <w:rFonts w:eastAsia="Calibri"/>
          <w:lang w:val="fr-CA" w:eastAsia="en-US"/>
        </w:rPr>
        <w:t>1</w:t>
      </w:r>
      <w:r w:rsidR="007D1884" w:rsidRPr="00BD22C2">
        <w:rPr>
          <w:rFonts w:eastAsia="Calibri"/>
          <w:lang w:val="fr-CA" w:eastAsia="en-US"/>
        </w:rPr>
        <w:t xml:space="preserve"> </w:t>
      </w:r>
      <w:r w:rsidR="004768D3" w:rsidRPr="00BD22C2">
        <w:rPr>
          <w:rFonts w:eastAsia="Calibri"/>
          <w:lang w:val="fr-CA" w:eastAsia="en-US"/>
        </w:rPr>
        <w:t>à 9)</w:t>
      </w:r>
      <w:r w:rsidR="00150975" w:rsidRPr="00BD22C2">
        <w:rPr>
          <w:rFonts w:eastAsia="Calibri"/>
          <w:lang w:val="fr-CA" w:eastAsia="en-US"/>
        </w:rPr>
        <w:t xml:space="preserve">, </w:t>
      </w:r>
      <w:r w:rsidR="009C26AF" w:rsidRPr="00BD22C2">
        <w:rPr>
          <w:rFonts w:eastAsia="Calibri"/>
          <w:lang w:val="fr-CA" w:eastAsia="en-US"/>
        </w:rPr>
        <w:t xml:space="preserve">mais aussi des droits </w:t>
      </w:r>
      <w:r w:rsidR="004521C0" w:rsidRPr="00BD22C2">
        <w:rPr>
          <w:rFonts w:eastAsia="Calibri"/>
          <w:lang w:val="fr-CA" w:eastAsia="en-US"/>
        </w:rPr>
        <w:t>politiques</w:t>
      </w:r>
      <w:r w:rsidR="00C41972" w:rsidRPr="00BD22C2">
        <w:rPr>
          <w:rFonts w:eastAsia="Calibri"/>
          <w:lang w:val="fr-CA" w:eastAsia="en-US"/>
        </w:rPr>
        <w:t xml:space="preserve"> (art.</w:t>
      </w:r>
      <w:r w:rsidR="00CC76DE" w:rsidRPr="00BD22C2">
        <w:rPr>
          <w:rFonts w:eastAsia="Calibri"/>
          <w:lang w:val="fr-CA" w:eastAsia="en-US"/>
        </w:rPr>
        <w:t> </w:t>
      </w:r>
      <w:r w:rsidR="00C41972" w:rsidRPr="00BD22C2">
        <w:rPr>
          <w:rFonts w:eastAsia="Calibri"/>
          <w:lang w:val="fr-CA" w:eastAsia="en-US"/>
        </w:rPr>
        <w:t xml:space="preserve">21 et 22), </w:t>
      </w:r>
      <w:r w:rsidR="001723C3" w:rsidRPr="00BD22C2">
        <w:rPr>
          <w:rFonts w:eastAsia="Calibri"/>
          <w:lang w:val="fr-CA" w:eastAsia="en-US"/>
        </w:rPr>
        <w:t>des droits judiciaires (art.</w:t>
      </w:r>
      <w:r w:rsidR="00CC76DE" w:rsidRPr="00BD22C2">
        <w:rPr>
          <w:rFonts w:eastAsia="Calibri"/>
          <w:lang w:val="fr-CA" w:eastAsia="en-US"/>
        </w:rPr>
        <w:t> </w:t>
      </w:r>
      <w:r w:rsidR="001723C3" w:rsidRPr="00BD22C2">
        <w:rPr>
          <w:rFonts w:eastAsia="Calibri"/>
          <w:lang w:val="fr-CA" w:eastAsia="en-US"/>
        </w:rPr>
        <w:t xml:space="preserve">23 à </w:t>
      </w:r>
      <w:r w:rsidR="001A4E23" w:rsidRPr="00BD22C2">
        <w:rPr>
          <w:rFonts w:eastAsia="Calibri"/>
          <w:lang w:val="fr-CA" w:eastAsia="en-US"/>
        </w:rPr>
        <w:t>38) et des droits économiques et sociaux</w:t>
      </w:r>
      <w:r w:rsidR="00E21FFD" w:rsidRPr="00BD22C2">
        <w:rPr>
          <w:rFonts w:eastAsia="Calibri"/>
          <w:lang w:val="fr-CA" w:eastAsia="en-US"/>
        </w:rPr>
        <w:t xml:space="preserve"> (art.</w:t>
      </w:r>
      <w:r w:rsidR="00CC76DE" w:rsidRPr="00BD22C2">
        <w:rPr>
          <w:rFonts w:eastAsia="Calibri"/>
          <w:lang w:val="fr-CA" w:eastAsia="en-US"/>
        </w:rPr>
        <w:t> </w:t>
      </w:r>
      <w:r w:rsidR="00E21FFD" w:rsidRPr="00BD22C2">
        <w:rPr>
          <w:rFonts w:eastAsia="Calibri"/>
          <w:lang w:val="fr-CA" w:eastAsia="en-US"/>
        </w:rPr>
        <w:t>39 à</w:t>
      </w:r>
      <w:r w:rsidR="00C42467" w:rsidRPr="00BD22C2">
        <w:rPr>
          <w:rFonts w:eastAsia="Calibri"/>
          <w:lang w:val="fr-CA" w:eastAsia="en-US"/>
        </w:rPr>
        <w:t xml:space="preserve"> 48). </w:t>
      </w:r>
    </w:p>
    <w:p w14:paraId="0F31712B" w14:textId="2170300F" w:rsidR="00712F5F" w:rsidRPr="00BD22C2" w:rsidRDefault="00C42467" w:rsidP="005A5B5A">
      <w:pPr>
        <w:pStyle w:val="Paragraphe"/>
        <w:rPr>
          <w:rFonts w:eastAsia="Calibri"/>
          <w:lang w:val="fr-CA"/>
        </w:rPr>
      </w:pPr>
      <w:r w:rsidRPr="00BD22C2">
        <w:rPr>
          <w:rFonts w:eastAsia="Calibri"/>
          <w:lang w:val="fr-CA"/>
        </w:rPr>
        <w:lastRenderedPageBreak/>
        <w:t>La Charte québécoise se disting</w:t>
      </w:r>
      <w:r w:rsidR="007E06B5" w:rsidRPr="00BD22C2">
        <w:rPr>
          <w:rFonts w:eastAsia="Calibri"/>
          <w:lang w:val="fr-CA"/>
        </w:rPr>
        <w:t>ue également de la Charte canadienn</w:t>
      </w:r>
      <w:r w:rsidR="00F672DB" w:rsidRPr="00BD22C2">
        <w:rPr>
          <w:rFonts w:eastAsia="Calibri"/>
          <w:lang w:val="fr-CA"/>
        </w:rPr>
        <w:t>e</w:t>
      </w:r>
      <w:r w:rsidR="00F33F79" w:rsidRPr="00BD22C2">
        <w:rPr>
          <w:rStyle w:val="Appeldenotedefin"/>
          <w:rFonts w:eastAsia="Calibri"/>
          <w:lang w:val="fr-CA"/>
        </w:rPr>
        <w:endnoteReference w:id="155"/>
      </w:r>
      <w:r w:rsidR="00F33F79" w:rsidRPr="00BD22C2">
        <w:rPr>
          <w:rFonts w:eastAsia="Calibri"/>
          <w:lang w:val="fr-CA"/>
        </w:rPr>
        <w:t>.</w:t>
      </w:r>
      <w:r w:rsidR="00F672DB" w:rsidRPr="00BD22C2">
        <w:rPr>
          <w:rFonts w:eastAsia="Calibri"/>
          <w:lang w:val="fr-CA"/>
        </w:rPr>
        <w:t xml:space="preserve"> En effet, </w:t>
      </w:r>
      <w:r w:rsidR="00F672DB" w:rsidRPr="00BD22C2" w:rsidDel="00CB1597">
        <w:rPr>
          <w:rFonts w:eastAsia="Calibri"/>
          <w:lang w:val="fr-CA"/>
        </w:rPr>
        <w:t>s</w:t>
      </w:r>
      <w:r w:rsidR="00F672DB" w:rsidRPr="00BD22C2" w:rsidDel="002832BF">
        <w:rPr>
          <w:rFonts w:eastAsia="Calibri"/>
          <w:lang w:val="fr-CA"/>
        </w:rPr>
        <w:t>i</w:t>
      </w:r>
      <w:r w:rsidR="00F672DB" w:rsidRPr="00BD22C2">
        <w:rPr>
          <w:rFonts w:eastAsia="Calibri"/>
          <w:lang w:val="fr-CA"/>
        </w:rPr>
        <w:t xml:space="preserve"> cette dernière ne s’applique qu’à l’action gouvernementale, </w:t>
      </w:r>
      <w:r w:rsidR="00E3184D" w:rsidRPr="00BD22C2">
        <w:rPr>
          <w:rFonts w:eastAsia="Calibri"/>
          <w:lang w:val="fr-CA"/>
        </w:rPr>
        <w:t xml:space="preserve">la première </w:t>
      </w:r>
      <w:r w:rsidR="008F7B8A" w:rsidRPr="00BD22C2">
        <w:rPr>
          <w:rFonts w:eastAsia="Calibri"/>
          <w:lang w:val="fr-CA"/>
        </w:rPr>
        <w:t>couvre en plus tous les rapports relevant du domaine privé</w:t>
      </w:r>
      <w:r w:rsidR="00615E91" w:rsidRPr="00BD22C2">
        <w:rPr>
          <w:rFonts w:eastAsia="Calibri"/>
          <w:lang w:val="fr-CA"/>
        </w:rPr>
        <w:t>, sous réserve des champs de compétence de la province</w:t>
      </w:r>
      <w:r w:rsidR="00F33F79" w:rsidRPr="00BD22C2">
        <w:rPr>
          <w:rStyle w:val="Appeldenotedefin"/>
          <w:rFonts w:eastAsia="Calibri"/>
          <w:lang w:val="fr-CA"/>
        </w:rPr>
        <w:endnoteReference w:id="156"/>
      </w:r>
      <w:r w:rsidR="00F33F79" w:rsidRPr="00BD22C2">
        <w:rPr>
          <w:rFonts w:eastAsia="Calibri"/>
          <w:lang w:val="fr-CA"/>
        </w:rPr>
        <w:t>.</w:t>
      </w:r>
      <w:r w:rsidR="008F7B8A" w:rsidRPr="00BD22C2">
        <w:rPr>
          <w:rFonts w:eastAsia="Calibri"/>
          <w:lang w:val="fr-CA"/>
        </w:rPr>
        <w:t xml:space="preserve"> </w:t>
      </w:r>
      <w:r w:rsidR="00502EFA" w:rsidRPr="00BD22C2">
        <w:rPr>
          <w:rFonts w:eastAsia="Calibri"/>
          <w:lang w:val="fr-CA"/>
        </w:rPr>
        <w:t xml:space="preserve">L’une comme l’autre dispose cependant d’un statut </w:t>
      </w:r>
      <w:proofErr w:type="spellStart"/>
      <w:r w:rsidR="00502EFA" w:rsidRPr="00BD22C2">
        <w:rPr>
          <w:rFonts w:eastAsia="Calibri"/>
          <w:lang w:val="fr-CA"/>
        </w:rPr>
        <w:t>supralégislatif</w:t>
      </w:r>
      <w:proofErr w:type="spellEnd"/>
      <w:r w:rsidR="00907603" w:rsidRPr="00BD22C2">
        <w:rPr>
          <w:rFonts w:eastAsia="Calibri"/>
          <w:lang w:val="fr-CA"/>
        </w:rPr>
        <w:t xml:space="preserve">. </w:t>
      </w:r>
      <w:r w:rsidR="001A5DEB" w:rsidRPr="00BD22C2">
        <w:rPr>
          <w:rFonts w:eastAsia="Calibri"/>
          <w:lang w:val="fr-CA"/>
        </w:rPr>
        <w:t>Ainsi, l’article</w:t>
      </w:r>
      <w:r w:rsidR="00CC76DE" w:rsidRPr="00BD22C2">
        <w:rPr>
          <w:rFonts w:eastAsia="Calibri"/>
          <w:lang w:val="fr-CA"/>
        </w:rPr>
        <w:t> </w:t>
      </w:r>
      <w:r w:rsidR="001A5DEB" w:rsidRPr="00BD22C2">
        <w:rPr>
          <w:rFonts w:eastAsia="Calibri"/>
          <w:lang w:val="fr-CA"/>
        </w:rPr>
        <w:t>52</w:t>
      </w:r>
      <w:r w:rsidR="002236A7" w:rsidRPr="00BD22C2">
        <w:rPr>
          <w:rFonts w:eastAsia="Calibri"/>
          <w:lang w:val="fr-CA"/>
        </w:rPr>
        <w:t xml:space="preserve"> de la Charte </w:t>
      </w:r>
      <w:r w:rsidR="001A5DEB" w:rsidRPr="00BD22C2">
        <w:rPr>
          <w:rFonts w:eastAsia="Calibri"/>
          <w:lang w:val="fr-CA"/>
        </w:rPr>
        <w:t>québécoise prév</w:t>
      </w:r>
      <w:r w:rsidR="00210429" w:rsidRPr="00BD22C2">
        <w:rPr>
          <w:rFonts w:eastAsia="Calibri"/>
          <w:lang w:val="fr-CA"/>
        </w:rPr>
        <w:t xml:space="preserve">oit </w:t>
      </w:r>
      <w:r w:rsidR="006362E2" w:rsidRPr="00BD22C2">
        <w:rPr>
          <w:rFonts w:eastAsia="Calibri"/>
          <w:lang w:val="fr-CA"/>
        </w:rPr>
        <w:t>explicitement que</w:t>
      </w:r>
      <w:r w:rsidR="00210429" w:rsidRPr="00BD22C2">
        <w:rPr>
          <w:rFonts w:eastAsia="Calibri"/>
          <w:lang w:val="fr-CA"/>
        </w:rPr>
        <w:t xml:space="preserve"> </w:t>
      </w:r>
      <w:r w:rsidR="00F758AD" w:rsidRPr="00BD22C2">
        <w:rPr>
          <w:rFonts w:eastAsia="Calibri"/>
          <w:lang w:val="fr-CA"/>
        </w:rPr>
        <w:t xml:space="preserve">les droits et libertés consacrés </w:t>
      </w:r>
      <w:r w:rsidR="00217A8F" w:rsidRPr="00BD22C2">
        <w:rPr>
          <w:rFonts w:eastAsia="Calibri"/>
          <w:lang w:val="fr-CA"/>
        </w:rPr>
        <w:t>aux articles</w:t>
      </w:r>
      <w:r w:rsidR="00CC76DE" w:rsidRPr="00BD22C2">
        <w:rPr>
          <w:rFonts w:eastAsia="Calibri"/>
          <w:lang w:val="fr-CA"/>
        </w:rPr>
        <w:t> </w:t>
      </w:r>
      <w:r w:rsidR="00217A8F" w:rsidRPr="00BD22C2">
        <w:rPr>
          <w:rFonts w:eastAsia="Calibri"/>
          <w:lang w:val="fr-CA"/>
        </w:rPr>
        <w:t xml:space="preserve">1 à 38 de </w:t>
      </w:r>
      <w:r w:rsidR="00F758AD" w:rsidRPr="00BD22C2">
        <w:rPr>
          <w:rFonts w:eastAsia="Calibri"/>
          <w:lang w:val="fr-CA"/>
        </w:rPr>
        <w:t>la Charte ont prépondérance</w:t>
      </w:r>
      <w:r w:rsidR="002236A7" w:rsidRPr="00BD22C2">
        <w:rPr>
          <w:rFonts w:eastAsia="Calibri"/>
          <w:lang w:val="fr-CA"/>
        </w:rPr>
        <w:t xml:space="preserve"> sur l’ensemble des lois québécoises</w:t>
      </w:r>
      <w:r w:rsidR="00A12ADA" w:rsidRPr="00BD22C2">
        <w:rPr>
          <w:rFonts w:eastAsia="Calibri"/>
          <w:lang w:val="fr-CA"/>
        </w:rPr>
        <w:t xml:space="preserve">, même </w:t>
      </w:r>
      <w:r w:rsidR="00BB218A" w:rsidRPr="00BD22C2">
        <w:rPr>
          <w:rFonts w:eastAsia="Calibri"/>
          <w:lang w:val="fr-CA"/>
        </w:rPr>
        <w:t>postérieures</w:t>
      </w:r>
      <w:r w:rsidR="003C5D48" w:rsidRPr="00BD22C2">
        <w:rPr>
          <w:rFonts w:eastAsia="Calibri"/>
          <w:lang w:val="fr-CA"/>
        </w:rPr>
        <w:t xml:space="preserve">. </w:t>
      </w:r>
      <w:r w:rsidR="00C91A7E" w:rsidRPr="00BD22C2">
        <w:rPr>
          <w:rFonts w:eastAsia="Calibri"/>
          <w:lang w:val="fr-CA"/>
        </w:rPr>
        <w:t xml:space="preserve">Compte tenu de son caractère </w:t>
      </w:r>
      <w:r w:rsidR="00493A74" w:rsidRPr="00BD22C2">
        <w:rPr>
          <w:rFonts w:eastAsia="Calibri"/>
          <w:lang w:val="fr-CA"/>
        </w:rPr>
        <w:t xml:space="preserve">fondamental et </w:t>
      </w:r>
      <w:r w:rsidR="00C91A7E" w:rsidRPr="00BD22C2">
        <w:rPr>
          <w:rFonts w:eastAsia="Calibri"/>
          <w:lang w:val="fr-CA"/>
        </w:rPr>
        <w:t>quasi</w:t>
      </w:r>
      <w:r w:rsidR="007D1884" w:rsidRPr="00BD22C2">
        <w:rPr>
          <w:rFonts w:eastAsia="Calibri"/>
          <w:lang w:val="fr-CA"/>
        </w:rPr>
        <w:t xml:space="preserve"> </w:t>
      </w:r>
      <w:r w:rsidR="00C91A7E" w:rsidRPr="00BD22C2">
        <w:rPr>
          <w:rFonts w:eastAsia="Calibri"/>
          <w:lang w:val="fr-CA"/>
        </w:rPr>
        <w:t>constitutionnel</w:t>
      </w:r>
      <w:r w:rsidR="00493A74" w:rsidRPr="00BD22C2">
        <w:rPr>
          <w:rFonts w:eastAsia="Calibri"/>
          <w:lang w:val="fr-CA"/>
        </w:rPr>
        <w:t xml:space="preserve">, les tribunaux </w:t>
      </w:r>
      <w:r w:rsidR="005632E4" w:rsidRPr="00BD22C2">
        <w:rPr>
          <w:rFonts w:eastAsia="Calibri"/>
          <w:lang w:val="fr-CA"/>
        </w:rPr>
        <w:t xml:space="preserve">ont reconnu qu’elle doit s’interpréter </w:t>
      </w:r>
      <w:r w:rsidR="002645D7" w:rsidRPr="00BD22C2">
        <w:rPr>
          <w:rFonts w:eastAsia="Calibri"/>
          <w:lang w:val="fr-CA"/>
        </w:rPr>
        <w:t>largement, à la lumière de ses objectifs et de son contexte</w:t>
      </w:r>
      <w:r w:rsidR="002E214F" w:rsidRPr="00BD22C2">
        <w:rPr>
          <w:rStyle w:val="Appeldenotedefin"/>
          <w:rFonts w:eastAsia="Calibri"/>
          <w:lang w:val="fr-CA"/>
        </w:rPr>
        <w:endnoteReference w:id="157"/>
      </w:r>
      <w:r w:rsidR="002E214F" w:rsidRPr="00BD22C2">
        <w:rPr>
          <w:rFonts w:eastAsia="Calibri"/>
          <w:lang w:val="fr-CA"/>
        </w:rPr>
        <w:t>.</w:t>
      </w:r>
      <w:r w:rsidR="002645D7" w:rsidRPr="00BD22C2">
        <w:rPr>
          <w:rFonts w:eastAsia="Calibri"/>
          <w:lang w:val="fr-CA"/>
        </w:rPr>
        <w:t xml:space="preserve"> </w:t>
      </w:r>
    </w:p>
    <w:p w14:paraId="1BE456EA" w14:textId="2ABE47DC" w:rsidR="00C220C6" w:rsidRPr="00BD22C2" w:rsidRDefault="00C220C6" w:rsidP="005A5B5A">
      <w:pPr>
        <w:pStyle w:val="Paragraphe"/>
        <w:rPr>
          <w:rFonts w:eastAsia="Calibri"/>
          <w:lang w:val="fr-CA"/>
        </w:rPr>
      </w:pPr>
      <w:r w:rsidRPr="00BD22C2">
        <w:rPr>
          <w:rFonts w:eastAsia="Calibri"/>
          <w:lang w:val="fr-CA"/>
        </w:rPr>
        <w:t xml:space="preserve">La Charte </w:t>
      </w:r>
      <w:r w:rsidR="006B41E9" w:rsidRPr="00BD22C2">
        <w:rPr>
          <w:rFonts w:eastAsia="Calibri"/>
          <w:lang w:val="fr-CA"/>
        </w:rPr>
        <w:t>québécoise</w:t>
      </w:r>
      <w:r w:rsidRPr="00BD22C2">
        <w:rPr>
          <w:rFonts w:eastAsia="Calibri"/>
          <w:lang w:val="fr-CA"/>
        </w:rPr>
        <w:t xml:space="preserve"> </w:t>
      </w:r>
      <w:r w:rsidR="00110927" w:rsidRPr="00BD22C2">
        <w:rPr>
          <w:rFonts w:eastAsia="Calibri"/>
          <w:lang w:val="fr-CA"/>
        </w:rPr>
        <w:t>(ci-après</w:t>
      </w:r>
      <w:r w:rsidR="00AC4135" w:rsidRPr="00BD22C2">
        <w:rPr>
          <w:rFonts w:eastAsia="Calibri"/>
          <w:lang w:val="fr-CA"/>
        </w:rPr>
        <w:t> </w:t>
      </w:r>
      <w:r w:rsidR="00A9779C">
        <w:rPr>
          <w:rFonts w:eastAsia="Calibri"/>
          <w:lang w:val="fr-CA"/>
        </w:rPr>
        <w:t>«</w:t>
      </w:r>
      <w:r w:rsidR="00444FEB">
        <w:rPr>
          <w:rFonts w:eastAsia="Calibri"/>
          <w:lang w:val="fr-CA"/>
        </w:rPr>
        <w:t> </w:t>
      </w:r>
      <w:r w:rsidR="00A9779C">
        <w:rPr>
          <w:rFonts w:eastAsia="Calibri"/>
          <w:lang w:val="fr-CA"/>
        </w:rPr>
        <w:t>l</w:t>
      </w:r>
      <w:r w:rsidR="00AC4135" w:rsidRPr="00BD22C2">
        <w:rPr>
          <w:rFonts w:eastAsia="Calibri"/>
          <w:lang w:val="fr-CA"/>
        </w:rPr>
        <w:t>a Charte</w:t>
      </w:r>
      <w:r w:rsidR="00444FEB">
        <w:rPr>
          <w:rFonts w:eastAsia="Calibri"/>
          <w:lang w:val="fr-CA"/>
        </w:rPr>
        <w:t> </w:t>
      </w:r>
      <w:r w:rsidR="00A9779C">
        <w:rPr>
          <w:rFonts w:eastAsia="Calibri"/>
          <w:lang w:val="fr-CA"/>
        </w:rPr>
        <w:t>»</w:t>
      </w:r>
      <w:r w:rsidR="00AC4135" w:rsidRPr="00BD22C2">
        <w:rPr>
          <w:rFonts w:eastAsia="Calibri"/>
          <w:lang w:val="fr-CA"/>
        </w:rPr>
        <w:t xml:space="preserve">) </w:t>
      </w:r>
      <w:r w:rsidRPr="00BD22C2">
        <w:rPr>
          <w:rFonts w:eastAsia="Calibri"/>
          <w:lang w:val="fr-CA"/>
        </w:rPr>
        <w:t>protège les personnes trans et non binaires, comme toute personne</w:t>
      </w:r>
      <w:r w:rsidR="00AA6DE1" w:rsidRPr="00BD22C2">
        <w:rPr>
          <w:rStyle w:val="Appeldenotedefin"/>
          <w:rFonts w:eastAsia="Calibri"/>
          <w:lang w:val="fr-CA"/>
        </w:rPr>
        <w:endnoteReference w:id="158"/>
      </w:r>
      <w:r w:rsidR="00AA6DE1" w:rsidRPr="00BD22C2">
        <w:rPr>
          <w:rFonts w:eastAsia="Calibri"/>
          <w:lang w:val="fr-CA"/>
        </w:rPr>
        <w:t>.</w:t>
      </w:r>
      <w:r w:rsidR="00444066" w:rsidRPr="00BD22C2">
        <w:rPr>
          <w:rFonts w:eastAsia="Calibri"/>
          <w:lang w:val="fr-CA"/>
        </w:rPr>
        <w:t xml:space="preserve"> </w:t>
      </w:r>
      <w:r w:rsidRPr="00BD22C2">
        <w:rPr>
          <w:rFonts w:eastAsia="Calibri"/>
          <w:lang w:val="fr-CA"/>
        </w:rPr>
        <w:t xml:space="preserve">Cela signifie qu’elles bénéficient de la protection </w:t>
      </w:r>
      <w:r w:rsidR="0085573E" w:rsidRPr="00BD22C2">
        <w:rPr>
          <w:rFonts w:eastAsia="Calibri"/>
          <w:lang w:val="fr-CA"/>
        </w:rPr>
        <w:t>de l’ensemble</w:t>
      </w:r>
      <w:r w:rsidRPr="00BD22C2">
        <w:rPr>
          <w:rFonts w:eastAsia="Calibri"/>
          <w:lang w:val="fr-CA"/>
        </w:rPr>
        <w:t xml:space="preserve"> des libertés et droits</w:t>
      </w:r>
      <w:r w:rsidR="0085573E" w:rsidRPr="00BD22C2">
        <w:rPr>
          <w:rFonts w:eastAsia="Calibri"/>
          <w:lang w:val="fr-CA"/>
        </w:rPr>
        <w:t>, notamment les</w:t>
      </w:r>
      <w:r w:rsidRPr="00BD22C2">
        <w:rPr>
          <w:rFonts w:eastAsia="Calibri"/>
          <w:lang w:val="fr-CA"/>
        </w:rPr>
        <w:t xml:space="preserve"> suivants :  </w:t>
      </w:r>
    </w:p>
    <w:p w14:paraId="2C5EDEC5" w14:textId="452858D8" w:rsidR="005A5B5A" w:rsidRPr="00BD22C2" w:rsidRDefault="00D26079" w:rsidP="005A5B5A">
      <w:pPr>
        <w:pStyle w:val="Paragraphe"/>
        <w:numPr>
          <w:ilvl w:val="0"/>
          <w:numId w:val="11"/>
        </w:numPr>
        <w:spacing w:line="240" w:lineRule="auto"/>
        <w:ind w:left="714" w:hanging="357"/>
        <w:rPr>
          <w:rFonts w:eastAsia="Calibri"/>
          <w:lang w:val="fr-CA" w:eastAsia="en-US"/>
        </w:rPr>
      </w:pPr>
      <w:r w:rsidRPr="00BD22C2">
        <w:rPr>
          <w:rFonts w:eastAsia="Calibri"/>
          <w:lang w:val="fr-CA" w:eastAsia="en-US"/>
        </w:rPr>
        <w:t>le</w:t>
      </w:r>
      <w:r w:rsidR="00C220C6" w:rsidRPr="00BD22C2">
        <w:rPr>
          <w:rFonts w:eastAsia="Calibri"/>
          <w:lang w:val="fr-CA" w:eastAsia="en-US"/>
        </w:rPr>
        <w:t xml:space="preserve"> droit à la sûreté, à l’intégrité et à la liberté de sa personne (art.</w:t>
      </w:r>
      <w:r w:rsidR="00CC76DE" w:rsidRPr="00BD22C2">
        <w:rPr>
          <w:rFonts w:eastAsia="Calibri"/>
          <w:lang w:val="fr-CA" w:eastAsia="en-US"/>
        </w:rPr>
        <w:t> </w:t>
      </w:r>
      <w:r w:rsidR="00C220C6" w:rsidRPr="00BD22C2">
        <w:rPr>
          <w:rFonts w:eastAsia="Calibri"/>
          <w:lang w:val="fr-CA" w:eastAsia="en-US"/>
        </w:rPr>
        <w:t>1)</w:t>
      </w:r>
      <w:r w:rsidRPr="00BD22C2">
        <w:rPr>
          <w:rFonts w:eastAsia="Calibri"/>
          <w:lang w:val="fr-CA" w:eastAsia="en-US"/>
        </w:rPr>
        <w:t>,</w:t>
      </w:r>
    </w:p>
    <w:p w14:paraId="415CEDBC" w14:textId="6F64FC68" w:rsidR="005A5B5A" w:rsidRPr="00BD22C2" w:rsidRDefault="00D26079" w:rsidP="005A5B5A">
      <w:pPr>
        <w:pStyle w:val="Paragraphe"/>
        <w:numPr>
          <w:ilvl w:val="0"/>
          <w:numId w:val="11"/>
        </w:numPr>
        <w:spacing w:line="240" w:lineRule="auto"/>
        <w:ind w:left="714" w:hanging="357"/>
        <w:rPr>
          <w:rFonts w:eastAsia="Calibri"/>
          <w:lang w:val="fr-CA" w:eastAsia="en-US"/>
        </w:rPr>
      </w:pPr>
      <w:r w:rsidRPr="00BD22C2">
        <w:rPr>
          <w:rFonts w:eastAsia="Calibri"/>
          <w:lang w:val="fr-CA" w:eastAsia="en-US"/>
        </w:rPr>
        <w:t xml:space="preserve">la </w:t>
      </w:r>
      <w:r w:rsidR="00C220C6" w:rsidRPr="00BD22C2">
        <w:rPr>
          <w:rFonts w:eastAsia="Calibri"/>
          <w:lang w:val="fr-CA" w:eastAsia="en-US"/>
        </w:rPr>
        <w:t>liberté d’expression (art.</w:t>
      </w:r>
      <w:r w:rsidR="00CC76DE" w:rsidRPr="00BD22C2">
        <w:rPr>
          <w:rFonts w:eastAsia="Calibri"/>
          <w:lang w:val="fr-CA" w:eastAsia="en-US"/>
        </w:rPr>
        <w:t> </w:t>
      </w:r>
      <w:r w:rsidR="00C220C6" w:rsidRPr="00BD22C2">
        <w:rPr>
          <w:rFonts w:eastAsia="Calibri"/>
          <w:lang w:val="fr-CA" w:eastAsia="en-US"/>
        </w:rPr>
        <w:t>3),</w:t>
      </w:r>
    </w:p>
    <w:p w14:paraId="51368317" w14:textId="103405AA" w:rsidR="005A5B5A" w:rsidRPr="00BD22C2" w:rsidRDefault="00D26079" w:rsidP="005A5B5A">
      <w:pPr>
        <w:pStyle w:val="Paragraphe"/>
        <w:numPr>
          <w:ilvl w:val="0"/>
          <w:numId w:val="11"/>
        </w:numPr>
        <w:spacing w:line="240" w:lineRule="auto"/>
        <w:ind w:left="714" w:hanging="357"/>
        <w:rPr>
          <w:rFonts w:eastAsia="Calibri"/>
          <w:lang w:val="fr-CA" w:eastAsia="en-US"/>
        </w:rPr>
      </w:pPr>
      <w:r w:rsidRPr="00BD22C2">
        <w:rPr>
          <w:rFonts w:eastAsia="Calibri"/>
          <w:lang w:val="fr-CA" w:eastAsia="en-US"/>
        </w:rPr>
        <w:t>l</w:t>
      </w:r>
      <w:r w:rsidR="005A5B5A" w:rsidRPr="00BD22C2">
        <w:rPr>
          <w:rFonts w:eastAsia="Calibri"/>
          <w:lang w:val="fr-CA" w:eastAsia="en-US"/>
        </w:rPr>
        <w:t>e</w:t>
      </w:r>
      <w:r w:rsidR="00C220C6" w:rsidRPr="00BD22C2">
        <w:rPr>
          <w:rFonts w:eastAsia="Calibri"/>
          <w:lang w:val="fr-CA" w:eastAsia="en-US"/>
        </w:rPr>
        <w:t xml:space="preserve"> droit à la sauvegarde de sa dignité (art.</w:t>
      </w:r>
      <w:r w:rsidR="00CC76DE" w:rsidRPr="00BD22C2">
        <w:rPr>
          <w:rFonts w:eastAsia="Calibri"/>
          <w:lang w:val="fr-CA" w:eastAsia="en-US"/>
        </w:rPr>
        <w:t> </w:t>
      </w:r>
      <w:r w:rsidR="00C220C6" w:rsidRPr="00BD22C2">
        <w:rPr>
          <w:rFonts w:eastAsia="Calibri"/>
          <w:lang w:val="fr-CA" w:eastAsia="en-US"/>
        </w:rPr>
        <w:t>4),</w:t>
      </w:r>
    </w:p>
    <w:p w14:paraId="1D66A8D6" w14:textId="36CA032E" w:rsidR="005A5B5A" w:rsidRPr="00BD22C2" w:rsidRDefault="00C220C6" w:rsidP="005A5B5A">
      <w:pPr>
        <w:pStyle w:val="Paragraphe"/>
        <w:numPr>
          <w:ilvl w:val="0"/>
          <w:numId w:val="11"/>
        </w:numPr>
        <w:spacing w:line="240" w:lineRule="auto"/>
        <w:ind w:left="714" w:hanging="357"/>
        <w:rPr>
          <w:rFonts w:eastAsia="Calibri"/>
          <w:lang w:val="fr-CA" w:eastAsia="en-US"/>
        </w:rPr>
      </w:pPr>
      <w:r w:rsidRPr="00BD22C2">
        <w:rPr>
          <w:rFonts w:eastAsia="Calibri"/>
          <w:lang w:val="fr-CA" w:eastAsia="en-US"/>
        </w:rPr>
        <w:t xml:space="preserve"> </w:t>
      </w:r>
      <w:r w:rsidR="00D26079" w:rsidRPr="00BD22C2">
        <w:rPr>
          <w:rFonts w:eastAsia="Calibri"/>
          <w:lang w:val="fr-CA" w:eastAsia="en-US"/>
        </w:rPr>
        <w:t>l</w:t>
      </w:r>
      <w:r w:rsidR="005A5B5A" w:rsidRPr="00BD22C2">
        <w:rPr>
          <w:rFonts w:eastAsia="Calibri"/>
          <w:lang w:val="fr-CA" w:eastAsia="en-US"/>
        </w:rPr>
        <w:t>e</w:t>
      </w:r>
      <w:r w:rsidRPr="00BD22C2">
        <w:rPr>
          <w:rFonts w:eastAsia="Calibri"/>
          <w:lang w:val="fr-CA" w:eastAsia="en-US"/>
        </w:rPr>
        <w:t xml:space="preserve"> droit au respect de sa vie privée (art.</w:t>
      </w:r>
      <w:r w:rsidR="00CC76DE" w:rsidRPr="00BD22C2">
        <w:rPr>
          <w:rFonts w:eastAsia="Calibri"/>
          <w:lang w:val="fr-CA" w:eastAsia="en-US"/>
        </w:rPr>
        <w:t> </w:t>
      </w:r>
      <w:r w:rsidRPr="00BD22C2">
        <w:rPr>
          <w:rFonts w:eastAsia="Calibri"/>
          <w:lang w:val="fr-CA" w:eastAsia="en-US"/>
        </w:rPr>
        <w:t xml:space="preserve">5), </w:t>
      </w:r>
    </w:p>
    <w:p w14:paraId="1390B8C1" w14:textId="77777777" w:rsidR="00F74669" w:rsidRPr="00BD22C2" w:rsidRDefault="00D26079" w:rsidP="005A5B5A">
      <w:pPr>
        <w:pStyle w:val="Paragraphe"/>
        <w:numPr>
          <w:ilvl w:val="0"/>
          <w:numId w:val="11"/>
        </w:numPr>
        <w:spacing w:line="240" w:lineRule="auto"/>
        <w:ind w:left="714" w:hanging="357"/>
        <w:rPr>
          <w:rFonts w:eastAsia="Calibri"/>
          <w:lang w:val="fr-CA" w:eastAsia="en-US"/>
        </w:rPr>
      </w:pPr>
      <w:r w:rsidRPr="00BD22C2">
        <w:rPr>
          <w:rFonts w:eastAsia="Calibri"/>
          <w:lang w:val="fr-CA" w:eastAsia="en-US"/>
        </w:rPr>
        <w:t>l</w:t>
      </w:r>
      <w:r w:rsidR="005A5B5A" w:rsidRPr="00BD22C2">
        <w:rPr>
          <w:rFonts w:eastAsia="Calibri"/>
          <w:lang w:val="fr-CA" w:eastAsia="en-US"/>
        </w:rPr>
        <w:t>e</w:t>
      </w:r>
      <w:r w:rsidR="00C220C6" w:rsidRPr="00BD22C2">
        <w:rPr>
          <w:rFonts w:eastAsia="Calibri"/>
          <w:lang w:val="fr-CA" w:eastAsia="en-US"/>
        </w:rPr>
        <w:t xml:space="preserve"> droit à l’instruction publique gratuite (art.</w:t>
      </w:r>
      <w:r w:rsidR="00CC76DE" w:rsidRPr="00BD22C2">
        <w:rPr>
          <w:rFonts w:eastAsia="Calibri"/>
          <w:lang w:val="fr-CA" w:eastAsia="en-US"/>
        </w:rPr>
        <w:t> </w:t>
      </w:r>
      <w:r w:rsidR="00C220C6" w:rsidRPr="00BD22C2">
        <w:rPr>
          <w:rFonts w:eastAsia="Calibri"/>
          <w:lang w:val="fr-CA" w:eastAsia="en-US"/>
        </w:rPr>
        <w:t xml:space="preserve">40) </w:t>
      </w:r>
    </w:p>
    <w:p w14:paraId="21E720D5" w14:textId="029B1C13" w:rsidR="00C220C6" w:rsidRPr="00BD22C2" w:rsidRDefault="00C220C6" w:rsidP="005A5B5A">
      <w:pPr>
        <w:pStyle w:val="Paragraphe"/>
        <w:numPr>
          <w:ilvl w:val="0"/>
          <w:numId w:val="11"/>
        </w:numPr>
        <w:spacing w:line="240" w:lineRule="auto"/>
        <w:ind w:left="714" w:hanging="357"/>
        <w:rPr>
          <w:rFonts w:eastAsia="Calibri"/>
          <w:lang w:val="fr-CA" w:eastAsia="en-US"/>
        </w:rPr>
      </w:pPr>
      <w:r w:rsidRPr="00BD22C2">
        <w:rPr>
          <w:rFonts w:eastAsia="Calibri"/>
          <w:lang w:val="fr-CA" w:eastAsia="en-US"/>
        </w:rPr>
        <w:t>et le droit à un niveau de vie décent (art.</w:t>
      </w:r>
      <w:r w:rsidR="00CC76DE" w:rsidRPr="00BD22C2">
        <w:rPr>
          <w:rFonts w:eastAsia="Calibri"/>
          <w:lang w:val="fr-CA" w:eastAsia="en-US"/>
        </w:rPr>
        <w:t> </w:t>
      </w:r>
      <w:r w:rsidRPr="00BD22C2">
        <w:rPr>
          <w:rFonts w:eastAsia="Calibri"/>
          <w:lang w:val="fr-CA" w:eastAsia="en-US"/>
        </w:rPr>
        <w:t xml:space="preserve">45). </w:t>
      </w:r>
    </w:p>
    <w:p w14:paraId="3AE34C58" w14:textId="55E90A1C" w:rsidR="00C220C6" w:rsidRPr="00BD22C2" w:rsidRDefault="00C220C6" w:rsidP="005A5B5A">
      <w:pPr>
        <w:pStyle w:val="Paragraphe"/>
        <w:rPr>
          <w:rFonts w:eastAsia="Calibri"/>
          <w:lang w:val="fr-CA"/>
        </w:rPr>
      </w:pPr>
      <w:r w:rsidRPr="00BD22C2">
        <w:rPr>
          <w:rFonts w:eastAsia="Calibri"/>
          <w:lang w:val="fr-CA"/>
        </w:rPr>
        <w:t>L’enfant trans ou non binaire bénéficie de plus, comme tous les enfants, du droit à la protection, à la sécurité et à l’attention que ses parents ou les personnes qui en tiennent lieu peuvent lui donner (art.</w:t>
      </w:r>
      <w:r w:rsidR="00CC76DE" w:rsidRPr="00BD22C2">
        <w:rPr>
          <w:rFonts w:eastAsia="Calibri"/>
          <w:lang w:val="fr-CA"/>
        </w:rPr>
        <w:t> </w:t>
      </w:r>
      <w:r w:rsidRPr="00BD22C2">
        <w:rPr>
          <w:rFonts w:eastAsia="Calibri"/>
          <w:lang w:val="fr-CA"/>
        </w:rPr>
        <w:t>39). La Charte prévoit aussi que, dans le respect des droits de leurs enfants et de l’intérêt de ceux-ci, les parents ou les personnes qui en tiennent lieu ont le droit d’assurer l’éducation religieuse et morale de leurs enfants conformément à leurs convictions (art.</w:t>
      </w:r>
      <w:r w:rsidR="00CC76DE" w:rsidRPr="00BD22C2">
        <w:rPr>
          <w:rFonts w:eastAsia="Calibri"/>
          <w:lang w:val="fr-CA"/>
        </w:rPr>
        <w:t> </w:t>
      </w:r>
      <w:r w:rsidRPr="00BD22C2">
        <w:rPr>
          <w:rFonts w:eastAsia="Calibri"/>
          <w:lang w:val="fr-CA"/>
        </w:rPr>
        <w:t>41).</w:t>
      </w:r>
    </w:p>
    <w:p w14:paraId="3CF491F4" w14:textId="3917FB30" w:rsidR="00C220C6" w:rsidRPr="00BD22C2" w:rsidRDefault="00C220C6" w:rsidP="00EF1CB2">
      <w:pPr>
        <w:pStyle w:val="Titre2"/>
        <w:rPr>
          <w:rFonts w:eastAsia="Calibri"/>
          <w:lang w:eastAsia="en-US"/>
        </w:rPr>
      </w:pPr>
      <w:bookmarkStart w:id="95" w:name="_Toc165301026"/>
      <w:bookmarkStart w:id="96" w:name="_Toc165636109"/>
      <w:r w:rsidRPr="00BD22C2">
        <w:rPr>
          <w:rFonts w:eastAsia="Calibri"/>
          <w:lang w:eastAsia="en-US"/>
        </w:rPr>
        <w:t xml:space="preserve">Une protection spécifique </w:t>
      </w:r>
      <w:r w:rsidR="00372623" w:rsidRPr="00BD22C2">
        <w:rPr>
          <w:rFonts w:eastAsia="Calibri"/>
          <w:lang w:eastAsia="en-US"/>
        </w:rPr>
        <w:t>contre la discrimination</w:t>
      </w:r>
      <w:bookmarkEnd w:id="95"/>
      <w:bookmarkEnd w:id="96"/>
      <w:r w:rsidRPr="00BD22C2">
        <w:rPr>
          <w:rFonts w:eastAsia="Calibri"/>
          <w:lang w:eastAsia="en-US"/>
        </w:rPr>
        <w:t xml:space="preserve">  </w:t>
      </w:r>
    </w:p>
    <w:p w14:paraId="4574376F" w14:textId="6BDEC03A" w:rsidR="00C220C6" w:rsidRPr="00CD4047" w:rsidRDefault="00327A32" w:rsidP="005A5B5A">
      <w:pPr>
        <w:pStyle w:val="Paragraphe"/>
        <w:rPr>
          <w:rFonts w:eastAsia="Calibri"/>
          <w:lang w:val="fr-CA" w:eastAsia="en-US"/>
        </w:rPr>
      </w:pPr>
      <w:r w:rsidRPr="00CD4047">
        <w:rPr>
          <w:rFonts w:eastAsia="Calibri"/>
          <w:lang w:val="fr-CA" w:eastAsia="en-US"/>
        </w:rPr>
        <w:t>De plus, l</w:t>
      </w:r>
      <w:r w:rsidR="00C220C6" w:rsidRPr="00CD4047">
        <w:rPr>
          <w:rFonts w:eastAsia="Calibri"/>
          <w:lang w:val="fr-CA" w:eastAsia="en-US"/>
        </w:rPr>
        <w:t xml:space="preserve">es personnes </w:t>
      </w:r>
      <w:r w:rsidR="00BD234B" w:rsidRPr="00CD4047">
        <w:rPr>
          <w:rFonts w:eastAsia="Calibri"/>
          <w:lang w:val="fr-CA" w:eastAsia="en-US"/>
        </w:rPr>
        <w:t>trans</w:t>
      </w:r>
      <w:r w:rsidR="00C220C6" w:rsidRPr="00CD4047">
        <w:rPr>
          <w:rFonts w:eastAsia="Calibri"/>
          <w:lang w:val="fr-CA" w:eastAsia="en-US"/>
        </w:rPr>
        <w:t xml:space="preserve"> </w:t>
      </w:r>
      <w:r w:rsidR="00F37FEC" w:rsidRPr="00CD4047">
        <w:rPr>
          <w:rFonts w:eastAsia="Calibri"/>
          <w:lang w:val="fr-CA" w:eastAsia="en-US"/>
        </w:rPr>
        <w:t>et non binaires</w:t>
      </w:r>
      <w:r w:rsidR="00C220C6" w:rsidRPr="00CD4047">
        <w:rPr>
          <w:rFonts w:eastAsia="Calibri"/>
          <w:lang w:val="fr-CA" w:eastAsia="en-US"/>
        </w:rPr>
        <w:t xml:space="preserve"> bénéficient</w:t>
      </w:r>
      <w:r w:rsidR="0043703A" w:rsidRPr="00CD4047">
        <w:rPr>
          <w:rFonts w:eastAsia="Calibri"/>
          <w:lang w:val="fr-CA" w:eastAsia="en-US"/>
        </w:rPr>
        <w:t xml:space="preserve"> </w:t>
      </w:r>
      <w:r w:rsidR="00C220C6" w:rsidRPr="00CD4047">
        <w:rPr>
          <w:rFonts w:eastAsia="Calibri"/>
          <w:lang w:val="fr-CA" w:eastAsia="en-US"/>
        </w:rPr>
        <w:t xml:space="preserve">d’une protection </w:t>
      </w:r>
      <w:r w:rsidR="00497E96" w:rsidRPr="00CD4047">
        <w:rPr>
          <w:rFonts w:eastAsia="Calibri"/>
          <w:lang w:val="fr-CA" w:eastAsia="en-US"/>
        </w:rPr>
        <w:t>spécifique</w:t>
      </w:r>
      <w:r w:rsidR="00F37FEC" w:rsidRPr="00CD4047">
        <w:rPr>
          <w:rFonts w:eastAsia="Calibri"/>
          <w:lang w:val="fr-CA" w:eastAsia="en-US"/>
        </w:rPr>
        <w:t>,</w:t>
      </w:r>
      <w:r w:rsidR="00C220C6" w:rsidRPr="00CD4047">
        <w:rPr>
          <w:rFonts w:eastAsia="Calibri"/>
          <w:lang w:val="fr-CA" w:eastAsia="en-US"/>
        </w:rPr>
        <w:t xml:space="preserve"> puisque l’article</w:t>
      </w:r>
      <w:r w:rsidR="00CC76DE" w:rsidRPr="00CD4047">
        <w:rPr>
          <w:rFonts w:eastAsia="Calibri"/>
          <w:lang w:val="fr-CA" w:eastAsia="en-US"/>
        </w:rPr>
        <w:t> </w:t>
      </w:r>
      <w:r w:rsidR="00C220C6" w:rsidRPr="00CD4047">
        <w:rPr>
          <w:rFonts w:eastAsia="Calibri"/>
          <w:lang w:val="fr-CA" w:eastAsia="en-US"/>
        </w:rPr>
        <w:t>10 interdit toute discrimination fondée sur le motif «</w:t>
      </w:r>
      <w:r w:rsidR="00974BD5" w:rsidRPr="00CD4047">
        <w:rPr>
          <w:rFonts w:eastAsia="Calibri"/>
          <w:lang w:val="fr-CA" w:eastAsia="en-US"/>
        </w:rPr>
        <w:t> </w:t>
      </w:r>
      <w:r w:rsidR="00C220C6" w:rsidRPr="00CD4047">
        <w:rPr>
          <w:rFonts w:eastAsia="Calibri"/>
          <w:lang w:val="fr-CA" w:eastAsia="en-US"/>
        </w:rPr>
        <w:t>identité ou expression de genre</w:t>
      </w:r>
      <w:r w:rsidR="00974BD5" w:rsidRPr="00CD4047">
        <w:rPr>
          <w:rFonts w:eastAsia="Calibri"/>
          <w:lang w:val="fr-CA" w:eastAsia="en-US"/>
        </w:rPr>
        <w:t> </w:t>
      </w:r>
      <w:r w:rsidR="00C220C6" w:rsidRPr="00CD4047">
        <w:rPr>
          <w:rFonts w:eastAsia="Calibri"/>
          <w:lang w:val="fr-CA" w:eastAsia="en-US"/>
        </w:rPr>
        <w:t>». C</w:t>
      </w:r>
      <w:r w:rsidR="003E1ACD" w:rsidRPr="00CD4047">
        <w:rPr>
          <w:rFonts w:eastAsia="Calibri"/>
          <w:lang w:val="fr-CA" w:eastAsia="en-US"/>
        </w:rPr>
        <w:t>omme mentionné précédemment, c</w:t>
      </w:r>
      <w:r w:rsidR="00C220C6" w:rsidRPr="00CD4047">
        <w:rPr>
          <w:rFonts w:eastAsia="Calibri"/>
          <w:lang w:val="fr-CA" w:eastAsia="en-US"/>
        </w:rPr>
        <w:t xml:space="preserve">e motif a été ajouté en 2016, </w:t>
      </w:r>
      <w:r w:rsidR="00C220C6" w:rsidRPr="00CD4047">
        <w:rPr>
          <w:lang w:val="fr-CA" w:eastAsia="en-US"/>
        </w:rPr>
        <w:t xml:space="preserve">dans le cadre de l’adoption </w:t>
      </w:r>
      <w:r w:rsidR="008127B8" w:rsidRPr="00CD4047">
        <w:rPr>
          <w:lang w:val="fr-CA" w:eastAsia="en-US"/>
        </w:rPr>
        <w:t xml:space="preserve">à l’unanimité </w:t>
      </w:r>
      <w:r w:rsidR="00C220C6" w:rsidRPr="00CD4047">
        <w:rPr>
          <w:lang w:val="fr-CA" w:eastAsia="en-US"/>
        </w:rPr>
        <w:t>du projet de loi n°</w:t>
      </w:r>
      <w:r w:rsidR="00CC76DE" w:rsidRPr="00CD4047">
        <w:rPr>
          <w:lang w:val="fr-CA" w:eastAsia="en-US"/>
        </w:rPr>
        <w:t> </w:t>
      </w:r>
      <w:r w:rsidR="00C220C6" w:rsidRPr="00CD4047">
        <w:rPr>
          <w:lang w:val="fr-CA" w:eastAsia="en-US"/>
        </w:rPr>
        <w:t>103</w:t>
      </w:r>
      <w:r w:rsidR="00C220C6" w:rsidRPr="00CD4047">
        <w:rPr>
          <w:i/>
          <w:lang w:val="fr-CA" w:eastAsia="en-US"/>
        </w:rPr>
        <w:t>, Loi visant à renforcer la lutte contre la transphobie et à améliorer notamment la situation des mineurs transgenres</w:t>
      </w:r>
      <w:r w:rsidR="009F7C0A" w:rsidRPr="4BB1F094">
        <w:rPr>
          <w:rStyle w:val="Appeldenotedefin"/>
          <w:lang w:eastAsia="en-US"/>
        </w:rPr>
        <w:endnoteReference w:id="159"/>
      </w:r>
      <w:r w:rsidR="009F7C0A" w:rsidRPr="00CD4047">
        <w:rPr>
          <w:lang w:val="fr-CA" w:eastAsia="en-US"/>
        </w:rPr>
        <w:t>.</w:t>
      </w:r>
      <w:r w:rsidR="00C220C6" w:rsidRPr="00CD4047">
        <w:rPr>
          <w:lang w:val="fr-CA" w:eastAsia="en-US"/>
        </w:rPr>
        <w:t xml:space="preserve"> Cet ajout visait à expliciter la </w:t>
      </w:r>
      <w:r w:rsidR="00C220C6" w:rsidRPr="00CD4047">
        <w:rPr>
          <w:lang w:val="fr-CA" w:eastAsia="en-US"/>
        </w:rPr>
        <w:lastRenderedPageBreak/>
        <w:t>protection contre la discrimination fondée sur l’identité ou l’expression de genre,</w:t>
      </w:r>
      <w:r w:rsidR="00C220C6" w:rsidRPr="00CD4047">
        <w:rPr>
          <w:rFonts w:eastAsia="Calibri"/>
          <w:lang w:val="fr-CA" w:eastAsia="en-US"/>
        </w:rPr>
        <w:t xml:space="preserve"> déjà reconnue par la jurisprudence depuis 1998 </w:t>
      </w:r>
      <w:r w:rsidR="00C220C6" w:rsidRPr="00CD4047">
        <w:rPr>
          <w:lang w:val="fr-CA" w:eastAsia="en-US"/>
        </w:rPr>
        <w:t>à travers une interprétation large du motif «</w:t>
      </w:r>
      <w:r w:rsidR="00974BD5" w:rsidRPr="00CD4047">
        <w:rPr>
          <w:lang w:val="fr-CA" w:eastAsia="en-US"/>
        </w:rPr>
        <w:t> </w:t>
      </w:r>
      <w:r w:rsidR="00C220C6" w:rsidRPr="00CD4047">
        <w:rPr>
          <w:lang w:val="fr-CA" w:eastAsia="en-US"/>
        </w:rPr>
        <w:t>sexe</w:t>
      </w:r>
      <w:r w:rsidR="00974BD5" w:rsidRPr="00CD4047">
        <w:rPr>
          <w:lang w:val="fr-CA" w:eastAsia="en-US"/>
        </w:rPr>
        <w:t> </w:t>
      </w:r>
      <w:r w:rsidR="00C220C6" w:rsidRPr="00CD4047">
        <w:rPr>
          <w:lang w:val="fr-CA" w:eastAsia="en-US"/>
        </w:rPr>
        <w:t>»</w:t>
      </w:r>
      <w:r w:rsidR="001002BB" w:rsidRPr="4BB1F094">
        <w:rPr>
          <w:rStyle w:val="Appeldenotedefin"/>
          <w:lang w:eastAsia="en-US"/>
        </w:rPr>
        <w:endnoteReference w:id="160"/>
      </w:r>
      <w:r w:rsidR="001002BB" w:rsidRPr="00CD4047">
        <w:rPr>
          <w:lang w:val="fr-CA" w:eastAsia="en-US"/>
        </w:rPr>
        <w:t>.</w:t>
      </w:r>
      <w:r w:rsidR="00C220C6" w:rsidRPr="00CD4047">
        <w:rPr>
          <w:lang w:val="fr-CA" w:eastAsia="en-US"/>
        </w:rPr>
        <w:t xml:space="preserve">  </w:t>
      </w:r>
    </w:p>
    <w:p w14:paraId="0A744714" w14:textId="2FC16D10" w:rsidR="00783BA5" w:rsidRPr="00BD22C2" w:rsidRDefault="00C220C6" w:rsidP="005A5B5A">
      <w:pPr>
        <w:pStyle w:val="Paragraphe"/>
        <w:rPr>
          <w:lang w:val="fr-CA" w:eastAsia="en-US"/>
        </w:rPr>
      </w:pPr>
      <w:r w:rsidRPr="00BD22C2">
        <w:rPr>
          <w:lang w:val="fr-CA" w:eastAsia="en-US"/>
        </w:rPr>
        <w:t>Les motifs énumérés à l’art</w:t>
      </w:r>
      <w:r w:rsidR="00BA7CDB" w:rsidRPr="00BD22C2">
        <w:rPr>
          <w:lang w:val="fr-CA" w:eastAsia="en-US"/>
        </w:rPr>
        <w:t>icle</w:t>
      </w:r>
      <w:r w:rsidR="00CC76DE" w:rsidRPr="00BD22C2">
        <w:rPr>
          <w:lang w:val="fr-CA" w:eastAsia="en-US"/>
        </w:rPr>
        <w:t> </w:t>
      </w:r>
      <w:r w:rsidRPr="00BD22C2">
        <w:rPr>
          <w:lang w:val="fr-CA" w:eastAsia="en-US"/>
        </w:rPr>
        <w:t>10 de la Charte, tout comme les autres droits et libertés que celle-ci garantit, doivent recevoir une interprétation large et libérale</w:t>
      </w:r>
      <w:r w:rsidR="005A5B5A" w:rsidRPr="00BD22C2">
        <w:rPr>
          <w:lang w:val="fr-CA" w:eastAsia="en-US"/>
        </w:rPr>
        <w:t>.</w:t>
      </w:r>
    </w:p>
    <w:p w14:paraId="4C909906" w14:textId="6361EE87" w:rsidR="00BD4DCF" w:rsidRPr="00BD22C2" w:rsidRDefault="005869C2" w:rsidP="00BD4DCF">
      <w:pPr>
        <w:pStyle w:val="Paragraphe"/>
        <w:rPr>
          <w:rFonts w:eastAsia="Calibri"/>
          <w:lang w:val="fr-CA" w:eastAsia="en-US"/>
        </w:rPr>
      </w:pPr>
      <w:r w:rsidRPr="00BD22C2">
        <w:rPr>
          <w:rFonts w:eastAsia="Calibri"/>
          <w:lang w:val="fr-CA" w:eastAsia="en-US"/>
        </w:rPr>
        <w:t>Notons en outre que la Commission préconise l’adoption d’une approche intersectionnelle de la discrimination, qui « permet de reconnaître l’expérience particulière de discrimination due à la confluence des motifs en cause et d’y remédier »</w:t>
      </w:r>
      <w:r w:rsidRPr="00BD22C2">
        <w:rPr>
          <w:rFonts w:eastAsia="Calibri"/>
          <w:vertAlign w:val="superscript"/>
          <w:lang w:val="fr-CA" w:eastAsia="en-US"/>
        </w:rPr>
        <w:endnoteReference w:id="161"/>
      </w:r>
      <w:r w:rsidRPr="00BD22C2">
        <w:rPr>
          <w:rFonts w:eastAsia="Calibri"/>
          <w:lang w:val="fr-CA" w:eastAsia="en-US"/>
        </w:rPr>
        <w:t>. On rapporte par exemple que l’expérience de la violence et du rejet sont «</w:t>
      </w:r>
      <w:r w:rsidR="0051216B" w:rsidRPr="00BD22C2">
        <w:rPr>
          <w:rFonts w:eastAsia="Calibri"/>
          <w:lang w:val="fr-CA" w:eastAsia="en-US"/>
        </w:rPr>
        <w:t> </w:t>
      </w:r>
      <w:r w:rsidRPr="00BD22C2">
        <w:rPr>
          <w:rFonts w:eastAsia="Calibri"/>
          <w:lang w:val="fr-CA" w:eastAsia="en-US"/>
        </w:rPr>
        <w:t xml:space="preserve">souvent amplifiées par l’intersection des identités sociales et des oppressions, </w:t>
      </w:r>
      <w:proofErr w:type="gramStart"/>
      <w:r w:rsidRPr="00BD22C2">
        <w:rPr>
          <w:rFonts w:eastAsia="Calibri"/>
          <w:lang w:val="fr-CA" w:eastAsia="en-US"/>
        </w:rPr>
        <w:t>tels le genre</w:t>
      </w:r>
      <w:proofErr w:type="gramEnd"/>
      <w:r w:rsidRPr="00BD22C2">
        <w:rPr>
          <w:rFonts w:eastAsia="Calibri"/>
          <w:lang w:val="fr-CA" w:eastAsia="en-US"/>
        </w:rPr>
        <w:t>, la classe sociale, l’âge, la race ou l’ethnicité</w:t>
      </w:r>
      <w:r w:rsidR="0051216B" w:rsidRPr="00BD22C2">
        <w:rPr>
          <w:rFonts w:eastAsia="Calibri"/>
          <w:lang w:val="fr-CA" w:eastAsia="en-US"/>
        </w:rPr>
        <w:t> </w:t>
      </w:r>
      <w:r w:rsidRPr="00BD22C2">
        <w:rPr>
          <w:rFonts w:eastAsia="Calibri"/>
          <w:lang w:val="fr-CA" w:eastAsia="en-US"/>
        </w:rPr>
        <w:t>»</w:t>
      </w:r>
      <w:r w:rsidRPr="00BD22C2">
        <w:rPr>
          <w:rStyle w:val="Appeldenotedefin"/>
          <w:rFonts w:eastAsia="Calibri"/>
          <w:lang w:val="fr-CA" w:eastAsia="en-US"/>
        </w:rPr>
        <w:endnoteReference w:id="162"/>
      </w:r>
      <w:r w:rsidRPr="00BD22C2">
        <w:rPr>
          <w:rFonts w:eastAsia="Calibri"/>
          <w:lang w:val="fr-CA" w:eastAsia="en-US"/>
        </w:rPr>
        <w:t>.</w:t>
      </w:r>
      <w:r w:rsidR="009F2703" w:rsidRPr="00BD22C2">
        <w:rPr>
          <w:rFonts w:eastAsia="Calibri"/>
          <w:lang w:val="fr-CA" w:eastAsia="en-US"/>
        </w:rPr>
        <w:t xml:space="preserve"> </w:t>
      </w:r>
      <w:r w:rsidRPr="00BD22C2">
        <w:rPr>
          <w:rFonts w:eastAsia="Calibri"/>
          <w:lang w:val="fr-CA" w:eastAsia="en-US"/>
        </w:rPr>
        <w:t>Ce principe doit avoir une place centrale dans l’analyse qui sera faite par le Comité de sages</w:t>
      </w:r>
      <w:r w:rsidR="00BD4DCF" w:rsidRPr="00BD22C2">
        <w:rPr>
          <w:rFonts w:eastAsia="Calibri"/>
          <w:lang w:val="fr-CA" w:eastAsia="en-US"/>
        </w:rPr>
        <w:t>.</w:t>
      </w:r>
    </w:p>
    <w:p w14:paraId="347587A3" w14:textId="199529E0" w:rsidR="00C220C6" w:rsidRPr="00BD22C2" w:rsidRDefault="00F37650" w:rsidP="00EF1CB2">
      <w:pPr>
        <w:pStyle w:val="Titre2"/>
        <w:rPr>
          <w:lang w:eastAsia="en-US"/>
        </w:rPr>
      </w:pPr>
      <w:bookmarkStart w:id="97" w:name="_Toc165301027"/>
      <w:bookmarkStart w:id="98" w:name="_Toc165636110"/>
      <w:r w:rsidRPr="00BD22C2">
        <w:rPr>
          <w:lang w:eastAsia="en-US"/>
        </w:rPr>
        <w:t xml:space="preserve">Des outils </w:t>
      </w:r>
      <w:r w:rsidR="009075B5" w:rsidRPr="00BD22C2">
        <w:rPr>
          <w:lang w:eastAsia="en-US"/>
        </w:rPr>
        <w:t>de mise en œuvre et d’équilibre des droits</w:t>
      </w:r>
      <w:bookmarkEnd w:id="97"/>
      <w:bookmarkEnd w:id="98"/>
    </w:p>
    <w:p w14:paraId="454B8773" w14:textId="3269E9DA" w:rsidR="00C8580E" w:rsidRPr="00BD22C2" w:rsidRDefault="00DE7D49" w:rsidP="00C8580E">
      <w:pPr>
        <w:pStyle w:val="Paragraphe"/>
        <w:rPr>
          <w:lang w:val="fr-CA" w:eastAsia="en-US"/>
        </w:rPr>
      </w:pPr>
      <w:r w:rsidRPr="00BD22C2">
        <w:rPr>
          <w:rFonts w:eastAsia="Calibri"/>
          <w:lang w:val="fr-CA" w:eastAsia="en-US"/>
        </w:rPr>
        <w:t>Tel qu’évoqué en introduction</w:t>
      </w:r>
      <w:r w:rsidR="00C8580E" w:rsidRPr="00BD22C2">
        <w:rPr>
          <w:rFonts w:eastAsia="Calibri"/>
          <w:lang w:val="fr-CA" w:eastAsia="en-US"/>
        </w:rPr>
        <w:t xml:space="preserve">, la Charte contient tous les mécanismes nécessaires afin de régler les conflits de droits qui pourraient concrètement survenir en lien avec la reconnaissance et l’exercice des droits et libertés des personnes trans et non binaires. </w:t>
      </w:r>
      <w:r w:rsidR="00C8580E" w:rsidRPr="00BD22C2">
        <w:rPr>
          <w:lang w:val="fr-CA" w:eastAsia="en-US"/>
        </w:rPr>
        <w:t xml:space="preserve">Ces outils permettent de tenir compte du fait que les libertés et droits reconnus par la Charte constituent un tout cohérent et qu’ils doivent être interprétés de manière à assurer leur reconnaissance sans aucune hiérarchie. C’est d’ailleurs ce que vient énoncer le sixième considérant du préambule de la Charte, qui </w:t>
      </w:r>
      <w:r w:rsidR="002B3C26" w:rsidRPr="00BD22C2">
        <w:rPr>
          <w:lang w:val="fr-CA" w:eastAsia="en-US"/>
        </w:rPr>
        <w:t xml:space="preserve">précise </w:t>
      </w:r>
      <w:r w:rsidR="00C8580E" w:rsidRPr="00BD22C2">
        <w:rPr>
          <w:lang w:val="fr-CA" w:eastAsia="en-US"/>
        </w:rPr>
        <w:t>que «</w:t>
      </w:r>
      <w:r w:rsidR="00974BD5" w:rsidRPr="00BD22C2">
        <w:rPr>
          <w:lang w:val="fr-CA" w:eastAsia="en-US"/>
        </w:rPr>
        <w:t> </w:t>
      </w:r>
      <w:r w:rsidR="00C8580E" w:rsidRPr="00BD22C2">
        <w:rPr>
          <w:lang w:val="fr-CA" w:eastAsia="en-US"/>
        </w:rPr>
        <w:t>les droits de la personne humaine sont inséparables des droits et libertés d’autrui et du bien-être général</w:t>
      </w:r>
      <w:r w:rsidR="00974BD5" w:rsidRPr="00BD22C2">
        <w:rPr>
          <w:lang w:val="fr-CA" w:eastAsia="en-US"/>
        </w:rPr>
        <w:t> </w:t>
      </w:r>
      <w:r w:rsidR="00C8580E" w:rsidRPr="00BD22C2">
        <w:rPr>
          <w:lang w:val="fr-CA" w:eastAsia="en-US"/>
        </w:rPr>
        <w:t xml:space="preserve">». </w:t>
      </w:r>
    </w:p>
    <w:p w14:paraId="4F1CCB19" w14:textId="0AD9308B" w:rsidR="00C8580E" w:rsidRPr="00BD22C2" w:rsidRDefault="00C8580E" w:rsidP="00C8580E">
      <w:pPr>
        <w:pStyle w:val="Paragraphe"/>
        <w:rPr>
          <w:rFonts w:eastAsia="Calibri"/>
          <w:lang w:val="fr-CA" w:eastAsia="en-US"/>
        </w:rPr>
      </w:pPr>
      <w:r w:rsidRPr="00BD22C2">
        <w:rPr>
          <w:lang w:val="fr-CA" w:eastAsia="en-US"/>
        </w:rPr>
        <w:t xml:space="preserve">C’est dans cette perspective que nous nous pencherons plus spécifiquement sur </w:t>
      </w:r>
      <w:r w:rsidRPr="00BD22C2" w:rsidDel="00455D4E">
        <w:rPr>
          <w:lang w:val="fr-CA" w:eastAsia="en-US"/>
        </w:rPr>
        <w:t xml:space="preserve">les limites </w:t>
      </w:r>
      <w:r w:rsidRPr="00BD22C2">
        <w:rPr>
          <w:lang w:val="fr-CA" w:eastAsia="en-US"/>
        </w:rPr>
        <w:t>au droit</w:t>
      </w:r>
      <w:r w:rsidRPr="00BD22C2" w:rsidDel="00512A18">
        <w:rPr>
          <w:lang w:val="fr-CA" w:eastAsia="en-US"/>
        </w:rPr>
        <w:t xml:space="preserve"> à l’égalité puis </w:t>
      </w:r>
      <w:r w:rsidR="00364B2C" w:rsidRPr="00BD22C2">
        <w:rPr>
          <w:lang w:val="fr-CA" w:eastAsia="en-US"/>
        </w:rPr>
        <w:t>sur</w:t>
      </w:r>
      <w:r w:rsidRPr="00BD22C2" w:rsidDel="00512A18">
        <w:rPr>
          <w:lang w:val="fr-CA" w:eastAsia="en-US"/>
        </w:rPr>
        <w:t xml:space="preserve"> </w:t>
      </w:r>
      <w:r w:rsidR="00CD39FD" w:rsidRPr="00BD22C2">
        <w:rPr>
          <w:lang w:val="fr-CA" w:eastAsia="en-US"/>
        </w:rPr>
        <w:t xml:space="preserve">les </w:t>
      </w:r>
      <w:r w:rsidRPr="00BD22C2">
        <w:rPr>
          <w:lang w:val="fr-CA" w:eastAsia="en-US"/>
        </w:rPr>
        <w:t xml:space="preserve">mécanismes </w:t>
      </w:r>
      <w:r w:rsidR="009571F9" w:rsidRPr="00BD22C2">
        <w:rPr>
          <w:lang w:val="fr-CA" w:eastAsia="en-US"/>
        </w:rPr>
        <w:t xml:space="preserve">prévus par la Charte </w:t>
      </w:r>
      <w:r w:rsidR="005E1CFF" w:rsidRPr="00BD22C2">
        <w:rPr>
          <w:lang w:val="fr-CA" w:eastAsia="en-US"/>
        </w:rPr>
        <w:t>pour</w:t>
      </w:r>
      <w:r w:rsidR="009571F9" w:rsidRPr="00BD22C2">
        <w:rPr>
          <w:lang w:val="fr-CA" w:eastAsia="en-US"/>
        </w:rPr>
        <w:t xml:space="preserve"> concilier les droits, lorsqu’un conflit se présente, ou </w:t>
      </w:r>
      <w:r w:rsidR="005E1CFF" w:rsidRPr="00BD22C2">
        <w:rPr>
          <w:lang w:val="fr-CA" w:eastAsia="en-US"/>
        </w:rPr>
        <w:t>pour</w:t>
      </w:r>
      <w:r w:rsidR="009571F9" w:rsidRPr="00BD22C2">
        <w:rPr>
          <w:lang w:val="fr-CA" w:eastAsia="en-US"/>
        </w:rPr>
        <w:t xml:space="preserve"> justifier une limitation de ceux-ci</w:t>
      </w:r>
      <w:r w:rsidR="003A792A" w:rsidRPr="00BD22C2">
        <w:rPr>
          <w:lang w:val="fr-CA" w:eastAsia="en-US"/>
        </w:rPr>
        <w:t xml:space="preserve"> lorsque les circonstances le permettent</w:t>
      </w:r>
      <w:r w:rsidRPr="00BD22C2">
        <w:rPr>
          <w:lang w:val="fr-CA" w:eastAsia="en-US"/>
        </w:rPr>
        <w:t xml:space="preserve">. </w:t>
      </w:r>
    </w:p>
    <w:p w14:paraId="1EA8572D" w14:textId="22C93CC8" w:rsidR="00C8580E" w:rsidRPr="00BD22C2" w:rsidRDefault="00E33CCA" w:rsidP="00EF1CB2">
      <w:pPr>
        <w:pStyle w:val="Titre3"/>
        <w:rPr>
          <w:lang w:eastAsia="en-US"/>
        </w:rPr>
      </w:pPr>
      <w:bookmarkStart w:id="99" w:name="_Ref165039074"/>
      <w:bookmarkStart w:id="100" w:name="_Toc165301028"/>
      <w:bookmarkStart w:id="101" w:name="_Toc165636111"/>
      <w:r w:rsidRPr="00BD22C2">
        <w:rPr>
          <w:lang w:eastAsia="en-US"/>
        </w:rPr>
        <w:t>Le droit à l’égalité et à la non</w:t>
      </w:r>
      <w:r w:rsidR="002A616B" w:rsidRPr="00BD22C2">
        <w:rPr>
          <w:lang w:eastAsia="en-US"/>
        </w:rPr>
        <w:t>-discrimination</w:t>
      </w:r>
      <w:bookmarkEnd w:id="99"/>
      <w:bookmarkEnd w:id="100"/>
      <w:bookmarkEnd w:id="101"/>
      <w:r w:rsidR="002A616B" w:rsidRPr="00BD22C2">
        <w:rPr>
          <w:lang w:eastAsia="en-US"/>
        </w:rPr>
        <w:t xml:space="preserve"> </w:t>
      </w:r>
    </w:p>
    <w:p w14:paraId="648D6A8E" w14:textId="1F287FE5" w:rsidR="00F52912" w:rsidRPr="00BD22C2" w:rsidRDefault="00C8580E" w:rsidP="00C8580E">
      <w:pPr>
        <w:pStyle w:val="Paragraphe"/>
        <w:rPr>
          <w:lang w:val="fr-CA"/>
        </w:rPr>
      </w:pPr>
      <w:r w:rsidRPr="00BD22C2">
        <w:rPr>
          <w:lang w:val="fr-CA"/>
        </w:rPr>
        <w:t>La preuve d’une situation de discrimination en vertu de la Charte s’effectue suivant une démarche à deux volets. Dans un premier temps, l’art.</w:t>
      </w:r>
      <w:r w:rsidR="0091080B">
        <w:rPr>
          <w:lang w:val="fr-CA"/>
        </w:rPr>
        <w:t> </w:t>
      </w:r>
      <w:r w:rsidRPr="00BD22C2">
        <w:rPr>
          <w:lang w:val="fr-CA"/>
        </w:rPr>
        <w:t>10 «</w:t>
      </w:r>
      <w:r w:rsidR="00974BD5" w:rsidRPr="00BD22C2">
        <w:rPr>
          <w:lang w:val="fr-CA"/>
        </w:rPr>
        <w:t> </w:t>
      </w:r>
      <w:r w:rsidRPr="00BD22C2">
        <w:rPr>
          <w:lang w:val="fr-CA"/>
        </w:rPr>
        <w:t xml:space="preserve">requiert du demandeur qu’il apporte la preuve de trois éléments, soit (1) une distinction, exclusion ou préférence, (2) fondée sur l’un des motifs énumérés au premier alinéa et (3) qui a pour effet de détruire ou de compromettre le droit à la pleine égalité dans la reconnaissance et l’exercice d’un droit ou d’une liberté de la </w:t>
      </w:r>
      <w:r w:rsidRPr="00BD22C2">
        <w:rPr>
          <w:lang w:val="fr-CA"/>
        </w:rPr>
        <w:lastRenderedPageBreak/>
        <w:t>personne</w:t>
      </w:r>
      <w:r w:rsidR="00974BD5" w:rsidRPr="00BD22C2">
        <w:rPr>
          <w:lang w:val="fr-CA"/>
        </w:rPr>
        <w:t> </w:t>
      </w:r>
      <w:r w:rsidRPr="00BD22C2">
        <w:rPr>
          <w:lang w:val="fr-CA"/>
        </w:rPr>
        <w:t>»</w:t>
      </w:r>
      <w:bookmarkStart w:id="102" w:name="_Ref167438360"/>
      <w:r w:rsidR="007750B5" w:rsidRPr="00BD22C2">
        <w:rPr>
          <w:rStyle w:val="Appeldenotedefin"/>
          <w:lang w:val="fr-CA"/>
        </w:rPr>
        <w:endnoteReference w:id="163"/>
      </w:r>
      <w:bookmarkEnd w:id="102"/>
      <w:r w:rsidR="007750B5" w:rsidRPr="00BD22C2">
        <w:rPr>
          <w:lang w:val="fr-CA"/>
        </w:rPr>
        <w:t>.</w:t>
      </w:r>
      <w:r w:rsidRPr="00BD22C2">
        <w:rPr>
          <w:lang w:val="fr-CA"/>
        </w:rPr>
        <w:t xml:space="preserve"> Si ces trois éléments sont établis suivant la prépondérance des probabilités, on constatera l’existence d’une discrimination «</w:t>
      </w:r>
      <w:r w:rsidR="00974BD5" w:rsidRPr="00BD22C2">
        <w:rPr>
          <w:lang w:val="fr-CA"/>
        </w:rPr>
        <w:t> </w:t>
      </w:r>
      <w:r w:rsidRPr="00BD22C2">
        <w:rPr>
          <w:i/>
          <w:iCs/>
          <w:lang w:val="fr-CA"/>
        </w:rPr>
        <w:t>prima facie</w:t>
      </w:r>
      <w:r w:rsidR="00974BD5" w:rsidRPr="00BD22C2">
        <w:rPr>
          <w:lang w:val="fr-CA"/>
        </w:rPr>
        <w:t> </w:t>
      </w:r>
      <w:r w:rsidRPr="00BD22C2">
        <w:rPr>
          <w:lang w:val="fr-CA"/>
        </w:rPr>
        <w:t>» ou «</w:t>
      </w:r>
      <w:r w:rsidR="00974BD5" w:rsidRPr="00BD22C2">
        <w:rPr>
          <w:lang w:val="fr-CA"/>
        </w:rPr>
        <w:t> </w:t>
      </w:r>
      <w:r w:rsidRPr="00BD22C2">
        <w:rPr>
          <w:lang w:val="fr-CA"/>
        </w:rPr>
        <w:t>à première vue</w:t>
      </w:r>
      <w:r w:rsidR="00974BD5" w:rsidRPr="00BD22C2">
        <w:rPr>
          <w:lang w:val="fr-CA"/>
        </w:rPr>
        <w:t> </w:t>
      </w:r>
      <w:r w:rsidRPr="00BD22C2">
        <w:rPr>
          <w:lang w:val="fr-CA"/>
        </w:rPr>
        <w:t>»</w:t>
      </w:r>
      <w:r w:rsidR="007750B5" w:rsidRPr="00BD22C2">
        <w:rPr>
          <w:rStyle w:val="Appeldenotedefin"/>
          <w:lang w:val="fr-CA"/>
        </w:rPr>
        <w:endnoteReference w:id="164"/>
      </w:r>
      <w:r w:rsidR="007750B5" w:rsidRPr="00BD22C2">
        <w:rPr>
          <w:lang w:val="fr-CA"/>
        </w:rPr>
        <w:t>.</w:t>
      </w:r>
      <w:r w:rsidRPr="00BD22C2">
        <w:rPr>
          <w:lang w:val="fr-CA"/>
        </w:rPr>
        <w:t xml:space="preserve"> Dans un second temps, l</w:t>
      </w:r>
      <w:r w:rsidR="00963A17" w:rsidRPr="00BD22C2">
        <w:rPr>
          <w:lang w:val="fr-CA"/>
        </w:rPr>
        <w:t>a personn</w:t>
      </w:r>
      <w:r w:rsidRPr="00BD22C2">
        <w:rPr>
          <w:lang w:val="fr-CA"/>
        </w:rPr>
        <w:t>e défende</w:t>
      </w:r>
      <w:r w:rsidR="00963A17" w:rsidRPr="00BD22C2">
        <w:rPr>
          <w:lang w:val="fr-CA"/>
        </w:rPr>
        <w:t>resse</w:t>
      </w:r>
      <w:r w:rsidRPr="00BD22C2">
        <w:rPr>
          <w:lang w:val="fr-CA"/>
        </w:rPr>
        <w:t xml:space="preserve"> peut tenter de justifier sa conduite ou sa décision en invoquant les exemptions explicitement prévues à la Charte</w:t>
      </w:r>
      <w:r w:rsidR="00392549" w:rsidRPr="00BD22C2">
        <w:rPr>
          <w:lang w:val="fr-CA"/>
        </w:rPr>
        <w:t xml:space="preserve"> </w:t>
      </w:r>
      <w:r w:rsidR="00392549" w:rsidRPr="00BD22C2">
        <w:rPr>
          <w:rFonts w:cs="Arial"/>
          <w:lang w:val="fr-CA"/>
        </w:rPr>
        <w:t>—</w:t>
      </w:r>
      <w:r w:rsidRPr="00BD22C2">
        <w:rPr>
          <w:lang w:val="fr-CA"/>
        </w:rPr>
        <w:t xml:space="preserve"> par exemple à ses articles</w:t>
      </w:r>
      <w:r w:rsidR="00CC76DE" w:rsidRPr="00BD22C2">
        <w:rPr>
          <w:lang w:val="fr-CA"/>
        </w:rPr>
        <w:t> </w:t>
      </w:r>
      <w:r w:rsidRPr="00BD22C2">
        <w:rPr>
          <w:lang w:val="fr-CA"/>
        </w:rPr>
        <w:t>19 (3), 20 et 20.1</w:t>
      </w:r>
      <w:r w:rsidR="00392549" w:rsidRPr="00BD22C2">
        <w:rPr>
          <w:lang w:val="fr-CA"/>
        </w:rPr>
        <w:t xml:space="preserve"> </w:t>
      </w:r>
      <w:r w:rsidR="00392549" w:rsidRPr="00BD22C2">
        <w:rPr>
          <w:rFonts w:cs="Arial"/>
          <w:lang w:val="fr-CA"/>
        </w:rPr>
        <w:t>—</w:t>
      </w:r>
      <w:r w:rsidRPr="00BD22C2">
        <w:rPr>
          <w:lang w:val="fr-CA"/>
        </w:rPr>
        <w:t xml:space="preserve"> ou celles </w:t>
      </w:r>
      <w:r w:rsidR="00392549" w:rsidRPr="00BD22C2">
        <w:rPr>
          <w:lang w:val="fr-CA"/>
        </w:rPr>
        <w:t>qui ont été</w:t>
      </w:r>
      <w:r w:rsidRPr="00BD22C2">
        <w:rPr>
          <w:lang w:val="fr-CA"/>
        </w:rPr>
        <w:t xml:space="preserve"> développées par la jurisprudence. S</w:t>
      </w:r>
      <w:r w:rsidR="00FA2B3E" w:rsidRPr="00BD22C2">
        <w:rPr>
          <w:lang w:val="fr-CA"/>
        </w:rPr>
        <w:t>i elle</w:t>
      </w:r>
      <w:r w:rsidRPr="00BD22C2">
        <w:rPr>
          <w:lang w:val="fr-CA"/>
        </w:rPr>
        <w:t xml:space="preserve"> réussit, le tribunal conclura à l’absence de discrimination</w:t>
      </w:r>
      <w:r w:rsidR="007750B5" w:rsidRPr="00BD22C2">
        <w:rPr>
          <w:rStyle w:val="Appeldenotedefin"/>
          <w:lang w:val="fr-CA"/>
        </w:rPr>
        <w:endnoteReference w:id="165"/>
      </w:r>
      <w:r w:rsidR="007750B5" w:rsidRPr="00BD22C2">
        <w:rPr>
          <w:lang w:val="fr-CA"/>
        </w:rPr>
        <w:t>.</w:t>
      </w:r>
      <w:r w:rsidRPr="00BD22C2">
        <w:rPr>
          <w:lang w:val="fr-CA"/>
        </w:rPr>
        <w:t xml:space="preserve"> Ces dispositions constituent donc des «</w:t>
      </w:r>
      <w:r w:rsidR="00974BD5" w:rsidRPr="00BD22C2">
        <w:rPr>
          <w:lang w:val="fr-CA"/>
        </w:rPr>
        <w:t> </w:t>
      </w:r>
      <w:r w:rsidRPr="00BD22C2">
        <w:rPr>
          <w:lang w:val="fr-CA"/>
        </w:rPr>
        <w:t>défenses</w:t>
      </w:r>
      <w:r w:rsidR="00974BD5" w:rsidRPr="00BD22C2">
        <w:rPr>
          <w:lang w:val="fr-CA"/>
        </w:rPr>
        <w:t> </w:t>
      </w:r>
      <w:r w:rsidRPr="00BD22C2">
        <w:rPr>
          <w:lang w:val="fr-CA"/>
        </w:rPr>
        <w:t>» qui viennent limiter la portée du droit à l’égalité dans certaines circonstances</w:t>
      </w:r>
      <w:bookmarkStart w:id="103" w:name="_Ref166054470"/>
      <w:r w:rsidR="007750B5" w:rsidRPr="00BD22C2">
        <w:rPr>
          <w:rStyle w:val="Appeldenotedefin"/>
          <w:lang w:val="fr-CA"/>
        </w:rPr>
        <w:endnoteReference w:id="166"/>
      </w:r>
      <w:bookmarkEnd w:id="103"/>
      <w:r w:rsidR="007750B5" w:rsidRPr="00BD22C2">
        <w:rPr>
          <w:lang w:val="fr-CA"/>
        </w:rPr>
        <w:t>.</w:t>
      </w:r>
      <w:r w:rsidRPr="00BD22C2">
        <w:rPr>
          <w:lang w:val="fr-CA"/>
        </w:rPr>
        <w:t xml:space="preserve"> </w:t>
      </w:r>
    </w:p>
    <w:p w14:paraId="173EAE44" w14:textId="41F02B4C" w:rsidR="00C8580E" w:rsidRPr="00BD22C2" w:rsidRDefault="00C8580E" w:rsidP="00C8580E">
      <w:pPr>
        <w:pStyle w:val="Paragraphe"/>
        <w:rPr>
          <w:lang w:val="fr-CA"/>
        </w:rPr>
      </w:pPr>
      <w:r w:rsidRPr="00BD22C2">
        <w:rPr>
          <w:lang w:val="fr-CA"/>
        </w:rPr>
        <w:t>Compte tenu des enjeux particuliers qui pourraient survenir en lien, notamment, avec la discrimination dans l’accès aux lieux et services normalement offert</w:t>
      </w:r>
      <w:r w:rsidR="00CF39C8" w:rsidRPr="00BD22C2">
        <w:rPr>
          <w:lang w:val="fr-CA"/>
        </w:rPr>
        <w:t>s</w:t>
      </w:r>
      <w:r w:rsidRPr="00BD22C2">
        <w:rPr>
          <w:lang w:val="fr-CA"/>
        </w:rPr>
        <w:t xml:space="preserve"> au public ou en emploi</w:t>
      </w:r>
      <w:r w:rsidR="007750B5" w:rsidRPr="00BD22C2">
        <w:rPr>
          <w:rStyle w:val="Appeldenotedefin"/>
          <w:lang w:val="fr-CA"/>
        </w:rPr>
        <w:endnoteReference w:id="167"/>
      </w:r>
      <w:r w:rsidR="007750B5" w:rsidRPr="00BD22C2">
        <w:rPr>
          <w:lang w:val="fr-CA"/>
        </w:rPr>
        <w:t xml:space="preserve"> </w:t>
      </w:r>
      <w:r w:rsidRPr="00BD22C2">
        <w:rPr>
          <w:lang w:val="fr-CA"/>
        </w:rPr>
        <w:t xml:space="preserve">pour les personnes trans et non binaires, nous nous attarderons </w:t>
      </w:r>
      <w:r w:rsidR="00F67205" w:rsidRPr="00BD22C2">
        <w:rPr>
          <w:lang w:val="fr-CA"/>
        </w:rPr>
        <w:t xml:space="preserve">sur la démarche d’accommodement raisonnable et son corollaire, la contrainte excessive </w:t>
      </w:r>
      <w:r w:rsidR="00BC0131" w:rsidRPr="00BD22C2">
        <w:rPr>
          <w:lang w:val="fr-CA"/>
        </w:rPr>
        <w:t xml:space="preserve">puis </w:t>
      </w:r>
      <w:r w:rsidRPr="00BD22C2">
        <w:rPr>
          <w:lang w:val="fr-CA"/>
        </w:rPr>
        <w:t>sur l</w:t>
      </w:r>
      <w:r w:rsidR="00D0580D" w:rsidRPr="00BD22C2">
        <w:rPr>
          <w:lang w:val="fr-CA"/>
        </w:rPr>
        <w:t>es</w:t>
      </w:r>
      <w:r w:rsidRPr="00BD22C2">
        <w:rPr>
          <w:lang w:val="fr-CA"/>
        </w:rPr>
        <w:t xml:space="preserve"> défense</w:t>
      </w:r>
      <w:r w:rsidR="00D0580D" w:rsidRPr="00BD22C2">
        <w:rPr>
          <w:lang w:val="fr-CA"/>
        </w:rPr>
        <w:t>s</w:t>
      </w:r>
      <w:r w:rsidRPr="00BD22C2">
        <w:rPr>
          <w:lang w:val="fr-CA"/>
        </w:rPr>
        <w:t xml:space="preserve"> offerte</w:t>
      </w:r>
      <w:r w:rsidR="00CF39C8" w:rsidRPr="00BD22C2">
        <w:rPr>
          <w:lang w:val="fr-CA"/>
        </w:rPr>
        <w:t>s</w:t>
      </w:r>
      <w:r w:rsidRPr="00BD22C2">
        <w:rPr>
          <w:lang w:val="fr-CA"/>
        </w:rPr>
        <w:t xml:space="preserve"> </w:t>
      </w:r>
      <w:r w:rsidR="00D0580D" w:rsidRPr="00BD22C2">
        <w:rPr>
          <w:lang w:val="fr-CA"/>
        </w:rPr>
        <w:t>tant par le premier que</w:t>
      </w:r>
      <w:r w:rsidRPr="00BD22C2">
        <w:rPr>
          <w:lang w:val="fr-CA"/>
        </w:rPr>
        <w:t xml:space="preserve"> le second volet de l’article</w:t>
      </w:r>
      <w:r w:rsidR="00CC76DE" w:rsidRPr="00BD22C2">
        <w:rPr>
          <w:lang w:val="fr-CA"/>
        </w:rPr>
        <w:t> </w:t>
      </w:r>
      <w:r w:rsidRPr="00BD22C2">
        <w:rPr>
          <w:lang w:val="fr-CA"/>
        </w:rPr>
        <w:t xml:space="preserve">20 de la </w:t>
      </w:r>
      <w:r w:rsidR="009D3224" w:rsidRPr="00BD22C2">
        <w:rPr>
          <w:lang w:val="fr-CA"/>
        </w:rPr>
        <w:t>Charte</w:t>
      </w:r>
      <w:r w:rsidR="00C62D5A" w:rsidRPr="00BD22C2">
        <w:rPr>
          <w:lang w:val="fr-CA"/>
        </w:rPr>
        <w:t xml:space="preserve">, qui </w:t>
      </w:r>
      <w:r w:rsidR="00F64DF6" w:rsidRPr="00BD22C2">
        <w:rPr>
          <w:lang w:val="fr-CA"/>
        </w:rPr>
        <w:t>paraissent être</w:t>
      </w:r>
      <w:r w:rsidR="00C62D5A" w:rsidRPr="00BD22C2">
        <w:rPr>
          <w:lang w:val="fr-CA"/>
        </w:rPr>
        <w:t xml:space="preserve"> les mécanismes </w:t>
      </w:r>
      <w:r w:rsidR="005B7CE6" w:rsidRPr="00BD22C2">
        <w:rPr>
          <w:lang w:val="fr-CA"/>
        </w:rPr>
        <w:t xml:space="preserve">de mise en œuvre et </w:t>
      </w:r>
      <w:r w:rsidR="00C62D5A" w:rsidRPr="00BD22C2">
        <w:rPr>
          <w:lang w:val="fr-CA"/>
        </w:rPr>
        <w:t>d</w:t>
      </w:r>
      <w:r w:rsidR="00E14388" w:rsidRPr="00BD22C2">
        <w:rPr>
          <w:lang w:val="fr-CA"/>
        </w:rPr>
        <w:t xml:space="preserve">’équilibre </w:t>
      </w:r>
      <w:r w:rsidR="00C62D5A" w:rsidRPr="00BD22C2">
        <w:rPr>
          <w:lang w:val="fr-CA"/>
        </w:rPr>
        <w:t>des droits les plus susceptibles d</w:t>
      </w:r>
      <w:r w:rsidR="00E33CCA" w:rsidRPr="00BD22C2">
        <w:rPr>
          <w:lang w:val="fr-CA"/>
        </w:rPr>
        <w:t>’être invoqués</w:t>
      </w:r>
      <w:r w:rsidR="00F64DF6" w:rsidRPr="00BD22C2">
        <w:rPr>
          <w:lang w:val="fr-CA"/>
        </w:rPr>
        <w:t xml:space="preserve"> dans les situations mettant en cause </w:t>
      </w:r>
      <w:r w:rsidR="00282552" w:rsidRPr="00BD22C2">
        <w:rPr>
          <w:lang w:val="fr-CA"/>
        </w:rPr>
        <w:t>les droits des personnes trans ou non binaires</w:t>
      </w:r>
      <w:r w:rsidR="009D3224" w:rsidRPr="00BD22C2">
        <w:rPr>
          <w:lang w:val="fr-CA"/>
        </w:rPr>
        <w:t xml:space="preserve">. </w:t>
      </w:r>
    </w:p>
    <w:p w14:paraId="0CF49517" w14:textId="4D075888" w:rsidR="00F67205" w:rsidRPr="00BD22C2" w:rsidRDefault="00395816" w:rsidP="001E26FD">
      <w:pPr>
        <w:pStyle w:val="Titre4"/>
      </w:pPr>
      <w:bookmarkStart w:id="104" w:name="_Toc165301029"/>
      <w:bookmarkStart w:id="105" w:name="_Toc165636112"/>
      <w:r w:rsidRPr="00BD22C2">
        <w:t>L’accommodement raisonnable et la contrainte excessive</w:t>
      </w:r>
      <w:bookmarkEnd w:id="104"/>
      <w:bookmarkEnd w:id="105"/>
      <w:r w:rsidRPr="00BD22C2">
        <w:t xml:space="preserve"> </w:t>
      </w:r>
    </w:p>
    <w:p w14:paraId="7FBF431D" w14:textId="1CCD59A3" w:rsidR="00395816" w:rsidRPr="00BD22C2" w:rsidRDefault="00395816" w:rsidP="005A5B5A">
      <w:pPr>
        <w:pStyle w:val="Paragraphe"/>
        <w:rPr>
          <w:lang w:val="fr-CA"/>
        </w:rPr>
      </w:pPr>
      <w:r w:rsidRPr="00BD22C2">
        <w:rPr>
          <w:lang w:val="fr-CA"/>
        </w:rPr>
        <w:t xml:space="preserve">L’obligation d’accommodement raisonnable fait partie intégrante du droit à l’égalité réelle et son corollaire, la contrainte excessive, constitue un moyen de défense non écrit dans tous les secteurs d’activité visés par la Charte. </w:t>
      </w:r>
    </w:p>
    <w:p w14:paraId="27350CEB" w14:textId="38FA3B03" w:rsidR="00ED37A3" w:rsidRPr="00BD22C2" w:rsidRDefault="002E6CA9" w:rsidP="005A5B5A">
      <w:pPr>
        <w:pStyle w:val="Paragraphe"/>
        <w:rPr>
          <w:lang w:val="fr-CA" w:eastAsia="en-US"/>
        </w:rPr>
      </w:pPr>
      <w:r w:rsidRPr="00BD22C2">
        <w:rPr>
          <w:lang w:val="fr-CA"/>
        </w:rPr>
        <w:t xml:space="preserve">Contrairement à </w:t>
      </w:r>
      <w:r w:rsidR="00395816" w:rsidRPr="00BD22C2">
        <w:rPr>
          <w:lang w:val="fr-CA"/>
        </w:rPr>
        <w:t xml:space="preserve">l’égalité formelle </w:t>
      </w:r>
      <w:r w:rsidR="00E72543" w:rsidRPr="00BD22C2">
        <w:rPr>
          <w:rFonts w:cs="Arial"/>
          <w:lang w:val="fr-CA"/>
        </w:rPr>
        <w:t>—</w:t>
      </w:r>
      <w:r w:rsidR="00E72543" w:rsidRPr="00BD22C2">
        <w:rPr>
          <w:lang w:val="fr-CA"/>
        </w:rPr>
        <w:t xml:space="preserve"> qui</w:t>
      </w:r>
      <w:r w:rsidR="00395816" w:rsidRPr="00BD22C2">
        <w:rPr>
          <w:lang w:val="fr-CA"/>
        </w:rPr>
        <w:t xml:space="preserve"> consiste à traiter </w:t>
      </w:r>
      <w:r w:rsidR="00501E15">
        <w:rPr>
          <w:lang w:val="fr-CA"/>
        </w:rPr>
        <w:t>tous</w:t>
      </w:r>
      <w:r w:rsidR="00395816" w:rsidRPr="00FB10BF">
        <w:rPr>
          <w:lang w:val="fr-CA"/>
        </w:rPr>
        <w:t xml:space="preserve"> </w:t>
      </w:r>
      <w:r w:rsidR="00501E15">
        <w:rPr>
          <w:lang w:val="fr-CA"/>
        </w:rPr>
        <w:t>l</w:t>
      </w:r>
      <w:r w:rsidR="00395816" w:rsidRPr="00BD22C2">
        <w:rPr>
          <w:lang w:val="fr-CA"/>
        </w:rPr>
        <w:t>es individus de la même façon</w:t>
      </w:r>
      <w:r w:rsidR="00A77899" w:rsidRPr="00BD22C2">
        <w:rPr>
          <w:lang w:val="fr-CA"/>
        </w:rPr>
        <w:t xml:space="preserve"> </w:t>
      </w:r>
      <w:r w:rsidR="00A77899" w:rsidRPr="00BD22C2">
        <w:rPr>
          <w:rFonts w:cs="Arial"/>
          <w:lang w:val="fr-CA"/>
        </w:rPr>
        <w:t>—</w:t>
      </w:r>
      <w:r w:rsidR="0032015E" w:rsidRPr="00BD22C2">
        <w:rPr>
          <w:lang w:val="fr-CA"/>
        </w:rPr>
        <w:t>,</w:t>
      </w:r>
      <w:r w:rsidR="00E72543" w:rsidRPr="00BD22C2">
        <w:rPr>
          <w:lang w:val="fr-CA"/>
        </w:rPr>
        <w:t xml:space="preserve"> </w:t>
      </w:r>
      <w:r w:rsidR="00395816" w:rsidRPr="00BD22C2">
        <w:rPr>
          <w:lang w:val="fr-CA"/>
        </w:rPr>
        <w:t>l’égalité réelle</w:t>
      </w:r>
      <w:r w:rsidR="00E72543" w:rsidRPr="00BD22C2">
        <w:rPr>
          <w:lang w:val="fr-CA"/>
        </w:rPr>
        <w:t xml:space="preserve"> </w:t>
      </w:r>
      <w:r w:rsidR="00D86937" w:rsidRPr="00BD22C2">
        <w:rPr>
          <w:lang w:val="fr-CA"/>
        </w:rPr>
        <w:t>protégée par</w:t>
      </w:r>
      <w:r w:rsidR="00EF02B9" w:rsidRPr="00BD22C2">
        <w:rPr>
          <w:lang w:val="fr-CA"/>
        </w:rPr>
        <w:t xml:space="preserve"> la Charte</w:t>
      </w:r>
      <w:r w:rsidR="00395816" w:rsidRPr="00BD22C2">
        <w:rPr>
          <w:lang w:val="fr-CA"/>
        </w:rPr>
        <w:t xml:space="preserve"> exige une approche contextuelle parce qu’elle </w:t>
      </w:r>
      <w:r w:rsidR="00CF39C8" w:rsidRPr="00BD22C2">
        <w:rPr>
          <w:lang w:val="fr-CA"/>
        </w:rPr>
        <w:t>reconnaît</w:t>
      </w:r>
      <w:r w:rsidR="00395816" w:rsidRPr="00BD22C2">
        <w:rPr>
          <w:lang w:val="fr-CA"/>
        </w:rPr>
        <w:t xml:space="preserve"> que l’inégalité découle souvent des circonstances et de la situation concrète des individus touchés par une norme. </w:t>
      </w:r>
      <w:r w:rsidR="005D2F3B" w:rsidRPr="00BD22C2">
        <w:rPr>
          <w:lang w:val="fr-CA"/>
        </w:rPr>
        <w:t>Ainsi, l</w:t>
      </w:r>
      <w:r w:rsidR="00395816" w:rsidRPr="00BD22C2">
        <w:rPr>
          <w:lang w:val="fr-CA"/>
        </w:rPr>
        <w:t xml:space="preserve">’égalité réelle </w:t>
      </w:r>
      <w:r w:rsidR="000D492F" w:rsidRPr="00BD22C2">
        <w:rPr>
          <w:lang w:val="fr-CA"/>
        </w:rPr>
        <w:t>commandera</w:t>
      </w:r>
      <w:r w:rsidR="00395816" w:rsidRPr="00BD22C2">
        <w:rPr>
          <w:lang w:val="fr-CA"/>
        </w:rPr>
        <w:t xml:space="preserve"> parfois l’application d’un traitement différencié, adapté aux besoins de la personne concernée</w:t>
      </w:r>
      <w:r w:rsidR="007750B5" w:rsidRPr="00BD22C2">
        <w:rPr>
          <w:rStyle w:val="Appeldenotedefin"/>
          <w:lang w:val="fr-CA"/>
        </w:rPr>
        <w:endnoteReference w:id="168"/>
      </w:r>
      <w:r w:rsidR="007750B5" w:rsidRPr="00BD22C2">
        <w:rPr>
          <w:lang w:val="fr-CA"/>
        </w:rPr>
        <w:t>.</w:t>
      </w:r>
      <w:r w:rsidR="00395816" w:rsidRPr="00BD22C2">
        <w:rPr>
          <w:lang w:val="fr-CA"/>
        </w:rPr>
        <w:t xml:space="preserve"> </w:t>
      </w:r>
      <w:r w:rsidR="00395816" w:rsidRPr="00BD22C2">
        <w:rPr>
          <w:lang w:val="fr-CA" w:eastAsia="en-US"/>
        </w:rPr>
        <w:t>Cela signifie notamment que les personnes qui conçoivent des normes, soient-ils employeurs ou prestataires de services, «</w:t>
      </w:r>
      <w:r w:rsidR="00974BD5" w:rsidRPr="00BD22C2">
        <w:rPr>
          <w:lang w:val="fr-CA" w:eastAsia="en-US"/>
        </w:rPr>
        <w:t> </w:t>
      </w:r>
      <w:r w:rsidR="00395816" w:rsidRPr="00BD22C2">
        <w:rPr>
          <w:lang w:val="fr-CA" w:eastAsia="en-US"/>
        </w:rPr>
        <w:t>doivent être conscients des différences entre les personnes et des différences qui caractérisent des groupes de personnes. Ils doivent intégrer des notions d’égalité</w:t>
      </w:r>
      <w:r w:rsidR="00974BD5" w:rsidRPr="00BD22C2">
        <w:rPr>
          <w:lang w:val="fr-CA" w:eastAsia="en-US"/>
        </w:rPr>
        <w:t> </w:t>
      </w:r>
      <w:r w:rsidR="00395816" w:rsidRPr="00BD22C2">
        <w:rPr>
          <w:lang w:val="fr-CA" w:eastAsia="en-US"/>
        </w:rPr>
        <w:t>»</w:t>
      </w:r>
      <w:bookmarkStart w:id="106" w:name="_Ref167438553"/>
      <w:r w:rsidR="007750B5" w:rsidRPr="00BD22C2">
        <w:rPr>
          <w:rStyle w:val="Appeldenotedefin"/>
          <w:lang w:val="fr-CA" w:eastAsia="en-US"/>
        </w:rPr>
        <w:endnoteReference w:id="169"/>
      </w:r>
      <w:bookmarkEnd w:id="106"/>
      <w:r w:rsidR="007750B5" w:rsidRPr="00BD22C2">
        <w:rPr>
          <w:lang w:val="fr-CA" w:eastAsia="en-US"/>
        </w:rPr>
        <w:t xml:space="preserve"> </w:t>
      </w:r>
      <w:r w:rsidR="00395816" w:rsidRPr="00BD22C2">
        <w:rPr>
          <w:lang w:val="fr-CA" w:eastAsia="en-US"/>
        </w:rPr>
        <w:t xml:space="preserve">dans la définition même de leurs normes et décisions. </w:t>
      </w:r>
    </w:p>
    <w:p w14:paraId="03118CDC" w14:textId="29E6E929" w:rsidR="00395816" w:rsidRPr="00BD22C2" w:rsidRDefault="00395816" w:rsidP="005A5B5A">
      <w:pPr>
        <w:pStyle w:val="Paragraphe"/>
        <w:rPr>
          <w:lang w:val="fr-CA"/>
        </w:rPr>
      </w:pPr>
      <w:r w:rsidRPr="00BD22C2">
        <w:rPr>
          <w:lang w:val="fr-CA" w:eastAsia="en-US"/>
        </w:rPr>
        <w:t>Si</w:t>
      </w:r>
      <w:r w:rsidRPr="00BD22C2" w:rsidDel="00C06D34">
        <w:rPr>
          <w:lang w:val="fr-CA" w:eastAsia="en-US"/>
        </w:rPr>
        <w:t xml:space="preserve"> </w:t>
      </w:r>
      <w:r w:rsidR="00C06D34" w:rsidRPr="00BD22C2">
        <w:rPr>
          <w:lang w:val="fr-CA" w:eastAsia="en-US"/>
        </w:rPr>
        <w:t>cela</w:t>
      </w:r>
      <w:r w:rsidRPr="00BD22C2">
        <w:rPr>
          <w:lang w:val="fr-CA" w:eastAsia="en-US"/>
        </w:rPr>
        <w:t xml:space="preserve"> n’est pas possible, ils doivent chercher</w:t>
      </w:r>
      <w:r w:rsidR="00171FA7" w:rsidRPr="00BD22C2">
        <w:rPr>
          <w:lang w:val="fr-CA" w:eastAsia="en-US"/>
        </w:rPr>
        <w:t xml:space="preserve"> </w:t>
      </w:r>
      <w:r w:rsidRPr="00BD22C2">
        <w:rPr>
          <w:lang w:val="fr-CA" w:eastAsia="en-US"/>
        </w:rPr>
        <w:t>un accommodement raisonnable</w:t>
      </w:r>
      <w:r w:rsidR="00171FA7" w:rsidRPr="00BD22C2">
        <w:rPr>
          <w:lang w:val="fr-CA" w:eastAsia="en-US"/>
        </w:rPr>
        <w:t xml:space="preserve"> en collaboration avec la personne qui en fait la demande</w:t>
      </w:r>
      <w:r w:rsidRPr="00BD22C2">
        <w:rPr>
          <w:lang w:val="fr-CA" w:eastAsia="en-US"/>
        </w:rPr>
        <w:t xml:space="preserve">, </w:t>
      </w:r>
      <w:r w:rsidR="00822A5A" w:rsidRPr="00BD22C2">
        <w:rPr>
          <w:lang w:val="fr-CA" w:eastAsia="en-US"/>
        </w:rPr>
        <w:t xml:space="preserve">et ce, </w:t>
      </w:r>
      <w:r w:rsidRPr="00BD22C2">
        <w:rPr>
          <w:lang w:val="fr-CA" w:eastAsia="en-US"/>
        </w:rPr>
        <w:t xml:space="preserve">jusqu’à la limite de la contrainte excessive. </w:t>
      </w:r>
      <w:r w:rsidRPr="00BD22C2">
        <w:rPr>
          <w:lang w:val="fr-CA"/>
        </w:rPr>
        <w:t xml:space="preserve">L’accommodement constitue </w:t>
      </w:r>
      <w:r w:rsidR="00456301" w:rsidRPr="00BD22C2">
        <w:rPr>
          <w:lang w:val="fr-CA"/>
        </w:rPr>
        <w:t>donc</w:t>
      </w:r>
      <w:r w:rsidRPr="00BD22C2">
        <w:rPr>
          <w:lang w:val="fr-CA"/>
        </w:rPr>
        <w:t xml:space="preserve"> une obligation juridique pour un employeur, prestataire de </w:t>
      </w:r>
      <w:r w:rsidRPr="00BD22C2">
        <w:rPr>
          <w:lang w:val="fr-CA"/>
        </w:rPr>
        <w:lastRenderedPageBreak/>
        <w:t>service ou autre chaque fois qu’il s’avère possible de composer avec un employé, un client, un patient, etc., touché négativement par une norme, une décision ou une conduite discriminatoire</w:t>
      </w:r>
      <w:r w:rsidR="007750B5" w:rsidRPr="00BD22C2">
        <w:rPr>
          <w:rStyle w:val="Appeldenotedefin"/>
          <w:lang w:val="fr-CA"/>
        </w:rPr>
        <w:endnoteReference w:id="170"/>
      </w:r>
      <w:r w:rsidR="007750B5" w:rsidRPr="00BD22C2">
        <w:rPr>
          <w:lang w:val="fr-CA"/>
        </w:rPr>
        <w:t>.</w:t>
      </w:r>
      <w:r w:rsidRPr="00BD22C2">
        <w:rPr>
          <w:lang w:val="fr-CA"/>
        </w:rPr>
        <w:t xml:space="preserve"> </w:t>
      </w:r>
      <w:r w:rsidR="00D12CDC" w:rsidRPr="00BD22C2">
        <w:rPr>
          <w:lang w:val="fr-CA" w:eastAsia="en-US"/>
        </w:rPr>
        <w:t xml:space="preserve">Encore une fois, cette analyse doit être faite au cas par cas et prendre en compte tout le contexte factuel en cause. </w:t>
      </w:r>
    </w:p>
    <w:p w14:paraId="53559269" w14:textId="594F0181" w:rsidR="00395816" w:rsidRPr="00BD22C2" w:rsidRDefault="00395816" w:rsidP="005A5B5A">
      <w:pPr>
        <w:pStyle w:val="Paragraphe"/>
        <w:rPr>
          <w:lang w:val="fr-CA"/>
        </w:rPr>
      </w:pPr>
      <w:r w:rsidRPr="00BD22C2">
        <w:rPr>
          <w:lang w:val="fr-CA"/>
        </w:rPr>
        <w:t xml:space="preserve">Pour </w:t>
      </w:r>
      <w:r w:rsidR="006B149F" w:rsidRPr="00BD22C2">
        <w:rPr>
          <w:lang w:val="fr-CA"/>
        </w:rPr>
        <w:t>démontrer</w:t>
      </w:r>
      <w:r w:rsidRPr="00BD22C2">
        <w:rPr>
          <w:lang w:val="fr-CA"/>
        </w:rPr>
        <w:t xml:space="preserve"> la contrainte excessive, il faut </w:t>
      </w:r>
      <w:r w:rsidR="006B149F" w:rsidRPr="00BD22C2">
        <w:rPr>
          <w:lang w:val="fr-CA"/>
        </w:rPr>
        <w:t>établir</w:t>
      </w:r>
      <w:r w:rsidRPr="00BD22C2">
        <w:rPr>
          <w:lang w:val="fr-CA"/>
        </w:rPr>
        <w:t xml:space="preserve"> que les moyens raisonnables d’accommoder ont été épuisés et qu’il ne reste que des options d’accommodement déraisonnables ou irréalistes</w:t>
      </w:r>
      <w:r w:rsidR="007750B5" w:rsidRPr="00BD22C2">
        <w:rPr>
          <w:rStyle w:val="Appeldenotedefin"/>
          <w:lang w:val="fr-CA"/>
        </w:rPr>
        <w:endnoteReference w:id="171"/>
      </w:r>
      <w:r w:rsidR="007750B5" w:rsidRPr="00BD22C2">
        <w:rPr>
          <w:lang w:val="fr-CA"/>
        </w:rPr>
        <w:t>. La jurisprudence reconnaît plusieurs facteurs contextuels qui peuvent mener à la reconnaissance d’une contrainte excessive et chaque facteur pourra avoir un poids variable selon les circonstances. Ont notamment été acceptés par la jurisprudence au titre de contrainte excessive : le coût excessif de l’accommodement, l’entrave indue à l’exploitation d’une entreprise, l’atteinte réelle et importante aux droits d’autrui</w:t>
      </w:r>
      <w:r w:rsidR="007750B5" w:rsidRPr="00BD22C2">
        <w:rPr>
          <w:rStyle w:val="Appeldenotedefin"/>
          <w:lang w:val="fr-CA"/>
        </w:rPr>
        <w:endnoteReference w:id="172"/>
      </w:r>
      <w:r w:rsidR="007750B5" w:rsidRPr="00BD22C2">
        <w:rPr>
          <w:lang w:val="fr-CA"/>
        </w:rPr>
        <w:t>. Les inconvénients purement administratifs ne peuvent pas être qualifiés de contrainte excessive. En effet, l’utilisation de l’adjectif «</w:t>
      </w:r>
      <w:r w:rsidR="00974BD5" w:rsidRPr="00BD22C2">
        <w:rPr>
          <w:lang w:val="fr-CA"/>
        </w:rPr>
        <w:t> </w:t>
      </w:r>
      <w:r w:rsidR="007750B5" w:rsidRPr="00BD22C2">
        <w:rPr>
          <w:lang w:val="fr-CA"/>
        </w:rPr>
        <w:t>excessive</w:t>
      </w:r>
      <w:r w:rsidR="00974BD5" w:rsidRPr="00BD22C2">
        <w:rPr>
          <w:lang w:val="fr-CA"/>
        </w:rPr>
        <w:t> </w:t>
      </w:r>
      <w:r w:rsidR="007750B5" w:rsidRPr="00BD22C2">
        <w:rPr>
          <w:lang w:val="fr-CA"/>
        </w:rPr>
        <w:t>» implique qu’un certain degré de contrainte est acceptable</w:t>
      </w:r>
      <w:r w:rsidR="007750B5" w:rsidRPr="00BD22C2">
        <w:rPr>
          <w:rStyle w:val="Appeldenotedefin"/>
          <w:lang w:val="fr-CA"/>
        </w:rPr>
        <w:endnoteReference w:id="173"/>
      </w:r>
      <w:r w:rsidR="007750B5" w:rsidRPr="00BD22C2">
        <w:rPr>
          <w:lang w:val="fr-CA"/>
        </w:rPr>
        <w:t>.</w:t>
      </w:r>
      <w:r w:rsidRPr="00BD22C2">
        <w:rPr>
          <w:lang w:val="fr-CA"/>
        </w:rPr>
        <w:t xml:space="preserve"> Finalement, il est important de souligner que des hypothèses non</w:t>
      </w:r>
      <w:r w:rsidR="006426C6" w:rsidRPr="00BD22C2">
        <w:rPr>
          <w:lang w:val="fr-CA"/>
        </w:rPr>
        <w:t xml:space="preserve"> </w:t>
      </w:r>
      <w:r w:rsidRPr="00BD22C2">
        <w:rPr>
          <w:lang w:val="fr-CA"/>
        </w:rPr>
        <w:t>vérifiées, des craintes non</w:t>
      </w:r>
      <w:r w:rsidR="00862CC6" w:rsidRPr="00BD22C2">
        <w:rPr>
          <w:lang w:val="fr-CA"/>
        </w:rPr>
        <w:t xml:space="preserve"> </w:t>
      </w:r>
      <w:r w:rsidRPr="00BD22C2">
        <w:rPr>
          <w:lang w:val="fr-CA"/>
        </w:rPr>
        <w:t>fondées ou des affirmations gratuites ne sauraient constituer une preuve acceptable de contrainte excessive : celle-ci doit se fonder sur des faits objectifs et vérifiables</w:t>
      </w:r>
      <w:r w:rsidR="007750B5" w:rsidRPr="00BD22C2">
        <w:rPr>
          <w:rStyle w:val="Appeldenotedefin"/>
          <w:lang w:val="fr-CA"/>
        </w:rPr>
        <w:endnoteReference w:id="174"/>
      </w:r>
      <w:r w:rsidR="007750B5" w:rsidRPr="00BD22C2">
        <w:rPr>
          <w:lang w:val="fr-CA"/>
        </w:rPr>
        <w:t xml:space="preserve">. </w:t>
      </w:r>
    </w:p>
    <w:p w14:paraId="1B42E493" w14:textId="7A5D7D73" w:rsidR="00C8580E" w:rsidRPr="00BD22C2" w:rsidRDefault="00F67205" w:rsidP="001E26FD">
      <w:pPr>
        <w:pStyle w:val="Titre4"/>
      </w:pPr>
      <w:bookmarkStart w:id="107" w:name="_Toc165301030"/>
      <w:bookmarkStart w:id="108" w:name="_Toc165636113"/>
      <w:r w:rsidRPr="00BD22C2">
        <w:t>Le second volet de l’article</w:t>
      </w:r>
      <w:r w:rsidR="00CC76DE" w:rsidRPr="00BD22C2">
        <w:t> </w:t>
      </w:r>
      <w:r w:rsidRPr="00BD22C2">
        <w:t>20 de la Charte</w:t>
      </w:r>
      <w:r w:rsidR="0036032B" w:rsidRPr="00BD22C2">
        <w:t xml:space="preserve"> : </w:t>
      </w:r>
      <w:r w:rsidR="00AE18B1" w:rsidRPr="00BD22C2">
        <w:t xml:space="preserve">une exception liée à </w:t>
      </w:r>
      <w:r w:rsidR="0036032B" w:rsidRPr="00BD22C2">
        <w:t>la mission de l’organisme</w:t>
      </w:r>
      <w:bookmarkEnd w:id="107"/>
      <w:bookmarkEnd w:id="108"/>
    </w:p>
    <w:p w14:paraId="029A1B2C" w14:textId="4BA339E5" w:rsidR="007750B5" w:rsidRPr="00BD22C2" w:rsidRDefault="007750B5" w:rsidP="005A5B5A">
      <w:pPr>
        <w:pStyle w:val="Paragraphe"/>
        <w:rPr>
          <w:lang w:val="fr-CA"/>
        </w:rPr>
      </w:pPr>
      <w:r w:rsidRPr="00BD22C2">
        <w:rPr>
          <w:lang w:val="fr-CA"/>
        </w:rPr>
        <w:t>L’article</w:t>
      </w:r>
      <w:r w:rsidR="00CC76DE" w:rsidRPr="00BD22C2">
        <w:rPr>
          <w:lang w:val="fr-CA"/>
        </w:rPr>
        <w:t> </w:t>
      </w:r>
      <w:r w:rsidRPr="00BD22C2">
        <w:rPr>
          <w:lang w:val="fr-CA"/>
        </w:rPr>
        <w:t>20 encadre deux des défenses explicites offertes par la Charte. Si son premier volet concerne l’exigence professionnelle justifiée</w:t>
      </w:r>
      <w:r w:rsidRPr="00BD22C2">
        <w:rPr>
          <w:rStyle w:val="Appeldenotedefin"/>
          <w:lang w:val="fr-CA"/>
        </w:rPr>
        <w:endnoteReference w:id="175"/>
      </w:r>
      <w:r w:rsidRPr="00BD22C2">
        <w:rPr>
          <w:lang w:val="fr-CA"/>
        </w:rPr>
        <w:t xml:space="preserve">, sur laquelle nous reviendrons, le second volet de cette disposition prévoit que certaines distinctions, exclusions ou préférences, liées à un motif interdit de discrimination, pourraient être justifiées par le caractère charitable, philanthropique, religieux, politique ou éducatif d’une institution sans but lucratif ou qui serait vouée exclusivement au bien-être d’un groupe ethnique. </w:t>
      </w:r>
    </w:p>
    <w:p w14:paraId="6D1116DC" w14:textId="078AC1E1" w:rsidR="007750B5" w:rsidRPr="00BD22C2" w:rsidRDefault="007750B5" w:rsidP="005A5B5A">
      <w:pPr>
        <w:pStyle w:val="Paragraphe"/>
        <w:rPr>
          <w:lang w:val="fr-CA"/>
        </w:rPr>
      </w:pPr>
      <w:r w:rsidRPr="00BD22C2">
        <w:rPr>
          <w:lang w:val="fr-CA"/>
        </w:rPr>
        <w:t>Le but du second volet de l’article</w:t>
      </w:r>
      <w:r w:rsidR="00CC76DE" w:rsidRPr="00BD22C2">
        <w:rPr>
          <w:lang w:val="fr-CA"/>
        </w:rPr>
        <w:t> </w:t>
      </w:r>
      <w:r w:rsidRPr="00BD22C2">
        <w:rPr>
          <w:lang w:val="fr-CA"/>
        </w:rPr>
        <w:t>20 est de faire primer, dans certaines circonstances, la liberté d’association «</w:t>
      </w:r>
      <w:r w:rsidR="00974BD5" w:rsidRPr="00BD22C2">
        <w:rPr>
          <w:lang w:val="fr-CA"/>
        </w:rPr>
        <w:t> </w:t>
      </w:r>
      <w:r w:rsidRPr="00BD22C2">
        <w:rPr>
          <w:lang w:val="fr-CA"/>
        </w:rPr>
        <w:t>d’un groupe identifiable de personnes caractérisées par l’un des facteurs énumérés à l’art.</w:t>
      </w:r>
      <w:r w:rsidR="00CC76DE" w:rsidRPr="00BD22C2">
        <w:rPr>
          <w:lang w:val="fr-CA"/>
        </w:rPr>
        <w:t> </w:t>
      </w:r>
      <w:r w:rsidRPr="00BD22C2">
        <w:rPr>
          <w:lang w:val="fr-CA"/>
        </w:rPr>
        <w:t>10</w:t>
      </w:r>
      <w:r w:rsidR="00974BD5" w:rsidRPr="00BD22C2">
        <w:rPr>
          <w:lang w:val="fr-CA"/>
        </w:rPr>
        <w:t> </w:t>
      </w:r>
      <w:r w:rsidRPr="00BD22C2">
        <w:rPr>
          <w:lang w:val="fr-CA"/>
        </w:rPr>
        <w:t>»</w:t>
      </w:r>
      <w:bookmarkStart w:id="109" w:name="_Ref167440307"/>
      <w:r w:rsidRPr="00BD22C2">
        <w:rPr>
          <w:rStyle w:val="Appeldenotedefin"/>
          <w:lang w:val="fr-CA"/>
        </w:rPr>
        <w:endnoteReference w:id="176"/>
      </w:r>
      <w:bookmarkEnd w:id="109"/>
      <w:r w:rsidRPr="00BD22C2">
        <w:rPr>
          <w:vertAlign w:val="superscript"/>
          <w:lang w:val="fr-CA"/>
        </w:rPr>
        <w:t xml:space="preserve"> </w:t>
      </w:r>
      <w:r w:rsidRPr="00BD22C2">
        <w:rPr>
          <w:lang w:val="fr-CA"/>
        </w:rPr>
        <w:t>sur le droit à l’égalité des personnes qui ne feraient pas partie de ce groupe</w:t>
      </w:r>
      <w:r w:rsidRPr="00BD22C2">
        <w:rPr>
          <w:rStyle w:val="Appeldenotedefin"/>
          <w:lang w:val="fr-CA"/>
        </w:rPr>
        <w:endnoteReference w:id="177"/>
      </w:r>
      <w:r w:rsidRPr="00BD22C2">
        <w:rPr>
          <w:lang w:val="fr-CA"/>
        </w:rPr>
        <w:t xml:space="preserve">. </w:t>
      </w:r>
    </w:p>
    <w:p w14:paraId="43A6F8C0" w14:textId="3C6A5ED3" w:rsidR="007750B5" w:rsidRPr="00BD22C2" w:rsidRDefault="007750B5" w:rsidP="005A5B5A">
      <w:pPr>
        <w:pStyle w:val="Paragraphe"/>
        <w:rPr>
          <w:lang w:val="fr-CA"/>
        </w:rPr>
      </w:pPr>
      <w:r w:rsidRPr="00BD22C2">
        <w:rPr>
          <w:lang w:val="fr-CA"/>
        </w:rPr>
        <w:lastRenderedPageBreak/>
        <w:t>Cette «</w:t>
      </w:r>
      <w:r w:rsidR="00974BD5" w:rsidRPr="00BD22C2">
        <w:rPr>
          <w:lang w:val="fr-CA"/>
        </w:rPr>
        <w:t> </w:t>
      </w:r>
      <w:r w:rsidRPr="00BD22C2">
        <w:rPr>
          <w:lang w:val="fr-CA"/>
        </w:rPr>
        <w:t>permission légale d’exercer une discrimination souffre évidemment de restrictions</w:t>
      </w:r>
      <w:r w:rsidR="00974BD5" w:rsidRPr="00BD22C2">
        <w:rPr>
          <w:lang w:val="fr-CA"/>
        </w:rPr>
        <w:t> </w:t>
      </w:r>
      <w:r w:rsidRPr="00BD22C2">
        <w:rPr>
          <w:lang w:val="fr-CA"/>
        </w:rPr>
        <w:t>»</w:t>
      </w:r>
      <w:r w:rsidRPr="00BD22C2">
        <w:rPr>
          <w:rStyle w:val="Appeldenotedefin"/>
          <w:lang w:val="fr-CA"/>
        </w:rPr>
        <w:endnoteReference w:id="178"/>
      </w:r>
      <w:r w:rsidRPr="00BD22C2">
        <w:rPr>
          <w:lang w:val="fr-CA"/>
        </w:rPr>
        <w:t xml:space="preserve">, souligne le juge </w:t>
      </w:r>
      <w:proofErr w:type="spellStart"/>
      <w:r w:rsidRPr="00BD22C2">
        <w:rPr>
          <w:lang w:val="fr-CA"/>
        </w:rPr>
        <w:t>Beetz</w:t>
      </w:r>
      <w:proofErr w:type="spellEnd"/>
      <w:r w:rsidRPr="00BD22C2">
        <w:rPr>
          <w:lang w:val="fr-CA"/>
        </w:rPr>
        <w:t xml:space="preserve"> dans la décision </w:t>
      </w:r>
      <w:r w:rsidRPr="00BD22C2">
        <w:rPr>
          <w:i/>
          <w:lang w:val="fr-CA"/>
        </w:rPr>
        <w:t>Ville de Brossard</w:t>
      </w:r>
      <w:r w:rsidRPr="00BD22C2">
        <w:rPr>
          <w:lang w:val="fr-CA"/>
        </w:rPr>
        <w:t>. Un organisme ou une association qui souhaiterait exclure certaines personnes en lien avec leur identité ou expression de genre ou avec leur sexe devrait ainsi démontrer (1) qu’il est à but non lucratif, (2) doté d’un caractère charitable, philanthropique, religieux, politique ou éducatif, et (3) qu’il poursuit clairement une mission de promotion des intérêts et du bien-être d’un groupe de personnes caractérisées par l’un des motifs énumérés à l’article</w:t>
      </w:r>
      <w:r w:rsidR="00CC76DE" w:rsidRPr="00BD22C2">
        <w:rPr>
          <w:lang w:val="fr-CA"/>
        </w:rPr>
        <w:t> </w:t>
      </w:r>
      <w:r w:rsidRPr="00BD22C2">
        <w:rPr>
          <w:lang w:val="fr-CA"/>
        </w:rPr>
        <w:t xml:space="preserve">10. Finalement, il devra aussi établir (4) que la distinction, exclusion ou préférence qu’il veut justifier </w:t>
      </w:r>
      <w:proofErr w:type="gramStart"/>
      <w:r w:rsidRPr="00BD22C2">
        <w:rPr>
          <w:lang w:val="fr-CA"/>
        </w:rPr>
        <w:t>a</w:t>
      </w:r>
      <w:proofErr w:type="gramEnd"/>
      <w:r w:rsidRPr="00BD22C2">
        <w:rPr>
          <w:lang w:val="fr-CA"/>
        </w:rPr>
        <w:t xml:space="preserve"> un lien rationnel avec le caractère et avec la mission de l’organisme. </w:t>
      </w:r>
    </w:p>
    <w:p w14:paraId="77A1ADD8" w14:textId="7E8C7840" w:rsidR="007750B5" w:rsidRPr="00BD22C2" w:rsidRDefault="007750B5" w:rsidP="002A11CB">
      <w:pPr>
        <w:pStyle w:val="Paragraphe"/>
        <w:rPr>
          <w:lang w:val="fr-CA"/>
        </w:rPr>
      </w:pPr>
      <w:r w:rsidRPr="00BD22C2">
        <w:rPr>
          <w:lang w:val="fr-CA"/>
        </w:rPr>
        <w:t>Cette «</w:t>
      </w:r>
      <w:r w:rsidR="00974BD5" w:rsidRPr="00BD22C2">
        <w:rPr>
          <w:lang w:val="fr-CA"/>
        </w:rPr>
        <w:t> </w:t>
      </w:r>
      <w:r w:rsidRPr="00BD22C2">
        <w:rPr>
          <w:lang w:val="fr-CA"/>
        </w:rPr>
        <w:t>défense</w:t>
      </w:r>
      <w:r w:rsidR="00974BD5" w:rsidRPr="00BD22C2">
        <w:rPr>
          <w:lang w:val="fr-CA"/>
        </w:rPr>
        <w:t> </w:t>
      </w:r>
      <w:r w:rsidRPr="00BD22C2">
        <w:rPr>
          <w:lang w:val="fr-CA"/>
        </w:rPr>
        <w:t xml:space="preserve">» à une situation qui serait discriminatoire à première vue pourrait ainsi s’appliquer par exemple dans des situations où un organisme répondant à ces différents critères souhaite imposer la non-mixité dans ses locaux ou ses activités. </w:t>
      </w:r>
    </w:p>
    <w:p w14:paraId="10973E58" w14:textId="2A6E3D80" w:rsidR="007750B5" w:rsidRPr="00BD22C2" w:rsidRDefault="007750B5" w:rsidP="00395816">
      <w:pPr>
        <w:pStyle w:val="Paragraphe"/>
        <w:rPr>
          <w:lang w:val="fr-CA"/>
        </w:rPr>
      </w:pPr>
      <w:r w:rsidRPr="00BD22C2">
        <w:rPr>
          <w:rFonts w:cs="Times New Roman"/>
          <w:color w:val="auto"/>
          <w:szCs w:val="24"/>
          <w:lang w:val="fr-CA"/>
        </w:rPr>
        <w:t>Cela dit, retenons que c</w:t>
      </w:r>
      <w:r w:rsidRPr="00BD22C2">
        <w:rPr>
          <w:lang w:val="fr-CA"/>
        </w:rPr>
        <w:t>ompte tenu de l’objectif de protection de la liberté d’association d’un groupe protégé, la jurisprudence a établi que, malgré leur caractère non</w:t>
      </w:r>
      <w:r w:rsidR="00862CC6" w:rsidRPr="00BD22C2">
        <w:rPr>
          <w:lang w:val="fr-CA"/>
        </w:rPr>
        <w:t xml:space="preserve"> </w:t>
      </w:r>
      <w:r w:rsidRPr="00BD22C2">
        <w:rPr>
          <w:lang w:val="fr-CA"/>
        </w:rPr>
        <w:t>lucratif, le second volet de l’art</w:t>
      </w:r>
      <w:r w:rsidR="00E22305" w:rsidRPr="00BD22C2">
        <w:rPr>
          <w:lang w:val="fr-CA"/>
        </w:rPr>
        <w:t>icle</w:t>
      </w:r>
      <w:r w:rsidR="00CC76DE" w:rsidRPr="00BD22C2">
        <w:rPr>
          <w:lang w:val="fr-CA"/>
        </w:rPr>
        <w:t> </w:t>
      </w:r>
      <w:r w:rsidRPr="00BD22C2">
        <w:rPr>
          <w:lang w:val="fr-CA"/>
        </w:rPr>
        <w:t>20 ne peut s’appliquer aux institutions gouvernementales, y compris aux municipalités</w:t>
      </w:r>
      <w:r w:rsidRPr="00BD22C2">
        <w:rPr>
          <w:rStyle w:val="Appeldenotedefin"/>
          <w:lang w:val="fr-CA"/>
        </w:rPr>
        <w:endnoteReference w:id="179"/>
      </w:r>
      <w:r w:rsidRPr="00BD22C2">
        <w:rPr>
          <w:lang w:val="fr-CA"/>
        </w:rPr>
        <w:t xml:space="preserve">. Une université serait également exclue de son application, </w:t>
      </w:r>
      <w:r w:rsidR="00E851F7" w:rsidRPr="00BD22C2">
        <w:rPr>
          <w:lang w:val="fr-CA"/>
        </w:rPr>
        <w:t>sauf exception</w:t>
      </w:r>
      <w:r w:rsidRPr="00BD22C2">
        <w:rPr>
          <w:rStyle w:val="Appeldenotedefin"/>
          <w:lang w:val="fr-CA"/>
        </w:rPr>
        <w:endnoteReference w:id="180"/>
      </w:r>
      <w:r w:rsidRPr="00BD22C2">
        <w:rPr>
          <w:lang w:val="fr-CA"/>
        </w:rPr>
        <w:t xml:space="preserve">. La décision phare de la Cour suprême en la matière cite </w:t>
      </w:r>
      <w:r w:rsidR="00205392" w:rsidRPr="00BD22C2">
        <w:rPr>
          <w:lang w:val="fr-CA"/>
        </w:rPr>
        <w:t>aussi</w:t>
      </w:r>
      <w:r w:rsidRPr="00BD22C2">
        <w:rPr>
          <w:lang w:val="fr-CA"/>
        </w:rPr>
        <w:t xml:space="preserve"> en exemple une décision antérieure où il fut considéré que le caractère éducatif ou religieux </w:t>
      </w:r>
      <w:r w:rsidR="008808FE" w:rsidRPr="00BD22C2">
        <w:rPr>
          <w:lang w:val="fr-CA"/>
        </w:rPr>
        <w:t>d’une</w:t>
      </w:r>
      <w:r w:rsidRPr="00BD22C2">
        <w:rPr>
          <w:lang w:val="fr-CA"/>
        </w:rPr>
        <w:t xml:space="preserve"> commission scolaire catholique ne justifiait pas </w:t>
      </w:r>
      <w:r w:rsidR="008808FE" w:rsidRPr="00BD22C2">
        <w:rPr>
          <w:lang w:val="fr-CA"/>
        </w:rPr>
        <w:t xml:space="preserve">son </w:t>
      </w:r>
      <w:r w:rsidRPr="00BD22C2">
        <w:rPr>
          <w:lang w:val="fr-CA"/>
        </w:rPr>
        <w:t>refus de louer ses locaux à un organisme de défense des droits des homosexuels pour un congrès tenu hors des heures scolaires</w:t>
      </w:r>
      <w:r w:rsidRPr="00BD22C2">
        <w:rPr>
          <w:rStyle w:val="Appeldenotedefin"/>
          <w:lang w:val="fr-CA"/>
        </w:rPr>
        <w:endnoteReference w:id="181"/>
      </w:r>
      <w:r w:rsidRPr="00BD22C2">
        <w:rPr>
          <w:lang w:val="fr-CA"/>
        </w:rPr>
        <w:t xml:space="preserve">. Toutefois, dans une autre décision, </w:t>
      </w:r>
      <w:r w:rsidR="000F548A" w:rsidRPr="00BD22C2">
        <w:rPr>
          <w:lang w:val="fr-CA"/>
        </w:rPr>
        <w:t>u</w:t>
      </w:r>
      <w:r w:rsidRPr="00BD22C2">
        <w:rPr>
          <w:lang w:val="fr-CA"/>
        </w:rPr>
        <w:t>n tribunal jugea conforme au second volet de l’article</w:t>
      </w:r>
      <w:r w:rsidR="00CC76DE" w:rsidRPr="00BD22C2">
        <w:rPr>
          <w:lang w:val="fr-CA"/>
        </w:rPr>
        <w:t> </w:t>
      </w:r>
      <w:r w:rsidRPr="00BD22C2">
        <w:rPr>
          <w:lang w:val="fr-CA"/>
        </w:rPr>
        <w:t xml:space="preserve">20 l’exigence que les conseillers juridiques d’une centrale syndicale adhèrent aux orientations politiques de l’organisme. Appliquant les principes dégagés dans </w:t>
      </w:r>
      <w:r w:rsidRPr="00BD22C2">
        <w:rPr>
          <w:i/>
          <w:lang w:val="fr-CA"/>
        </w:rPr>
        <w:t>Ville de Brossard,</w:t>
      </w:r>
      <w:r w:rsidRPr="00BD22C2">
        <w:rPr>
          <w:lang w:val="fr-CA"/>
        </w:rPr>
        <w:t xml:space="preserve"> le tribunal retient à cet effet que la centrale est un organisme à but non lucratif doté d’un caractère politique, comme le démontre</w:t>
      </w:r>
      <w:r w:rsidR="002E2742" w:rsidRPr="00BD22C2">
        <w:rPr>
          <w:lang w:val="fr-CA"/>
        </w:rPr>
        <w:t>nt</w:t>
      </w:r>
      <w:r w:rsidRPr="00BD22C2">
        <w:rPr>
          <w:lang w:val="fr-CA"/>
        </w:rPr>
        <w:t xml:space="preserve"> ses statuts et règlements</w:t>
      </w:r>
      <w:r w:rsidR="00A36B99">
        <w:rPr>
          <w:lang w:val="fr-CA"/>
        </w:rPr>
        <w:t>,</w:t>
      </w:r>
      <w:r w:rsidRPr="00BD22C2">
        <w:rPr>
          <w:lang w:val="fr-CA"/>
        </w:rPr>
        <w:t xml:space="preserve"> mais aussi ses activités ancrées dans une tradition de militantisme. La nature du poste de conseiller syndical fut par ailleurs considérée comme raisonnablement lié</w:t>
      </w:r>
      <w:r w:rsidR="003E05F4" w:rsidRPr="00BD22C2">
        <w:rPr>
          <w:lang w:val="fr-CA"/>
        </w:rPr>
        <w:t>e</w:t>
      </w:r>
      <w:r w:rsidRPr="00BD22C2">
        <w:rPr>
          <w:lang w:val="fr-CA"/>
        </w:rPr>
        <w:t xml:space="preserve"> à l’exigence d’adhésion aux orientations de l’organisme</w:t>
      </w:r>
      <w:r w:rsidRPr="00BD22C2">
        <w:rPr>
          <w:rStyle w:val="Appeldenotedefin"/>
          <w:lang w:val="fr-CA"/>
        </w:rPr>
        <w:endnoteReference w:id="182"/>
      </w:r>
      <w:r w:rsidRPr="00BD22C2">
        <w:rPr>
          <w:lang w:val="fr-CA"/>
        </w:rPr>
        <w:t xml:space="preserve">. </w:t>
      </w:r>
    </w:p>
    <w:p w14:paraId="2688942D" w14:textId="3297E67A" w:rsidR="00BA0E30" w:rsidRPr="00BD22C2" w:rsidRDefault="00BA0E30" w:rsidP="005A5B5A">
      <w:pPr>
        <w:pStyle w:val="Paragraphe"/>
        <w:rPr>
          <w:rFonts w:eastAsia="Calibri"/>
          <w:lang w:val="fr-CA"/>
        </w:rPr>
      </w:pPr>
      <w:r w:rsidRPr="00BD22C2">
        <w:rPr>
          <w:rFonts w:eastAsia="Calibri"/>
          <w:lang w:val="fr-CA"/>
        </w:rPr>
        <w:t xml:space="preserve">Les tribunaux sont donc exigeants quant à la mise en œuvre de ce moyen de défense, tant sur la preuve que la mission de l’organisme est liée de manière centrale à un groupe protégé, que sur la preuve que la discrimination que l’organisme souhaite justifier </w:t>
      </w:r>
      <w:proofErr w:type="gramStart"/>
      <w:r w:rsidRPr="00BD22C2">
        <w:rPr>
          <w:rFonts w:eastAsia="Calibri"/>
          <w:lang w:val="fr-CA"/>
        </w:rPr>
        <w:t>a</w:t>
      </w:r>
      <w:proofErr w:type="gramEnd"/>
      <w:r w:rsidRPr="00BD22C2">
        <w:rPr>
          <w:rFonts w:eastAsia="Calibri"/>
          <w:lang w:val="fr-CA"/>
        </w:rPr>
        <w:t xml:space="preserve"> un lien logique et objectif avec cette mission.</w:t>
      </w:r>
    </w:p>
    <w:p w14:paraId="5B343053" w14:textId="724E1713" w:rsidR="00BA0E30" w:rsidRPr="00BD22C2" w:rsidRDefault="00BA0E30" w:rsidP="005A5B5A">
      <w:pPr>
        <w:pStyle w:val="Paragraphe"/>
        <w:rPr>
          <w:rFonts w:eastAsia="Calibri"/>
          <w:lang w:val="fr-CA"/>
        </w:rPr>
      </w:pPr>
      <w:r w:rsidRPr="00BD22C2">
        <w:rPr>
          <w:rFonts w:eastAsia="Calibri"/>
          <w:lang w:val="fr-CA"/>
        </w:rPr>
        <w:lastRenderedPageBreak/>
        <w:t>Si les critères de la défense prévue par le second volet de l’article</w:t>
      </w:r>
      <w:r w:rsidR="00CC76DE" w:rsidRPr="00BD22C2">
        <w:rPr>
          <w:rFonts w:eastAsia="Calibri"/>
          <w:lang w:val="fr-CA"/>
        </w:rPr>
        <w:t> </w:t>
      </w:r>
      <w:r w:rsidRPr="00BD22C2">
        <w:rPr>
          <w:rFonts w:eastAsia="Calibri"/>
          <w:lang w:val="fr-CA"/>
        </w:rPr>
        <w:t xml:space="preserve">20 ne sont pas remplis, la personne responsable de la discrimination devra alors entamer une démarche d’accommodement. </w:t>
      </w:r>
    </w:p>
    <w:p w14:paraId="11F72A4E" w14:textId="04D49D78" w:rsidR="00BA0E30" w:rsidRPr="00BD22C2" w:rsidRDefault="00BA0E30" w:rsidP="001E26FD">
      <w:pPr>
        <w:pStyle w:val="Titre4"/>
      </w:pPr>
      <w:bookmarkStart w:id="110" w:name="_Toc165301031"/>
      <w:bookmarkStart w:id="111" w:name="_Toc165636114"/>
      <w:r w:rsidRPr="00BD22C2">
        <w:t>Le premier volet de l’article</w:t>
      </w:r>
      <w:r w:rsidR="00CC76DE" w:rsidRPr="00BD22C2">
        <w:t> </w:t>
      </w:r>
      <w:r w:rsidRPr="00BD22C2">
        <w:t>20 : une exception liée aux exigences particulières d’un emploi</w:t>
      </w:r>
      <w:bookmarkEnd w:id="110"/>
      <w:bookmarkEnd w:id="111"/>
    </w:p>
    <w:p w14:paraId="153F67A6" w14:textId="2F42E9DA" w:rsidR="00BA0E30" w:rsidRPr="00BD22C2" w:rsidRDefault="00BA0E30" w:rsidP="005A5B5A">
      <w:pPr>
        <w:pStyle w:val="Paragraphe"/>
        <w:rPr>
          <w:lang w:val="fr-CA" w:eastAsia="en-US"/>
        </w:rPr>
      </w:pPr>
      <w:r w:rsidRPr="00BD22C2">
        <w:rPr>
          <w:lang w:val="fr-CA" w:eastAsia="en-US"/>
        </w:rPr>
        <w:t>Le premier volet de l’article</w:t>
      </w:r>
      <w:r w:rsidR="00CC76DE" w:rsidRPr="00BD22C2">
        <w:rPr>
          <w:lang w:val="fr-CA" w:eastAsia="en-US"/>
        </w:rPr>
        <w:t> </w:t>
      </w:r>
      <w:r w:rsidRPr="00BD22C2">
        <w:rPr>
          <w:lang w:val="fr-CA" w:eastAsia="en-US"/>
        </w:rPr>
        <w:t>20,</w:t>
      </w:r>
      <w:r w:rsidRPr="00BD22C2" w:rsidDel="00EE2A42">
        <w:rPr>
          <w:lang w:val="fr-CA" w:eastAsia="en-US"/>
        </w:rPr>
        <w:t xml:space="preserve"> </w:t>
      </w:r>
      <w:r w:rsidRPr="00BD22C2">
        <w:rPr>
          <w:lang w:val="fr-CA" w:eastAsia="en-US"/>
        </w:rPr>
        <w:t xml:space="preserve">qui </w:t>
      </w:r>
      <w:r w:rsidR="000A0850" w:rsidRPr="00BD22C2">
        <w:rPr>
          <w:lang w:val="fr-CA" w:eastAsia="en-US"/>
        </w:rPr>
        <w:t>énonce</w:t>
      </w:r>
      <w:r w:rsidRPr="00BD22C2">
        <w:rPr>
          <w:lang w:val="fr-CA" w:eastAsia="en-US"/>
        </w:rPr>
        <w:t xml:space="preserve"> la défense dite «</w:t>
      </w:r>
      <w:r w:rsidR="00974BD5" w:rsidRPr="00BD22C2">
        <w:rPr>
          <w:lang w:val="fr-CA" w:eastAsia="en-US"/>
        </w:rPr>
        <w:t> </w:t>
      </w:r>
      <w:r w:rsidRPr="00BD22C2">
        <w:rPr>
          <w:lang w:val="fr-CA" w:eastAsia="en-US"/>
        </w:rPr>
        <w:t>d’exigence professionnelle justifiée</w:t>
      </w:r>
      <w:r w:rsidR="00974BD5" w:rsidRPr="00BD22C2">
        <w:rPr>
          <w:lang w:val="fr-CA" w:eastAsia="en-US"/>
        </w:rPr>
        <w:t> </w:t>
      </w:r>
      <w:r w:rsidRPr="00BD22C2">
        <w:rPr>
          <w:lang w:val="fr-CA" w:eastAsia="en-US"/>
        </w:rPr>
        <w:t>»</w:t>
      </w:r>
      <w:r w:rsidRPr="00BD22C2">
        <w:rPr>
          <w:rStyle w:val="Appeldenotedefin"/>
          <w:lang w:val="fr-CA" w:eastAsia="en-US"/>
        </w:rPr>
        <w:endnoteReference w:id="183"/>
      </w:r>
      <w:r w:rsidRPr="00BD22C2">
        <w:rPr>
          <w:lang w:val="fr-CA" w:eastAsia="en-US"/>
        </w:rPr>
        <w:t xml:space="preserve">, pourrait quant à lui être invoqué notamment par un employeur qui estimerait qu’un poste à combler devrait absolument l’être par une personne d’un </w:t>
      </w:r>
      <w:r w:rsidR="00616B3A" w:rsidRPr="00BD22C2">
        <w:rPr>
          <w:lang w:val="fr-CA" w:eastAsia="en-US"/>
        </w:rPr>
        <w:t>sexe ou</w:t>
      </w:r>
      <w:r w:rsidRPr="00BD22C2">
        <w:rPr>
          <w:lang w:val="fr-CA" w:eastAsia="en-US"/>
        </w:rPr>
        <w:t xml:space="preserve"> genre donné. Contrairement au second volet de l’article</w:t>
      </w:r>
      <w:r w:rsidR="00CC76DE" w:rsidRPr="00BD22C2">
        <w:rPr>
          <w:lang w:val="fr-CA" w:eastAsia="en-US"/>
        </w:rPr>
        <w:t> </w:t>
      </w:r>
      <w:r w:rsidRPr="00BD22C2">
        <w:rPr>
          <w:lang w:val="fr-CA" w:eastAsia="en-US"/>
        </w:rPr>
        <w:t>20, qui vise à favoriser l’équilibre entre le droit à la liberté d’association et le droit à l’égalité, le premier volet ne consacre qu’une défense à un constat de discrimination à première vue. En ce sens, la Cour suprême a reconnu que l’exigence professionnelle justifiée doit s’interpréter de façon restrictive, puisqu’elle justifie une atteinte au droit à l’égalité qui autrement recevrait une interprétation large et libérale</w:t>
      </w:r>
      <w:r w:rsidRPr="00BD22C2">
        <w:rPr>
          <w:rStyle w:val="Appeldenotedefin"/>
          <w:lang w:val="fr-CA" w:eastAsia="en-US"/>
        </w:rPr>
        <w:endnoteReference w:id="184"/>
      </w:r>
      <w:r w:rsidRPr="00BD22C2">
        <w:rPr>
          <w:lang w:val="fr-CA" w:eastAsia="en-US"/>
        </w:rPr>
        <w:t xml:space="preserve">. </w:t>
      </w:r>
    </w:p>
    <w:p w14:paraId="3C780F31" w14:textId="59A02ACD" w:rsidR="00BA0E30" w:rsidRPr="00BD22C2" w:rsidRDefault="00BA0E30" w:rsidP="005A5B5A">
      <w:pPr>
        <w:pStyle w:val="Paragraphe"/>
        <w:rPr>
          <w:lang w:val="fr-CA" w:eastAsia="en-US"/>
        </w:rPr>
      </w:pPr>
      <w:r w:rsidRPr="00BD22C2">
        <w:rPr>
          <w:lang w:val="fr-CA" w:eastAsia="en-US"/>
        </w:rPr>
        <w:t>L’employeur qui souhaite invoquer cette défense devra démontrer, par une preuve prépondérante, que la norme ou la politique discriminatoire en emploi qu’il souhaite justifier 1) a été adoptée dans un but rationnellement lié à l’exécution du travail en cause et 2) que la norme est raisonnablement nécessaire pour réaliser le but légitime lié au travail</w:t>
      </w:r>
      <w:r w:rsidRPr="00BD22C2">
        <w:rPr>
          <w:rStyle w:val="Appeldenotedefin"/>
          <w:lang w:val="fr-CA" w:eastAsia="en-US"/>
        </w:rPr>
        <w:endnoteReference w:id="185"/>
      </w:r>
      <w:r w:rsidRPr="00BD22C2">
        <w:rPr>
          <w:lang w:val="fr-CA" w:eastAsia="en-US"/>
        </w:rPr>
        <w:t xml:space="preserve">. </w:t>
      </w:r>
    </w:p>
    <w:p w14:paraId="64EB9401" w14:textId="34E778C0" w:rsidR="00BA0E30" w:rsidRPr="00BD22C2" w:rsidRDefault="00BA0E30" w:rsidP="005A5B5A">
      <w:pPr>
        <w:pStyle w:val="Paragraphe"/>
        <w:rPr>
          <w:lang w:val="fr-CA" w:eastAsia="en-US"/>
        </w:rPr>
      </w:pPr>
      <w:r w:rsidRPr="00BD22C2">
        <w:rPr>
          <w:lang w:val="fr-CA" w:eastAsia="en-US"/>
        </w:rPr>
        <w:t>En premier lieu, l’employeur doit donc établir l’existence d’un lien rationnel entre l’objectif poursuivi par la norme adoptée et l’exercice concret des fonctions liées à l’emploi. Les tribunaux exigeront des faits tangibles et refuseront toute justification qui serait fondée sur «</w:t>
      </w:r>
      <w:r w:rsidR="00974BD5" w:rsidRPr="00BD22C2">
        <w:rPr>
          <w:lang w:val="fr-CA" w:eastAsia="en-US"/>
        </w:rPr>
        <w:t> </w:t>
      </w:r>
      <w:r w:rsidRPr="00BD22C2">
        <w:rPr>
          <w:lang w:val="fr-CA" w:eastAsia="en-US"/>
        </w:rPr>
        <w:t>des idées préconçues, des généralisations non fondées, des hypothèses non vérifiées, du paternalisme, des impressions ou des stéréotypes</w:t>
      </w:r>
      <w:r w:rsidR="00974BD5" w:rsidRPr="00BD22C2">
        <w:rPr>
          <w:lang w:val="fr-CA" w:eastAsia="en-US"/>
        </w:rPr>
        <w:t> </w:t>
      </w:r>
      <w:r w:rsidRPr="00BD22C2">
        <w:rPr>
          <w:lang w:val="fr-CA" w:eastAsia="en-US"/>
        </w:rPr>
        <w:t>»</w:t>
      </w:r>
      <w:r w:rsidRPr="00BD22C2">
        <w:rPr>
          <w:rStyle w:val="Appeldenotedefin"/>
          <w:lang w:val="fr-CA" w:eastAsia="en-US"/>
        </w:rPr>
        <w:endnoteReference w:id="186"/>
      </w:r>
      <w:r w:rsidRPr="00BD22C2">
        <w:rPr>
          <w:lang w:val="fr-CA" w:eastAsia="en-US"/>
        </w:rPr>
        <w:t>.</w:t>
      </w:r>
    </w:p>
    <w:p w14:paraId="33BB03CF" w14:textId="099A8A8B" w:rsidR="00BA0E30" w:rsidRPr="00CD4047" w:rsidRDefault="00BA0E30" w:rsidP="465E6A8E">
      <w:pPr>
        <w:pStyle w:val="Paragraphe"/>
        <w:rPr>
          <w:lang w:val="fr-CA" w:eastAsia="en-US"/>
        </w:rPr>
      </w:pPr>
      <w:r w:rsidRPr="00CD4047">
        <w:rPr>
          <w:lang w:val="fr-CA" w:eastAsia="en-US"/>
        </w:rPr>
        <w:t>En second lieu,</w:t>
      </w:r>
      <w:r w:rsidRPr="00CD4047" w:rsidDel="00101296">
        <w:rPr>
          <w:lang w:val="fr-CA" w:eastAsia="en-US"/>
        </w:rPr>
        <w:t xml:space="preserve"> </w:t>
      </w:r>
      <w:r w:rsidRPr="00CD4047">
        <w:rPr>
          <w:lang w:val="fr-CA" w:eastAsia="en-US"/>
        </w:rPr>
        <w:t>l’employeur devra prouver que le moyen retenu pour atteindre ce but est raisonnablement nécessaire à l’exécution des fonctions essentielles du poste, c’est-à-dire qu’il n’a pas imposé de critères arbitraires qui iraient au-delà des caractéristiques réellement nécessaires pour le poste visé. Il doit ensuite démontrer la proportionnalité des exigences qu’il impose. Cela implique tout d’abord de tenter de rendre la norme discriminatoire à première vue «</w:t>
      </w:r>
      <w:r w:rsidR="00974BD5" w:rsidRPr="00CD4047">
        <w:rPr>
          <w:lang w:val="fr-CA" w:eastAsia="en-US"/>
        </w:rPr>
        <w:t> </w:t>
      </w:r>
      <w:r w:rsidRPr="00CD4047">
        <w:rPr>
          <w:lang w:val="fr-CA" w:eastAsia="en-US"/>
        </w:rPr>
        <w:t>la plus inclusive possible, jusqu’à la limite de la contrainte excessive. En effet, ce n’est qu’à défaut de pouvoir rendre la norme générale plus inclusive que l’on doit envisager de faire des évaluations individuelles, puis d’accommoder</w:t>
      </w:r>
      <w:r w:rsidR="00974BD5" w:rsidRPr="00CD4047">
        <w:rPr>
          <w:lang w:val="fr-CA" w:eastAsia="en-US"/>
        </w:rPr>
        <w:t> </w:t>
      </w:r>
      <w:r w:rsidRPr="00CD4047">
        <w:rPr>
          <w:lang w:val="fr-CA" w:eastAsia="en-US"/>
        </w:rPr>
        <w:t>»</w:t>
      </w:r>
      <w:r w:rsidRPr="4BB1F094">
        <w:rPr>
          <w:rStyle w:val="Appeldenotedefin"/>
          <w:lang w:eastAsia="en-US"/>
        </w:rPr>
        <w:endnoteReference w:id="187"/>
      </w:r>
      <w:r w:rsidRPr="00CD4047">
        <w:rPr>
          <w:lang w:val="fr-CA" w:eastAsia="en-US"/>
        </w:rPr>
        <w:t xml:space="preserve">.  </w:t>
      </w:r>
    </w:p>
    <w:p w14:paraId="5AF8F0D2" w14:textId="5B4069BD" w:rsidR="00BA0E30" w:rsidRPr="00BD22C2" w:rsidRDefault="0078685F" w:rsidP="005A5B5A">
      <w:pPr>
        <w:pStyle w:val="Paragraphe"/>
        <w:rPr>
          <w:lang w:val="fr-CA" w:eastAsia="en-US"/>
        </w:rPr>
      </w:pPr>
      <w:r w:rsidRPr="00BD22C2">
        <w:rPr>
          <w:lang w:val="fr-CA" w:eastAsia="en-US"/>
        </w:rPr>
        <w:lastRenderedPageBreak/>
        <w:t>L</w:t>
      </w:r>
      <w:r w:rsidR="00BA0E30" w:rsidRPr="00BD22C2">
        <w:rPr>
          <w:lang w:val="fr-CA" w:eastAsia="en-US"/>
        </w:rPr>
        <w:t xml:space="preserve">es tribunaux ont </w:t>
      </w:r>
      <w:r w:rsidRPr="00BD22C2">
        <w:rPr>
          <w:lang w:val="fr-CA" w:eastAsia="en-US"/>
        </w:rPr>
        <w:t>ainsi</w:t>
      </w:r>
      <w:r w:rsidR="00BA0E30" w:rsidRPr="00BD22C2">
        <w:rPr>
          <w:lang w:val="fr-CA" w:eastAsia="en-US"/>
        </w:rPr>
        <w:t xml:space="preserve"> mis en garde contre des politiques à portée générale et uniforme qui auraient pour effet d’écarter toute une catégorie de personnes jugées, à première vue, inaptes pour exécuter les tâches d’un poste précis. Comme le rappelle les auteurs Proulx et Doucet, «</w:t>
      </w:r>
      <w:r w:rsidR="00974BD5" w:rsidRPr="00BD22C2">
        <w:rPr>
          <w:lang w:val="fr-CA" w:eastAsia="en-US"/>
        </w:rPr>
        <w:t> </w:t>
      </w:r>
      <w:r w:rsidR="00BA0E30" w:rsidRPr="00BD22C2">
        <w:rPr>
          <w:lang w:val="fr-CA" w:eastAsia="en-US"/>
        </w:rPr>
        <w:t>l’objet même du droit à la non-discrimination consiste justement à contrer les généralisations liées à des perceptions souvent fausses et à les remplacer, lorsque c’est possible, par l’évaluation de chaque personne selon ses mérites et capacités propres</w:t>
      </w:r>
      <w:r w:rsidR="00974BD5" w:rsidRPr="00BD22C2">
        <w:rPr>
          <w:lang w:val="fr-CA" w:eastAsia="en-US"/>
        </w:rPr>
        <w:t> </w:t>
      </w:r>
      <w:r w:rsidR="00BA0E30" w:rsidRPr="00BD22C2">
        <w:rPr>
          <w:lang w:val="fr-CA" w:eastAsia="en-US"/>
        </w:rPr>
        <w:t>»</w:t>
      </w:r>
      <w:r w:rsidR="00BA0E30" w:rsidRPr="00BD22C2">
        <w:rPr>
          <w:rStyle w:val="Appeldenotedefin"/>
          <w:lang w:val="fr-CA" w:eastAsia="en-US"/>
        </w:rPr>
        <w:endnoteReference w:id="188"/>
      </w:r>
      <w:r w:rsidR="00BA0E30" w:rsidRPr="00BD22C2">
        <w:rPr>
          <w:lang w:val="fr-CA" w:eastAsia="en-US"/>
        </w:rPr>
        <w:t xml:space="preserve">. </w:t>
      </w:r>
    </w:p>
    <w:p w14:paraId="1B3B8B6C" w14:textId="7426810F" w:rsidR="00BA0E30" w:rsidRPr="00BD22C2" w:rsidRDefault="003719AD" w:rsidP="005A5B5A">
      <w:pPr>
        <w:pStyle w:val="Paragraphe"/>
        <w:rPr>
          <w:lang w:val="fr-CA" w:eastAsia="en-US"/>
        </w:rPr>
      </w:pPr>
      <w:r w:rsidRPr="00BD22C2">
        <w:rPr>
          <w:lang w:val="fr-CA" w:eastAsia="en-US"/>
        </w:rPr>
        <w:t>En dernier lieu</w:t>
      </w:r>
      <w:r w:rsidR="00BA0E30" w:rsidRPr="00BD22C2">
        <w:rPr>
          <w:lang w:val="fr-CA" w:eastAsia="en-US"/>
        </w:rPr>
        <w:t>, soulignons que l’exigence professionnelle justifiée incorpore l’obligation d’accommodement raisonnable exposée dans la section précédente</w:t>
      </w:r>
      <w:r w:rsidR="00BA0E30" w:rsidRPr="00BD22C2">
        <w:rPr>
          <w:rStyle w:val="Appeldenotedefin"/>
          <w:lang w:val="fr-CA" w:eastAsia="en-US"/>
        </w:rPr>
        <w:endnoteReference w:id="189"/>
      </w:r>
      <w:r w:rsidR="00BA0E30" w:rsidRPr="00BD22C2">
        <w:rPr>
          <w:lang w:val="fr-CA" w:eastAsia="en-US"/>
        </w:rPr>
        <w:t xml:space="preserve">. Ainsi, l’employeur a l’obligation d’accommoder à chaque fois qu’une personne ou un groupe est touché négativement par une exigence professionnelle discriminatoire à première vue. Ce n’est que s’il réussit à faire la démonstration que tout arrangement constituerait une contrainte excessive que la défense d’exigence professionnelle justifiée mènera à un constat de non-discrimination. </w:t>
      </w:r>
    </w:p>
    <w:p w14:paraId="1C959962" w14:textId="5B8167E8" w:rsidR="0084576C" w:rsidRPr="00BD22C2" w:rsidRDefault="00BA0E30" w:rsidP="005A5B5A">
      <w:pPr>
        <w:pStyle w:val="Paragraphe"/>
        <w:rPr>
          <w:lang w:val="fr-CA"/>
        </w:rPr>
      </w:pPr>
      <w:r w:rsidRPr="00BD22C2">
        <w:rPr>
          <w:lang w:val="fr-CA"/>
        </w:rPr>
        <w:t>À titre d’exemple, la Commission a déjà reconnu que dans certaines circonstances relatives à la prestation de soins intimes à des bénéficiaires en milieu hospitalier, centre d’hébergement ou dans un contexte de soins à domicile, les postes de préposés pourraient faire l’objet d’un affichage réservé aux personnes d’un sexe ou d’un genre donné</w:t>
      </w:r>
      <w:r w:rsidRPr="00BD22C2">
        <w:rPr>
          <w:rStyle w:val="Appeldenotedefin"/>
          <w:lang w:val="fr-CA"/>
        </w:rPr>
        <w:endnoteReference w:id="190"/>
      </w:r>
      <w:r w:rsidRPr="00BD22C2">
        <w:rPr>
          <w:lang w:val="fr-CA"/>
        </w:rPr>
        <w:t>. Une telle exigence pourrait se justifier par la nécessité de garantir les droits à l’intégrité de sa personne, à la sauvegarde de sa dignité et au respect de sa vie privée des bénéficiaires, respectivement protégés par les articles</w:t>
      </w:r>
      <w:r w:rsidR="00CC76DE" w:rsidRPr="00BD22C2">
        <w:rPr>
          <w:lang w:val="fr-CA"/>
        </w:rPr>
        <w:t> </w:t>
      </w:r>
      <w:r w:rsidRPr="00BD22C2">
        <w:rPr>
          <w:lang w:val="fr-CA"/>
        </w:rPr>
        <w:t xml:space="preserve">1, 4 et 5 de la Charte. </w:t>
      </w:r>
    </w:p>
    <w:p w14:paraId="1CC0563E" w14:textId="4978C859" w:rsidR="00BA0E30" w:rsidRPr="00BD22C2" w:rsidRDefault="00BA0E30" w:rsidP="005A5B5A">
      <w:pPr>
        <w:pStyle w:val="Paragraphe"/>
        <w:rPr>
          <w:lang w:val="fr-CA"/>
        </w:rPr>
      </w:pPr>
      <w:r w:rsidRPr="00BD22C2">
        <w:rPr>
          <w:lang w:val="fr-CA"/>
        </w:rPr>
        <w:t>La Commission soulignait cependant que</w:t>
      </w:r>
      <w:r w:rsidR="00CD6557" w:rsidRPr="00BD22C2">
        <w:rPr>
          <w:lang w:val="fr-CA"/>
        </w:rPr>
        <w:t>,</w:t>
      </w:r>
      <w:r w:rsidRPr="00BD22C2">
        <w:rPr>
          <w:lang w:val="fr-CA"/>
        </w:rPr>
        <w:t xml:space="preserve"> dans la mesure où il s’agit d’une «</w:t>
      </w:r>
      <w:r w:rsidR="00974BD5" w:rsidRPr="00BD22C2">
        <w:rPr>
          <w:lang w:val="fr-CA"/>
        </w:rPr>
        <w:t> </w:t>
      </w:r>
      <w:r w:rsidRPr="00BD22C2">
        <w:rPr>
          <w:lang w:val="fr-CA"/>
        </w:rPr>
        <w:t>exception au principe d’égalité en emploi, c’est à l’employeur d’évaluer la situation avant de conclure que la sexualisation s’impose</w:t>
      </w:r>
      <w:r w:rsidR="00974BD5" w:rsidRPr="00BD22C2">
        <w:rPr>
          <w:lang w:val="fr-CA"/>
        </w:rPr>
        <w:t> </w:t>
      </w:r>
      <w:r w:rsidRPr="00BD22C2">
        <w:rPr>
          <w:lang w:val="fr-CA"/>
        </w:rPr>
        <w:t>»</w:t>
      </w:r>
      <w:r w:rsidRPr="00BD22C2">
        <w:rPr>
          <w:rStyle w:val="Appeldenotedefin"/>
          <w:lang w:val="fr-CA"/>
        </w:rPr>
        <w:endnoteReference w:id="191"/>
      </w:r>
      <w:r w:rsidRPr="00BD22C2">
        <w:rPr>
          <w:lang w:val="fr-CA"/>
        </w:rPr>
        <w:t>. Elle ajoutait que dans tous les cas, la politique de sexualisation des postes devrait répondre aux critères de l’un ou l’autre des volets de l’article</w:t>
      </w:r>
      <w:r w:rsidR="00CC76DE" w:rsidRPr="00BD22C2">
        <w:rPr>
          <w:lang w:val="fr-CA"/>
        </w:rPr>
        <w:t> </w:t>
      </w:r>
      <w:r w:rsidRPr="00BD22C2">
        <w:rPr>
          <w:lang w:val="fr-CA"/>
        </w:rPr>
        <w:t>20 de la Charte</w:t>
      </w:r>
      <w:r w:rsidRPr="00BD22C2">
        <w:rPr>
          <w:rStyle w:val="Appeldenotedefin"/>
          <w:lang w:val="fr-CA"/>
        </w:rPr>
        <w:endnoteReference w:id="192"/>
      </w:r>
      <w:r w:rsidRPr="00BD22C2">
        <w:rPr>
          <w:lang w:val="fr-CA"/>
        </w:rPr>
        <w:t xml:space="preserve">. Cela implique entre autres, dans le cas de la défense fondée sur le premier volet, de s’assurer que cela est réellement requis par l’emploi, en s’appuyant notamment sur des critères reliés aux choix ou préférences des bénéficiaires. Cette démonstration pourrait </w:t>
      </w:r>
      <w:r w:rsidR="0063068E" w:rsidRPr="00BD22C2">
        <w:rPr>
          <w:lang w:val="fr-CA"/>
        </w:rPr>
        <w:t>par exemple</w:t>
      </w:r>
      <w:r w:rsidRPr="00BD22C2">
        <w:rPr>
          <w:lang w:val="fr-CA"/>
        </w:rPr>
        <w:t xml:space="preserve"> se faire par sondage, analyse des plaintes reçues, preuve d’expert, etc. La Commission concluait que les critères de rationalité et de proportionnalité des moyens devaient aussi être remplis et rappelait qu’une telle restriction devait être la solution ultime pour sauvegarder les droits fondamentaux des bénéficiaires</w:t>
      </w:r>
      <w:r w:rsidRPr="00BD22C2">
        <w:rPr>
          <w:rStyle w:val="Appeldenotedefin"/>
          <w:lang w:val="fr-CA"/>
        </w:rPr>
        <w:endnoteReference w:id="193"/>
      </w:r>
      <w:r w:rsidRPr="00BD22C2">
        <w:rPr>
          <w:lang w:val="fr-CA"/>
        </w:rPr>
        <w:t>. Ce ne sont donc pas toutes les politiques de sexualisation des postes qui passeront le test de l’exigence professionnelle justifiée</w:t>
      </w:r>
      <w:r w:rsidR="0063068E" w:rsidRPr="00BD22C2">
        <w:rPr>
          <w:rStyle w:val="Appeldenotedefin"/>
          <w:lang w:val="fr-CA"/>
        </w:rPr>
        <w:endnoteReference w:id="194"/>
      </w:r>
      <w:r w:rsidRPr="00BD22C2">
        <w:rPr>
          <w:lang w:val="fr-CA"/>
        </w:rPr>
        <w:t xml:space="preserve">. </w:t>
      </w:r>
    </w:p>
    <w:p w14:paraId="6FCD2464" w14:textId="389C350D" w:rsidR="00BA0E30" w:rsidRPr="00BD22C2" w:rsidRDefault="00BA0E30" w:rsidP="005A5B5A">
      <w:pPr>
        <w:pStyle w:val="Paragraphe"/>
        <w:rPr>
          <w:lang w:val="fr-CA"/>
        </w:rPr>
      </w:pPr>
      <w:r w:rsidRPr="00BD22C2">
        <w:rPr>
          <w:lang w:val="fr-CA"/>
        </w:rPr>
        <w:lastRenderedPageBreak/>
        <w:t xml:space="preserve">Une décision du Tribunal des droits de la personne s’est par ailleurs penchée sur le congédiement d’une personne en transition </w:t>
      </w:r>
      <w:r w:rsidR="003A67D2" w:rsidRPr="00BD22C2">
        <w:rPr>
          <w:lang w:val="fr-CA"/>
        </w:rPr>
        <w:t xml:space="preserve">de genre </w:t>
      </w:r>
      <w:r w:rsidRPr="00BD22C2">
        <w:rPr>
          <w:lang w:val="fr-CA"/>
        </w:rPr>
        <w:t>de son poste de travailleuse de rue au sein d’une maison des jeunes</w:t>
      </w:r>
      <w:r w:rsidRPr="00BD22C2">
        <w:rPr>
          <w:rStyle w:val="Appeldenotedefin"/>
          <w:lang w:val="fr-CA"/>
        </w:rPr>
        <w:endnoteReference w:id="195"/>
      </w:r>
      <w:r w:rsidRPr="00BD22C2">
        <w:rPr>
          <w:lang w:val="fr-CA"/>
        </w:rPr>
        <w:t xml:space="preserve"> et où la défense prévue au premier volet de l’article</w:t>
      </w:r>
      <w:r w:rsidR="00CC76DE" w:rsidRPr="00BD22C2">
        <w:rPr>
          <w:lang w:val="fr-CA"/>
        </w:rPr>
        <w:t> </w:t>
      </w:r>
      <w:r w:rsidRPr="00BD22C2">
        <w:rPr>
          <w:lang w:val="fr-CA"/>
        </w:rPr>
        <w:t>20 était invoquée. Dans cette affaire, les parties défenderesses prétendaient que la fin d’emploi était justifiée en considération des problèmes que l’employée pourrait provoquer chez les adolescentes et adolescents fréquentant la maison, en raison du processus de transition de genre dans lequel elle était engagée. Le tribunal conclut que la preuve présentée ne permettait pas de conclure que l’exigence professionnelle invoquée était justifiée, notamment parce qu’il «</w:t>
      </w:r>
      <w:r w:rsidR="00974BD5" w:rsidRPr="00BD22C2">
        <w:rPr>
          <w:lang w:val="fr-CA"/>
        </w:rPr>
        <w:t> </w:t>
      </w:r>
      <w:r w:rsidRPr="00BD22C2">
        <w:rPr>
          <w:lang w:val="fr-CA"/>
        </w:rPr>
        <w:t>n’a aucunement été démontré que l’objectif poursuivi par la défense, soit le congédiement de M.L.</w:t>
      </w:r>
      <w:r w:rsidR="001A1509" w:rsidRPr="00BD22C2">
        <w:rPr>
          <w:lang w:val="fr-CA"/>
        </w:rPr>
        <w:t>,</w:t>
      </w:r>
      <w:r w:rsidRPr="00BD22C2">
        <w:rPr>
          <w:lang w:val="fr-CA"/>
        </w:rPr>
        <w:t xml:space="preserve"> avait un lien rationnel avec l’emploi de travailleur de rue dans une maison de jeunes. Il n’a pas été démontré que l’objectif […] était relié à un besoin véritable</w:t>
      </w:r>
      <w:r w:rsidR="00974BD5" w:rsidRPr="00BD22C2">
        <w:rPr>
          <w:lang w:val="fr-CA"/>
        </w:rPr>
        <w:t> </w:t>
      </w:r>
      <w:r w:rsidRPr="00BD22C2">
        <w:rPr>
          <w:lang w:val="fr-CA"/>
        </w:rPr>
        <w:t>»</w:t>
      </w:r>
      <w:r w:rsidRPr="00BD22C2">
        <w:rPr>
          <w:rStyle w:val="Appeldenotedefin"/>
          <w:lang w:val="fr-CA"/>
        </w:rPr>
        <w:endnoteReference w:id="196"/>
      </w:r>
      <w:r w:rsidRPr="00BD22C2">
        <w:rPr>
          <w:lang w:val="fr-CA"/>
        </w:rPr>
        <w:t>. Au contraire, ajoute le tribunal, le témoignage de l’expert en défense «</w:t>
      </w:r>
      <w:r w:rsidR="00974BD5" w:rsidRPr="00BD22C2">
        <w:rPr>
          <w:lang w:val="fr-CA"/>
        </w:rPr>
        <w:t> </w:t>
      </w:r>
      <w:r w:rsidRPr="00BD22C2">
        <w:rPr>
          <w:lang w:val="fr-CA"/>
        </w:rPr>
        <w:t xml:space="preserve">se fonde sur des impressions, des hypothèses de craintes appréhendées non supportées par </w:t>
      </w:r>
      <w:proofErr w:type="spellStart"/>
      <w:r w:rsidRPr="00BD22C2">
        <w:rPr>
          <w:lang w:val="fr-CA"/>
        </w:rPr>
        <w:t>quelqu’élément</w:t>
      </w:r>
      <w:proofErr w:type="spellEnd"/>
      <w:r w:rsidRPr="00BD22C2">
        <w:rPr>
          <w:lang w:val="fr-CA"/>
        </w:rPr>
        <w:t xml:space="preserve"> de preuve</w:t>
      </w:r>
      <w:r w:rsidR="00974BD5" w:rsidRPr="00BD22C2">
        <w:rPr>
          <w:lang w:val="fr-CA"/>
        </w:rPr>
        <w:t> </w:t>
      </w:r>
      <w:r w:rsidRPr="00BD22C2">
        <w:rPr>
          <w:lang w:val="fr-CA"/>
        </w:rPr>
        <w:t>»</w:t>
      </w:r>
      <w:r w:rsidRPr="00BD22C2">
        <w:rPr>
          <w:rStyle w:val="Appeldenotedefin"/>
          <w:lang w:val="fr-CA"/>
        </w:rPr>
        <w:endnoteReference w:id="197"/>
      </w:r>
      <w:r w:rsidRPr="00BD22C2">
        <w:rPr>
          <w:lang w:val="fr-CA"/>
        </w:rPr>
        <w:t>. Plus particulièrement, le tribunal retient que l’opinion de l’expert est «</w:t>
      </w:r>
      <w:r w:rsidR="00974BD5" w:rsidRPr="00BD22C2">
        <w:rPr>
          <w:lang w:val="fr-CA"/>
        </w:rPr>
        <w:t> </w:t>
      </w:r>
      <w:r w:rsidRPr="00BD22C2">
        <w:rPr>
          <w:lang w:val="fr-CA"/>
        </w:rPr>
        <w:t>empreinte de préjugés</w:t>
      </w:r>
      <w:r w:rsidR="00974BD5" w:rsidRPr="00BD22C2">
        <w:rPr>
          <w:lang w:val="fr-CA"/>
        </w:rPr>
        <w:t> </w:t>
      </w:r>
      <w:r w:rsidRPr="00BD22C2">
        <w:rPr>
          <w:lang w:val="fr-CA"/>
        </w:rPr>
        <w:t>»</w:t>
      </w:r>
      <w:r w:rsidRPr="00BD22C2">
        <w:rPr>
          <w:rStyle w:val="Appeldenotedefin"/>
          <w:lang w:val="fr-CA"/>
        </w:rPr>
        <w:endnoteReference w:id="198"/>
      </w:r>
      <w:r w:rsidRPr="00BD22C2">
        <w:rPr>
          <w:lang w:val="fr-CA"/>
        </w:rPr>
        <w:t xml:space="preserve"> et qu’il a omis de prendre en considération l’expérience de travail de l’employée auprès des jeunes «</w:t>
      </w:r>
      <w:r w:rsidR="00974BD5" w:rsidRPr="00BD22C2">
        <w:rPr>
          <w:lang w:val="fr-CA"/>
        </w:rPr>
        <w:t> </w:t>
      </w:r>
      <w:r w:rsidRPr="00BD22C2">
        <w:rPr>
          <w:lang w:val="fr-CA"/>
        </w:rPr>
        <w:t xml:space="preserve">afin d’évaluer concrètement sa capacité de remplir adéquatement ses tâches et responsabilités de travailleur de rue </w:t>
      </w:r>
      <w:r w:rsidRPr="00BD22C2">
        <w:rPr>
          <w:b/>
          <w:lang w:val="fr-CA"/>
        </w:rPr>
        <w:t>en rapport avec les besoins concrets des adolescents dans ce contexte</w:t>
      </w:r>
      <w:r w:rsidR="00974BD5" w:rsidRPr="00BD22C2">
        <w:rPr>
          <w:lang w:val="fr-CA"/>
        </w:rPr>
        <w:t> </w:t>
      </w:r>
      <w:r w:rsidRPr="00BD22C2">
        <w:rPr>
          <w:lang w:val="fr-CA"/>
        </w:rPr>
        <w:t>» [en gras dans le texte]</w:t>
      </w:r>
      <w:r w:rsidRPr="00BD22C2">
        <w:rPr>
          <w:rStyle w:val="Appeldenotedefin"/>
          <w:lang w:val="fr-CA"/>
        </w:rPr>
        <w:endnoteReference w:id="199"/>
      </w:r>
      <w:r w:rsidRPr="00BD22C2">
        <w:rPr>
          <w:lang w:val="fr-CA"/>
        </w:rPr>
        <w:t xml:space="preserve">. </w:t>
      </w:r>
    </w:p>
    <w:p w14:paraId="6C085639" w14:textId="48111F30" w:rsidR="000C28BA" w:rsidRPr="00BD22C2" w:rsidRDefault="00BA0E30" w:rsidP="005A5B5A">
      <w:pPr>
        <w:pStyle w:val="Paragraphe"/>
        <w:rPr>
          <w:lang w:val="fr-CA"/>
        </w:rPr>
      </w:pPr>
      <w:r w:rsidRPr="00BD22C2">
        <w:rPr>
          <w:lang w:val="fr-CA"/>
        </w:rPr>
        <w:t>Cette décision, rendue alors que les motifs prohibés de discrimination «</w:t>
      </w:r>
      <w:r w:rsidR="00974BD5" w:rsidRPr="00BD22C2">
        <w:rPr>
          <w:lang w:val="fr-CA"/>
        </w:rPr>
        <w:t> </w:t>
      </w:r>
      <w:r w:rsidRPr="00BD22C2">
        <w:rPr>
          <w:lang w:val="fr-CA"/>
        </w:rPr>
        <w:t>identité et expression de genre</w:t>
      </w:r>
      <w:r w:rsidR="00974BD5" w:rsidRPr="00BD22C2">
        <w:rPr>
          <w:lang w:val="fr-CA"/>
        </w:rPr>
        <w:t> </w:t>
      </w:r>
      <w:r w:rsidRPr="00BD22C2">
        <w:rPr>
          <w:lang w:val="fr-CA"/>
        </w:rPr>
        <w:t>» n’étaient pas encore formellement prévus à la Charte, garde toute sa pertinence aujourd’hui</w:t>
      </w:r>
      <w:r w:rsidR="00C03982" w:rsidRPr="00BD22C2">
        <w:rPr>
          <w:lang w:val="fr-CA"/>
        </w:rPr>
        <w:t>. Elle</w:t>
      </w:r>
      <w:r w:rsidRPr="00BD22C2">
        <w:rPr>
          <w:lang w:val="fr-CA"/>
        </w:rPr>
        <w:t xml:space="preserve"> illustre bien que face à une situation de discrimination à première vue impliquant une personne trans ou non binaire, il est essentiel que la défense d’exigence professionnelle justifiée s’appuie sur des faits concrets, rationnellement liés au poste visé et non sur des impressions ou de simples appréhensions. </w:t>
      </w:r>
    </w:p>
    <w:p w14:paraId="2BFA11F5" w14:textId="1411105C" w:rsidR="00BA0E30" w:rsidRPr="00BD22C2" w:rsidRDefault="00650716" w:rsidP="005A5B5A">
      <w:pPr>
        <w:pStyle w:val="Paragraphe"/>
        <w:rPr>
          <w:lang w:val="fr-CA"/>
        </w:rPr>
      </w:pPr>
      <w:r w:rsidRPr="00BD22C2">
        <w:rPr>
          <w:lang w:val="fr-CA"/>
        </w:rPr>
        <w:t xml:space="preserve">Comme le rappelle le Tribunal des droits de la personne, </w:t>
      </w:r>
      <w:r w:rsidR="004F3608" w:rsidRPr="00BD22C2">
        <w:rPr>
          <w:lang w:val="fr-CA"/>
        </w:rPr>
        <w:t>«</w:t>
      </w:r>
      <w:r w:rsidR="0051216B" w:rsidRPr="00BD22C2">
        <w:rPr>
          <w:lang w:val="fr-CA"/>
        </w:rPr>
        <w:t> </w:t>
      </w:r>
      <w:r w:rsidRPr="00BD22C2">
        <w:rPr>
          <w:lang w:val="fr-CA"/>
        </w:rPr>
        <w:t>les craintes relatives à la sécurité peuvent souvent être le résultat de perceptions qui faussent la réalité</w:t>
      </w:r>
      <w:r w:rsidR="0051216B" w:rsidRPr="00BD22C2">
        <w:rPr>
          <w:lang w:val="fr-CA"/>
        </w:rPr>
        <w:t> </w:t>
      </w:r>
      <w:r w:rsidR="004F3608" w:rsidRPr="00BD22C2">
        <w:rPr>
          <w:lang w:val="fr-CA"/>
        </w:rPr>
        <w:t>»</w:t>
      </w:r>
      <w:r w:rsidR="00384278" w:rsidRPr="00BD22C2">
        <w:rPr>
          <w:rStyle w:val="Appeldenotedefin"/>
          <w:lang w:val="fr-CA"/>
        </w:rPr>
        <w:endnoteReference w:id="200"/>
      </w:r>
      <w:r w:rsidRPr="00BD22C2">
        <w:rPr>
          <w:lang w:val="fr-CA"/>
        </w:rPr>
        <w:t xml:space="preserve">. </w:t>
      </w:r>
      <w:r w:rsidR="00EA007C" w:rsidRPr="00BD22C2">
        <w:rPr>
          <w:lang w:val="fr-CA"/>
        </w:rPr>
        <w:t xml:space="preserve">À cet effet, la Cour suprême formule cette mise en garde : </w:t>
      </w:r>
      <w:r w:rsidR="003B0D91" w:rsidRPr="00BD22C2">
        <w:rPr>
          <w:lang w:val="fr-CA"/>
        </w:rPr>
        <w:t>«</w:t>
      </w:r>
      <w:r w:rsidR="0051216B" w:rsidRPr="00BD22C2">
        <w:rPr>
          <w:lang w:val="fr-CA"/>
        </w:rPr>
        <w:t> </w:t>
      </w:r>
      <w:r w:rsidR="00EA007C" w:rsidRPr="00BD22C2">
        <w:rPr>
          <w:lang w:val="fr-CA"/>
        </w:rPr>
        <w:t>[l]es</w:t>
      </w:r>
      <w:r w:rsidR="00401513" w:rsidRPr="00BD22C2">
        <w:rPr>
          <w:lang w:val="fr-CA"/>
        </w:rPr>
        <w:t> employeurs qui cherchent à assurer la sécu</w:t>
      </w:r>
      <w:r w:rsidR="0016433D" w:rsidRPr="00BD22C2">
        <w:rPr>
          <w:lang w:val="fr-CA"/>
        </w:rPr>
        <w:t>rité peuvent pécher par excès de prudence et établir des normes plus élevées que ce qui est nécessaire à l’exécution sûre du travail</w:t>
      </w:r>
      <w:r w:rsidR="0051216B" w:rsidRPr="00BD22C2">
        <w:rPr>
          <w:lang w:val="fr-CA"/>
        </w:rPr>
        <w:t> </w:t>
      </w:r>
      <w:r w:rsidR="0016433D" w:rsidRPr="00BD22C2">
        <w:rPr>
          <w:lang w:val="fr-CA"/>
        </w:rPr>
        <w:t>»</w:t>
      </w:r>
      <w:r w:rsidR="0016433D" w:rsidRPr="00BD22C2">
        <w:rPr>
          <w:rStyle w:val="Appeldenotedefin"/>
          <w:lang w:val="fr-CA"/>
        </w:rPr>
        <w:endnoteReference w:id="201"/>
      </w:r>
      <w:r w:rsidR="0016433D" w:rsidRPr="00BD22C2">
        <w:rPr>
          <w:lang w:val="fr-CA"/>
        </w:rPr>
        <w:t xml:space="preserve">. </w:t>
      </w:r>
      <w:r w:rsidR="00567A69" w:rsidRPr="00BD22C2">
        <w:rPr>
          <w:lang w:val="fr-CA"/>
        </w:rPr>
        <w:t>L</w:t>
      </w:r>
      <w:r w:rsidR="009275A4" w:rsidRPr="00BD22C2">
        <w:rPr>
          <w:lang w:val="fr-CA"/>
        </w:rPr>
        <w:t>e</w:t>
      </w:r>
      <w:r w:rsidR="00E301C5" w:rsidRPr="00BD22C2">
        <w:rPr>
          <w:lang w:val="fr-CA"/>
        </w:rPr>
        <w:t xml:space="preserve"> risque </w:t>
      </w:r>
      <w:r w:rsidR="009275A4" w:rsidRPr="00BD22C2">
        <w:rPr>
          <w:lang w:val="fr-CA"/>
        </w:rPr>
        <w:t>do</w:t>
      </w:r>
      <w:r w:rsidR="00E301C5" w:rsidRPr="00BD22C2">
        <w:rPr>
          <w:lang w:val="fr-CA"/>
        </w:rPr>
        <w:t xml:space="preserve">it </w:t>
      </w:r>
      <w:r w:rsidR="009275A4" w:rsidRPr="00BD22C2">
        <w:rPr>
          <w:lang w:val="fr-CA"/>
        </w:rPr>
        <w:t xml:space="preserve">donc être </w:t>
      </w:r>
      <w:r w:rsidR="00E301C5" w:rsidRPr="00BD22C2">
        <w:rPr>
          <w:lang w:val="fr-CA"/>
        </w:rPr>
        <w:t>«</w:t>
      </w:r>
      <w:r w:rsidR="0051216B" w:rsidRPr="00BD22C2">
        <w:rPr>
          <w:lang w:val="fr-CA"/>
        </w:rPr>
        <w:t> </w:t>
      </w:r>
      <w:r w:rsidR="00E301C5" w:rsidRPr="00BD22C2">
        <w:rPr>
          <w:lang w:val="fr-CA"/>
        </w:rPr>
        <w:t>grave</w:t>
      </w:r>
      <w:r w:rsidR="0051216B" w:rsidRPr="00BD22C2">
        <w:rPr>
          <w:lang w:val="fr-CA"/>
        </w:rPr>
        <w:t> </w:t>
      </w:r>
      <w:r w:rsidR="00E301C5" w:rsidRPr="00BD22C2">
        <w:rPr>
          <w:lang w:val="fr-CA"/>
        </w:rPr>
        <w:t>», «</w:t>
      </w:r>
      <w:r w:rsidR="0051216B" w:rsidRPr="00BD22C2">
        <w:rPr>
          <w:lang w:val="fr-CA"/>
        </w:rPr>
        <w:t> </w:t>
      </w:r>
      <w:r w:rsidR="00E301C5" w:rsidRPr="00BD22C2">
        <w:rPr>
          <w:lang w:val="fr-CA"/>
        </w:rPr>
        <w:t>important</w:t>
      </w:r>
      <w:r w:rsidR="0051216B" w:rsidRPr="00BD22C2">
        <w:rPr>
          <w:lang w:val="fr-CA"/>
        </w:rPr>
        <w:t> </w:t>
      </w:r>
      <w:r w:rsidR="00E301C5" w:rsidRPr="00BD22C2">
        <w:rPr>
          <w:lang w:val="fr-CA"/>
        </w:rPr>
        <w:t>» ou «</w:t>
      </w:r>
      <w:r w:rsidR="0051216B" w:rsidRPr="00BD22C2">
        <w:rPr>
          <w:lang w:val="fr-CA"/>
        </w:rPr>
        <w:t> </w:t>
      </w:r>
      <w:r w:rsidR="00E301C5" w:rsidRPr="00BD22C2">
        <w:rPr>
          <w:lang w:val="fr-CA"/>
        </w:rPr>
        <w:t>excessif</w:t>
      </w:r>
      <w:r w:rsidR="0051216B" w:rsidRPr="00BD22C2">
        <w:rPr>
          <w:lang w:val="fr-CA"/>
        </w:rPr>
        <w:t> </w:t>
      </w:r>
      <w:r w:rsidR="00E301C5" w:rsidRPr="00BD22C2">
        <w:rPr>
          <w:lang w:val="fr-CA"/>
        </w:rPr>
        <w:t>»</w:t>
      </w:r>
      <w:r w:rsidR="001577F3" w:rsidRPr="00BD22C2">
        <w:rPr>
          <w:lang w:val="fr-CA"/>
        </w:rPr>
        <w:t xml:space="preserve"> et </w:t>
      </w:r>
      <w:r w:rsidR="009275A4" w:rsidRPr="00BD22C2">
        <w:rPr>
          <w:lang w:val="fr-CA"/>
        </w:rPr>
        <w:t xml:space="preserve">impossible à </w:t>
      </w:r>
      <w:r w:rsidR="00A03DF8" w:rsidRPr="00BD22C2">
        <w:rPr>
          <w:lang w:val="fr-CA"/>
        </w:rPr>
        <w:t>gérer</w:t>
      </w:r>
      <w:r w:rsidR="001577F3" w:rsidRPr="00BD22C2">
        <w:rPr>
          <w:lang w:val="fr-CA"/>
        </w:rPr>
        <w:t xml:space="preserve"> par une mesure d’</w:t>
      </w:r>
      <w:r w:rsidR="00E476D4" w:rsidRPr="00BD22C2">
        <w:rPr>
          <w:lang w:val="fr-CA"/>
        </w:rPr>
        <w:t>accommodement</w:t>
      </w:r>
      <w:r w:rsidR="00D205CE" w:rsidRPr="00BD22C2">
        <w:rPr>
          <w:lang w:val="fr-CA"/>
        </w:rPr>
        <w:t xml:space="preserve"> : il ne </w:t>
      </w:r>
      <w:r w:rsidR="00315B68" w:rsidRPr="00BD22C2">
        <w:rPr>
          <w:lang w:val="fr-CA"/>
        </w:rPr>
        <w:t>peut</w:t>
      </w:r>
      <w:r w:rsidR="00D205CE" w:rsidRPr="00BD22C2">
        <w:rPr>
          <w:lang w:val="fr-CA"/>
        </w:rPr>
        <w:t xml:space="preserve"> pas </w:t>
      </w:r>
      <w:r w:rsidR="00315B68" w:rsidRPr="00BD22C2">
        <w:rPr>
          <w:lang w:val="fr-CA"/>
        </w:rPr>
        <w:t>être hypothétique</w:t>
      </w:r>
      <w:r w:rsidR="00FA2C6D" w:rsidRPr="00BD22C2">
        <w:rPr>
          <w:lang w:val="fr-CA"/>
        </w:rPr>
        <w:t>, il faut</w:t>
      </w:r>
      <w:r w:rsidR="00BC28F8" w:rsidRPr="00BD22C2">
        <w:rPr>
          <w:lang w:val="fr-CA"/>
        </w:rPr>
        <w:t xml:space="preserve"> «</w:t>
      </w:r>
      <w:r w:rsidR="0051216B" w:rsidRPr="00BD22C2">
        <w:rPr>
          <w:lang w:val="fr-CA"/>
        </w:rPr>
        <w:t> </w:t>
      </w:r>
      <w:r w:rsidR="00FA2C6D" w:rsidRPr="00BD22C2">
        <w:rPr>
          <w:lang w:val="fr-CA"/>
        </w:rPr>
        <w:t>impérativement démontrer qu’il comporte objectivement un degré élevé de survenance</w:t>
      </w:r>
      <w:r w:rsidR="0051216B" w:rsidRPr="00BD22C2">
        <w:rPr>
          <w:lang w:val="fr-CA"/>
        </w:rPr>
        <w:t> </w:t>
      </w:r>
      <w:r w:rsidR="00FA2C6D" w:rsidRPr="00BD22C2">
        <w:rPr>
          <w:lang w:val="fr-CA"/>
        </w:rPr>
        <w:t>»</w:t>
      </w:r>
      <w:r w:rsidR="00C56690" w:rsidRPr="00BD22C2">
        <w:rPr>
          <w:rStyle w:val="Appeldenotedefin"/>
          <w:lang w:val="fr-CA"/>
        </w:rPr>
        <w:endnoteReference w:id="202"/>
      </w:r>
      <w:r w:rsidR="00FA2C6D" w:rsidRPr="00BD22C2">
        <w:rPr>
          <w:lang w:val="fr-CA"/>
        </w:rPr>
        <w:t xml:space="preserve">. </w:t>
      </w:r>
      <w:r w:rsidR="003B0ECA" w:rsidRPr="00BD22C2">
        <w:rPr>
          <w:lang w:val="fr-CA"/>
        </w:rPr>
        <w:t>La sécurité est donc u</w:t>
      </w:r>
      <w:r w:rsidR="00AF54C1" w:rsidRPr="00BD22C2">
        <w:rPr>
          <w:lang w:val="fr-CA"/>
        </w:rPr>
        <w:t xml:space="preserve">ne considération importante à prendre en cause pour </w:t>
      </w:r>
      <w:r w:rsidR="00AF54C1" w:rsidRPr="00BD22C2">
        <w:rPr>
          <w:lang w:val="fr-CA"/>
        </w:rPr>
        <w:lastRenderedPageBreak/>
        <w:t xml:space="preserve">les employeurs, </w:t>
      </w:r>
      <w:r w:rsidR="000D0464" w:rsidRPr="00BD22C2">
        <w:rPr>
          <w:lang w:val="fr-CA"/>
        </w:rPr>
        <w:t xml:space="preserve">mais </w:t>
      </w:r>
      <w:r w:rsidR="00546973" w:rsidRPr="00BD22C2">
        <w:rPr>
          <w:lang w:val="fr-CA"/>
        </w:rPr>
        <w:t>ceux-ci doive</w:t>
      </w:r>
      <w:r w:rsidR="004B3007" w:rsidRPr="00BD22C2">
        <w:rPr>
          <w:lang w:val="fr-CA"/>
        </w:rPr>
        <w:t xml:space="preserve">nt chercher à assurer un niveau de sécurité </w:t>
      </w:r>
      <w:r w:rsidR="00BA0578" w:rsidRPr="00BD22C2">
        <w:rPr>
          <w:lang w:val="fr-CA"/>
        </w:rPr>
        <w:t>raisonnable et se garder de tomber dans une quête de sécurité absolue</w:t>
      </w:r>
      <w:r w:rsidR="00BA0578" w:rsidRPr="00BD22C2">
        <w:rPr>
          <w:rStyle w:val="Appeldenotedefin"/>
          <w:lang w:val="fr-CA"/>
        </w:rPr>
        <w:endnoteReference w:id="203"/>
      </w:r>
      <w:r w:rsidR="00BA0578" w:rsidRPr="00BD22C2">
        <w:rPr>
          <w:lang w:val="fr-CA"/>
        </w:rPr>
        <w:t xml:space="preserve">. </w:t>
      </w:r>
    </w:p>
    <w:p w14:paraId="28178B52" w14:textId="09E12D6D" w:rsidR="00BA0E30" w:rsidRPr="00BD22C2" w:rsidRDefault="00BA0E30" w:rsidP="00EF1CB2">
      <w:pPr>
        <w:pStyle w:val="Titre3"/>
        <w:rPr>
          <w:rFonts w:eastAsia="Calibri"/>
          <w:lang w:eastAsia="en-US"/>
        </w:rPr>
      </w:pPr>
      <w:bookmarkStart w:id="112" w:name="_Ref165039804"/>
      <w:bookmarkStart w:id="113" w:name="_Toc165301032"/>
      <w:bookmarkStart w:id="114" w:name="_Toc165636115"/>
      <w:r w:rsidRPr="00BD22C2">
        <w:rPr>
          <w:rFonts w:eastAsia="Calibri"/>
          <w:lang w:eastAsia="en-US"/>
        </w:rPr>
        <w:t>L’article</w:t>
      </w:r>
      <w:r w:rsidR="00CC76DE" w:rsidRPr="00BD22C2">
        <w:rPr>
          <w:rFonts w:eastAsia="Calibri"/>
          <w:lang w:eastAsia="en-US"/>
        </w:rPr>
        <w:t> </w:t>
      </w:r>
      <w:r w:rsidRPr="00BD22C2">
        <w:rPr>
          <w:rFonts w:eastAsia="Calibri"/>
          <w:lang w:eastAsia="en-US"/>
        </w:rPr>
        <w:t>9.1 de la Charte : un outil pour guider la limitation ou la conciliation des droits</w:t>
      </w:r>
      <w:bookmarkEnd w:id="112"/>
      <w:bookmarkEnd w:id="113"/>
      <w:bookmarkEnd w:id="114"/>
      <w:r w:rsidRPr="00BD22C2">
        <w:rPr>
          <w:rFonts w:eastAsia="Calibri"/>
          <w:lang w:eastAsia="en-US"/>
        </w:rPr>
        <w:t xml:space="preserve"> </w:t>
      </w:r>
    </w:p>
    <w:p w14:paraId="2B6B1CC8" w14:textId="04A1F561" w:rsidR="00BA0E30" w:rsidRPr="00BD22C2" w:rsidRDefault="00BA0E30" w:rsidP="00610C67">
      <w:pPr>
        <w:pStyle w:val="Paragraphe"/>
        <w:rPr>
          <w:lang w:val="fr-CA"/>
        </w:rPr>
      </w:pPr>
      <w:r w:rsidRPr="00BD22C2">
        <w:rPr>
          <w:lang w:val="fr-CA"/>
        </w:rPr>
        <w:t xml:space="preserve">L’article 9.1 fut introduit dans la </w:t>
      </w:r>
      <w:r w:rsidRPr="00BD22C2">
        <w:rPr>
          <w:i/>
          <w:iCs/>
          <w:lang w:val="fr-CA"/>
        </w:rPr>
        <w:t>Charte</w:t>
      </w:r>
      <w:r w:rsidRPr="00BD22C2">
        <w:rPr>
          <w:lang w:val="fr-CA"/>
        </w:rPr>
        <w:t xml:space="preserve"> en 1982, en contrepartie du fait que l’article 52 de celle-ci allait désormais étendre la prépondérance conférée aux articles 10 à 38 de la </w:t>
      </w:r>
      <w:r w:rsidRPr="00BD22C2">
        <w:rPr>
          <w:i/>
          <w:lang w:val="fr-CA"/>
        </w:rPr>
        <w:t>Charte</w:t>
      </w:r>
      <w:r w:rsidRPr="00BD22C2">
        <w:rPr>
          <w:lang w:val="fr-CA"/>
        </w:rPr>
        <w:t xml:space="preserve"> à ses articles 1 à 9</w:t>
      </w:r>
      <w:r w:rsidRPr="00BD22C2">
        <w:rPr>
          <w:rStyle w:val="Appeldenotedefin"/>
          <w:rFonts w:cs="Arial"/>
          <w:bCs/>
          <w:lang w:val="fr-CA"/>
        </w:rPr>
        <w:endnoteReference w:id="204"/>
      </w:r>
      <w:r w:rsidRPr="00BD22C2">
        <w:rPr>
          <w:lang w:val="fr-CA"/>
        </w:rPr>
        <w:t xml:space="preserve">. Cette disposition </w:t>
      </w:r>
      <w:r w:rsidRPr="00BD22C2">
        <w:rPr>
          <w:rFonts w:eastAsia="Calibri"/>
          <w:lang w:val="fr-CA" w:eastAsia="en-US"/>
        </w:rPr>
        <w:t xml:space="preserve">permet la justification </w:t>
      </w:r>
      <w:r w:rsidR="003B361F" w:rsidRPr="00BD22C2">
        <w:rPr>
          <w:rFonts w:eastAsia="Calibri"/>
          <w:lang w:val="fr-CA" w:eastAsia="en-US"/>
        </w:rPr>
        <w:t>—</w:t>
      </w:r>
      <w:r w:rsidRPr="00BD22C2">
        <w:rPr>
          <w:rFonts w:eastAsia="Calibri"/>
          <w:lang w:val="fr-CA" w:eastAsia="en-US"/>
        </w:rPr>
        <w:t xml:space="preserve"> suivant certaines conditions </w:t>
      </w:r>
      <w:r w:rsidR="003B361F" w:rsidRPr="00BD22C2">
        <w:rPr>
          <w:rFonts w:eastAsia="Calibri"/>
          <w:lang w:val="fr-CA" w:eastAsia="en-US"/>
        </w:rPr>
        <w:t>—</w:t>
      </w:r>
      <w:r w:rsidRPr="00BD22C2">
        <w:rPr>
          <w:rFonts w:eastAsia="Calibri"/>
          <w:lang w:val="fr-CA" w:eastAsia="en-US"/>
        </w:rPr>
        <w:t xml:space="preserve"> d’une restriction à un droit dans une loi, mais elle encadre aussi la conciliation de droits qui se trouveraient en conflit dans un rapport privé. C’est ce deuxième volet qui nous intéresse plus particulièrement ici.</w:t>
      </w:r>
    </w:p>
    <w:p w14:paraId="5B72C151" w14:textId="6EAB7759" w:rsidR="00BA0E30" w:rsidRPr="00BD22C2" w:rsidRDefault="00BA0E30" w:rsidP="00B074B4">
      <w:pPr>
        <w:pStyle w:val="Paragraphe"/>
        <w:rPr>
          <w:rFonts w:eastAsia="Calibri"/>
          <w:lang w:val="fr-CA" w:eastAsia="en-US"/>
        </w:rPr>
      </w:pPr>
      <w:r w:rsidRPr="00BD22C2">
        <w:rPr>
          <w:rFonts w:eastAsia="Calibri"/>
          <w:lang w:val="fr-CA" w:eastAsia="en-US"/>
        </w:rPr>
        <w:t>L’article</w:t>
      </w:r>
      <w:r w:rsidR="00CC76DE" w:rsidRPr="00BD22C2">
        <w:rPr>
          <w:rFonts w:eastAsia="Calibri"/>
          <w:lang w:val="fr-CA" w:eastAsia="en-US"/>
        </w:rPr>
        <w:t> </w:t>
      </w:r>
      <w:r w:rsidRPr="00BD22C2">
        <w:rPr>
          <w:rFonts w:eastAsia="Calibri"/>
          <w:lang w:val="fr-CA" w:eastAsia="en-US"/>
        </w:rPr>
        <w:t xml:space="preserve">9.1 a été introduit à la Charte afin de répondre à un double objectif, détaillé dans ses deux alinéas. Le ministre de la Justice précise : </w:t>
      </w:r>
    </w:p>
    <w:p w14:paraId="4601FE02" w14:textId="2D837105" w:rsidR="00BA0E30" w:rsidRPr="00BD22C2" w:rsidRDefault="00BA0E30" w:rsidP="00B75121">
      <w:pPr>
        <w:pStyle w:val="Citation"/>
        <w:rPr>
          <w:rFonts w:eastAsia="Calibri"/>
          <w:lang w:eastAsia="en-US"/>
        </w:rPr>
      </w:pPr>
      <w:r w:rsidRPr="00BD22C2">
        <w:rPr>
          <w:rFonts w:eastAsia="Calibri"/>
          <w:lang w:eastAsia="en-US"/>
        </w:rPr>
        <w:t>« L’article</w:t>
      </w:r>
      <w:r w:rsidR="00CC76DE" w:rsidRPr="00BD22C2">
        <w:rPr>
          <w:rFonts w:eastAsia="Calibri"/>
          <w:lang w:eastAsia="en-US"/>
        </w:rPr>
        <w:t> </w:t>
      </w:r>
      <w:r w:rsidRPr="00BD22C2">
        <w:rPr>
          <w:rFonts w:eastAsia="Calibri"/>
          <w:lang w:eastAsia="en-US"/>
        </w:rPr>
        <w:t>9.1 a pour objet d’apporter un tempérament au caractère absolu des libertés et droits édictés aux articles</w:t>
      </w:r>
      <w:r w:rsidR="00CC76DE" w:rsidRPr="00BD22C2">
        <w:rPr>
          <w:rFonts w:eastAsia="Calibri"/>
          <w:lang w:eastAsia="en-US"/>
        </w:rPr>
        <w:t> </w:t>
      </w:r>
      <w:r w:rsidRPr="00BD22C2">
        <w:rPr>
          <w:rFonts w:eastAsia="Calibri"/>
          <w:lang w:eastAsia="en-US"/>
        </w:rPr>
        <w:t xml:space="preserve">1 à 9 </w:t>
      </w:r>
      <w:r w:rsidRPr="00BD22C2">
        <w:rPr>
          <w:rFonts w:eastAsia="Calibri"/>
          <w:u w:val="single"/>
          <w:lang w:eastAsia="en-US"/>
        </w:rPr>
        <w:t>tant sous l’angle des limites imposées au titulaire de ces droits et libertés à l’égard des autres citoyens</w:t>
      </w:r>
      <w:r w:rsidRPr="00BD22C2">
        <w:rPr>
          <w:rFonts w:eastAsia="Calibri"/>
          <w:lang w:eastAsia="en-US"/>
        </w:rPr>
        <w:t xml:space="preserve">, ce qui est le cas pour le premier alinéa, </w:t>
      </w:r>
      <w:r w:rsidRPr="00BD22C2">
        <w:rPr>
          <w:rFonts w:eastAsia="Calibri"/>
          <w:u w:val="single"/>
          <w:lang w:eastAsia="en-US"/>
        </w:rPr>
        <w:t>que sous celui des limites que peut y apporter le législateur à l’égard de l’ensemble de la collectivité</w:t>
      </w:r>
      <w:r w:rsidRPr="00BD22C2">
        <w:rPr>
          <w:rFonts w:eastAsia="Calibri"/>
          <w:lang w:eastAsia="en-US"/>
        </w:rPr>
        <w:t>, principe qu’on retrouve au deuxième alinéa »</w:t>
      </w:r>
      <w:r w:rsidR="007E2AF6" w:rsidRPr="00BD22C2">
        <w:rPr>
          <w:rFonts w:eastAsia="Calibri"/>
          <w:lang w:eastAsia="en-US"/>
        </w:rPr>
        <w:t xml:space="preserve"> </w:t>
      </w:r>
      <w:r w:rsidRPr="00BD22C2">
        <w:rPr>
          <w:rFonts w:eastAsia="Calibri"/>
          <w:lang w:eastAsia="en-US"/>
        </w:rPr>
        <w:t>[Nos soulignements]</w:t>
      </w:r>
      <w:r w:rsidRPr="00BD22C2">
        <w:rPr>
          <w:rStyle w:val="Appeldenotedefin"/>
          <w:rFonts w:eastAsia="Calibri"/>
          <w:lang w:eastAsia="en-US"/>
        </w:rPr>
        <w:endnoteReference w:id="205"/>
      </w:r>
      <w:r w:rsidRPr="00BD22C2">
        <w:rPr>
          <w:rFonts w:eastAsia="Calibri"/>
          <w:lang w:eastAsia="en-US"/>
        </w:rPr>
        <w:t xml:space="preserve">. </w:t>
      </w:r>
    </w:p>
    <w:p w14:paraId="3EA9797C" w14:textId="14CDFA9D" w:rsidR="00BA0E30" w:rsidRPr="00BD22C2" w:rsidRDefault="00BA0E30" w:rsidP="005A5B5A">
      <w:pPr>
        <w:pStyle w:val="Paragraphe"/>
        <w:rPr>
          <w:rFonts w:eastAsia="Calibri"/>
          <w:lang w:val="fr-CA" w:eastAsia="en-US"/>
        </w:rPr>
      </w:pPr>
      <w:r w:rsidRPr="00BD22C2">
        <w:rPr>
          <w:rFonts w:eastAsia="Calibri"/>
          <w:lang w:val="fr-CA" w:eastAsia="en-US"/>
        </w:rPr>
        <w:t>Si une loi</w:t>
      </w:r>
      <w:r w:rsidRPr="00BD22C2">
        <w:rPr>
          <w:rStyle w:val="Appeldenotedefin"/>
          <w:rFonts w:eastAsia="Calibri"/>
          <w:lang w:val="fr-CA" w:eastAsia="en-US"/>
        </w:rPr>
        <w:endnoteReference w:id="206"/>
      </w:r>
      <w:r w:rsidRPr="00BD22C2">
        <w:rPr>
          <w:rFonts w:eastAsia="Calibri"/>
          <w:lang w:val="fr-CA" w:eastAsia="en-US"/>
        </w:rPr>
        <w:t xml:space="preserve"> venait à restreindre </w:t>
      </w:r>
      <w:r w:rsidR="00052925" w:rsidRPr="00BD22C2">
        <w:rPr>
          <w:rFonts w:eastAsia="Calibri"/>
          <w:lang w:val="fr-CA" w:eastAsia="en-US"/>
        </w:rPr>
        <w:t xml:space="preserve">le </w:t>
      </w:r>
      <w:r w:rsidRPr="00BD22C2">
        <w:rPr>
          <w:rFonts w:eastAsia="Calibri"/>
          <w:lang w:val="fr-CA" w:eastAsia="en-US"/>
        </w:rPr>
        <w:t>droit à l’égalité</w:t>
      </w:r>
      <w:r w:rsidRPr="00BD22C2">
        <w:rPr>
          <w:rStyle w:val="Appeldenotedefin"/>
          <w:rFonts w:eastAsia="Calibri"/>
          <w:lang w:val="fr-CA" w:eastAsia="en-US"/>
        </w:rPr>
        <w:endnoteReference w:id="207"/>
      </w:r>
      <w:r w:rsidRPr="00BD22C2">
        <w:rPr>
          <w:rFonts w:eastAsia="Calibri"/>
          <w:lang w:val="fr-CA" w:eastAsia="en-US"/>
        </w:rPr>
        <w:t>, par exemple, c’est donc le second alinéa qui trouverait application et le gouvernement devrait démontrer la rationalité et la proportionnalité de cette atteinte suivant une série de critères développés par la jurisprudence</w:t>
      </w:r>
      <w:bookmarkStart w:id="115" w:name="_Ref167189725"/>
      <w:r w:rsidRPr="00BD22C2">
        <w:rPr>
          <w:rStyle w:val="Appeldenotedefin"/>
          <w:rFonts w:eastAsia="Calibri"/>
          <w:lang w:val="fr-CA" w:eastAsia="en-US"/>
        </w:rPr>
        <w:endnoteReference w:id="208"/>
      </w:r>
      <w:bookmarkEnd w:id="115"/>
      <w:r w:rsidRPr="00BD22C2">
        <w:rPr>
          <w:rFonts w:eastAsia="Calibri"/>
          <w:lang w:val="fr-CA" w:eastAsia="en-US"/>
        </w:rPr>
        <w:t xml:space="preserve">. Cette démarche est bien connue et nous </w:t>
      </w:r>
      <w:r w:rsidR="00DD0E5B" w:rsidRPr="00BD22C2">
        <w:rPr>
          <w:rFonts w:eastAsia="Calibri"/>
          <w:lang w:val="fr-CA" w:eastAsia="en-US"/>
        </w:rPr>
        <w:t xml:space="preserve">ne </w:t>
      </w:r>
      <w:r w:rsidRPr="00BD22C2">
        <w:rPr>
          <w:rFonts w:eastAsia="Calibri"/>
          <w:lang w:val="fr-CA" w:eastAsia="en-US"/>
        </w:rPr>
        <w:t xml:space="preserve">nous y attarderons pas ici. </w:t>
      </w:r>
    </w:p>
    <w:p w14:paraId="06A66889" w14:textId="021FBB71" w:rsidR="00BA0E30" w:rsidRPr="00BD22C2" w:rsidRDefault="00BA0E30" w:rsidP="005A5B5A">
      <w:pPr>
        <w:pStyle w:val="Paragraphe"/>
        <w:rPr>
          <w:rFonts w:eastAsia="Calibri"/>
          <w:lang w:val="fr-CA" w:eastAsia="en-US"/>
        </w:rPr>
      </w:pPr>
      <w:r w:rsidRPr="00BD22C2">
        <w:rPr>
          <w:rFonts w:eastAsia="Calibri"/>
          <w:lang w:val="fr-CA" w:eastAsia="en-US"/>
        </w:rPr>
        <w:t>La Commission reconnaît depuis longtemps que l’article</w:t>
      </w:r>
      <w:r w:rsidR="00CC76DE" w:rsidRPr="00BD22C2">
        <w:rPr>
          <w:rFonts w:eastAsia="Calibri"/>
          <w:lang w:val="fr-CA" w:eastAsia="en-US"/>
        </w:rPr>
        <w:t> </w:t>
      </w:r>
      <w:r w:rsidRPr="00BD22C2">
        <w:rPr>
          <w:rFonts w:eastAsia="Calibri"/>
          <w:lang w:val="fr-CA" w:eastAsia="en-US"/>
        </w:rPr>
        <w:t>9.1 agit comme une disposition de limitation classique, mais aussi comme une disposition d’interprétation des droits</w:t>
      </w:r>
      <w:r w:rsidRPr="00BD22C2">
        <w:rPr>
          <w:rStyle w:val="Appeldenotedefin"/>
          <w:rFonts w:eastAsia="Calibri"/>
          <w:lang w:val="fr-CA" w:eastAsia="en-US"/>
        </w:rPr>
        <w:endnoteReference w:id="209"/>
      </w:r>
      <w:r w:rsidRPr="00BD22C2">
        <w:rPr>
          <w:rFonts w:eastAsia="Calibri"/>
          <w:lang w:val="fr-CA" w:eastAsia="en-US"/>
        </w:rPr>
        <w:t>. Ce second aspect pouvant éventuellement trouver application dans des situations où les droits des personnes trans ou non binaires entre</w:t>
      </w:r>
      <w:r w:rsidR="005751FE" w:rsidRPr="00BD22C2">
        <w:rPr>
          <w:rFonts w:eastAsia="Calibri"/>
          <w:lang w:val="fr-CA" w:eastAsia="en-US"/>
        </w:rPr>
        <w:t>nt</w:t>
      </w:r>
      <w:r w:rsidRPr="00BD22C2">
        <w:rPr>
          <w:rFonts w:eastAsia="Calibri"/>
          <w:lang w:val="fr-CA" w:eastAsia="en-US"/>
        </w:rPr>
        <w:t xml:space="preserve"> en conflit avec les droits d’autres personnes, nous nous attarderons ici sur le mécanisme de conciliation des droits qui découle de l’article</w:t>
      </w:r>
      <w:r w:rsidR="00CC76DE" w:rsidRPr="00BD22C2">
        <w:rPr>
          <w:rFonts w:eastAsia="Calibri"/>
          <w:lang w:val="fr-CA" w:eastAsia="en-US"/>
        </w:rPr>
        <w:t> </w:t>
      </w:r>
      <w:r w:rsidRPr="00BD22C2">
        <w:rPr>
          <w:rFonts w:eastAsia="Calibri"/>
          <w:lang w:val="fr-CA" w:eastAsia="en-US"/>
        </w:rPr>
        <w:t xml:space="preserve">9.1. </w:t>
      </w:r>
    </w:p>
    <w:p w14:paraId="716E6A5F" w14:textId="65D79102" w:rsidR="00BA0E30" w:rsidRPr="00BD22C2" w:rsidRDefault="00BA0E30" w:rsidP="005A5B5A">
      <w:pPr>
        <w:pStyle w:val="Paragraphe"/>
        <w:rPr>
          <w:rFonts w:eastAsia="Calibri"/>
          <w:lang w:val="fr-CA" w:eastAsia="en-US"/>
        </w:rPr>
      </w:pPr>
      <w:r w:rsidRPr="00BD22C2">
        <w:rPr>
          <w:rFonts w:eastAsia="Calibri"/>
          <w:lang w:val="fr-CA" w:eastAsia="en-US"/>
        </w:rPr>
        <w:t>Il importe de souligner qu’il ne s’agit pas ici de régler des «</w:t>
      </w:r>
      <w:r w:rsidR="00974BD5" w:rsidRPr="00BD22C2">
        <w:rPr>
          <w:rFonts w:eastAsia="Calibri"/>
          <w:lang w:val="fr-CA" w:eastAsia="en-US"/>
        </w:rPr>
        <w:t> </w:t>
      </w:r>
      <w:r w:rsidRPr="00BD22C2">
        <w:rPr>
          <w:rFonts w:eastAsia="Calibri"/>
          <w:lang w:val="fr-CA" w:eastAsia="en-US"/>
        </w:rPr>
        <w:t>situations de tension o</w:t>
      </w:r>
      <w:r w:rsidR="00021533" w:rsidRPr="00BD22C2">
        <w:rPr>
          <w:rFonts w:eastAsia="Calibri"/>
          <w:lang w:val="fr-CA" w:eastAsia="en-US"/>
        </w:rPr>
        <w:t>ù</w:t>
      </w:r>
      <w:r w:rsidRPr="00BD22C2">
        <w:rPr>
          <w:rFonts w:eastAsia="Calibri"/>
          <w:lang w:val="fr-CA" w:eastAsia="en-US"/>
        </w:rPr>
        <w:t xml:space="preserve"> des valeurs s’opposent sans pour autant se traduire par des atteintes à des droits</w:t>
      </w:r>
      <w:r w:rsidR="00974BD5" w:rsidRPr="00BD22C2">
        <w:rPr>
          <w:rFonts w:eastAsia="Calibri"/>
          <w:lang w:val="fr-CA" w:eastAsia="en-US"/>
        </w:rPr>
        <w:t> </w:t>
      </w:r>
      <w:r w:rsidRPr="00BD22C2">
        <w:rPr>
          <w:rFonts w:eastAsia="Calibri"/>
          <w:lang w:val="fr-CA" w:eastAsia="en-US"/>
        </w:rPr>
        <w:t>»</w:t>
      </w:r>
      <w:r w:rsidRPr="00BD22C2">
        <w:rPr>
          <w:rStyle w:val="Appeldenotedefin"/>
          <w:rFonts w:eastAsia="Calibri"/>
          <w:lang w:val="fr-CA" w:eastAsia="en-US"/>
        </w:rPr>
        <w:endnoteReference w:id="210"/>
      </w:r>
      <w:r w:rsidRPr="00BD22C2">
        <w:rPr>
          <w:rFonts w:eastAsia="Calibri"/>
          <w:lang w:val="fr-CA" w:eastAsia="en-US"/>
        </w:rPr>
        <w:t>. On ne parlera de véritable conflit «</w:t>
      </w:r>
      <w:r w:rsidR="00974BD5" w:rsidRPr="00BD22C2">
        <w:rPr>
          <w:rFonts w:eastAsia="Calibri"/>
          <w:lang w:val="fr-CA" w:eastAsia="en-US"/>
        </w:rPr>
        <w:t> </w:t>
      </w:r>
      <w:r w:rsidRPr="00BD22C2">
        <w:rPr>
          <w:rFonts w:eastAsia="Calibri"/>
          <w:lang w:val="fr-CA" w:eastAsia="en-US"/>
        </w:rPr>
        <w:t>qu’en présence de droits dont l’exercice concret les conduit à s’entrechoquer dans des circonstances précises</w:t>
      </w:r>
      <w:r w:rsidR="00974BD5" w:rsidRPr="00BD22C2">
        <w:rPr>
          <w:rFonts w:eastAsia="Calibri"/>
          <w:lang w:val="fr-CA" w:eastAsia="en-US"/>
        </w:rPr>
        <w:t> </w:t>
      </w:r>
      <w:r w:rsidRPr="00BD22C2">
        <w:rPr>
          <w:rFonts w:eastAsia="Calibri"/>
          <w:lang w:val="fr-CA" w:eastAsia="en-US"/>
        </w:rPr>
        <w:t>»</w:t>
      </w:r>
      <w:bookmarkStart w:id="116" w:name="_Ref166749556"/>
      <w:r w:rsidRPr="00BD22C2">
        <w:rPr>
          <w:rStyle w:val="Appeldenotedefin"/>
          <w:rFonts w:eastAsia="Calibri"/>
          <w:lang w:val="fr-CA" w:eastAsia="en-US"/>
        </w:rPr>
        <w:endnoteReference w:id="211"/>
      </w:r>
      <w:bookmarkEnd w:id="116"/>
      <w:r w:rsidRPr="00BD22C2">
        <w:rPr>
          <w:rFonts w:eastAsia="Calibri"/>
          <w:lang w:val="fr-CA" w:eastAsia="en-US"/>
        </w:rPr>
        <w:t xml:space="preserve">. Cela implique donc de s’assurer que deux droits (ou plus) </w:t>
      </w:r>
      <w:r w:rsidRPr="00BD22C2">
        <w:rPr>
          <w:rFonts w:eastAsia="Calibri"/>
          <w:lang w:val="fr-CA" w:eastAsia="en-US"/>
        </w:rPr>
        <w:lastRenderedPageBreak/>
        <w:t>sont véritablement compromis dans les circonstances précises en cause</w:t>
      </w:r>
      <w:r w:rsidR="00EC2EA3" w:rsidRPr="00BD22C2">
        <w:rPr>
          <w:rFonts w:eastAsia="Calibri"/>
          <w:lang w:val="fr-CA" w:eastAsia="en-US"/>
        </w:rPr>
        <w:t xml:space="preserve"> et </w:t>
      </w:r>
      <w:r w:rsidR="00624DF0" w:rsidRPr="00BD22C2">
        <w:rPr>
          <w:rFonts w:eastAsia="Calibri"/>
          <w:lang w:val="fr-CA" w:eastAsia="en-US"/>
        </w:rPr>
        <w:t xml:space="preserve">qu’il ne s’agit pas plutôt d’un conflit de valeurs ou </w:t>
      </w:r>
      <w:r w:rsidR="00972992" w:rsidRPr="00BD22C2">
        <w:rPr>
          <w:rFonts w:eastAsia="Calibri"/>
          <w:lang w:val="fr-CA" w:eastAsia="en-US"/>
        </w:rPr>
        <w:t>de tensions hypothétiques</w:t>
      </w:r>
      <w:r w:rsidR="004E47A2" w:rsidRPr="00BD22C2">
        <w:rPr>
          <w:rStyle w:val="Appeldenotedefin"/>
          <w:rFonts w:eastAsia="Calibri"/>
          <w:lang w:val="fr-CA" w:eastAsia="en-US"/>
        </w:rPr>
        <w:endnoteReference w:id="212"/>
      </w:r>
      <w:r w:rsidR="00972992" w:rsidRPr="00BD22C2">
        <w:rPr>
          <w:rFonts w:eastAsia="Calibri"/>
          <w:lang w:val="fr-CA" w:eastAsia="en-US"/>
        </w:rPr>
        <w:t xml:space="preserve">. </w:t>
      </w:r>
    </w:p>
    <w:p w14:paraId="3A0AF39B" w14:textId="60C01B2B" w:rsidR="00BA0E30" w:rsidRPr="00BD22C2" w:rsidRDefault="00972992" w:rsidP="005A5B5A">
      <w:pPr>
        <w:pStyle w:val="Paragraphe"/>
        <w:rPr>
          <w:rFonts w:eastAsia="Calibri"/>
          <w:lang w:val="fr-CA" w:eastAsia="en-US"/>
        </w:rPr>
      </w:pPr>
      <w:r w:rsidRPr="00BD22C2">
        <w:rPr>
          <w:rFonts w:eastAsia="Calibri"/>
          <w:lang w:val="fr-CA" w:eastAsia="en-US"/>
        </w:rPr>
        <w:t>Toutefois, face à</w:t>
      </w:r>
      <w:r w:rsidR="00BA0E30" w:rsidRPr="00BD22C2">
        <w:rPr>
          <w:rFonts w:eastAsia="Calibri"/>
          <w:lang w:val="fr-CA" w:eastAsia="en-US"/>
        </w:rPr>
        <w:t xml:space="preserve"> un conflit avéré entre des droits, « la problématique devient alors celle de l’équilibre, de la conciliation et (si nécessaire) de l’arbitrage entre des droits qui coexistent sans hiérarchie, mais qui sont néanmoins susceptibles d’entrer en conflit dans des circonstances concrètes »</w:t>
      </w:r>
      <w:r w:rsidR="00BA0E30" w:rsidRPr="00BD22C2">
        <w:rPr>
          <w:rStyle w:val="Appeldenotedefin"/>
          <w:rFonts w:eastAsia="Calibri"/>
          <w:lang w:val="fr-CA" w:eastAsia="en-US"/>
        </w:rPr>
        <w:endnoteReference w:id="213"/>
      </w:r>
      <w:r w:rsidR="00BA0E30" w:rsidRPr="00BD22C2">
        <w:rPr>
          <w:rFonts w:eastAsia="Calibri"/>
          <w:lang w:val="fr-CA" w:eastAsia="en-US"/>
        </w:rPr>
        <w:t>. Cette démarche est notamment rendue nécessaire par le fait que, tel que noté en introduction, les droits et libertés de la personne sont « universels, indissociables, interdépendants et intimement liés »</w:t>
      </w:r>
      <w:bookmarkStart w:id="117" w:name="_Ref166748702"/>
      <w:r w:rsidR="00BA0E30" w:rsidRPr="00BD22C2">
        <w:rPr>
          <w:rStyle w:val="Appeldenotedefin"/>
          <w:rFonts w:eastAsia="Calibri"/>
          <w:lang w:val="fr-CA" w:eastAsia="en-US"/>
        </w:rPr>
        <w:endnoteReference w:id="214"/>
      </w:r>
      <w:bookmarkEnd w:id="117"/>
      <w:r w:rsidR="00BA0E30" w:rsidRPr="00BD22C2">
        <w:rPr>
          <w:rFonts w:eastAsia="Calibri"/>
          <w:lang w:val="fr-CA" w:eastAsia="en-US"/>
        </w:rPr>
        <w:t>.</w:t>
      </w:r>
    </w:p>
    <w:p w14:paraId="46CF565B" w14:textId="00D6237C" w:rsidR="00BA0E30" w:rsidRPr="00CD4047" w:rsidRDefault="00BA0E30" w:rsidP="005A5B5A">
      <w:pPr>
        <w:pStyle w:val="Paragraphe"/>
        <w:rPr>
          <w:lang w:val="fr-CA"/>
        </w:rPr>
      </w:pPr>
      <w:r w:rsidRPr="00CD4047">
        <w:rPr>
          <w:lang w:val="fr-CA"/>
        </w:rPr>
        <w:t>Pour éviter tout abus de droit</w:t>
      </w:r>
      <w:r w:rsidR="004D2411" w:rsidRPr="4BB1F094">
        <w:rPr>
          <w:rStyle w:val="Appeldenotedefin"/>
          <w:rFonts w:cs="Arial"/>
        </w:rPr>
        <w:endnoteReference w:id="215"/>
      </w:r>
      <w:r w:rsidRPr="00CD4047">
        <w:rPr>
          <w:lang w:val="fr-CA"/>
        </w:rPr>
        <w:t>, les tribunaux ont donc développé une démarche d’application de l’article</w:t>
      </w:r>
      <w:r w:rsidR="00CC76DE" w:rsidRPr="00CD4047">
        <w:rPr>
          <w:lang w:val="fr-CA"/>
        </w:rPr>
        <w:t> </w:t>
      </w:r>
      <w:r w:rsidRPr="00CD4047">
        <w:rPr>
          <w:lang w:val="fr-CA"/>
        </w:rPr>
        <w:t>9.1 lorsque deux droits ou libertés sont en conflit. Ils opèrent alors un exercice de «</w:t>
      </w:r>
      <w:r w:rsidR="00974BD5" w:rsidRPr="00CD4047">
        <w:rPr>
          <w:lang w:val="fr-CA"/>
        </w:rPr>
        <w:t> </w:t>
      </w:r>
      <w:r w:rsidRPr="00CD4047">
        <w:rPr>
          <w:lang w:val="fr-CA"/>
        </w:rPr>
        <w:t>pondération</w:t>
      </w:r>
      <w:r w:rsidR="00974BD5" w:rsidRPr="00CD4047">
        <w:rPr>
          <w:lang w:val="fr-CA"/>
        </w:rPr>
        <w:t> </w:t>
      </w:r>
      <w:r w:rsidRPr="00CD4047">
        <w:rPr>
          <w:lang w:val="fr-CA"/>
        </w:rPr>
        <w:t>»</w:t>
      </w:r>
      <w:bookmarkStart w:id="118" w:name="_Ref167440592"/>
      <w:r w:rsidRPr="4BB1F094">
        <w:rPr>
          <w:rStyle w:val="Appeldenotedefin"/>
        </w:rPr>
        <w:endnoteReference w:id="216"/>
      </w:r>
      <w:bookmarkEnd w:id="118"/>
      <w:r w:rsidRPr="00CD4047">
        <w:rPr>
          <w:lang w:val="fr-CA"/>
        </w:rPr>
        <w:t xml:space="preserve"> ou de «</w:t>
      </w:r>
      <w:r w:rsidR="00974BD5" w:rsidRPr="00CD4047">
        <w:rPr>
          <w:lang w:val="fr-CA"/>
        </w:rPr>
        <w:t> </w:t>
      </w:r>
      <w:r w:rsidRPr="00CD4047">
        <w:rPr>
          <w:lang w:val="fr-CA"/>
        </w:rPr>
        <w:t>conciliation des intérêts et valeurs opposés</w:t>
      </w:r>
      <w:r w:rsidR="00974BD5" w:rsidRPr="00CD4047">
        <w:rPr>
          <w:lang w:val="fr-CA"/>
        </w:rPr>
        <w:t> </w:t>
      </w:r>
      <w:r w:rsidRPr="00CD4047">
        <w:rPr>
          <w:lang w:val="fr-CA"/>
        </w:rPr>
        <w:t>»</w:t>
      </w:r>
      <w:r w:rsidR="005B6264" w:rsidRPr="00CD4047">
        <w:rPr>
          <w:lang w:val="fr-CA"/>
        </w:rPr>
        <w:t>.</w:t>
      </w:r>
      <w:bookmarkStart w:id="119" w:name="_Ref167440621"/>
      <w:r w:rsidRPr="4BB1F094">
        <w:rPr>
          <w:rStyle w:val="Appeldenotedefin"/>
        </w:rPr>
        <w:endnoteReference w:id="217"/>
      </w:r>
      <w:bookmarkEnd w:id="119"/>
    </w:p>
    <w:p w14:paraId="1B30C2FE" w14:textId="0E7C0C6C" w:rsidR="00BA0E30" w:rsidRPr="00BD22C2" w:rsidRDefault="00BA0E30" w:rsidP="005A5B5A">
      <w:pPr>
        <w:pStyle w:val="Paragraphe"/>
        <w:rPr>
          <w:rFonts w:eastAsiaTheme="minorHAnsi"/>
          <w:lang w:val="fr-CA"/>
        </w:rPr>
      </w:pPr>
      <w:r w:rsidRPr="00BD22C2">
        <w:rPr>
          <w:rFonts w:eastAsiaTheme="minorEastAsia"/>
          <w:lang w:val="fr-CA"/>
        </w:rPr>
        <w:t xml:space="preserve">Dans l’affaire </w:t>
      </w:r>
      <w:proofErr w:type="spellStart"/>
      <w:r w:rsidRPr="00BD22C2">
        <w:rPr>
          <w:rFonts w:eastAsiaTheme="minorEastAsia"/>
          <w:i/>
          <w:lang w:val="fr-CA"/>
        </w:rPr>
        <w:t>Amselem</w:t>
      </w:r>
      <w:proofErr w:type="spellEnd"/>
      <w:r w:rsidRPr="00BD22C2">
        <w:rPr>
          <w:rFonts w:eastAsiaTheme="minorEastAsia"/>
          <w:lang w:val="fr-CA"/>
        </w:rPr>
        <w:t xml:space="preserve">, le juge Bastarache, s’appuyant sur la décision </w:t>
      </w:r>
      <w:r w:rsidRPr="00BD22C2">
        <w:rPr>
          <w:rFonts w:eastAsiaTheme="minorEastAsia"/>
          <w:i/>
          <w:lang w:val="fr-CA"/>
        </w:rPr>
        <w:t>Aubry</w:t>
      </w:r>
      <w:r w:rsidRPr="00BD22C2">
        <w:rPr>
          <w:rStyle w:val="Appeldenotedefin"/>
          <w:rFonts w:eastAsiaTheme="minorEastAsia" w:cs="Arial"/>
          <w:lang w:val="fr-CA"/>
        </w:rPr>
        <w:endnoteReference w:id="218"/>
      </w:r>
      <w:r w:rsidRPr="00BD22C2">
        <w:rPr>
          <w:rFonts w:eastAsiaTheme="minorEastAsia"/>
          <w:lang w:val="fr-CA"/>
        </w:rPr>
        <w:t xml:space="preserve">, mais également sur la décision </w:t>
      </w:r>
      <w:r w:rsidRPr="00BD22C2">
        <w:rPr>
          <w:rFonts w:eastAsiaTheme="minorEastAsia"/>
          <w:i/>
          <w:lang w:val="fr-CA"/>
        </w:rPr>
        <w:t>Prud’homme</w:t>
      </w:r>
      <w:r w:rsidRPr="00BD22C2">
        <w:rPr>
          <w:rStyle w:val="Appeldenotedefin"/>
          <w:rFonts w:eastAsiaTheme="minorEastAsia" w:cs="Arial"/>
          <w:lang w:val="fr-CA"/>
        </w:rPr>
        <w:endnoteReference w:id="219"/>
      </w:r>
      <w:r w:rsidRPr="00BD22C2">
        <w:rPr>
          <w:rFonts w:eastAsiaTheme="minorEastAsia"/>
          <w:lang w:val="fr-CA"/>
        </w:rPr>
        <w:t xml:space="preserve">, explique : </w:t>
      </w:r>
    </w:p>
    <w:p w14:paraId="38B54D43" w14:textId="131C558D" w:rsidR="00BA0E30" w:rsidRPr="00BD22C2" w:rsidRDefault="007846F1" w:rsidP="00610C67">
      <w:pPr>
        <w:pStyle w:val="Citation"/>
      </w:pPr>
      <w:r w:rsidRPr="00BD22C2">
        <w:t>«</w:t>
      </w:r>
      <w:r w:rsidR="00444FEB">
        <w:t> </w:t>
      </w:r>
      <w:r w:rsidR="00BA0E30" w:rsidRPr="00BD22C2">
        <w:t>Un exercice de conciliation exigera plus qu’un simple examen de l’atteinte alléguée à l’égard de l’un ou l’autre des droits en cause ; il se distingue nettement de l’obligation de trouver un accommodement dans le contexte d’une atteinte au droit à l’égalité. Concilier tous les droits et valeurs en cause suivant le langage du premier alinéa de l’art 9.1 de la Charte, c’est trouver un équilibre et un compromis conformes à l’intérêt général dans le contexte précis de l’affaire</w:t>
      </w:r>
      <w:r w:rsidR="003730B1" w:rsidRPr="00BD22C2">
        <w:t>.</w:t>
      </w:r>
      <w:r w:rsidR="00444FEB">
        <w:t> </w:t>
      </w:r>
      <w:r w:rsidR="003730B1" w:rsidRPr="00BD22C2">
        <w:t>»</w:t>
      </w:r>
      <w:r w:rsidR="00BA0E30" w:rsidRPr="00BD22C2">
        <w:rPr>
          <w:vertAlign w:val="superscript"/>
        </w:rPr>
        <w:endnoteReference w:id="220"/>
      </w:r>
    </w:p>
    <w:p w14:paraId="1E61C5A7" w14:textId="6DAD5EF4" w:rsidR="00BA0E30" w:rsidRPr="00BD22C2" w:rsidRDefault="00C66A2D" w:rsidP="005A5B5A">
      <w:pPr>
        <w:pStyle w:val="Paragraphe"/>
        <w:rPr>
          <w:lang w:val="fr-CA"/>
        </w:rPr>
      </w:pPr>
      <w:r w:rsidRPr="00BD22C2">
        <w:rPr>
          <w:lang w:val="fr-CA"/>
        </w:rPr>
        <w:t>Se fondant</w:t>
      </w:r>
      <w:r w:rsidR="00BA0E30" w:rsidRPr="00BD22C2">
        <w:rPr>
          <w:lang w:val="fr-CA"/>
        </w:rPr>
        <w:t xml:space="preserve"> sur l’ensemble de ces décisions, l’arrêt </w:t>
      </w:r>
      <w:proofErr w:type="spellStart"/>
      <w:r w:rsidR="00BA0E30" w:rsidRPr="00BD22C2">
        <w:rPr>
          <w:i/>
          <w:iCs/>
          <w:lang w:val="fr-CA"/>
        </w:rPr>
        <w:t>Bruker</w:t>
      </w:r>
      <w:proofErr w:type="spellEnd"/>
      <w:r w:rsidR="00BA0E30" w:rsidRPr="00BD22C2">
        <w:rPr>
          <w:lang w:val="fr-CA"/>
        </w:rPr>
        <w:t xml:space="preserve"> c</w:t>
      </w:r>
      <w:r w:rsidR="00690387" w:rsidRPr="00BD22C2">
        <w:rPr>
          <w:lang w:val="fr-CA"/>
        </w:rPr>
        <w:t>.</w:t>
      </w:r>
      <w:r w:rsidR="00BA0E30" w:rsidRPr="00BD22C2">
        <w:rPr>
          <w:lang w:val="fr-CA"/>
        </w:rPr>
        <w:t xml:space="preserve"> </w:t>
      </w:r>
      <w:proofErr w:type="spellStart"/>
      <w:r w:rsidR="00BA0E30" w:rsidRPr="00BD22C2">
        <w:rPr>
          <w:i/>
          <w:lang w:val="fr-CA"/>
        </w:rPr>
        <w:t>Marcovitz</w:t>
      </w:r>
      <w:proofErr w:type="spellEnd"/>
      <w:r w:rsidR="00BA0E30" w:rsidRPr="00BD22C2">
        <w:rPr>
          <w:rStyle w:val="Appeldenotedefin"/>
          <w:iCs/>
          <w:lang w:val="fr-CA"/>
        </w:rPr>
        <w:endnoteReference w:id="221"/>
      </w:r>
      <w:r w:rsidR="00BA0E30" w:rsidRPr="00BD22C2">
        <w:rPr>
          <w:iCs/>
          <w:lang w:val="fr-CA"/>
        </w:rPr>
        <w:t xml:space="preserve"> </w:t>
      </w:r>
      <w:r w:rsidR="00BA0E30" w:rsidRPr="00BD22C2">
        <w:rPr>
          <w:lang w:val="fr-CA"/>
        </w:rPr>
        <w:t xml:space="preserve">confirme, quelques années plus tard, qu’une « conduite susceptible de causer préjudice aux droits d’autrui ou d’entraver l’exercice de ces droits n’est pas automatiquement protégée par l’exercice d’un droit ou d’une </w:t>
      </w:r>
      <w:proofErr w:type="gramStart"/>
      <w:r w:rsidR="00BA0E30" w:rsidRPr="00BD22C2">
        <w:rPr>
          <w:lang w:val="fr-CA"/>
        </w:rPr>
        <w:t>liberté</w:t>
      </w:r>
      <w:r w:rsidR="00A20360" w:rsidRPr="00BD22C2">
        <w:rPr>
          <w:lang w:val="fr-CA"/>
        </w:rPr>
        <w:t>[</w:t>
      </w:r>
      <w:proofErr w:type="gramEnd"/>
      <w:r w:rsidR="00A20360" w:rsidRPr="00BD22C2">
        <w:rPr>
          <w:lang w:val="fr-CA"/>
        </w:rPr>
        <w:t>…]</w:t>
      </w:r>
      <w:r w:rsidR="0051216B" w:rsidRPr="00BD22C2">
        <w:rPr>
          <w:lang w:val="fr-CA"/>
        </w:rPr>
        <w:t> </w:t>
      </w:r>
      <w:r w:rsidR="006D782C" w:rsidRPr="00BD22C2">
        <w:rPr>
          <w:lang w:val="fr-CA"/>
        </w:rPr>
        <w:t>»</w:t>
      </w:r>
      <w:r w:rsidR="00BA0E30" w:rsidRPr="00BD22C2">
        <w:rPr>
          <w:rStyle w:val="Appeldenotedefin"/>
          <w:rFonts w:cs="Arial"/>
          <w:lang w:val="fr-CA"/>
        </w:rPr>
        <w:endnoteReference w:id="222"/>
      </w:r>
      <w:r w:rsidR="00BA0E30" w:rsidRPr="00BD22C2">
        <w:rPr>
          <w:lang w:val="fr-CA"/>
        </w:rPr>
        <w:t>. Le premier paragraphe de l’article 9.1 prévoit ainsi « que les droits et libertés […] sont restreints dans la mesure où leur exercice ne doit pas être préjudiciable à autrui »</w:t>
      </w:r>
      <w:r w:rsidR="00BA0E30" w:rsidRPr="00BD22C2">
        <w:rPr>
          <w:rStyle w:val="Appeldenotedefin"/>
          <w:rFonts w:cs="Arial"/>
          <w:lang w:val="fr-CA"/>
        </w:rPr>
        <w:endnoteReference w:id="223"/>
      </w:r>
      <w:r w:rsidR="00BA0E30" w:rsidRPr="00BD22C2">
        <w:rPr>
          <w:lang w:val="fr-CA"/>
        </w:rPr>
        <w:t>. L’exercice des droits s’appréciera donc en tenant compte des considérations consacrées au premier alinéa de l’art.</w:t>
      </w:r>
      <w:r w:rsidR="00CC76DE" w:rsidRPr="00BD22C2">
        <w:rPr>
          <w:lang w:val="fr-CA"/>
        </w:rPr>
        <w:t> </w:t>
      </w:r>
      <w:r w:rsidR="00BA0E30" w:rsidRPr="00BD22C2">
        <w:rPr>
          <w:lang w:val="fr-CA"/>
        </w:rPr>
        <w:t>9.1, soit des «</w:t>
      </w:r>
      <w:r w:rsidR="00974BD5" w:rsidRPr="00BD22C2">
        <w:rPr>
          <w:lang w:val="fr-CA"/>
        </w:rPr>
        <w:t> </w:t>
      </w:r>
      <w:r w:rsidR="00BA0E30" w:rsidRPr="00BD22C2">
        <w:rPr>
          <w:lang w:val="fr-CA"/>
        </w:rPr>
        <w:t>valeurs démocratiques, de la laïcité de l’État, de l’importance accordée à la protection du français, de l’ordre public et du bien-être général des citoyens du Québec</w:t>
      </w:r>
      <w:r w:rsidR="00974BD5" w:rsidRPr="00BD22C2">
        <w:rPr>
          <w:lang w:val="fr-CA"/>
        </w:rPr>
        <w:t> </w:t>
      </w:r>
      <w:r w:rsidR="00BA0E30" w:rsidRPr="00BD22C2">
        <w:rPr>
          <w:lang w:val="fr-CA"/>
        </w:rPr>
        <w:t>»</w:t>
      </w:r>
      <w:r w:rsidR="00BA0E30" w:rsidRPr="00BD22C2">
        <w:rPr>
          <w:rStyle w:val="Appeldenotedefin"/>
          <w:lang w:val="fr-CA"/>
        </w:rPr>
        <w:endnoteReference w:id="224"/>
      </w:r>
      <w:r w:rsidR="00BA0E30" w:rsidRPr="00BD22C2">
        <w:rPr>
          <w:lang w:val="fr-CA"/>
        </w:rPr>
        <w:t>. Il s’agit, souligne la Cour, d’un «</w:t>
      </w:r>
      <w:r w:rsidR="00974BD5" w:rsidRPr="00BD22C2">
        <w:rPr>
          <w:lang w:val="fr-CA"/>
        </w:rPr>
        <w:t> </w:t>
      </w:r>
      <w:r w:rsidR="00BA0E30" w:rsidRPr="00BD22C2">
        <w:rPr>
          <w:lang w:val="fr-CA"/>
        </w:rPr>
        <w:t>exercice complexe, nuancé et tributaire des faits propres à chaque espèce</w:t>
      </w:r>
      <w:r w:rsidR="00974BD5" w:rsidRPr="00BD22C2">
        <w:rPr>
          <w:lang w:val="fr-CA"/>
        </w:rPr>
        <w:t> </w:t>
      </w:r>
      <w:r w:rsidR="00BA0E30" w:rsidRPr="00BD22C2">
        <w:rPr>
          <w:lang w:val="fr-CA"/>
        </w:rPr>
        <w:t>»</w:t>
      </w:r>
      <w:r w:rsidR="00BA0E30" w:rsidRPr="00BD22C2">
        <w:rPr>
          <w:rStyle w:val="Appeldenotedefin"/>
          <w:lang w:val="fr-CA"/>
        </w:rPr>
        <w:endnoteReference w:id="225"/>
      </w:r>
      <w:r w:rsidR="00BA0E30" w:rsidRPr="00BD22C2">
        <w:rPr>
          <w:lang w:val="fr-CA"/>
        </w:rPr>
        <w:t xml:space="preserve">. </w:t>
      </w:r>
    </w:p>
    <w:p w14:paraId="7AE03873" w14:textId="7CA1AB11" w:rsidR="00BA0E30" w:rsidRDefault="00BA0E30" w:rsidP="005A5B5A">
      <w:pPr>
        <w:pStyle w:val="Paragraphe"/>
        <w:rPr>
          <w:lang w:val="fr-CA"/>
        </w:rPr>
      </w:pPr>
      <w:r w:rsidRPr="00BD22C2">
        <w:rPr>
          <w:lang w:val="fr-CA"/>
        </w:rPr>
        <w:lastRenderedPageBreak/>
        <w:t>Ainsi, dans un exercice de conciliation de droits en conflit, l’article</w:t>
      </w:r>
      <w:r w:rsidR="00CC76DE" w:rsidRPr="00BD22C2">
        <w:rPr>
          <w:lang w:val="fr-CA"/>
        </w:rPr>
        <w:t> </w:t>
      </w:r>
      <w:r w:rsidRPr="00BD22C2">
        <w:rPr>
          <w:lang w:val="fr-CA"/>
        </w:rPr>
        <w:t>9.1 exige que soient mis en balance les droits visés, sans négliger l’ensemble du contexte, les valeurs consacrées par cette disposition et les préjudices opposés</w:t>
      </w:r>
      <w:r w:rsidRPr="00BD22C2">
        <w:rPr>
          <w:rStyle w:val="Appeldenotedefin"/>
          <w:lang w:val="fr-CA"/>
        </w:rPr>
        <w:endnoteReference w:id="226"/>
      </w:r>
      <w:r w:rsidRPr="00BD22C2">
        <w:rPr>
          <w:lang w:val="fr-CA"/>
        </w:rPr>
        <w:t>.</w:t>
      </w:r>
    </w:p>
    <w:p w14:paraId="2FF33B0A" w14:textId="77777777" w:rsidR="002A3FFA" w:rsidRPr="002A3FFA" w:rsidRDefault="002A3FFA" w:rsidP="002A3FFA">
      <w:pPr>
        <w:pStyle w:val="Corpsdetexte"/>
        <w:rPr>
          <w:rFonts w:eastAsia="Calibri"/>
        </w:rPr>
      </w:pPr>
    </w:p>
    <w:p w14:paraId="769367AA" w14:textId="4DD34578" w:rsidR="00F7531E" w:rsidRPr="00BD22C2" w:rsidRDefault="00DF47AC" w:rsidP="00F7531E">
      <w:pPr>
        <w:pStyle w:val="Titre1"/>
        <w:rPr>
          <w:rFonts w:eastAsia="Calibri"/>
          <w:lang w:eastAsia="en-US"/>
        </w:rPr>
      </w:pPr>
      <w:bookmarkStart w:id="120" w:name="_Toc165301033"/>
      <w:bookmarkStart w:id="121" w:name="_Toc165636116"/>
      <w:r w:rsidRPr="00BD22C2">
        <w:rPr>
          <w:rFonts w:eastAsia="Calibri"/>
          <w:lang w:eastAsia="en-US"/>
        </w:rPr>
        <w:t xml:space="preserve">Les </w:t>
      </w:r>
      <w:r w:rsidR="00F7531E" w:rsidRPr="00BD22C2">
        <w:rPr>
          <w:rFonts w:eastAsia="Calibri"/>
          <w:lang w:eastAsia="en-US"/>
        </w:rPr>
        <w:t>droits des enfants trans et non binaires</w:t>
      </w:r>
      <w:bookmarkEnd w:id="120"/>
      <w:bookmarkEnd w:id="121"/>
    </w:p>
    <w:p w14:paraId="7B3245A0" w14:textId="0A7581AB" w:rsidR="00FC15A5" w:rsidRPr="00BD22C2" w:rsidRDefault="00F7531E" w:rsidP="0082080D">
      <w:pPr>
        <w:pStyle w:val="Paragraphe"/>
        <w:jc w:val="both"/>
        <w:rPr>
          <w:rFonts w:eastAsia="Calibri"/>
          <w:lang w:val="fr-CA" w:eastAsia="en-US"/>
        </w:rPr>
      </w:pPr>
      <w:r w:rsidRPr="00BD22C2">
        <w:rPr>
          <w:rFonts w:eastAsia="Calibri"/>
          <w:lang w:val="fr-CA" w:eastAsia="en-US"/>
        </w:rPr>
        <w:t>Considérant la double mission de la Commission, il importe de s’attarder au cadre d’analyse transversal applicable en vue d’assurer le respect et l’exercice effectif des droits des enfants, prévus par les instruments juridiques internationaux</w:t>
      </w:r>
      <w:bookmarkStart w:id="122" w:name="_Ref167447766"/>
      <w:r w:rsidRPr="00BD22C2">
        <w:rPr>
          <w:rFonts w:eastAsia="Calibri"/>
          <w:vertAlign w:val="superscript"/>
          <w:lang w:val="fr-CA" w:eastAsia="en-US"/>
        </w:rPr>
        <w:endnoteReference w:id="227"/>
      </w:r>
      <w:bookmarkEnd w:id="122"/>
      <w:r w:rsidRPr="00BD22C2">
        <w:rPr>
          <w:rFonts w:eastAsia="Calibri"/>
          <w:lang w:val="fr-CA" w:eastAsia="en-US"/>
        </w:rPr>
        <w:t>, canadiens</w:t>
      </w:r>
      <w:r w:rsidRPr="00BD22C2">
        <w:rPr>
          <w:rFonts w:eastAsia="Calibri"/>
          <w:vertAlign w:val="superscript"/>
          <w:lang w:val="fr-CA" w:eastAsia="en-US"/>
        </w:rPr>
        <w:endnoteReference w:id="228"/>
      </w:r>
      <w:r w:rsidRPr="00BD22C2">
        <w:rPr>
          <w:rFonts w:eastAsia="Calibri"/>
          <w:lang w:val="fr-CA" w:eastAsia="en-US"/>
        </w:rPr>
        <w:t xml:space="preserve"> et québécois</w:t>
      </w:r>
      <w:r w:rsidRPr="00BD22C2">
        <w:rPr>
          <w:rFonts w:eastAsia="Calibri"/>
          <w:vertAlign w:val="superscript"/>
          <w:lang w:val="fr-CA" w:eastAsia="en-US"/>
        </w:rPr>
        <w:endnoteReference w:id="229"/>
      </w:r>
      <w:r w:rsidRPr="00BD22C2">
        <w:rPr>
          <w:rFonts w:eastAsia="Calibri"/>
          <w:lang w:val="fr-CA" w:eastAsia="en-US"/>
        </w:rPr>
        <w:t>. Dans les situations concernant les familles des Premières Nations et des Inuit, le</w:t>
      </w:r>
      <w:r w:rsidR="00F26DE0" w:rsidRPr="00BD22C2">
        <w:rPr>
          <w:rFonts w:eastAsia="Calibri"/>
          <w:lang w:val="fr-CA" w:eastAsia="en-US"/>
        </w:rPr>
        <w:t>s</w:t>
      </w:r>
      <w:r w:rsidRPr="00BD22C2">
        <w:rPr>
          <w:rFonts w:eastAsia="Calibri"/>
          <w:lang w:val="fr-CA" w:eastAsia="en-US"/>
        </w:rPr>
        <w:t xml:space="preserve"> cadres juridiques </w:t>
      </w:r>
      <w:r w:rsidR="00F26DE0" w:rsidRPr="00BD22C2">
        <w:rPr>
          <w:rFonts w:eastAsia="Calibri"/>
          <w:lang w:val="fr-CA" w:eastAsia="en-US"/>
        </w:rPr>
        <w:t>élaborés par leurs communauté</w:t>
      </w:r>
      <w:r w:rsidR="00FB063A" w:rsidRPr="00BD22C2">
        <w:rPr>
          <w:rFonts w:eastAsia="Calibri"/>
          <w:lang w:val="fr-CA" w:eastAsia="en-US"/>
        </w:rPr>
        <w:t>s</w:t>
      </w:r>
      <w:r w:rsidR="00F26DE0" w:rsidRPr="00BD22C2">
        <w:rPr>
          <w:rFonts w:eastAsia="Calibri"/>
          <w:lang w:val="fr-CA" w:eastAsia="en-US"/>
        </w:rPr>
        <w:t xml:space="preserve"> dans l’</w:t>
      </w:r>
      <w:r w:rsidR="004C5AEC" w:rsidRPr="00BD22C2">
        <w:rPr>
          <w:rFonts w:eastAsia="Calibri"/>
          <w:lang w:val="fr-CA" w:eastAsia="en-US"/>
        </w:rPr>
        <w:t xml:space="preserve">exercice </w:t>
      </w:r>
      <w:r w:rsidR="0072482B" w:rsidRPr="00BD22C2">
        <w:rPr>
          <w:rFonts w:eastAsia="Calibri"/>
          <w:lang w:val="fr-CA" w:eastAsia="en-US"/>
        </w:rPr>
        <w:t>de leur</w:t>
      </w:r>
      <w:r w:rsidR="004C5AEC" w:rsidRPr="00BD22C2">
        <w:rPr>
          <w:rFonts w:eastAsia="Calibri"/>
          <w:lang w:val="fr-CA" w:eastAsia="en-US"/>
        </w:rPr>
        <w:t xml:space="preserve"> droit à l’autonomie gouvernementale</w:t>
      </w:r>
      <w:r w:rsidRPr="00BD22C2">
        <w:rPr>
          <w:rFonts w:eastAsia="Calibri"/>
          <w:lang w:val="fr-CA" w:eastAsia="en-US"/>
        </w:rPr>
        <w:t xml:space="preserve"> en matière de services à l’enfance et à la famille </w:t>
      </w:r>
      <w:r w:rsidR="00FF1DEB" w:rsidRPr="00BD22C2">
        <w:rPr>
          <w:rFonts w:eastAsia="Calibri"/>
          <w:lang w:val="fr-CA" w:eastAsia="en-US"/>
        </w:rPr>
        <w:t xml:space="preserve">ou de droits de la personne </w:t>
      </w:r>
      <w:r w:rsidRPr="00BD22C2">
        <w:rPr>
          <w:rFonts w:eastAsia="Calibri"/>
          <w:lang w:val="fr-CA" w:eastAsia="en-US"/>
        </w:rPr>
        <w:t>sont intégrés à cette approche</w:t>
      </w:r>
      <w:r w:rsidRPr="00BD22C2">
        <w:rPr>
          <w:rFonts w:eastAsia="Calibri"/>
          <w:vertAlign w:val="superscript"/>
          <w:lang w:val="fr-CA" w:eastAsia="en-US"/>
        </w:rPr>
        <w:endnoteReference w:id="230"/>
      </w:r>
      <w:r w:rsidRPr="00BD22C2">
        <w:rPr>
          <w:rFonts w:eastAsia="Calibri"/>
          <w:lang w:val="fr-CA" w:eastAsia="en-US"/>
        </w:rPr>
        <w:t xml:space="preserve">. </w:t>
      </w:r>
    </w:p>
    <w:p w14:paraId="752A74A0" w14:textId="34EF797C" w:rsidR="00F7531E" w:rsidRPr="00BD22C2" w:rsidRDefault="00F7531E" w:rsidP="00F7531E">
      <w:pPr>
        <w:pStyle w:val="Paragraphe"/>
        <w:jc w:val="both"/>
        <w:rPr>
          <w:rFonts w:eastAsia="Calibri"/>
          <w:lang w:val="fr-CA" w:eastAsia="en-US"/>
        </w:rPr>
      </w:pPr>
      <w:r w:rsidRPr="00BD22C2">
        <w:rPr>
          <w:rFonts w:eastAsia="Calibri"/>
          <w:lang w:val="fr-CA" w:eastAsia="en-US"/>
        </w:rPr>
        <w:t>En s’</w:t>
      </w:r>
      <w:r w:rsidR="00BC67ED" w:rsidRPr="00BD22C2">
        <w:rPr>
          <w:rFonts w:eastAsia="Calibri"/>
          <w:lang w:val="fr-CA" w:eastAsia="en-US"/>
        </w:rPr>
        <w:t xml:space="preserve">y </w:t>
      </w:r>
      <w:r w:rsidRPr="00BD22C2">
        <w:rPr>
          <w:rFonts w:eastAsia="Calibri"/>
          <w:lang w:val="fr-CA" w:eastAsia="en-US"/>
        </w:rPr>
        <w:t>appuyant, ainsi que sur le cadre de la Charte québécoise, l</w:t>
      </w:r>
      <w:r w:rsidRPr="00BD22C2" w:rsidDel="00557DD3">
        <w:rPr>
          <w:rFonts w:eastAsia="Calibri"/>
          <w:lang w:val="fr-CA" w:eastAsia="en-US"/>
        </w:rPr>
        <w:t xml:space="preserve">e </w:t>
      </w:r>
      <w:r w:rsidRPr="00BD22C2">
        <w:rPr>
          <w:rFonts w:eastAsia="Calibri"/>
          <w:lang w:val="fr-CA" w:eastAsia="en-US"/>
        </w:rPr>
        <w:t>gouvernement du Québec aurait en main tous les outils pour garantir le respect des droits des jeunes trans et non binaires, notamment pour contrer la discrimination à leur égard</w:t>
      </w:r>
      <w:r w:rsidRPr="00BD22C2">
        <w:rPr>
          <w:rFonts w:eastAsia="Calibri"/>
          <w:vertAlign w:val="superscript"/>
          <w:lang w:val="fr-CA" w:eastAsia="en-US"/>
        </w:rPr>
        <w:endnoteReference w:id="231"/>
      </w:r>
      <w:r w:rsidRPr="00BD22C2">
        <w:rPr>
          <w:rFonts w:eastAsia="Calibri"/>
          <w:lang w:val="fr-CA" w:eastAsia="en-US"/>
        </w:rPr>
        <w:t xml:space="preserve">. </w:t>
      </w:r>
    </w:p>
    <w:p w14:paraId="78C923A5" w14:textId="77777777" w:rsidR="00F7531E" w:rsidRPr="00BD22C2" w:rsidRDefault="00F7531E" w:rsidP="00EF1CB2">
      <w:pPr>
        <w:pStyle w:val="Titre2"/>
        <w:rPr>
          <w:rFonts w:eastAsia="Calibri"/>
          <w:lang w:eastAsia="en-US"/>
        </w:rPr>
      </w:pPr>
      <w:bookmarkStart w:id="123" w:name="_Toc165301034"/>
      <w:bookmarkStart w:id="124" w:name="_Toc165636117"/>
      <w:r w:rsidRPr="00BD22C2">
        <w:rPr>
          <w:rFonts w:eastAsia="Calibri"/>
          <w:lang w:eastAsia="en-US"/>
        </w:rPr>
        <w:t>L’approche fondée sur les droits de l’enfant : essentielle pour traiter des enjeux soumis au Comité de sages</w:t>
      </w:r>
      <w:bookmarkEnd w:id="123"/>
      <w:bookmarkEnd w:id="124"/>
      <w:r w:rsidRPr="00BD22C2">
        <w:rPr>
          <w:rFonts w:eastAsia="Calibri"/>
          <w:lang w:eastAsia="en-US"/>
        </w:rPr>
        <w:t xml:space="preserve">  </w:t>
      </w:r>
    </w:p>
    <w:p w14:paraId="57696527" w14:textId="67F79114" w:rsidR="00F7531E" w:rsidRPr="00BD22C2" w:rsidRDefault="00F7531E" w:rsidP="00F7531E">
      <w:pPr>
        <w:pStyle w:val="Paragraphe"/>
        <w:rPr>
          <w:rFonts w:eastAsia="Calibri"/>
          <w:lang w:val="fr-CA" w:eastAsia="en-US"/>
        </w:rPr>
      </w:pPr>
      <w:r w:rsidRPr="00BD22C2">
        <w:rPr>
          <w:rFonts w:eastAsia="Calibri"/>
          <w:lang w:val="fr-CA" w:eastAsia="en-US"/>
        </w:rPr>
        <w:t xml:space="preserve">Le Comité des droits de l’enfant, chargé de surveiller la mise en œuvre de la </w:t>
      </w:r>
      <w:r w:rsidRPr="00BD22C2">
        <w:rPr>
          <w:rFonts w:eastAsia="Calibri"/>
          <w:i/>
          <w:iCs/>
          <w:lang w:val="fr-CA" w:eastAsia="en-US"/>
        </w:rPr>
        <w:t xml:space="preserve">Convention relative aux droits de l’enfant </w:t>
      </w:r>
      <w:r w:rsidRPr="00BD22C2">
        <w:rPr>
          <w:rFonts w:eastAsia="Calibri"/>
          <w:lang w:val="fr-CA" w:eastAsia="en-US"/>
        </w:rPr>
        <w:t>(ci-après «</w:t>
      </w:r>
      <w:r w:rsidR="0051216B" w:rsidRPr="00BD22C2">
        <w:rPr>
          <w:rFonts w:eastAsia="Calibri"/>
          <w:lang w:val="fr-CA" w:eastAsia="en-US"/>
        </w:rPr>
        <w:t> </w:t>
      </w:r>
      <w:r w:rsidRPr="00BD22C2">
        <w:rPr>
          <w:rFonts w:eastAsia="Calibri"/>
          <w:lang w:val="fr-CA" w:eastAsia="en-US"/>
        </w:rPr>
        <w:t>CRDE</w:t>
      </w:r>
      <w:r w:rsidR="0051216B" w:rsidRPr="00BD22C2">
        <w:rPr>
          <w:rFonts w:eastAsia="Calibri"/>
          <w:lang w:val="fr-CA" w:eastAsia="en-US"/>
        </w:rPr>
        <w:t> </w:t>
      </w:r>
      <w:r w:rsidRPr="00BD22C2">
        <w:rPr>
          <w:rFonts w:eastAsia="Calibri"/>
          <w:lang w:val="fr-CA" w:eastAsia="en-US"/>
        </w:rPr>
        <w:t>»), a défini des orientations permettant de guider les États dans l’interprétation et la mise en œuvre de leurs obligations en regard de tous les droits des enfants. Le Québec s’est déclaré lié par la CRDE et s’est engagé à respecter les dispositions de celle-ci, de même qu’à «</w:t>
      </w:r>
      <w:r w:rsidR="0051216B" w:rsidRPr="00BD22C2">
        <w:rPr>
          <w:rFonts w:eastAsia="Calibri"/>
          <w:lang w:val="fr-CA" w:eastAsia="en-US"/>
        </w:rPr>
        <w:t> </w:t>
      </w:r>
      <w:r w:rsidRPr="00BD22C2">
        <w:rPr>
          <w:rFonts w:eastAsia="Calibri"/>
          <w:lang w:val="fr-CA" w:eastAsia="en-US"/>
        </w:rPr>
        <w:t xml:space="preserve">prendre toutes les mesures législatives, administratives et autres qui sont nécessaires pour mettre en œuvre les droits </w:t>
      </w:r>
      <w:r w:rsidR="00E661E9" w:rsidRPr="00BD22C2">
        <w:rPr>
          <w:rFonts w:eastAsia="Calibri"/>
          <w:lang w:val="fr-CA" w:eastAsia="en-US"/>
        </w:rPr>
        <w:t xml:space="preserve">[qui y sont] </w:t>
      </w:r>
      <w:r w:rsidRPr="00BD22C2">
        <w:rPr>
          <w:rFonts w:eastAsia="Calibri"/>
          <w:lang w:val="fr-CA" w:eastAsia="en-US"/>
        </w:rPr>
        <w:t>reconnus »</w:t>
      </w:r>
      <w:r w:rsidRPr="00BD22C2">
        <w:rPr>
          <w:rStyle w:val="Appeldenotedefin"/>
          <w:rFonts w:eastAsia="Calibri"/>
          <w:lang w:val="fr-CA" w:eastAsia="en-US"/>
        </w:rPr>
        <w:endnoteReference w:id="232"/>
      </w:r>
      <w:r w:rsidRPr="00BD22C2">
        <w:rPr>
          <w:rFonts w:eastAsia="Calibri"/>
          <w:lang w:val="fr-CA" w:eastAsia="en-US"/>
        </w:rPr>
        <w:t>. La Commission souscrit à cette approche qu’elle a d’ailleurs mise de l’avant dans ses travaux</w:t>
      </w:r>
      <w:bookmarkStart w:id="125" w:name="_Ref167441834"/>
      <w:r w:rsidRPr="00BD22C2">
        <w:rPr>
          <w:rStyle w:val="Appeldenotedefin"/>
          <w:rFonts w:eastAsia="Calibri"/>
          <w:lang w:val="fr-CA" w:eastAsia="en-US"/>
        </w:rPr>
        <w:endnoteReference w:id="233"/>
      </w:r>
      <w:bookmarkEnd w:id="125"/>
      <w:r w:rsidRPr="00BD22C2">
        <w:rPr>
          <w:rFonts w:eastAsia="Calibri"/>
          <w:lang w:val="fr-CA" w:eastAsia="en-US"/>
        </w:rPr>
        <w:t xml:space="preserve">. </w:t>
      </w:r>
    </w:p>
    <w:p w14:paraId="0D941D14" w14:textId="4E96A879" w:rsidR="00FD639D" w:rsidRPr="00BD22C2" w:rsidRDefault="0099120C" w:rsidP="00F7531E">
      <w:pPr>
        <w:pStyle w:val="Paragraphe"/>
        <w:rPr>
          <w:rFonts w:eastAsia="Calibri"/>
          <w:lang w:val="fr-CA" w:eastAsia="en-US"/>
        </w:rPr>
      </w:pPr>
      <w:r w:rsidRPr="00BD22C2">
        <w:rPr>
          <w:rFonts w:eastAsia="Calibri"/>
          <w:lang w:val="fr-CA" w:eastAsia="en-US"/>
        </w:rPr>
        <w:t>L’approche fondée sur les droits de l’enfant</w:t>
      </w:r>
      <w:r w:rsidR="00F7531E" w:rsidRPr="00BD22C2">
        <w:rPr>
          <w:rFonts w:eastAsia="Calibri"/>
          <w:lang w:val="fr-CA" w:eastAsia="en-US"/>
        </w:rPr>
        <w:t xml:space="preserve"> repose sur le fait que les enfants sont titulaires de droits, dont il faut collectivement assurer la mise en œuvre</w:t>
      </w:r>
      <w:bookmarkStart w:id="126" w:name="_Ref167441297"/>
      <w:r w:rsidR="00F7531E" w:rsidRPr="00BD22C2">
        <w:rPr>
          <w:rFonts w:eastAsia="Calibri"/>
          <w:vertAlign w:val="superscript"/>
          <w:lang w:val="fr-CA" w:eastAsia="en-US"/>
        </w:rPr>
        <w:endnoteReference w:id="234"/>
      </w:r>
      <w:bookmarkEnd w:id="126"/>
      <w:r w:rsidR="00F7531E" w:rsidRPr="00BD22C2">
        <w:rPr>
          <w:rFonts w:eastAsia="Calibri"/>
          <w:lang w:val="fr-CA" w:eastAsia="en-US"/>
        </w:rPr>
        <w:t>. Ces droits sont universels, indivisibles, inaliénables, interdépendants, d’égale importance</w:t>
      </w:r>
      <w:r w:rsidR="00F7531E" w:rsidRPr="00BD22C2">
        <w:rPr>
          <w:rFonts w:eastAsia="Calibri"/>
          <w:vertAlign w:val="superscript"/>
          <w:lang w:val="fr-CA" w:eastAsia="en-US"/>
        </w:rPr>
        <w:endnoteReference w:id="235"/>
      </w:r>
      <w:r w:rsidR="00F7531E" w:rsidRPr="00BD22C2">
        <w:rPr>
          <w:rFonts w:eastAsia="Calibri"/>
          <w:lang w:val="fr-CA" w:eastAsia="en-US"/>
        </w:rPr>
        <w:t xml:space="preserve"> et ils comportent des dimensions collectives et individuelles. Pour mettre en œuvre cette approche, les États doivent mobiliser chaque secteur de la société, y compris les enfants, et coordonner efficacement </w:t>
      </w:r>
      <w:r w:rsidR="00F7531E" w:rsidRPr="00BD22C2">
        <w:rPr>
          <w:rFonts w:eastAsia="Calibri"/>
          <w:lang w:val="fr-CA" w:eastAsia="en-US"/>
        </w:rPr>
        <w:lastRenderedPageBreak/>
        <w:t>l’ensemble de l’action gouvernementale et non gouvernementale à leur égard</w:t>
      </w:r>
      <w:r w:rsidR="00F7531E" w:rsidRPr="00BD22C2">
        <w:rPr>
          <w:rFonts w:eastAsia="Calibri"/>
          <w:vertAlign w:val="superscript"/>
          <w:lang w:val="fr-CA" w:eastAsia="en-US"/>
        </w:rPr>
        <w:endnoteReference w:id="236"/>
      </w:r>
      <w:r w:rsidR="00F7531E" w:rsidRPr="00BD22C2">
        <w:rPr>
          <w:rFonts w:eastAsia="Calibri"/>
          <w:lang w:val="fr-CA" w:eastAsia="en-US"/>
        </w:rPr>
        <w:t xml:space="preserve">. </w:t>
      </w:r>
      <w:r w:rsidR="00CB74D3" w:rsidRPr="00BD22C2">
        <w:rPr>
          <w:rFonts w:eastAsia="Calibri"/>
          <w:lang w:val="fr-CA" w:eastAsia="en-US"/>
        </w:rPr>
        <w:t>La CRDE offre une protection spéciale de</w:t>
      </w:r>
      <w:r w:rsidR="00521495" w:rsidRPr="00BD22C2">
        <w:rPr>
          <w:rFonts w:eastAsia="Calibri"/>
          <w:lang w:val="fr-CA" w:eastAsia="en-US"/>
        </w:rPr>
        <w:t xml:space="preserve"> leur</w:t>
      </w:r>
      <w:r w:rsidR="00CB74D3" w:rsidRPr="00BD22C2">
        <w:rPr>
          <w:rFonts w:eastAsia="Calibri"/>
          <w:lang w:val="fr-CA" w:eastAsia="en-US"/>
        </w:rPr>
        <w:t>s droits fondamentaux aux enfants qui, en raison de leur âge, n</w:t>
      </w:r>
      <w:r w:rsidR="00452DE7" w:rsidRPr="00BD22C2">
        <w:rPr>
          <w:rFonts w:eastAsia="Calibri"/>
          <w:lang w:val="fr-CA" w:eastAsia="en-US"/>
        </w:rPr>
        <w:t xml:space="preserve">’ont pas la capacité </w:t>
      </w:r>
      <w:r w:rsidR="00FF223F" w:rsidRPr="00BD22C2">
        <w:rPr>
          <w:rFonts w:eastAsia="Calibri"/>
          <w:lang w:val="fr-CA" w:eastAsia="en-US"/>
        </w:rPr>
        <w:t xml:space="preserve">leur permettant de </w:t>
      </w:r>
      <w:r w:rsidR="006A72BC" w:rsidRPr="00BD22C2">
        <w:rPr>
          <w:rFonts w:eastAsia="Calibri"/>
          <w:lang w:val="fr-CA" w:eastAsia="en-US"/>
        </w:rPr>
        <w:t xml:space="preserve">se représenter </w:t>
      </w:r>
      <w:r w:rsidR="00AC2F9D" w:rsidRPr="00BD22C2">
        <w:rPr>
          <w:rFonts w:eastAsia="Calibri"/>
          <w:lang w:val="fr-CA" w:eastAsia="en-US"/>
        </w:rPr>
        <w:t>pour faire valoir leurs droits</w:t>
      </w:r>
      <w:r w:rsidR="00DD6A9C" w:rsidRPr="00BD22C2">
        <w:rPr>
          <w:rFonts w:eastAsia="Calibri"/>
          <w:lang w:val="fr-CA" w:eastAsia="en-US"/>
        </w:rPr>
        <w:t>.</w:t>
      </w:r>
      <w:r w:rsidR="00FD639D" w:rsidRPr="00BD22C2">
        <w:rPr>
          <w:rFonts w:eastAsia="Calibri"/>
          <w:lang w:val="fr-CA" w:eastAsia="en-US"/>
        </w:rPr>
        <w:t xml:space="preserve"> Elle protège l</w:t>
      </w:r>
      <w:r w:rsidR="00F7531E" w:rsidRPr="00BD22C2">
        <w:rPr>
          <w:rFonts w:eastAsia="Calibri"/>
          <w:lang w:val="fr-CA" w:eastAsia="en-US"/>
        </w:rPr>
        <w:t xml:space="preserve">’identité de genre des enfants par </w:t>
      </w:r>
      <w:r w:rsidR="007660AF" w:rsidRPr="00BD22C2">
        <w:rPr>
          <w:rFonts w:eastAsia="Calibri"/>
          <w:lang w:val="fr-CA" w:eastAsia="en-US"/>
        </w:rPr>
        <w:t xml:space="preserve">le biais de </w:t>
      </w:r>
      <w:r w:rsidR="00F7531E" w:rsidRPr="00BD22C2">
        <w:rPr>
          <w:rFonts w:eastAsia="Calibri"/>
          <w:lang w:val="fr-CA" w:eastAsia="en-US"/>
        </w:rPr>
        <w:t xml:space="preserve">plusieurs </w:t>
      </w:r>
      <w:r w:rsidR="007660AF" w:rsidRPr="00BD22C2">
        <w:rPr>
          <w:rFonts w:eastAsia="Calibri"/>
          <w:lang w:val="fr-CA" w:eastAsia="en-US"/>
        </w:rPr>
        <w:t>de ses</w:t>
      </w:r>
      <w:r w:rsidR="00F7531E" w:rsidRPr="00BD22C2">
        <w:rPr>
          <w:rFonts w:eastAsia="Calibri"/>
          <w:lang w:val="fr-CA" w:eastAsia="en-US"/>
        </w:rPr>
        <w:t xml:space="preserve"> dispositions, comme celles qui protègent les droits à l’égalité, à la vie, à la survie et au développement, à la préservation de l’identité, à la santé et à l’éducation</w:t>
      </w:r>
      <w:r w:rsidR="00F7531E" w:rsidRPr="00BD22C2">
        <w:rPr>
          <w:rFonts w:eastAsia="Calibri"/>
          <w:vertAlign w:val="superscript"/>
          <w:lang w:val="fr-CA" w:eastAsia="en-US"/>
        </w:rPr>
        <w:endnoteReference w:id="237"/>
      </w:r>
      <w:r w:rsidR="00F7531E" w:rsidRPr="00BD22C2">
        <w:rPr>
          <w:rFonts w:eastAsia="Calibri"/>
          <w:lang w:val="fr-CA" w:eastAsia="en-US"/>
        </w:rPr>
        <w:t xml:space="preserve">. </w:t>
      </w:r>
      <w:r w:rsidR="00060BA8" w:rsidRPr="00BD22C2">
        <w:rPr>
          <w:rFonts w:eastAsia="Calibri"/>
          <w:iCs/>
          <w:lang w:val="fr-CA" w:eastAsia="en-US"/>
        </w:rPr>
        <w:t>Elle impose en outre de prendre toutes les mesures nécessaires pour mettre en œuvre les droits des enfants</w:t>
      </w:r>
      <w:r w:rsidR="00060BA8" w:rsidRPr="00BD22C2">
        <w:rPr>
          <w:rFonts w:eastAsia="Calibri"/>
          <w:iCs/>
          <w:vertAlign w:val="superscript"/>
          <w:lang w:val="fr-CA" w:eastAsia="en-US"/>
        </w:rPr>
        <w:endnoteReference w:id="238"/>
      </w:r>
      <w:r w:rsidR="00060BA8" w:rsidRPr="00BD22C2">
        <w:rPr>
          <w:rFonts w:eastAsia="Calibri"/>
          <w:iCs/>
          <w:lang w:val="fr-CA" w:eastAsia="en-US"/>
        </w:rPr>
        <w:t>.</w:t>
      </w:r>
    </w:p>
    <w:p w14:paraId="07C2654B" w14:textId="0BAD7F6D" w:rsidR="00F7531E" w:rsidRPr="00BD22C2" w:rsidRDefault="00F7531E" w:rsidP="00F7531E">
      <w:pPr>
        <w:pStyle w:val="Paragraphe"/>
        <w:rPr>
          <w:rFonts w:eastAsia="Calibri"/>
          <w:lang w:val="fr-CA" w:eastAsia="en-US"/>
        </w:rPr>
      </w:pPr>
      <w:r w:rsidRPr="00BD22C2">
        <w:rPr>
          <w:rFonts w:eastAsia="Calibri"/>
          <w:lang w:val="fr-CA" w:eastAsia="en-US"/>
        </w:rPr>
        <w:t>En plus de ces garanties et comme toute personne, les enfants bénéficient des droits prévus par la Charte, présentés à la section </w:t>
      </w:r>
      <w:r w:rsidRPr="00BD22C2">
        <w:rPr>
          <w:rFonts w:eastAsia="Calibri"/>
          <w:lang w:val="fr-CA" w:eastAsia="en-US"/>
        </w:rPr>
        <w:fldChar w:fldCharType="begin"/>
      </w:r>
      <w:r w:rsidRPr="00BD22C2">
        <w:rPr>
          <w:rFonts w:eastAsia="Calibri"/>
          <w:lang w:val="fr-CA" w:eastAsia="en-US"/>
        </w:rPr>
        <w:instrText xml:space="preserve"> REF _Ref165131980 \r \h </w:instrText>
      </w:r>
      <w:r w:rsidRPr="00BD22C2">
        <w:rPr>
          <w:rFonts w:eastAsia="Calibri"/>
          <w:lang w:val="fr-CA" w:eastAsia="en-US"/>
        </w:rPr>
      </w:r>
      <w:r w:rsidRPr="00BD22C2">
        <w:rPr>
          <w:rFonts w:eastAsia="Calibri"/>
          <w:lang w:val="fr-CA" w:eastAsia="en-US"/>
        </w:rPr>
        <w:fldChar w:fldCharType="separate"/>
      </w:r>
      <w:r w:rsidR="00EB3C5E" w:rsidRPr="00BD22C2">
        <w:rPr>
          <w:rFonts w:eastAsia="Calibri"/>
          <w:lang w:val="fr-CA" w:eastAsia="en-US"/>
        </w:rPr>
        <w:t>4</w:t>
      </w:r>
      <w:r w:rsidRPr="00BD22C2">
        <w:rPr>
          <w:rFonts w:eastAsia="Calibri"/>
          <w:lang w:val="fr-CA" w:eastAsia="en-US"/>
        </w:rPr>
        <w:fldChar w:fldCharType="end"/>
      </w:r>
      <w:r w:rsidRPr="00BD22C2">
        <w:rPr>
          <w:rFonts w:eastAsia="Calibri"/>
          <w:lang w:val="fr-CA" w:eastAsia="en-US"/>
        </w:rPr>
        <w:t xml:space="preserve"> de ce mémoire, incluant le droit à la sûreté, l’intégrité et la liberté de sa personne (art.</w:t>
      </w:r>
      <w:r w:rsidR="0091080B">
        <w:rPr>
          <w:rFonts w:eastAsia="Calibri"/>
          <w:lang w:val="fr-CA" w:eastAsia="en-US"/>
        </w:rPr>
        <w:t> </w:t>
      </w:r>
      <w:r w:rsidRPr="00BD22C2">
        <w:rPr>
          <w:rFonts w:eastAsia="Calibri"/>
          <w:lang w:val="fr-CA" w:eastAsia="en-US"/>
        </w:rPr>
        <w:t>1), le droit à la sauvegarde de sa dignité (art.</w:t>
      </w:r>
      <w:r w:rsidR="0091080B">
        <w:rPr>
          <w:rFonts w:eastAsia="Calibri"/>
          <w:lang w:val="fr-CA" w:eastAsia="en-US"/>
        </w:rPr>
        <w:t> </w:t>
      </w:r>
      <w:r w:rsidRPr="00BD22C2">
        <w:rPr>
          <w:rFonts w:eastAsia="Calibri"/>
          <w:lang w:val="fr-CA" w:eastAsia="en-US"/>
        </w:rPr>
        <w:t>4), le droit au respect de sa vie privée (art.</w:t>
      </w:r>
      <w:r w:rsidR="0091080B">
        <w:rPr>
          <w:rFonts w:eastAsia="Calibri"/>
          <w:lang w:val="fr-CA" w:eastAsia="en-US"/>
        </w:rPr>
        <w:t> </w:t>
      </w:r>
      <w:r w:rsidRPr="00BD22C2">
        <w:rPr>
          <w:rFonts w:eastAsia="Calibri"/>
          <w:lang w:val="fr-CA" w:eastAsia="en-US"/>
        </w:rPr>
        <w:t>5), le droit à l’égalité et à la non-discrimination (art.</w:t>
      </w:r>
      <w:r w:rsidR="0091080B">
        <w:rPr>
          <w:rFonts w:eastAsia="Calibri"/>
          <w:lang w:val="fr-CA" w:eastAsia="en-US"/>
        </w:rPr>
        <w:t> </w:t>
      </w:r>
      <w:r w:rsidRPr="00BD22C2">
        <w:rPr>
          <w:rFonts w:eastAsia="Calibri"/>
          <w:lang w:val="fr-CA" w:eastAsia="en-US"/>
        </w:rPr>
        <w:t>10), le droit de tout enfant à la protection, à la sécurité et à l’attention que ses parents ou les personnes qui en tiennent lieu peuvent lui donner (art.</w:t>
      </w:r>
      <w:r w:rsidR="0091080B">
        <w:rPr>
          <w:rFonts w:eastAsia="Calibri"/>
          <w:lang w:val="fr-CA" w:eastAsia="en-US"/>
        </w:rPr>
        <w:t> </w:t>
      </w:r>
      <w:r w:rsidRPr="00BD22C2">
        <w:rPr>
          <w:rFonts w:eastAsia="Calibri"/>
          <w:lang w:val="fr-CA" w:eastAsia="en-US"/>
        </w:rPr>
        <w:t>39). La Charte prévoit aussi que, dans le respect des droits de leurs enfants et de l’intérêt de ceux-ci, les parents ou les personnes qui en tiennent lieu ont le droit d’assurer l’éducation religieuse et morale de leurs enfants conformément à leurs convictions (art. 41). Ces droits et libertés ne sont pas restreints par l’âge</w:t>
      </w:r>
      <w:r w:rsidRPr="00BD22C2">
        <w:rPr>
          <w:rFonts w:eastAsia="Calibri"/>
          <w:vertAlign w:val="superscript"/>
          <w:lang w:val="fr-CA" w:eastAsia="en-US"/>
        </w:rPr>
        <w:endnoteReference w:id="239"/>
      </w:r>
      <w:r w:rsidR="00D16C3E" w:rsidRPr="00BD22C2">
        <w:rPr>
          <w:rFonts w:eastAsia="Calibri"/>
          <w:lang w:val="fr-CA" w:eastAsia="en-US"/>
        </w:rPr>
        <w:t>.</w:t>
      </w:r>
      <w:r w:rsidRPr="00BD22C2">
        <w:rPr>
          <w:rFonts w:eastAsia="Calibri"/>
          <w:lang w:val="fr-CA" w:eastAsia="en-US"/>
        </w:rPr>
        <w:t xml:space="preserve"> </w:t>
      </w:r>
      <w:r w:rsidR="00D16C3E" w:rsidRPr="00BD22C2">
        <w:rPr>
          <w:rFonts w:eastAsia="Calibri"/>
          <w:lang w:val="fr-CA" w:eastAsia="en-US"/>
        </w:rPr>
        <w:t>D</w:t>
      </w:r>
      <w:r w:rsidRPr="00BD22C2">
        <w:rPr>
          <w:rFonts w:eastAsia="Calibri"/>
          <w:lang w:val="fr-CA" w:eastAsia="en-US"/>
        </w:rPr>
        <w:t>ivers droits et mécanismes prévus au C.c.Q.</w:t>
      </w:r>
      <w:r w:rsidR="00173FC9" w:rsidRPr="00BD22C2">
        <w:rPr>
          <w:rFonts w:eastAsia="Calibri"/>
          <w:lang w:val="fr-CA" w:eastAsia="en-US"/>
        </w:rPr>
        <w:t xml:space="preserve"> en découlent</w:t>
      </w:r>
      <w:r w:rsidRPr="00BD22C2">
        <w:rPr>
          <w:rFonts w:eastAsia="Calibri"/>
          <w:lang w:val="fr-CA" w:eastAsia="en-US"/>
        </w:rPr>
        <w:t>, comme ceux entourant les droits de la personnalité</w:t>
      </w:r>
      <w:r w:rsidRPr="00BD22C2">
        <w:rPr>
          <w:rFonts w:eastAsia="Calibri"/>
          <w:vertAlign w:val="superscript"/>
          <w:lang w:val="fr-CA" w:eastAsia="en-US"/>
        </w:rPr>
        <w:endnoteReference w:id="240"/>
      </w:r>
      <w:r w:rsidRPr="00BD22C2">
        <w:rPr>
          <w:rFonts w:eastAsia="Calibri"/>
          <w:lang w:val="fr-CA" w:eastAsia="en-US"/>
        </w:rPr>
        <w:t xml:space="preserve">. </w:t>
      </w:r>
    </w:p>
    <w:p w14:paraId="47B4A2C6" w14:textId="6C21EE9D" w:rsidR="00F7531E" w:rsidRPr="00CD4047" w:rsidRDefault="00F7531E" w:rsidP="00F7531E">
      <w:pPr>
        <w:pStyle w:val="Paragraphe"/>
        <w:rPr>
          <w:rFonts w:eastAsia="Calibri"/>
          <w:lang w:val="fr-CA" w:eastAsia="en-US"/>
        </w:rPr>
      </w:pPr>
      <w:r w:rsidRPr="00CD4047">
        <w:rPr>
          <w:rFonts w:eastAsia="Calibri"/>
          <w:lang w:val="fr-CA" w:eastAsia="en-US"/>
        </w:rPr>
        <w:t>Quatre principes généraux doivent guider la mise en œuvre des droits de l’enfant au Québec. Il s’agit de l’intérêt supérieur de l’enfant</w:t>
      </w:r>
      <w:r w:rsidRPr="4BB1F094">
        <w:rPr>
          <w:rFonts w:eastAsia="Calibri"/>
          <w:vertAlign w:val="superscript"/>
          <w:lang w:eastAsia="en-US"/>
        </w:rPr>
        <w:endnoteReference w:id="241"/>
      </w:r>
      <w:r w:rsidRPr="00CD4047">
        <w:rPr>
          <w:rFonts w:eastAsia="Calibri"/>
          <w:lang w:val="fr-CA" w:eastAsia="en-US"/>
        </w:rPr>
        <w:t>, du droit de participer et d’être entendu</w:t>
      </w:r>
      <w:r w:rsidRPr="4BB1F094">
        <w:rPr>
          <w:rFonts w:eastAsia="Calibri"/>
          <w:vertAlign w:val="superscript"/>
          <w:lang w:eastAsia="en-US"/>
        </w:rPr>
        <w:endnoteReference w:id="242"/>
      </w:r>
      <w:r w:rsidRPr="00CD4047">
        <w:rPr>
          <w:rFonts w:eastAsia="Calibri"/>
          <w:lang w:val="fr-CA" w:eastAsia="en-US"/>
        </w:rPr>
        <w:t>, de la non-discrimination</w:t>
      </w:r>
      <w:r w:rsidRPr="4BB1F094">
        <w:rPr>
          <w:rFonts w:eastAsia="Calibri"/>
          <w:vertAlign w:val="superscript"/>
          <w:lang w:eastAsia="en-US"/>
        </w:rPr>
        <w:endnoteReference w:id="243"/>
      </w:r>
      <w:r w:rsidRPr="00CD4047">
        <w:rPr>
          <w:rFonts w:eastAsia="Calibri"/>
          <w:lang w:val="fr-CA" w:eastAsia="en-US"/>
        </w:rPr>
        <w:t xml:space="preserve"> ainsi que du droit à la vie, à la survie et au développement</w:t>
      </w:r>
      <w:r w:rsidRPr="4BB1F094">
        <w:rPr>
          <w:rFonts w:eastAsia="Calibri"/>
          <w:vertAlign w:val="superscript"/>
          <w:lang w:eastAsia="en-US"/>
        </w:rPr>
        <w:endnoteReference w:id="244"/>
      </w:r>
      <w:r w:rsidRPr="00CD4047">
        <w:rPr>
          <w:rFonts w:eastAsia="Calibri"/>
          <w:lang w:val="fr-CA" w:eastAsia="en-US"/>
        </w:rPr>
        <w:t xml:space="preserve">.   </w:t>
      </w:r>
    </w:p>
    <w:p w14:paraId="77D55191" w14:textId="77777777" w:rsidR="00F7531E" w:rsidRPr="00BD22C2" w:rsidRDefault="00F7531E" w:rsidP="00EF1CB2">
      <w:pPr>
        <w:pStyle w:val="Titre3"/>
        <w:rPr>
          <w:rFonts w:eastAsia="Calibri"/>
          <w:lang w:eastAsia="en-US"/>
        </w:rPr>
      </w:pPr>
      <w:bookmarkStart w:id="127" w:name="_Toc165301035"/>
      <w:bookmarkStart w:id="128" w:name="_Toc165636118"/>
      <w:r w:rsidRPr="00BD22C2">
        <w:rPr>
          <w:rFonts w:eastAsia="Calibri"/>
          <w:lang w:eastAsia="en-US"/>
        </w:rPr>
        <w:t>L’intérêt supérieur de l’enfant</w:t>
      </w:r>
      <w:bookmarkEnd w:id="127"/>
      <w:bookmarkEnd w:id="128"/>
    </w:p>
    <w:p w14:paraId="4DA722B5" w14:textId="0E9EC01F" w:rsidR="00F7531E" w:rsidRPr="00BD22C2" w:rsidRDefault="00F7531E" w:rsidP="00F7531E">
      <w:pPr>
        <w:pStyle w:val="Paragraphe"/>
        <w:rPr>
          <w:rFonts w:eastAsia="Calibri"/>
          <w:lang w:val="fr-CA" w:eastAsia="en-US"/>
        </w:rPr>
      </w:pPr>
      <w:r w:rsidRPr="00BD22C2">
        <w:rPr>
          <w:rFonts w:eastAsia="Calibri"/>
          <w:lang w:val="fr-CA" w:eastAsia="en-US"/>
        </w:rPr>
        <w:t>La CRDE prévoit l’obligation de donner une considération primordiale à l’intérêt de l’enfant dans toutes les décisions qui le concernent</w:t>
      </w:r>
      <w:r w:rsidRPr="00BD22C2">
        <w:rPr>
          <w:rFonts w:eastAsia="Calibri"/>
          <w:vertAlign w:val="superscript"/>
          <w:lang w:val="fr-CA" w:eastAsia="en-US"/>
        </w:rPr>
        <w:endnoteReference w:id="245"/>
      </w:r>
      <w:r w:rsidRPr="00BD22C2">
        <w:rPr>
          <w:rFonts w:eastAsia="Calibri"/>
          <w:lang w:val="fr-CA" w:eastAsia="en-US"/>
        </w:rPr>
        <w:t xml:space="preserve">, y compris </w:t>
      </w:r>
      <w:r w:rsidRPr="00BD22C2">
        <w:rPr>
          <w:rFonts w:eastAsia="Calibri"/>
          <w:iCs/>
          <w:lang w:val="fr-CA" w:eastAsia="en-US"/>
        </w:rPr>
        <w:t>lors de l’adoption de toute législation ou politique proposée pouvant l’affecter</w:t>
      </w:r>
      <w:bookmarkStart w:id="129" w:name="_Ref167441453"/>
      <w:r w:rsidRPr="00BD22C2">
        <w:rPr>
          <w:rFonts w:eastAsia="Calibri"/>
          <w:iCs/>
          <w:vertAlign w:val="superscript"/>
          <w:lang w:val="fr-CA" w:eastAsia="en-US"/>
        </w:rPr>
        <w:endnoteReference w:id="246"/>
      </w:r>
      <w:bookmarkEnd w:id="129"/>
      <w:r w:rsidRPr="00BD22C2">
        <w:rPr>
          <w:rFonts w:eastAsia="Calibri"/>
          <w:iCs/>
          <w:lang w:val="fr-CA" w:eastAsia="en-US"/>
        </w:rPr>
        <w:t xml:space="preserve">. </w:t>
      </w:r>
    </w:p>
    <w:p w14:paraId="1FEB5D7C" w14:textId="5CDC9802" w:rsidR="00F7531E" w:rsidRPr="00BD22C2" w:rsidRDefault="00F7531E" w:rsidP="00F7531E">
      <w:pPr>
        <w:pStyle w:val="Paragraphe"/>
        <w:rPr>
          <w:rFonts w:eastAsia="Calibri"/>
          <w:lang w:val="fr-CA" w:eastAsia="en-US"/>
        </w:rPr>
      </w:pPr>
      <w:r w:rsidRPr="00BD22C2">
        <w:rPr>
          <w:rFonts w:eastAsia="Calibri"/>
          <w:lang w:val="fr-CA" w:eastAsia="en-US"/>
        </w:rPr>
        <w:t xml:space="preserve">Comme l’indique le Comité des droits de l’enfant, l’intérêt de l’enfant est un droit de fond, une règle procédurale et un principe juridique interprétatif fondamental. En tant que droit de fond, il exige qu’on l’évalue et qu’on lui accorde une considération primordiale en présence de différents intérêts divergents. Comme droit procédural, il requiert une évaluation explicite et traçable des incidences d’une décision sur le ou les enfants concernés par celle-ci. Enfin, </w:t>
      </w:r>
      <w:r w:rsidRPr="00BD22C2">
        <w:rPr>
          <w:rFonts w:eastAsia="Calibri"/>
          <w:lang w:val="fr-CA" w:eastAsia="en-US"/>
        </w:rPr>
        <w:lastRenderedPageBreak/>
        <w:t>comme principe interprétatif, il requiert du décideur de choisir l’interprétation qui sert le plus efficacement l’intérêt de l’enfant ou des enfants</w:t>
      </w:r>
      <w:r w:rsidR="00E532BA" w:rsidRPr="00BD22C2">
        <w:rPr>
          <w:rFonts w:eastAsia="Calibri"/>
          <w:lang w:val="fr-CA" w:eastAsia="en-US"/>
        </w:rPr>
        <w:t>.</w:t>
      </w:r>
      <w:r w:rsidRPr="00BD22C2">
        <w:rPr>
          <w:rFonts w:eastAsia="Calibri"/>
          <w:vertAlign w:val="superscript"/>
          <w:lang w:val="fr-CA" w:eastAsia="en-US"/>
        </w:rPr>
        <w:endnoteReference w:id="247"/>
      </w:r>
      <w:r w:rsidRPr="00BD22C2">
        <w:rPr>
          <w:rFonts w:eastAsia="Calibri"/>
          <w:lang w:val="fr-CA" w:eastAsia="en-US"/>
        </w:rPr>
        <w:t xml:space="preserve"> </w:t>
      </w:r>
    </w:p>
    <w:p w14:paraId="236E2ED2" w14:textId="486355C3" w:rsidR="00F7531E" w:rsidRPr="00BD22C2" w:rsidRDefault="00F7531E" w:rsidP="00F7531E">
      <w:pPr>
        <w:pStyle w:val="Paragraphe"/>
        <w:rPr>
          <w:rFonts w:eastAsia="Calibri"/>
          <w:lang w:val="fr-CA" w:eastAsia="en-US"/>
        </w:rPr>
      </w:pPr>
      <w:r w:rsidRPr="00BD22C2">
        <w:rPr>
          <w:rFonts w:eastAsia="Calibri"/>
          <w:lang w:val="fr-CA" w:eastAsia="en-US"/>
        </w:rPr>
        <w:t>Reconnu également en droit civil québécois comme étant la pierre angulaire des décisions prises à l’endroit des enfants</w:t>
      </w:r>
      <w:r w:rsidRPr="00BD22C2">
        <w:rPr>
          <w:rFonts w:eastAsia="Calibri"/>
          <w:vertAlign w:val="superscript"/>
          <w:lang w:val="fr-CA" w:eastAsia="en-US"/>
        </w:rPr>
        <w:endnoteReference w:id="248"/>
      </w:r>
      <w:r w:rsidRPr="00BD22C2">
        <w:rPr>
          <w:rFonts w:eastAsia="Calibri"/>
          <w:lang w:val="fr-CA" w:eastAsia="en-US"/>
        </w:rPr>
        <w:t>, ce principe occupe une place centrale et prépondérante en droit de la famille et dans le domaine de la protection de la jeunesse</w:t>
      </w:r>
      <w:r w:rsidR="00DB6A40" w:rsidRPr="00BD22C2">
        <w:rPr>
          <w:rFonts w:eastAsia="Calibri"/>
          <w:lang w:val="fr-CA" w:eastAsia="en-US"/>
        </w:rPr>
        <w:t>.</w:t>
      </w:r>
      <w:r w:rsidR="00254756" w:rsidRPr="00BD22C2">
        <w:rPr>
          <w:rFonts w:eastAsia="Calibri"/>
          <w:lang w:val="fr-CA" w:eastAsia="en-US"/>
        </w:rPr>
        <w:t xml:space="preserve"> </w:t>
      </w:r>
      <w:r w:rsidR="005015D9" w:rsidRPr="00BD22C2">
        <w:rPr>
          <w:rFonts w:eastAsia="Calibri"/>
          <w:lang w:val="fr-CA" w:eastAsia="en-US"/>
        </w:rPr>
        <w:t>Il est notamment prévu à l’art.</w:t>
      </w:r>
      <w:r w:rsidR="0091080B">
        <w:rPr>
          <w:rFonts w:eastAsia="Calibri"/>
          <w:lang w:val="fr-CA" w:eastAsia="en-US"/>
        </w:rPr>
        <w:t> </w:t>
      </w:r>
      <w:r w:rsidRPr="00BD22C2">
        <w:rPr>
          <w:rFonts w:eastAsia="Calibri"/>
          <w:lang w:val="fr-CA" w:eastAsia="en-US"/>
        </w:rPr>
        <w:t>33</w:t>
      </w:r>
      <w:r w:rsidR="005015D9" w:rsidRPr="00BD22C2">
        <w:rPr>
          <w:rFonts w:eastAsia="Calibri"/>
          <w:lang w:val="fr-CA" w:eastAsia="en-US"/>
        </w:rPr>
        <w:t xml:space="preserve"> du C.c.Q.</w:t>
      </w:r>
      <w:r w:rsidRPr="00BD22C2">
        <w:rPr>
          <w:rFonts w:eastAsia="Calibri"/>
          <w:lang w:val="fr-CA" w:eastAsia="en-US"/>
        </w:rPr>
        <w:t> :</w:t>
      </w:r>
    </w:p>
    <w:p w14:paraId="550700C9" w14:textId="523CED75" w:rsidR="00F7531E" w:rsidRPr="00BD22C2" w:rsidRDefault="007846F1" w:rsidP="00230BF4">
      <w:pPr>
        <w:pStyle w:val="Citation"/>
        <w:rPr>
          <w:rFonts w:eastAsia="Calibri"/>
          <w:lang w:eastAsia="en-US"/>
        </w:rPr>
      </w:pPr>
      <w:r w:rsidRPr="00BD22C2">
        <w:rPr>
          <w:rFonts w:eastAsia="Calibri"/>
          <w:lang w:eastAsia="en-US"/>
        </w:rPr>
        <w:t>«</w:t>
      </w:r>
      <w:r w:rsidR="00444FEB">
        <w:rPr>
          <w:rFonts w:eastAsia="Calibri"/>
          <w:lang w:eastAsia="en-US"/>
        </w:rPr>
        <w:t> </w:t>
      </w:r>
      <w:r w:rsidR="00F7531E" w:rsidRPr="00BD22C2">
        <w:rPr>
          <w:rFonts w:eastAsia="Calibri"/>
          <w:lang w:eastAsia="en-US"/>
        </w:rPr>
        <w:t>33. Les décisions concernant l’enfant doivent être prises dans son intérêt et dans le respect de ses droits.</w:t>
      </w:r>
    </w:p>
    <w:p w14:paraId="08B5F856" w14:textId="59FCD3EE" w:rsidR="00F7531E" w:rsidRPr="00BD22C2" w:rsidRDefault="00F7531E" w:rsidP="00230BF4">
      <w:pPr>
        <w:pStyle w:val="Citation"/>
        <w:rPr>
          <w:rFonts w:eastAsia="Calibri"/>
          <w:lang w:eastAsia="en-US"/>
        </w:rPr>
      </w:pPr>
      <w:r w:rsidRPr="00BD22C2">
        <w:rPr>
          <w:rFonts w:eastAsia="Calibri"/>
          <w:lang w:eastAsia="en-US"/>
        </w:rPr>
        <w:t>Sont pris en considération, outre les besoins moraux, intellectuels, affectifs et physiques de l’enfant, son âge, sa santé, son caractère, son milieu familial, incluant la présence de violence familiale, y compris conjugale, ou de violence sexuelle, ainsi que les autres aspects de sa situation.</w:t>
      </w:r>
      <w:r w:rsidR="00444FEB">
        <w:rPr>
          <w:rFonts w:eastAsia="Calibri"/>
          <w:lang w:eastAsia="en-US"/>
        </w:rPr>
        <w:t> </w:t>
      </w:r>
      <w:r w:rsidR="007846F1" w:rsidRPr="00BD22C2">
        <w:rPr>
          <w:rFonts w:eastAsia="Calibri"/>
          <w:lang w:eastAsia="en-US"/>
        </w:rPr>
        <w:t>»</w:t>
      </w:r>
    </w:p>
    <w:p w14:paraId="79A6785F" w14:textId="41113D6F" w:rsidR="00F7531E" w:rsidRPr="00BD22C2" w:rsidRDefault="00F7531E" w:rsidP="00F7531E">
      <w:pPr>
        <w:pStyle w:val="Paragraphe"/>
        <w:rPr>
          <w:rFonts w:eastAsia="Calibri"/>
          <w:lang w:val="fr-CA" w:eastAsia="en-US"/>
        </w:rPr>
      </w:pPr>
      <w:r w:rsidRPr="00BD22C2">
        <w:rPr>
          <w:rFonts w:eastAsia="Calibri"/>
          <w:lang w:val="fr-CA" w:eastAsia="en-US"/>
        </w:rPr>
        <w:t>Dès lors, il appert que ce concept peut prendre deux formes, complémentaires et essentielles à sa pleine réalisation : il s’agit d’abord d’un concept abstrait, « qui porte sur certains idéaux de justice en matière de protection de l’enfance »</w:t>
      </w:r>
      <w:r w:rsidRPr="00BD22C2">
        <w:rPr>
          <w:rFonts w:eastAsia="Calibri"/>
          <w:vertAlign w:val="superscript"/>
          <w:lang w:val="fr-CA" w:eastAsia="en-US"/>
        </w:rPr>
        <w:endnoteReference w:id="249"/>
      </w:r>
      <w:r w:rsidRPr="00BD22C2">
        <w:rPr>
          <w:rFonts w:eastAsia="Calibri"/>
          <w:lang w:val="fr-CA" w:eastAsia="en-US"/>
        </w:rPr>
        <w:t xml:space="preserve"> et oriente la création des règles de droit. </w:t>
      </w:r>
      <w:r w:rsidR="00941CAA" w:rsidRPr="00BD22C2">
        <w:rPr>
          <w:rFonts w:eastAsia="Calibri"/>
          <w:lang w:val="fr-CA" w:eastAsia="en-US"/>
        </w:rPr>
        <w:t xml:space="preserve">L’analyse </w:t>
      </w:r>
      <w:r w:rsidR="0006160E" w:rsidRPr="00BD22C2">
        <w:rPr>
          <w:rFonts w:eastAsia="Calibri"/>
          <w:lang w:val="fr-CA" w:eastAsia="en-US"/>
        </w:rPr>
        <w:t>peut être effectuée pour un sous-groupe d’enfants, ou pour les enfants, en général</w:t>
      </w:r>
      <w:r w:rsidR="0006160E" w:rsidRPr="00BD22C2">
        <w:rPr>
          <w:rFonts w:eastAsia="Calibri"/>
          <w:vertAlign w:val="superscript"/>
          <w:lang w:val="fr-CA" w:eastAsia="en-US"/>
        </w:rPr>
        <w:endnoteReference w:id="250"/>
      </w:r>
      <w:r w:rsidR="0006160E" w:rsidRPr="00BD22C2">
        <w:rPr>
          <w:rFonts w:eastAsia="Calibri"/>
          <w:lang w:val="fr-CA" w:eastAsia="en-US"/>
        </w:rPr>
        <w:t>.</w:t>
      </w:r>
      <w:r w:rsidR="00941CAA" w:rsidRPr="00BD22C2">
        <w:rPr>
          <w:rFonts w:eastAsia="Calibri"/>
          <w:lang w:val="fr-CA" w:eastAsia="en-US"/>
        </w:rPr>
        <w:t xml:space="preserve"> </w:t>
      </w:r>
      <w:r w:rsidRPr="00BD22C2">
        <w:rPr>
          <w:rFonts w:eastAsia="Calibri"/>
          <w:lang w:val="fr-CA" w:eastAsia="en-US"/>
        </w:rPr>
        <w:t>Puis, l’intérêt de l’enfant doit s’évaluer de façon concrète, c’est-à-dire dans la situation de chaque enfant, en tenant compte de ses circonstances personnelles</w:t>
      </w:r>
      <w:r w:rsidRPr="00BD22C2">
        <w:rPr>
          <w:rFonts w:eastAsia="Calibri"/>
          <w:vertAlign w:val="superscript"/>
          <w:lang w:val="fr-CA" w:eastAsia="en-US"/>
        </w:rPr>
        <w:endnoteReference w:id="251"/>
      </w:r>
      <w:r w:rsidRPr="00BD22C2">
        <w:rPr>
          <w:rFonts w:eastAsia="Calibri"/>
          <w:lang w:val="fr-CA" w:eastAsia="en-US"/>
        </w:rPr>
        <w:t>. L’analyse se fait au cas par cas et prend en considération l’ensemble des éléments pertinents</w:t>
      </w:r>
      <w:r w:rsidR="00D24924" w:rsidRPr="00BD22C2">
        <w:rPr>
          <w:rFonts w:eastAsia="Calibri"/>
          <w:lang w:val="fr-CA" w:eastAsia="en-US"/>
        </w:rPr>
        <w:t xml:space="preserve"> de sa situation</w:t>
      </w:r>
      <w:r w:rsidR="00527B57" w:rsidRPr="00BD22C2">
        <w:rPr>
          <w:rFonts w:eastAsia="Calibri"/>
          <w:vertAlign w:val="superscript"/>
          <w:lang w:val="fr-CA" w:eastAsia="en-US"/>
        </w:rPr>
        <w:endnoteReference w:id="252"/>
      </w:r>
      <w:r w:rsidRPr="00BD22C2">
        <w:rPr>
          <w:rFonts w:eastAsia="Calibri"/>
          <w:lang w:val="fr-CA" w:eastAsia="en-US"/>
        </w:rPr>
        <w:t xml:space="preserve">. Le Comité des droits de l’enfant reconnaît </w:t>
      </w:r>
      <w:r w:rsidR="00C00F96" w:rsidRPr="00BD22C2">
        <w:rPr>
          <w:rFonts w:eastAsia="Calibri"/>
          <w:lang w:val="fr-CA" w:eastAsia="en-US"/>
        </w:rPr>
        <w:t>par exemple</w:t>
      </w:r>
      <w:r w:rsidRPr="00BD22C2">
        <w:rPr>
          <w:rFonts w:eastAsia="Calibri"/>
          <w:lang w:val="fr-CA" w:eastAsia="en-US"/>
        </w:rPr>
        <w:t xml:space="preserve"> l’identité comme un des éléments essentiels à considérer dans la détermination de l’intérêt de l’enfant</w:t>
      </w:r>
      <w:r w:rsidRPr="00BD22C2">
        <w:rPr>
          <w:rStyle w:val="Appeldenotedefin"/>
          <w:rFonts w:eastAsia="Calibri"/>
          <w:lang w:val="fr-CA" w:eastAsia="en-US"/>
        </w:rPr>
        <w:endnoteReference w:id="253"/>
      </w:r>
      <w:r w:rsidRPr="00BD22C2">
        <w:rPr>
          <w:rFonts w:eastAsia="Calibri"/>
          <w:lang w:val="fr-CA" w:eastAsia="en-US"/>
        </w:rPr>
        <w:t>.</w:t>
      </w:r>
      <w:r w:rsidR="0086713E" w:rsidRPr="00BD22C2">
        <w:rPr>
          <w:rFonts w:eastAsia="Calibri"/>
          <w:lang w:val="fr-CA" w:eastAsia="en-US"/>
        </w:rPr>
        <w:t xml:space="preserve"> </w:t>
      </w:r>
    </w:p>
    <w:p w14:paraId="0264C67B" w14:textId="2D803765" w:rsidR="00F7531E" w:rsidRPr="00BD22C2" w:rsidRDefault="00F7531E" w:rsidP="00F7531E">
      <w:pPr>
        <w:pStyle w:val="Paragraphe"/>
        <w:rPr>
          <w:rFonts w:eastAsia="Calibri"/>
          <w:lang w:val="fr-CA" w:eastAsia="en-US"/>
        </w:rPr>
      </w:pPr>
      <w:r w:rsidRPr="00BD22C2">
        <w:rPr>
          <w:rFonts w:eastAsia="Calibri"/>
          <w:lang w:val="fr-CA" w:eastAsia="en-US"/>
        </w:rPr>
        <w:t>Le Comité précise</w:t>
      </w:r>
      <w:r w:rsidR="00702C39" w:rsidRPr="00BD22C2">
        <w:rPr>
          <w:rFonts w:eastAsia="Calibri"/>
          <w:lang w:val="fr-CA" w:eastAsia="en-US"/>
        </w:rPr>
        <w:t xml:space="preserve"> par ailleurs</w:t>
      </w:r>
      <w:r w:rsidRPr="00BD22C2">
        <w:rPr>
          <w:rFonts w:eastAsia="Calibri"/>
          <w:lang w:val="fr-CA" w:eastAsia="en-US"/>
        </w:rPr>
        <w:t xml:space="preserve"> qu’une souplesse est nécessaire dans l’application du principe, admettant que différents intérêts appartenant à d’autres personnes ou groupes, comme les parents, le public en général ou des sous-groupes d’enfants, puissent parfois s’opposer. Dans ces situations, une évaluation et une mise en balance de ces intérêts distincts doivent s’effectuer, afin de favoriser l’atteinte d’un compromis, lorsque cela est possible</w:t>
      </w:r>
      <w:r w:rsidRPr="00BD22C2">
        <w:rPr>
          <w:rFonts w:eastAsia="Calibri"/>
          <w:vertAlign w:val="superscript"/>
          <w:lang w:val="fr-CA" w:eastAsia="en-US"/>
        </w:rPr>
        <w:endnoteReference w:id="254"/>
      </w:r>
      <w:r w:rsidRPr="00BD22C2">
        <w:rPr>
          <w:rFonts w:eastAsia="Calibri"/>
          <w:lang w:val="fr-CA" w:eastAsia="en-US"/>
        </w:rPr>
        <w:t xml:space="preserve">. Autrement, le Comité indique : </w:t>
      </w:r>
    </w:p>
    <w:p w14:paraId="6F1F1ACC" w14:textId="6AB6CAC7" w:rsidR="00F7531E" w:rsidRPr="00BD22C2" w:rsidRDefault="007846F1" w:rsidP="00F7531E">
      <w:pPr>
        <w:pStyle w:val="Citationintense"/>
        <w:spacing w:line="240" w:lineRule="auto"/>
        <w:jc w:val="both"/>
        <w:rPr>
          <w:rFonts w:eastAsia="Calibri"/>
          <w:lang w:eastAsia="en-US"/>
        </w:rPr>
      </w:pPr>
      <w:r w:rsidRPr="00BD22C2">
        <w:rPr>
          <w:rFonts w:eastAsia="Calibri"/>
          <w:lang w:eastAsia="en-US"/>
        </w:rPr>
        <w:t>«</w:t>
      </w:r>
      <w:r w:rsidR="00444FEB">
        <w:rPr>
          <w:rFonts w:eastAsia="Calibri"/>
          <w:lang w:eastAsia="en-US"/>
        </w:rPr>
        <w:t> </w:t>
      </w:r>
      <w:r w:rsidR="00F7531E" w:rsidRPr="00BD22C2">
        <w:rPr>
          <w:rFonts w:eastAsia="Calibri"/>
          <w:lang w:eastAsia="en-US"/>
        </w:rPr>
        <w:t>Si une harmonisation est impossible, les autorités et les responsables devront analyser et mettre en balance les droits de toutes les parties concernées, en ayant à l’esprit que le droit de l’enfant à ce que son intérêt supérieur soit une considération primordiale signifie que les intérêts de l’enfant ont un rang de priorité élevé et ne sont pas une considération parmi d’autres seulement. Il convient donc d’attribuer un plus grand poids à ce qui sert au mieux les intérêts de l’enfant.</w:t>
      </w:r>
      <w:r w:rsidR="00444FEB">
        <w:rPr>
          <w:rFonts w:eastAsia="Calibri"/>
          <w:lang w:eastAsia="en-US"/>
        </w:rPr>
        <w:t> </w:t>
      </w:r>
      <w:r w:rsidRPr="00BD22C2">
        <w:rPr>
          <w:rFonts w:eastAsia="Calibri"/>
          <w:lang w:eastAsia="en-US"/>
        </w:rPr>
        <w:t>»</w:t>
      </w:r>
      <w:r w:rsidR="00F7531E" w:rsidRPr="00BD22C2">
        <w:rPr>
          <w:rFonts w:eastAsia="Calibri"/>
          <w:vertAlign w:val="superscript"/>
          <w:lang w:eastAsia="en-US"/>
        </w:rPr>
        <w:endnoteReference w:id="255"/>
      </w:r>
      <w:r w:rsidR="00F7531E" w:rsidRPr="00BD22C2">
        <w:rPr>
          <w:rFonts w:eastAsia="Calibri"/>
          <w:lang w:eastAsia="en-US"/>
        </w:rPr>
        <w:t xml:space="preserve"> </w:t>
      </w:r>
    </w:p>
    <w:p w14:paraId="1753F435" w14:textId="77777777" w:rsidR="00F7531E" w:rsidRPr="00BD22C2" w:rsidRDefault="00F7531E" w:rsidP="00F7531E">
      <w:pPr>
        <w:pStyle w:val="Paragraphe"/>
        <w:rPr>
          <w:rFonts w:eastAsia="Calibri"/>
          <w:lang w:val="fr-CA" w:eastAsia="en-US"/>
        </w:rPr>
      </w:pPr>
      <w:r w:rsidRPr="00BD22C2">
        <w:rPr>
          <w:rFonts w:eastAsia="Calibri"/>
          <w:lang w:val="fr-CA" w:eastAsia="en-US"/>
        </w:rPr>
        <w:lastRenderedPageBreak/>
        <w:t>La Cour suprême du Canada a d’ailleurs pu se prononcer, à plusieurs occasions, sur le caractère primordial qui doit être donné à l’intérêt de l’enfant sur les autres considérations en jeu dans la prise de décisions qui le concernent</w:t>
      </w:r>
      <w:r w:rsidRPr="00BD22C2">
        <w:rPr>
          <w:rFonts w:eastAsia="Calibri"/>
          <w:vertAlign w:val="superscript"/>
          <w:lang w:val="fr-CA" w:eastAsia="en-US"/>
        </w:rPr>
        <w:endnoteReference w:id="256"/>
      </w:r>
      <w:r w:rsidRPr="00BD22C2">
        <w:rPr>
          <w:rFonts w:eastAsia="Calibri"/>
          <w:lang w:val="fr-CA" w:eastAsia="en-US"/>
        </w:rPr>
        <w:t>. Elle a aussi clarifié que malgré le caractère primordial du principe, les intérêts divergents des autres parties ne doivent pas être écartés de l’analyse pour autant</w:t>
      </w:r>
      <w:r w:rsidRPr="00BD22C2">
        <w:rPr>
          <w:rFonts w:eastAsia="Calibri"/>
          <w:vertAlign w:val="superscript"/>
          <w:lang w:val="fr-CA" w:eastAsia="en-US"/>
        </w:rPr>
        <w:endnoteReference w:id="257"/>
      </w:r>
      <w:r w:rsidRPr="00BD22C2">
        <w:rPr>
          <w:rFonts w:eastAsia="Calibri"/>
          <w:lang w:val="fr-CA" w:eastAsia="en-US"/>
        </w:rPr>
        <w:t xml:space="preserve">. L’exercice de conciliation des droits présenté à la section 4 de ce mémoire est donc également utile dans les situations où les droits de différents groupes d’enfants pourraient s’opposer. </w:t>
      </w:r>
    </w:p>
    <w:p w14:paraId="0ACC559F" w14:textId="6A2464CC" w:rsidR="00F7531E" w:rsidRPr="00BD22C2" w:rsidRDefault="00F7531E" w:rsidP="00F7531E">
      <w:pPr>
        <w:pStyle w:val="Paragraphe"/>
        <w:rPr>
          <w:rFonts w:eastAsia="Calibri"/>
          <w:lang w:val="fr-CA" w:eastAsia="en-US"/>
        </w:rPr>
      </w:pPr>
      <w:r w:rsidRPr="00BD22C2">
        <w:rPr>
          <w:rFonts w:eastAsia="Calibri"/>
          <w:lang w:val="fr-CA" w:eastAsia="en-US"/>
        </w:rPr>
        <w:t>À la lumière de ce qui précède, la Commission rappelle que le Comité de sages devra analyser les questions qui lui sont soumises au regard de l’intérêt des enfants trans et non binaires, ainsi que de l’intérêt des enfants en général. Dans ses réflexions entourant l’adoption de politiques, directives, règlements ou lois les concernant, le Comité de sage</w:t>
      </w:r>
      <w:r w:rsidR="00861B8B" w:rsidRPr="00BD22C2">
        <w:rPr>
          <w:rFonts w:eastAsia="Calibri"/>
          <w:lang w:val="fr-CA" w:eastAsia="en-US"/>
        </w:rPr>
        <w:t>s</w:t>
      </w:r>
      <w:r w:rsidRPr="00BD22C2">
        <w:rPr>
          <w:rFonts w:eastAsia="Calibri"/>
          <w:lang w:val="fr-CA" w:eastAsia="en-US"/>
        </w:rPr>
        <w:t>, puis ultimement, le gouvernement du Québec, devront procéder avec rigueur à cet exercice de mise en balance des droits des différents groupes d’enfants visés, advenant bien sûr que ces droits s’opposent concrètement. Cette conciliation ne peut être prise à la légère. Une évaluation sérieuse de la situation doit être faite au cas par cas, permettant d’identifier clairement le conflit en jeu, les droits particuliers mis en cause, les valeurs qui les sous-tendent et les préjudices opposés</w:t>
      </w:r>
      <w:r w:rsidRPr="00BD22C2">
        <w:rPr>
          <w:rFonts w:eastAsia="Calibri"/>
          <w:vertAlign w:val="superscript"/>
          <w:lang w:val="fr-CA" w:eastAsia="en-US"/>
        </w:rPr>
        <w:endnoteReference w:id="258"/>
      </w:r>
      <w:r w:rsidRPr="00BD22C2">
        <w:rPr>
          <w:rFonts w:eastAsia="Calibri"/>
          <w:lang w:val="fr-CA" w:eastAsia="en-US"/>
        </w:rPr>
        <w:t>. Enfin, chacune des actions et décisions qui seront posées devrait faire l’objet d’une étude d’impacts sur les droits de l’enfant au sens de la CRDE</w:t>
      </w:r>
      <w:r w:rsidR="00090223" w:rsidRPr="00BD22C2">
        <w:rPr>
          <w:rFonts w:eastAsia="Calibri"/>
          <w:lang w:val="fr-CA" w:eastAsia="en-US"/>
        </w:rPr>
        <w:t xml:space="preserve"> afin de déterminer les répercussions sur l’exercice de leurs droits</w:t>
      </w:r>
      <w:r w:rsidR="00127775" w:rsidRPr="00BD22C2">
        <w:rPr>
          <w:rFonts w:eastAsia="Calibri"/>
          <w:lang w:val="fr-CA" w:eastAsia="en-US"/>
        </w:rPr>
        <w:t>, ce qui</w:t>
      </w:r>
      <w:r w:rsidR="00952210" w:rsidRPr="00BD22C2">
        <w:rPr>
          <w:rFonts w:eastAsia="Calibri"/>
          <w:lang w:val="fr-CA" w:eastAsia="en-US"/>
        </w:rPr>
        <w:t xml:space="preserve"> requiert </w:t>
      </w:r>
      <w:r w:rsidR="00CC7E95" w:rsidRPr="00BD22C2">
        <w:rPr>
          <w:rFonts w:eastAsia="Calibri"/>
          <w:lang w:val="fr-CA" w:eastAsia="en-US"/>
        </w:rPr>
        <w:t xml:space="preserve">notamment </w:t>
      </w:r>
      <w:r w:rsidR="002B4CF6" w:rsidRPr="00BD22C2">
        <w:rPr>
          <w:rFonts w:eastAsia="Calibri"/>
          <w:lang w:val="fr-CA" w:eastAsia="en-US"/>
        </w:rPr>
        <w:t>l’évaluation des</w:t>
      </w:r>
      <w:r w:rsidR="00952210" w:rsidRPr="00BD22C2">
        <w:rPr>
          <w:rFonts w:eastAsia="Calibri"/>
          <w:lang w:val="fr-CA" w:eastAsia="en-US"/>
        </w:rPr>
        <w:t xml:space="preserve"> effets concrets de l’application des décisions</w:t>
      </w:r>
      <w:r w:rsidR="00A756AE" w:rsidRPr="00BD22C2">
        <w:rPr>
          <w:rFonts w:eastAsia="Calibri"/>
          <w:vertAlign w:val="superscript"/>
          <w:lang w:val="fr-CA" w:eastAsia="en-US"/>
        </w:rPr>
        <w:endnoteReference w:id="259"/>
      </w:r>
      <w:r w:rsidR="002B4CF6" w:rsidRPr="00BD22C2">
        <w:rPr>
          <w:rFonts w:eastAsia="Calibri"/>
          <w:lang w:val="fr-CA" w:eastAsia="en-US"/>
        </w:rPr>
        <w:t>.</w:t>
      </w:r>
    </w:p>
    <w:p w14:paraId="5BFD695C" w14:textId="77777777" w:rsidR="00F7531E" w:rsidRPr="00BD22C2" w:rsidRDefault="00F7531E" w:rsidP="00EF1CB2">
      <w:pPr>
        <w:pStyle w:val="Titre3"/>
        <w:rPr>
          <w:rFonts w:eastAsia="Calibri"/>
          <w:lang w:eastAsia="en-US"/>
        </w:rPr>
      </w:pPr>
      <w:bookmarkStart w:id="130" w:name="_Toc165301036"/>
      <w:bookmarkStart w:id="131" w:name="_Toc165636119"/>
      <w:r w:rsidRPr="00BD22C2">
        <w:rPr>
          <w:rFonts w:eastAsia="Calibri"/>
          <w:lang w:eastAsia="en-US"/>
        </w:rPr>
        <w:t>La participation des enfants et le droit d’être entendu</w:t>
      </w:r>
      <w:bookmarkEnd w:id="130"/>
      <w:bookmarkEnd w:id="131"/>
      <w:r w:rsidRPr="00BD22C2">
        <w:rPr>
          <w:rFonts w:eastAsia="Calibri"/>
          <w:lang w:eastAsia="en-US"/>
        </w:rPr>
        <w:t xml:space="preserve"> </w:t>
      </w:r>
    </w:p>
    <w:p w14:paraId="23BFDBE5" w14:textId="03C21521" w:rsidR="00F7531E" w:rsidRPr="00BD22C2" w:rsidRDefault="00F7531E" w:rsidP="00F7531E">
      <w:pPr>
        <w:pStyle w:val="Paragraphe"/>
        <w:rPr>
          <w:rFonts w:eastAsia="Calibri"/>
          <w:lang w:val="fr-CA" w:eastAsia="en-US"/>
        </w:rPr>
      </w:pPr>
      <w:r w:rsidRPr="00BD22C2">
        <w:rPr>
          <w:rFonts w:eastAsia="Calibri"/>
          <w:lang w:val="fr-CA" w:eastAsia="en-US"/>
        </w:rPr>
        <w:t>L’article 12 de la CRDE prévoit que l’enfant capable de discernement a « le droit d’exprimer librement son opinion sur toute question l’intéressant » et que ses opinions doivent être « dûment prises en considération eu égard à son âge et à sa maturité »</w:t>
      </w:r>
      <w:r w:rsidRPr="00BD22C2">
        <w:rPr>
          <w:rFonts w:eastAsia="Calibri"/>
          <w:vertAlign w:val="superscript"/>
          <w:lang w:val="fr-CA" w:eastAsia="en-US"/>
        </w:rPr>
        <w:endnoteReference w:id="260"/>
      </w:r>
      <w:r w:rsidRPr="00BD22C2">
        <w:rPr>
          <w:rFonts w:eastAsia="Calibri"/>
          <w:lang w:val="fr-CA" w:eastAsia="en-US"/>
        </w:rPr>
        <w:t>. Il s’agit ici de lui permettre d’être un participant actif dans la protection et la surveillance de ses propres droits</w:t>
      </w:r>
      <w:r w:rsidR="00297D50" w:rsidRPr="00BD22C2">
        <w:rPr>
          <w:rFonts w:eastAsia="Calibri"/>
          <w:lang w:val="fr-CA" w:eastAsia="en-US"/>
        </w:rPr>
        <w:t xml:space="preserve">, un principe également </w:t>
      </w:r>
      <w:r w:rsidR="004A3E37" w:rsidRPr="00BD22C2">
        <w:rPr>
          <w:rFonts w:eastAsia="Calibri"/>
          <w:lang w:val="fr-CA" w:eastAsia="en-US"/>
        </w:rPr>
        <w:t>prévu par</w:t>
      </w:r>
      <w:r w:rsidR="00297D50" w:rsidRPr="00BD22C2">
        <w:rPr>
          <w:rFonts w:eastAsia="Calibri"/>
          <w:lang w:val="fr-CA" w:eastAsia="en-US"/>
        </w:rPr>
        <w:t xml:space="preserve"> les lois québécoises</w:t>
      </w:r>
      <w:r w:rsidR="00297D50" w:rsidRPr="00BD22C2">
        <w:rPr>
          <w:rStyle w:val="Appeldenotedefin"/>
          <w:rFonts w:eastAsia="Calibri"/>
          <w:lang w:val="fr-CA" w:eastAsia="en-US"/>
        </w:rPr>
        <w:endnoteReference w:id="261"/>
      </w:r>
      <w:r w:rsidRPr="00BD22C2">
        <w:rPr>
          <w:rFonts w:eastAsia="Calibri"/>
          <w:lang w:val="fr-CA" w:eastAsia="en-US"/>
        </w:rPr>
        <w:t>.</w:t>
      </w:r>
    </w:p>
    <w:p w14:paraId="1263A222" w14:textId="038143A0" w:rsidR="00F7531E" w:rsidRPr="00BD22C2" w:rsidRDefault="00F7531E" w:rsidP="00F7531E">
      <w:pPr>
        <w:pStyle w:val="Paragraphe"/>
        <w:rPr>
          <w:rFonts w:eastAsia="Calibri"/>
          <w:lang w:val="fr-CA" w:eastAsia="en-US"/>
        </w:rPr>
      </w:pPr>
      <w:r w:rsidRPr="00BD22C2">
        <w:rPr>
          <w:rFonts w:eastAsia="Calibri"/>
          <w:lang w:val="fr-CA" w:eastAsia="en-US"/>
        </w:rPr>
        <w:t>La participation des enfants est essentielle pour trouver des solutions adaptées à leurs besoins</w:t>
      </w:r>
      <w:r w:rsidRPr="00BD22C2">
        <w:rPr>
          <w:rFonts w:eastAsia="Calibri"/>
          <w:vertAlign w:val="superscript"/>
          <w:lang w:val="fr-CA" w:eastAsia="en-US"/>
        </w:rPr>
        <w:endnoteReference w:id="262"/>
      </w:r>
      <w:r w:rsidRPr="00BD22C2">
        <w:rPr>
          <w:rFonts w:eastAsia="Calibri"/>
          <w:lang w:val="fr-CA" w:eastAsia="en-US"/>
        </w:rPr>
        <w:t>. Elle doit être pleinement intégrée dans les processus gouvernementaux, et ce, de façon effective</w:t>
      </w:r>
      <w:r w:rsidRPr="00BD22C2">
        <w:rPr>
          <w:rFonts w:eastAsia="Calibri"/>
          <w:vertAlign w:val="superscript"/>
          <w:lang w:val="fr-CA" w:eastAsia="en-US"/>
        </w:rPr>
        <w:endnoteReference w:id="263"/>
      </w:r>
      <w:r w:rsidRPr="00BD22C2">
        <w:rPr>
          <w:rFonts w:eastAsia="Calibri"/>
          <w:lang w:val="fr-CA" w:eastAsia="en-US"/>
        </w:rPr>
        <w:t xml:space="preserve">. Dans le cadre particulier des travaux du Comité de sages et des actions qui s’ensuivront, la voix des enfants, </w:t>
      </w:r>
      <w:r w:rsidR="002000F7" w:rsidRPr="00BD22C2">
        <w:rPr>
          <w:rFonts w:eastAsia="Calibri"/>
          <w:lang w:val="fr-CA" w:eastAsia="en-US"/>
        </w:rPr>
        <w:t xml:space="preserve">incluant </w:t>
      </w:r>
      <w:r w:rsidRPr="00BD22C2">
        <w:rPr>
          <w:rFonts w:eastAsia="Calibri"/>
          <w:lang w:val="fr-CA" w:eastAsia="en-US"/>
        </w:rPr>
        <w:t>celle des enfants qui s’identifient comme trans ou non binaires, doit être entendue</w:t>
      </w:r>
      <w:r w:rsidR="00F9282A" w:rsidRPr="00BD22C2">
        <w:rPr>
          <w:rFonts w:eastAsia="Calibri"/>
          <w:lang w:val="fr-CA" w:eastAsia="en-US"/>
        </w:rPr>
        <w:t xml:space="preserve">, prise en compte </w:t>
      </w:r>
      <w:r w:rsidRPr="00BD22C2">
        <w:rPr>
          <w:rFonts w:eastAsia="Calibri"/>
          <w:lang w:val="fr-CA" w:eastAsia="en-US"/>
        </w:rPr>
        <w:t>et intégrée dans l’analyse des enjeux traités.</w:t>
      </w:r>
    </w:p>
    <w:p w14:paraId="134F9FD6" w14:textId="77777777" w:rsidR="00F7531E" w:rsidRPr="00BD22C2" w:rsidRDefault="00F7531E" w:rsidP="00EF1CB2">
      <w:pPr>
        <w:pStyle w:val="Titre3"/>
        <w:rPr>
          <w:rFonts w:eastAsia="Calibri"/>
          <w:lang w:eastAsia="en-US"/>
        </w:rPr>
      </w:pPr>
      <w:bookmarkStart w:id="132" w:name="_Toc165301037"/>
      <w:bookmarkStart w:id="133" w:name="_Toc165636120"/>
      <w:r w:rsidRPr="00BD22C2">
        <w:rPr>
          <w:rFonts w:eastAsia="Calibri"/>
          <w:lang w:eastAsia="en-US"/>
        </w:rPr>
        <w:lastRenderedPageBreak/>
        <w:t>La non-discrimination</w:t>
      </w:r>
      <w:bookmarkEnd w:id="132"/>
      <w:bookmarkEnd w:id="133"/>
      <w:r w:rsidRPr="00BD22C2">
        <w:rPr>
          <w:rFonts w:eastAsia="Calibri"/>
          <w:lang w:eastAsia="en-US"/>
        </w:rPr>
        <w:t xml:space="preserve"> </w:t>
      </w:r>
    </w:p>
    <w:p w14:paraId="70B39208" w14:textId="71510304" w:rsidR="00F7531E" w:rsidRPr="00BD22C2" w:rsidRDefault="00F7531E" w:rsidP="00F7531E">
      <w:pPr>
        <w:pStyle w:val="Paragraphe"/>
        <w:rPr>
          <w:rFonts w:eastAsia="Calibri"/>
          <w:lang w:val="fr-CA" w:eastAsia="en-US"/>
        </w:rPr>
      </w:pPr>
      <w:r w:rsidRPr="00BD22C2">
        <w:rPr>
          <w:rFonts w:eastAsia="Calibri"/>
          <w:lang w:val="fr-CA" w:eastAsia="en-US"/>
        </w:rPr>
        <w:t xml:space="preserve">La CRDE, tout comme la Charte, garantit aux enfants l’exercice de leurs droits en toute </w:t>
      </w:r>
      <w:proofErr w:type="spellStart"/>
      <w:r w:rsidRPr="00BD22C2">
        <w:rPr>
          <w:rFonts w:eastAsia="Calibri"/>
          <w:lang w:val="fr-CA" w:eastAsia="en-US"/>
        </w:rPr>
        <w:t>égalité</w:t>
      </w:r>
      <w:proofErr w:type="spellEnd"/>
      <w:r w:rsidRPr="00BD22C2">
        <w:rPr>
          <w:rFonts w:eastAsia="Calibri"/>
          <w:vertAlign w:val="superscript"/>
          <w:lang w:val="fr-CA" w:eastAsia="en-US"/>
        </w:rPr>
        <w:endnoteReference w:id="264"/>
      </w:r>
      <w:r w:rsidRPr="00BD22C2">
        <w:rPr>
          <w:rFonts w:eastAsia="Calibri"/>
          <w:lang w:val="fr-CA" w:eastAsia="en-US"/>
        </w:rPr>
        <w:t>. Elle implique ainsi la mise en œuvre par les États de mesures adaptées qui tiennent compte de la diversité de leurs besoins</w:t>
      </w:r>
      <w:bookmarkStart w:id="134" w:name="_Ref167455332"/>
      <w:r w:rsidRPr="00BD22C2">
        <w:rPr>
          <w:rFonts w:eastAsia="Calibri"/>
          <w:vertAlign w:val="superscript"/>
          <w:lang w:val="fr-CA" w:eastAsia="en-US"/>
        </w:rPr>
        <w:endnoteReference w:id="265"/>
      </w:r>
      <w:bookmarkEnd w:id="134"/>
      <w:r w:rsidRPr="00BD22C2">
        <w:rPr>
          <w:rFonts w:eastAsia="Calibri"/>
          <w:lang w:val="fr-CA" w:eastAsia="en-US"/>
        </w:rPr>
        <w:t>. Comme expliqué précédemment en regard de la Charte, le principe de non-discrimination n’est pas synonyme d’un traitement identique pour tous</w:t>
      </w:r>
      <w:r w:rsidR="000B0609" w:rsidRPr="00BD22C2">
        <w:rPr>
          <w:rFonts w:eastAsia="Calibri"/>
          <w:lang w:val="fr-CA" w:eastAsia="en-US"/>
        </w:rPr>
        <w:t xml:space="preserve"> et</w:t>
      </w:r>
      <w:r w:rsidRPr="00BD22C2">
        <w:rPr>
          <w:rFonts w:eastAsia="Calibri"/>
          <w:lang w:val="fr-CA" w:eastAsia="en-US"/>
        </w:rPr>
        <w:t xml:space="preserve"> il implique </w:t>
      </w:r>
      <w:r w:rsidR="00677714" w:rsidRPr="00BD22C2">
        <w:rPr>
          <w:rFonts w:eastAsia="Calibri"/>
          <w:lang w:val="fr-CA" w:eastAsia="en-US"/>
        </w:rPr>
        <w:t xml:space="preserve">parfois l’adoption </w:t>
      </w:r>
      <w:r w:rsidR="00401A9C" w:rsidRPr="00BD22C2">
        <w:rPr>
          <w:rFonts w:eastAsia="Calibri"/>
          <w:lang w:val="fr-CA" w:eastAsia="en-US"/>
        </w:rPr>
        <w:t xml:space="preserve">de </w:t>
      </w:r>
      <w:r w:rsidR="00741EC5" w:rsidRPr="00BD22C2">
        <w:rPr>
          <w:rFonts w:eastAsia="Calibri"/>
          <w:lang w:val="fr-CA" w:eastAsia="en-US"/>
        </w:rPr>
        <w:t>«</w:t>
      </w:r>
      <w:r w:rsidR="00444FEB">
        <w:rPr>
          <w:rFonts w:eastAsia="Calibri"/>
          <w:lang w:val="fr-CA" w:eastAsia="en-US"/>
        </w:rPr>
        <w:t> </w:t>
      </w:r>
      <w:r w:rsidRPr="00BD22C2">
        <w:rPr>
          <w:rFonts w:eastAsia="Calibri"/>
          <w:lang w:val="fr-CA" w:eastAsia="en-US"/>
        </w:rPr>
        <w:t xml:space="preserve">mesures </w:t>
      </w:r>
      <w:r w:rsidR="00687BC2" w:rsidRPr="00BD22C2">
        <w:rPr>
          <w:rFonts w:eastAsia="Calibri"/>
          <w:lang w:val="fr-CA" w:eastAsia="en-US"/>
        </w:rPr>
        <w:t>proactives propres à garantir effectivement à tous</w:t>
      </w:r>
      <w:r w:rsidRPr="00BD22C2">
        <w:rPr>
          <w:rFonts w:eastAsia="Calibri"/>
          <w:lang w:val="fr-CA" w:eastAsia="en-US"/>
        </w:rPr>
        <w:t xml:space="preserve"> les </w:t>
      </w:r>
      <w:r w:rsidR="00687BC2" w:rsidRPr="00BD22C2">
        <w:rPr>
          <w:rFonts w:eastAsia="Calibri"/>
          <w:lang w:val="fr-CA" w:eastAsia="en-US"/>
        </w:rPr>
        <w:t>enfants des chances égales d’exercer les droits énoncés dans</w:t>
      </w:r>
      <w:r w:rsidRPr="00BD22C2">
        <w:rPr>
          <w:rFonts w:eastAsia="Calibri"/>
          <w:lang w:val="fr-CA" w:eastAsia="en-US"/>
        </w:rPr>
        <w:t xml:space="preserve"> la </w:t>
      </w:r>
      <w:r w:rsidR="00687BC2" w:rsidRPr="00BD22C2">
        <w:rPr>
          <w:rFonts w:eastAsia="Calibri"/>
          <w:lang w:val="fr-CA" w:eastAsia="en-US"/>
        </w:rPr>
        <w:t>Convention</w:t>
      </w:r>
      <w:r w:rsidR="00444FEB">
        <w:rPr>
          <w:rFonts w:eastAsia="Calibri"/>
          <w:lang w:val="fr-CA" w:eastAsia="en-US"/>
        </w:rPr>
        <w:t> </w:t>
      </w:r>
      <w:r w:rsidR="009F277D" w:rsidRPr="00BD22C2">
        <w:rPr>
          <w:rFonts w:eastAsia="Calibri"/>
          <w:lang w:val="fr-CA" w:eastAsia="en-US"/>
        </w:rPr>
        <w:t>»</w:t>
      </w:r>
      <w:r w:rsidR="00076BA1" w:rsidRPr="00BD22C2">
        <w:rPr>
          <w:rStyle w:val="Appeldenotedefin"/>
          <w:rFonts w:eastAsia="Calibri"/>
          <w:lang w:val="fr-CA" w:eastAsia="en-US"/>
        </w:rPr>
        <w:endnoteReference w:id="266"/>
      </w:r>
      <w:r w:rsidR="00D221DA" w:rsidRPr="00BD22C2">
        <w:rPr>
          <w:rFonts w:eastAsia="Calibri"/>
          <w:lang w:val="fr-CA" w:eastAsia="en-US"/>
        </w:rPr>
        <w:t>.</w:t>
      </w:r>
      <w:r w:rsidRPr="00BD22C2">
        <w:rPr>
          <w:rFonts w:eastAsia="Calibri"/>
          <w:lang w:val="fr-CA" w:eastAsia="en-US"/>
        </w:rPr>
        <w:t xml:space="preserve"> </w:t>
      </w:r>
      <w:r w:rsidR="00302921" w:rsidRPr="00BD22C2">
        <w:rPr>
          <w:rFonts w:eastAsia="Calibri"/>
          <w:lang w:val="fr-CA" w:eastAsia="en-US"/>
        </w:rPr>
        <w:t>C</w:t>
      </w:r>
      <w:r w:rsidR="002C73D6" w:rsidRPr="00BD22C2">
        <w:rPr>
          <w:rFonts w:eastAsia="Calibri"/>
          <w:lang w:val="fr-CA" w:eastAsia="en-US"/>
        </w:rPr>
        <w:t xml:space="preserve">e principe </w:t>
      </w:r>
      <w:r w:rsidR="0035671E" w:rsidRPr="00BD22C2">
        <w:rPr>
          <w:rFonts w:eastAsia="Calibri"/>
          <w:lang w:val="fr-CA" w:eastAsia="en-US"/>
        </w:rPr>
        <w:t>est</w:t>
      </w:r>
      <w:r w:rsidR="002C73D6" w:rsidRPr="00BD22C2">
        <w:rPr>
          <w:rFonts w:eastAsia="Calibri"/>
          <w:lang w:val="fr-CA" w:eastAsia="en-US"/>
        </w:rPr>
        <w:t xml:space="preserve"> central </w:t>
      </w:r>
      <w:r w:rsidR="0035671E" w:rsidRPr="00BD22C2">
        <w:rPr>
          <w:rFonts w:eastAsia="Calibri"/>
          <w:lang w:val="fr-CA" w:eastAsia="en-US"/>
        </w:rPr>
        <w:t>aux</w:t>
      </w:r>
      <w:r w:rsidR="00463746" w:rsidRPr="00BD22C2">
        <w:rPr>
          <w:rFonts w:eastAsia="Calibri"/>
          <w:lang w:val="fr-CA" w:eastAsia="en-US"/>
        </w:rPr>
        <w:t xml:space="preserve"> travaux du</w:t>
      </w:r>
      <w:r w:rsidR="002C73D6" w:rsidRPr="00BD22C2">
        <w:rPr>
          <w:rFonts w:eastAsia="Calibri"/>
          <w:lang w:val="fr-CA" w:eastAsia="en-US"/>
        </w:rPr>
        <w:t xml:space="preserve"> Comité de sages.</w:t>
      </w:r>
    </w:p>
    <w:p w14:paraId="062C0899" w14:textId="77777777" w:rsidR="00F7531E" w:rsidRPr="00BD22C2" w:rsidRDefault="00F7531E" w:rsidP="00EF1CB2">
      <w:pPr>
        <w:pStyle w:val="Titre3"/>
        <w:rPr>
          <w:rFonts w:eastAsia="Calibri"/>
          <w:lang w:eastAsia="en-US"/>
        </w:rPr>
      </w:pPr>
      <w:bookmarkStart w:id="135" w:name="_Toc165301038"/>
      <w:bookmarkStart w:id="136" w:name="_Toc165636121"/>
      <w:r w:rsidRPr="00BD22C2">
        <w:rPr>
          <w:rFonts w:eastAsia="Calibri"/>
          <w:lang w:eastAsia="en-US"/>
        </w:rPr>
        <w:t>Le droit à la vie, à la survie et au développement</w:t>
      </w:r>
      <w:bookmarkEnd w:id="135"/>
      <w:bookmarkEnd w:id="136"/>
    </w:p>
    <w:p w14:paraId="62528F20" w14:textId="547D253E" w:rsidR="00F7531E" w:rsidRPr="00BD22C2" w:rsidRDefault="00F7531E" w:rsidP="00F7531E">
      <w:pPr>
        <w:pStyle w:val="Paragraphe"/>
        <w:rPr>
          <w:rFonts w:eastAsia="Calibri"/>
          <w:lang w:val="fr-CA" w:eastAsia="en-US"/>
        </w:rPr>
      </w:pPr>
      <w:r w:rsidRPr="00BD22C2">
        <w:rPr>
          <w:rFonts w:eastAsia="Calibri"/>
          <w:lang w:val="fr-CA" w:eastAsia="en-US"/>
        </w:rPr>
        <w:t xml:space="preserve">Le droit à la vie, à la survie et au développement est prévu à l’article 6 de la CRDE et consacré </w:t>
      </w:r>
      <w:r w:rsidR="00E27F6B" w:rsidRPr="00BD22C2">
        <w:rPr>
          <w:rFonts w:eastAsia="Calibri"/>
          <w:lang w:val="fr-CA" w:eastAsia="en-US"/>
        </w:rPr>
        <w:t>en d’autres termes dans l</w:t>
      </w:r>
      <w:r w:rsidRPr="00BD22C2">
        <w:rPr>
          <w:rFonts w:eastAsia="Calibri"/>
          <w:lang w:val="fr-CA" w:eastAsia="en-US"/>
        </w:rPr>
        <w:t>a Charte</w:t>
      </w:r>
      <w:r w:rsidRPr="00BD22C2">
        <w:rPr>
          <w:rFonts w:eastAsia="Calibri"/>
          <w:vertAlign w:val="superscript"/>
          <w:lang w:val="fr-CA" w:eastAsia="en-US"/>
        </w:rPr>
        <w:endnoteReference w:id="267"/>
      </w:r>
      <w:r w:rsidRPr="00BD22C2">
        <w:rPr>
          <w:rFonts w:eastAsia="Calibri"/>
          <w:lang w:val="fr-CA" w:eastAsia="en-US"/>
        </w:rPr>
        <w:t xml:space="preserve">. Il est notamment </w:t>
      </w:r>
      <w:r w:rsidR="001E63CA" w:rsidRPr="00BD22C2">
        <w:rPr>
          <w:rFonts w:eastAsia="Calibri"/>
          <w:lang w:val="fr-CA" w:eastAsia="en-US"/>
        </w:rPr>
        <w:t>soutenu</w:t>
      </w:r>
      <w:r w:rsidR="00773320" w:rsidRPr="00BD22C2">
        <w:rPr>
          <w:rFonts w:eastAsia="Calibri"/>
          <w:lang w:val="fr-CA" w:eastAsia="en-US"/>
        </w:rPr>
        <w:t xml:space="preserve"> </w:t>
      </w:r>
      <w:r w:rsidR="001E63CA" w:rsidRPr="00BD22C2">
        <w:rPr>
          <w:rFonts w:eastAsia="Calibri"/>
          <w:lang w:val="fr-CA" w:eastAsia="en-US"/>
        </w:rPr>
        <w:t>par</w:t>
      </w:r>
      <w:r w:rsidRPr="00BD22C2">
        <w:rPr>
          <w:rFonts w:eastAsia="Calibri"/>
          <w:lang w:val="fr-CA" w:eastAsia="en-US"/>
        </w:rPr>
        <w:t xml:space="preserve"> le respect de la responsabilité parentale</w:t>
      </w:r>
      <w:r w:rsidRPr="00BD22C2">
        <w:rPr>
          <w:rFonts w:eastAsia="Calibri"/>
          <w:vertAlign w:val="superscript"/>
          <w:lang w:val="fr-CA" w:eastAsia="en-US"/>
        </w:rPr>
        <w:endnoteReference w:id="268"/>
      </w:r>
      <w:r w:rsidRPr="00BD22C2">
        <w:rPr>
          <w:rFonts w:eastAsia="Calibri"/>
          <w:lang w:val="fr-CA" w:eastAsia="en-US"/>
        </w:rPr>
        <w:t xml:space="preserve"> </w:t>
      </w:r>
      <w:r w:rsidR="00E31DDE" w:rsidRPr="00BD22C2">
        <w:rPr>
          <w:rFonts w:eastAsia="Calibri"/>
          <w:lang w:val="fr-CA" w:eastAsia="en-US"/>
        </w:rPr>
        <w:t xml:space="preserve">de même </w:t>
      </w:r>
      <w:r w:rsidRPr="00BD22C2">
        <w:rPr>
          <w:rFonts w:eastAsia="Calibri"/>
          <w:lang w:val="fr-CA" w:eastAsia="en-US"/>
        </w:rPr>
        <w:t>que par la mise en œuvre adéquate des droits socioéconomiques prévus à la CRDE, dont le droit à la santé, à l’alimentation adéquate, à la sécurité sociale, à un niveau de vie suffisant, à un environnement sain et sûr et à l’éducation et aux loisirs</w:t>
      </w:r>
      <w:r w:rsidRPr="00BD22C2">
        <w:rPr>
          <w:rFonts w:eastAsia="Calibri"/>
          <w:vertAlign w:val="superscript"/>
          <w:lang w:val="fr-CA" w:eastAsia="en-US"/>
        </w:rPr>
        <w:endnoteReference w:id="269"/>
      </w:r>
      <w:r w:rsidRPr="00BD22C2">
        <w:rPr>
          <w:rFonts w:eastAsia="Calibri"/>
          <w:lang w:val="fr-CA" w:eastAsia="en-US"/>
        </w:rPr>
        <w:t>. Soulignons d’ailleurs que plusieurs de ces droits sont aussi prévus à la Charte</w:t>
      </w:r>
      <w:r w:rsidRPr="00BD22C2">
        <w:rPr>
          <w:rFonts w:eastAsia="Calibri"/>
          <w:vertAlign w:val="superscript"/>
          <w:lang w:val="fr-CA" w:eastAsia="en-US"/>
        </w:rPr>
        <w:endnoteReference w:id="270"/>
      </w:r>
      <w:r w:rsidRPr="00BD22C2">
        <w:rPr>
          <w:rFonts w:eastAsia="Calibri"/>
          <w:lang w:val="fr-CA" w:eastAsia="en-US"/>
        </w:rPr>
        <w:t xml:space="preserve">. </w:t>
      </w:r>
    </w:p>
    <w:p w14:paraId="1449ABA6" w14:textId="40A2833A" w:rsidR="00F7531E" w:rsidRPr="00BD22C2" w:rsidRDefault="00F7531E" w:rsidP="00EF1CB2">
      <w:pPr>
        <w:pStyle w:val="Paragraphe"/>
        <w:rPr>
          <w:rFonts w:eastAsia="Calibri"/>
          <w:lang w:val="fr-CA"/>
        </w:rPr>
      </w:pPr>
      <w:r w:rsidRPr="00BD22C2">
        <w:rPr>
          <w:rFonts w:eastAsia="Calibri"/>
          <w:lang w:val="fr-CA" w:eastAsia="en-US"/>
        </w:rPr>
        <w:t xml:space="preserve">Le droit au développement revêt une importance particulière dans le contexte des travaux du Comité de sages. Il s’entend au sens le plus large et inclut donc le </w:t>
      </w:r>
      <w:r w:rsidRPr="00BD22C2">
        <w:rPr>
          <w:rFonts w:eastAsia="Calibri" w:cs="Arial"/>
          <w:szCs w:val="22"/>
          <w:lang w:val="fr-CA" w:eastAsia="en-US"/>
        </w:rPr>
        <w:t>développement physique, mental, spirituel, moral, psychologique et social de l’enfant</w:t>
      </w:r>
      <w:r w:rsidRPr="00BD22C2">
        <w:rPr>
          <w:rFonts w:eastAsia="Calibri" w:cs="Arial"/>
          <w:szCs w:val="22"/>
          <w:vertAlign w:val="superscript"/>
          <w:lang w:val="fr-CA" w:eastAsia="en-US"/>
        </w:rPr>
        <w:endnoteReference w:id="271"/>
      </w:r>
      <w:r w:rsidRPr="00BD22C2">
        <w:rPr>
          <w:rFonts w:eastAsia="Calibri" w:cs="Arial"/>
          <w:szCs w:val="22"/>
          <w:lang w:val="fr-CA" w:eastAsia="en-US"/>
        </w:rPr>
        <w:t>.</w:t>
      </w:r>
      <w:r w:rsidRPr="00BD22C2">
        <w:rPr>
          <w:rFonts w:eastAsia="Calibri"/>
          <w:lang w:val="fr-CA"/>
        </w:rPr>
        <w:t xml:space="preserve"> </w:t>
      </w:r>
      <w:r w:rsidRPr="00BD22C2">
        <w:rPr>
          <w:rFonts w:eastAsia="Calibri" w:cs="Arial"/>
          <w:szCs w:val="22"/>
          <w:lang w:val="fr-CA" w:eastAsia="en-US"/>
        </w:rPr>
        <w:t xml:space="preserve">Comprise comme l’expérience profonde, personnelle et intime qu’une personne a de son genre, qu’elle corresponde ou non à son sexe assigné à la naissance, l’identité de genre </w:t>
      </w:r>
      <w:r w:rsidR="00964EF5" w:rsidRPr="00BD22C2">
        <w:rPr>
          <w:rFonts w:eastAsia="Calibri" w:cs="Arial"/>
          <w:szCs w:val="22"/>
          <w:lang w:val="fr-CA" w:eastAsia="en-US"/>
        </w:rPr>
        <w:t>est</w:t>
      </w:r>
      <w:r w:rsidR="00EF0949" w:rsidRPr="00BD22C2">
        <w:rPr>
          <w:rFonts w:eastAsia="Calibri" w:cs="Arial"/>
          <w:szCs w:val="22"/>
          <w:lang w:val="fr-CA" w:eastAsia="en-US"/>
        </w:rPr>
        <w:t xml:space="preserve"> une</w:t>
      </w:r>
      <w:r w:rsidRPr="00BD22C2">
        <w:rPr>
          <w:rFonts w:eastAsia="Calibri" w:cs="Arial"/>
          <w:szCs w:val="22"/>
          <w:lang w:val="fr-CA" w:eastAsia="en-US"/>
        </w:rPr>
        <w:t xml:space="preserve"> composante importante du développement global de l</w:t>
      </w:r>
      <w:r w:rsidR="0051216B" w:rsidRPr="00BD22C2">
        <w:rPr>
          <w:rFonts w:eastAsia="Calibri" w:cs="Arial"/>
          <w:szCs w:val="22"/>
          <w:lang w:val="fr-CA" w:eastAsia="en-US"/>
        </w:rPr>
        <w:t>’</w:t>
      </w:r>
      <w:r w:rsidRPr="00BD22C2">
        <w:rPr>
          <w:rFonts w:eastAsia="Calibri" w:cs="Arial"/>
          <w:szCs w:val="22"/>
          <w:lang w:val="fr-CA" w:eastAsia="en-US"/>
        </w:rPr>
        <w:t>enfant</w:t>
      </w:r>
      <w:bookmarkStart w:id="138" w:name="_Ref167356438"/>
      <w:r w:rsidRPr="00BD22C2">
        <w:rPr>
          <w:rFonts w:eastAsia="Calibri"/>
          <w:vertAlign w:val="superscript"/>
          <w:lang w:val="fr-CA"/>
        </w:rPr>
        <w:endnoteReference w:id="272"/>
      </w:r>
      <w:bookmarkEnd w:id="138"/>
      <w:r w:rsidRPr="00BD22C2">
        <w:rPr>
          <w:rFonts w:eastAsia="Calibri"/>
          <w:lang w:val="fr-CA"/>
        </w:rPr>
        <w:t>.</w:t>
      </w:r>
      <w:r w:rsidRPr="00BD22C2">
        <w:rPr>
          <w:rFonts w:eastAsia="Calibri" w:cs="Arial"/>
          <w:szCs w:val="22"/>
          <w:lang w:val="fr-CA" w:eastAsia="en-US"/>
        </w:rPr>
        <w:t xml:space="preserve"> E</w:t>
      </w:r>
      <w:r w:rsidRPr="00BD22C2">
        <w:rPr>
          <w:rFonts w:eastAsia="Calibri"/>
          <w:lang w:val="fr-CA"/>
        </w:rPr>
        <w:t xml:space="preserve">n effet, comme présenté au début de ce mémoire, la diversité de genre fait partie de la condition humaine et ne constitue ni une maladie ni une anomalie. </w:t>
      </w:r>
      <w:r w:rsidRPr="00BD22C2">
        <w:rPr>
          <w:rStyle w:val="cf01"/>
          <w:rFonts w:ascii="Arial" w:hAnsi="Arial" w:cs="Arial"/>
          <w:sz w:val="22"/>
          <w:szCs w:val="22"/>
          <w:lang w:val="fr-CA"/>
        </w:rPr>
        <w:t>Des politiques publiques qui auraient pour effet d’entraver le développement</w:t>
      </w:r>
      <w:r w:rsidRPr="00BD22C2">
        <w:rPr>
          <w:rStyle w:val="cf01"/>
          <w:rFonts w:ascii="Arial" w:eastAsia="Calibri" w:hAnsi="Arial" w:cs="Arial"/>
          <w:sz w:val="22"/>
          <w:szCs w:val="22"/>
          <w:lang w:val="fr-CA"/>
        </w:rPr>
        <w:t xml:space="preserve"> de l’identité de genre des enfants et des jeunes </w:t>
      </w:r>
      <w:r w:rsidRPr="00BD22C2">
        <w:rPr>
          <w:rStyle w:val="cf01"/>
          <w:rFonts w:ascii="Arial" w:hAnsi="Arial" w:cs="Arial"/>
          <w:sz w:val="22"/>
          <w:szCs w:val="22"/>
          <w:lang w:val="fr-CA"/>
        </w:rPr>
        <w:t>seraient susceptibles</w:t>
      </w:r>
      <w:r w:rsidRPr="00BD22C2">
        <w:rPr>
          <w:rStyle w:val="cf01"/>
          <w:rFonts w:ascii="Arial" w:eastAsia="Calibri" w:hAnsi="Arial" w:cs="Arial"/>
          <w:sz w:val="22"/>
          <w:szCs w:val="22"/>
          <w:lang w:val="fr-CA"/>
        </w:rPr>
        <w:t xml:space="preserve"> de porter atteinte à ce droit</w:t>
      </w:r>
      <w:r w:rsidRPr="00BD22C2">
        <w:rPr>
          <w:rFonts w:eastAsia="Calibri" w:cs="Arial"/>
          <w:szCs w:val="22"/>
          <w:lang w:val="fr-CA" w:eastAsia="en-US"/>
        </w:rPr>
        <w:t>.</w:t>
      </w:r>
      <w:r w:rsidRPr="00BD22C2">
        <w:rPr>
          <w:rFonts w:eastAsia="Calibri"/>
          <w:lang w:val="fr-CA"/>
        </w:rPr>
        <w:t xml:space="preserve"> </w:t>
      </w:r>
    </w:p>
    <w:p w14:paraId="73600150" w14:textId="48FBC4A5" w:rsidR="00F7531E" w:rsidRPr="00BD22C2" w:rsidRDefault="00F7531E" w:rsidP="00EF1CB2">
      <w:pPr>
        <w:pStyle w:val="Paragraphe"/>
        <w:rPr>
          <w:rFonts w:eastAsia="Calibri"/>
          <w:lang w:val="fr-CA"/>
        </w:rPr>
      </w:pPr>
      <w:r w:rsidRPr="00BD22C2">
        <w:rPr>
          <w:rFonts w:eastAsia="Calibri"/>
          <w:lang w:val="fr-CA"/>
        </w:rPr>
        <w:t>La Commission réitère ainsi la nécessaire mise en place d’un leadership fort du gouvernement du Québec pour assurer un réel exercice des droits des enfants</w:t>
      </w:r>
      <w:r w:rsidR="00DE3105" w:rsidRPr="00BD22C2">
        <w:rPr>
          <w:rFonts w:eastAsia="Calibri"/>
          <w:lang w:val="fr-CA"/>
        </w:rPr>
        <w:t>,</w:t>
      </w:r>
      <w:r w:rsidRPr="00BD22C2">
        <w:rPr>
          <w:rFonts w:eastAsia="Calibri"/>
          <w:lang w:val="fr-CA" w:eastAsia="en-US"/>
        </w:rPr>
        <w:t xml:space="preserve"> et ce</w:t>
      </w:r>
      <w:r w:rsidR="00DE3105" w:rsidRPr="00BD22C2">
        <w:rPr>
          <w:rFonts w:eastAsia="Calibri"/>
          <w:lang w:val="fr-CA" w:eastAsia="en-US"/>
        </w:rPr>
        <w:t>,</w:t>
      </w:r>
      <w:r w:rsidRPr="00BD22C2">
        <w:rPr>
          <w:rFonts w:eastAsia="Calibri"/>
          <w:lang w:val="fr-CA" w:eastAsia="en-US"/>
        </w:rPr>
        <w:t xml:space="preserve"> conformément aux engagements pris sur le plan international </w:t>
      </w:r>
      <w:r w:rsidR="0079037B" w:rsidRPr="00BD22C2">
        <w:rPr>
          <w:rFonts w:eastAsia="Calibri"/>
          <w:lang w:val="fr-CA" w:eastAsia="en-US"/>
        </w:rPr>
        <w:t>de même</w:t>
      </w:r>
      <w:r w:rsidRPr="00BD22C2">
        <w:rPr>
          <w:rFonts w:eastAsia="Calibri"/>
          <w:lang w:val="fr-CA" w:eastAsia="en-US"/>
        </w:rPr>
        <w:t xml:space="preserve"> qu’aux obligations qui lui incombent en vertu du droit québécois</w:t>
      </w:r>
      <w:r w:rsidRPr="00BD22C2">
        <w:rPr>
          <w:rFonts w:eastAsia="Calibri"/>
          <w:vertAlign w:val="superscript"/>
          <w:lang w:val="fr-CA" w:eastAsia="en-US"/>
        </w:rPr>
        <w:endnoteReference w:id="273"/>
      </w:r>
      <w:r w:rsidRPr="00BD22C2">
        <w:rPr>
          <w:rFonts w:eastAsia="Calibri"/>
          <w:lang w:val="fr-CA" w:eastAsia="en-US"/>
        </w:rPr>
        <w:t> </w:t>
      </w:r>
      <w:r w:rsidRPr="00BD22C2">
        <w:rPr>
          <w:rFonts w:eastAsia="Calibri"/>
          <w:lang w:val="fr-CA"/>
        </w:rPr>
        <w:t xml:space="preserve">: toute élaboration de politiques et de directives à leur endroit doit s’articuler à la lumière de leurs droits et de leur intérêt. Dans la mise en œuvre de cette approche, la Commission invite le Comité de sages à </w:t>
      </w:r>
      <w:r w:rsidRPr="00BD22C2">
        <w:rPr>
          <w:rStyle w:val="ParagrapheCar"/>
          <w:rFonts w:eastAsia="Calibri"/>
          <w:lang w:val="fr-CA"/>
        </w:rPr>
        <w:t xml:space="preserve">accorder une attention particulière à </w:t>
      </w:r>
      <w:r w:rsidRPr="00BD22C2">
        <w:rPr>
          <w:rStyle w:val="ParagrapheCar"/>
          <w:rFonts w:eastAsia="Calibri"/>
          <w:lang w:val="fr-CA"/>
        </w:rPr>
        <w:lastRenderedPageBreak/>
        <w:t>l’opinion des enfants et aux impacts que ces décisions pourraient avoir sur</w:t>
      </w:r>
      <w:r w:rsidR="001F1C4E" w:rsidRPr="00BD22C2">
        <w:rPr>
          <w:rStyle w:val="ParagrapheCar"/>
          <w:rFonts w:eastAsia="Calibri"/>
          <w:lang w:val="fr-CA"/>
        </w:rPr>
        <w:t xml:space="preserve"> l’ensemble de leurs droits et</w:t>
      </w:r>
      <w:r w:rsidRPr="00BD22C2">
        <w:rPr>
          <w:rStyle w:val="ParagrapheCar"/>
          <w:rFonts w:eastAsia="Calibri"/>
          <w:lang w:val="fr-CA"/>
        </w:rPr>
        <w:t xml:space="preserve"> leur développement.</w:t>
      </w:r>
      <w:r w:rsidRPr="00BD22C2">
        <w:rPr>
          <w:rFonts w:eastAsia="Calibri"/>
          <w:lang w:val="fr-CA"/>
        </w:rPr>
        <w:t xml:space="preserve"> </w:t>
      </w:r>
    </w:p>
    <w:p w14:paraId="5FF90750" w14:textId="4EFCAA55" w:rsidR="00F7531E" w:rsidRPr="00BD22C2" w:rsidRDefault="00F7531E" w:rsidP="00F7531E">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00CA7C9F" w:rsidRPr="00BD22C2">
        <w:rPr>
          <w:rFonts w:eastAsia="Calibri"/>
          <w:lang w:eastAsia="en-US"/>
        </w:rPr>
        <w:t>4</w:t>
      </w:r>
    </w:p>
    <w:p w14:paraId="6F9A6738" w14:textId="7921BA79" w:rsidR="00F7531E" w:rsidRPr="00BD22C2" w:rsidRDefault="00F7531E" w:rsidP="00F7531E">
      <w:pPr>
        <w:pStyle w:val="Texterecommandation"/>
        <w:ind w:left="706" w:firstLine="3"/>
        <w:rPr>
          <w:lang w:eastAsia="en-US"/>
        </w:rPr>
      </w:pPr>
      <w:r w:rsidRPr="00BD22C2">
        <w:rPr>
          <w:lang w:eastAsia="en-US"/>
        </w:rPr>
        <w:t>La Commission recommande au Comité de sages sur l’identité de genre d’aborder l’ensemble des questions qui lui sont soumises et qui concernent les personnes mineures</w:t>
      </w:r>
      <w:r w:rsidRPr="00BD22C2" w:rsidDel="00EF46B6">
        <w:rPr>
          <w:lang w:eastAsia="en-US"/>
        </w:rPr>
        <w:t xml:space="preserve"> </w:t>
      </w:r>
      <w:r w:rsidRPr="00BD22C2">
        <w:rPr>
          <w:lang w:eastAsia="en-US"/>
        </w:rPr>
        <w:t xml:space="preserve">à la lumière de l’approche fondée sur les droits de l’enfant. </w:t>
      </w:r>
    </w:p>
    <w:p w14:paraId="1433548F" w14:textId="21E0B06F" w:rsidR="00F7531E" w:rsidRPr="00BD22C2" w:rsidRDefault="00F7531E" w:rsidP="00F7531E">
      <w:pPr>
        <w:pStyle w:val="TitreRecommandation"/>
        <w:rPr>
          <w:rFonts w:eastAsia="Calibri"/>
        </w:rPr>
      </w:pPr>
      <w:r w:rsidRPr="00BD22C2">
        <w:rPr>
          <w:rFonts w:eastAsia="Calibri"/>
        </w:rPr>
        <w:t>RECOMMANDATION</w:t>
      </w:r>
      <w:r w:rsidR="0091080B">
        <w:rPr>
          <w:rFonts w:eastAsia="Calibri"/>
        </w:rPr>
        <w:t> </w:t>
      </w:r>
      <w:r w:rsidR="00CA7C9F" w:rsidRPr="00BD22C2">
        <w:rPr>
          <w:rFonts w:eastAsia="Calibri"/>
        </w:rPr>
        <w:t>5</w:t>
      </w:r>
    </w:p>
    <w:p w14:paraId="103FBB62" w14:textId="4DF25A1A" w:rsidR="00F7531E" w:rsidRPr="00BD22C2" w:rsidRDefault="00F7531E" w:rsidP="00F7531E">
      <w:pPr>
        <w:pStyle w:val="Texterecommandation"/>
        <w:ind w:left="706" w:firstLine="3"/>
        <w:rPr>
          <w:lang w:eastAsia="en-US"/>
        </w:rPr>
      </w:pPr>
      <w:r w:rsidRPr="00BD22C2">
        <w:rPr>
          <w:lang w:eastAsia="en-US"/>
        </w:rPr>
        <w:t xml:space="preserve">La Commission recommande au Comité de sages sur l’identité de genre de </w:t>
      </w:r>
      <w:r w:rsidR="00366FEA" w:rsidRPr="00BD22C2">
        <w:rPr>
          <w:lang w:eastAsia="en-US"/>
        </w:rPr>
        <w:t>mettre en place un mécanisme adapté</w:t>
      </w:r>
      <w:r w:rsidR="004C31A7" w:rsidRPr="00BD22C2">
        <w:rPr>
          <w:lang w:eastAsia="en-US"/>
        </w:rPr>
        <w:t xml:space="preserve"> pour </w:t>
      </w:r>
      <w:r w:rsidRPr="00BD22C2">
        <w:rPr>
          <w:lang w:eastAsia="en-US"/>
        </w:rPr>
        <w:t xml:space="preserve">recueillir la voix </w:t>
      </w:r>
      <w:r w:rsidR="00B90EEA" w:rsidRPr="00BD22C2">
        <w:rPr>
          <w:lang w:eastAsia="en-US"/>
        </w:rPr>
        <w:t>ou la perspective</w:t>
      </w:r>
      <w:r w:rsidRPr="00BD22C2">
        <w:rPr>
          <w:lang w:eastAsia="en-US"/>
        </w:rPr>
        <w:t xml:space="preserve"> des enfants et des jeunes concernés par son mandat pour mieux tenir compte de leur opinion et d’identifier les enjeux à approfondir sur le sujet. Elle recommande incidemment au Comité de sages sur l’identité de genre d’inviter le gouvernement à prendre tous les moyens nécessaires pour tenir compte de l’opinion des enfants et des jeunes dans sa réponse à son rapport.</w:t>
      </w:r>
    </w:p>
    <w:p w14:paraId="78045260" w14:textId="463CE27C" w:rsidR="00F7531E" w:rsidRPr="00BD22C2" w:rsidRDefault="00F7531E" w:rsidP="00EF1CB2">
      <w:pPr>
        <w:pStyle w:val="Titre2"/>
        <w:rPr>
          <w:rFonts w:eastAsia="Calibri"/>
          <w:lang w:eastAsia="en-US"/>
        </w:rPr>
      </w:pPr>
      <w:bookmarkStart w:id="139" w:name="_Toc165301039"/>
      <w:bookmarkStart w:id="140" w:name="_Toc165636122"/>
      <w:r w:rsidRPr="00BD22C2">
        <w:rPr>
          <w:rFonts w:eastAsia="Calibri"/>
          <w:lang w:eastAsia="en-US"/>
        </w:rPr>
        <w:t>L’articulation du rôle premier des parents, de l’intérêt et des droits de l’enfant et des obligations de l’État</w:t>
      </w:r>
      <w:bookmarkEnd w:id="139"/>
      <w:bookmarkEnd w:id="140"/>
    </w:p>
    <w:p w14:paraId="58D91A6B" w14:textId="3A946CE1" w:rsidR="00F7531E" w:rsidRPr="00BD22C2" w:rsidRDefault="00F7531E" w:rsidP="00F7531E">
      <w:pPr>
        <w:pStyle w:val="Paragraphe"/>
        <w:rPr>
          <w:rFonts w:eastAsia="Calibri"/>
          <w:lang w:val="fr-CA" w:eastAsia="en-US"/>
        </w:rPr>
      </w:pPr>
      <w:r w:rsidRPr="00BD22C2">
        <w:rPr>
          <w:rFonts w:eastAsia="Calibri"/>
          <w:lang w:val="fr-CA" w:eastAsia="en-US"/>
        </w:rPr>
        <w:t xml:space="preserve">Dans les dernières années, un nombre croissant de débats ont surgi dans l’espace public concernant l’autonomie des enfants en ce qui a trait à leur identité de genre. Ces débats ont parfois mis en exergue le conflit potentiel entre la volonté </w:t>
      </w:r>
      <w:r w:rsidR="001819EA" w:rsidRPr="00BD22C2">
        <w:rPr>
          <w:rFonts w:eastAsia="Calibri"/>
          <w:lang w:val="fr-CA" w:eastAsia="en-US"/>
        </w:rPr>
        <w:t>ou</w:t>
      </w:r>
      <w:r w:rsidR="006E5F10" w:rsidRPr="00BD22C2">
        <w:rPr>
          <w:rFonts w:eastAsia="Calibri"/>
          <w:lang w:val="fr-CA" w:eastAsia="en-US"/>
        </w:rPr>
        <w:t xml:space="preserve"> les droits </w:t>
      </w:r>
      <w:r w:rsidRPr="00BD22C2">
        <w:rPr>
          <w:rFonts w:eastAsia="Calibri"/>
          <w:lang w:val="fr-CA" w:eastAsia="en-US"/>
        </w:rPr>
        <w:t>de</w:t>
      </w:r>
      <w:r w:rsidR="00A3127D" w:rsidRPr="00BD22C2">
        <w:rPr>
          <w:rFonts w:eastAsia="Calibri"/>
          <w:lang w:val="fr-CA" w:eastAsia="en-US"/>
        </w:rPr>
        <w:t>s</w:t>
      </w:r>
      <w:r w:rsidRPr="00BD22C2">
        <w:rPr>
          <w:rFonts w:eastAsia="Calibri"/>
          <w:lang w:val="fr-CA" w:eastAsia="en-US"/>
        </w:rPr>
        <w:t xml:space="preserve"> enfant</w:t>
      </w:r>
      <w:r w:rsidR="00A3127D" w:rsidRPr="00BD22C2">
        <w:rPr>
          <w:rFonts w:eastAsia="Calibri"/>
          <w:lang w:val="fr-CA" w:eastAsia="en-US"/>
        </w:rPr>
        <w:t>s</w:t>
      </w:r>
      <w:r w:rsidRPr="00BD22C2">
        <w:rPr>
          <w:rFonts w:eastAsia="Calibri"/>
          <w:lang w:val="fr-CA" w:eastAsia="en-US"/>
        </w:rPr>
        <w:t xml:space="preserve"> et les droits et devoirs des parents à leur égard. La Commission estime nécessaire de rappeler les principes et les obligations applicables au Québec et appelle le Comité de sage</w:t>
      </w:r>
      <w:r w:rsidR="00C20A74" w:rsidRPr="00BD22C2">
        <w:rPr>
          <w:rFonts w:eastAsia="Calibri"/>
          <w:lang w:val="fr-CA" w:eastAsia="en-US"/>
        </w:rPr>
        <w:t>s</w:t>
      </w:r>
      <w:r w:rsidRPr="00BD22C2">
        <w:rPr>
          <w:rFonts w:eastAsia="Calibri"/>
          <w:lang w:val="fr-CA" w:eastAsia="en-US"/>
        </w:rPr>
        <w:t xml:space="preserve"> à orienter en ce sens ses réflexions. </w:t>
      </w:r>
    </w:p>
    <w:p w14:paraId="515A0FAF" w14:textId="2F20A60F" w:rsidR="001A42EF" w:rsidRPr="00BD22C2" w:rsidRDefault="00F7531E" w:rsidP="00F7531E">
      <w:pPr>
        <w:pStyle w:val="Paragraphe"/>
        <w:rPr>
          <w:rFonts w:eastAsia="Calibri"/>
          <w:lang w:val="fr-CA" w:eastAsia="en-US"/>
        </w:rPr>
      </w:pPr>
      <w:r w:rsidRPr="00BD22C2">
        <w:rPr>
          <w:rFonts w:eastAsia="Calibri"/>
          <w:lang w:val="fr-CA" w:eastAsia="en-US"/>
        </w:rPr>
        <w:t>Le rôle des parents ou des personnes qui en tiennent lieu est défini tant en droit international qu’en droit interne : la CRDE</w:t>
      </w:r>
      <w:r w:rsidRPr="00BD22C2">
        <w:rPr>
          <w:rFonts w:eastAsia="Calibri"/>
          <w:vertAlign w:val="superscript"/>
          <w:lang w:val="fr-CA" w:eastAsia="en-US"/>
        </w:rPr>
        <w:endnoteReference w:id="274"/>
      </w:r>
      <w:r w:rsidRPr="00BD22C2">
        <w:rPr>
          <w:rFonts w:eastAsia="Calibri"/>
          <w:lang w:val="fr-CA" w:eastAsia="en-US"/>
        </w:rPr>
        <w:t>, la Charte</w:t>
      </w:r>
      <w:r w:rsidRPr="00BD22C2">
        <w:rPr>
          <w:rFonts w:eastAsia="Calibri"/>
          <w:vertAlign w:val="superscript"/>
          <w:lang w:val="fr-CA" w:eastAsia="en-US"/>
        </w:rPr>
        <w:endnoteReference w:id="275"/>
      </w:r>
      <w:r w:rsidRPr="00BD22C2">
        <w:rPr>
          <w:rFonts w:eastAsia="Calibri"/>
          <w:lang w:val="fr-CA" w:eastAsia="en-US"/>
        </w:rPr>
        <w:t>, le C.c.Q.</w:t>
      </w:r>
      <w:r w:rsidRPr="00BD22C2">
        <w:rPr>
          <w:rFonts w:eastAsia="Calibri"/>
          <w:vertAlign w:val="superscript"/>
          <w:lang w:val="fr-CA" w:eastAsia="en-US"/>
        </w:rPr>
        <w:endnoteReference w:id="276"/>
      </w:r>
      <w:r w:rsidRPr="00BD22C2">
        <w:rPr>
          <w:rFonts w:eastAsia="Calibri"/>
          <w:lang w:val="fr-CA" w:eastAsia="en-US"/>
        </w:rPr>
        <w:t xml:space="preserve"> et la </w:t>
      </w:r>
      <w:proofErr w:type="spellStart"/>
      <w:r w:rsidRPr="00BD22C2">
        <w:rPr>
          <w:rFonts w:eastAsia="Calibri"/>
          <w:lang w:val="fr-CA" w:eastAsia="en-US"/>
        </w:rPr>
        <w:t>L.p.j</w:t>
      </w:r>
      <w:proofErr w:type="spellEnd"/>
      <w:r w:rsidRPr="00BD22C2">
        <w:rPr>
          <w:rFonts w:eastAsia="Calibri"/>
          <w:lang w:val="fr-CA" w:eastAsia="en-US"/>
        </w:rPr>
        <w:t>.</w:t>
      </w:r>
      <w:r w:rsidRPr="00BD22C2">
        <w:rPr>
          <w:rFonts w:eastAsia="Calibri"/>
          <w:vertAlign w:val="superscript"/>
          <w:lang w:val="fr-CA" w:eastAsia="en-US"/>
        </w:rPr>
        <w:endnoteReference w:id="277"/>
      </w:r>
      <w:r w:rsidRPr="00BD22C2">
        <w:rPr>
          <w:rFonts w:eastAsia="Calibri"/>
          <w:lang w:val="fr-CA" w:eastAsia="en-US"/>
        </w:rPr>
        <w:t xml:space="preserve"> reconnaissent explicitement le principe de primauté du rôle des parents dans le soin, l’entretien, l’éducation et la surveillance de leurs enfants</w:t>
      </w:r>
      <w:r w:rsidRPr="00BD22C2">
        <w:rPr>
          <w:rFonts w:eastAsia="Calibri"/>
          <w:i/>
          <w:iCs/>
          <w:lang w:val="fr-CA" w:eastAsia="en-US"/>
        </w:rPr>
        <w:t xml:space="preserve">. </w:t>
      </w:r>
      <w:r w:rsidRPr="00BD22C2">
        <w:rPr>
          <w:rFonts w:eastAsia="Calibri"/>
          <w:lang w:val="fr-CA" w:eastAsia="en-US"/>
        </w:rPr>
        <w:t>Leur rôle est conditionné dans certaines circonstances. Par exemple, l’article 41 de la Charte prévoit que les parents exercent leurs droits d’assurer l’éducation religieuse et morale de leurs enfants, mais qu’ils doivent le faire « dans le respect des droits de leur</w:t>
      </w:r>
      <w:r w:rsidR="00CE1EB1" w:rsidRPr="00BD22C2">
        <w:rPr>
          <w:rFonts w:eastAsia="Calibri"/>
          <w:lang w:val="fr-CA" w:eastAsia="en-US"/>
        </w:rPr>
        <w:t>s</w:t>
      </w:r>
      <w:r w:rsidRPr="00BD22C2">
        <w:rPr>
          <w:rFonts w:eastAsia="Calibri"/>
          <w:lang w:val="fr-CA" w:eastAsia="en-US"/>
        </w:rPr>
        <w:t xml:space="preserve"> enfant</w:t>
      </w:r>
      <w:r w:rsidR="00CE1EB1" w:rsidRPr="00BD22C2">
        <w:rPr>
          <w:rFonts w:eastAsia="Calibri"/>
          <w:lang w:val="fr-CA" w:eastAsia="en-US"/>
        </w:rPr>
        <w:t>s</w:t>
      </w:r>
      <w:r w:rsidRPr="00BD22C2">
        <w:rPr>
          <w:rFonts w:eastAsia="Calibri"/>
          <w:lang w:val="fr-CA" w:eastAsia="en-US"/>
        </w:rPr>
        <w:t xml:space="preserve"> et d</w:t>
      </w:r>
      <w:r w:rsidR="00D81112" w:rsidRPr="00BD22C2">
        <w:rPr>
          <w:rFonts w:eastAsia="Calibri"/>
          <w:lang w:val="fr-CA" w:eastAsia="en-US"/>
        </w:rPr>
        <w:t>e</w:t>
      </w:r>
      <w:r w:rsidRPr="00BD22C2">
        <w:rPr>
          <w:rFonts w:eastAsia="Calibri"/>
          <w:lang w:val="fr-CA" w:eastAsia="en-US"/>
        </w:rPr>
        <w:t xml:space="preserve"> l’intérêt de ceux-ci »</w:t>
      </w:r>
      <w:r w:rsidRPr="00BD22C2">
        <w:rPr>
          <w:rFonts w:eastAsia="Calibri"/>
          <w:vertAlign w:val="superscript"/>
          <w:lang w:val="fr-CA" w:eastAsia="en-US"/>
        </w:rPr>
        <w:endnoteReference w:id="278"/>
      </w:r>
      <w:r w:rsidRPr="00BD22C2">
        <w:rPr>
          <w:rFonts w:eastAsia="Calibri"/>
          <w:lang w:val="fr-CA" w:eastAsia="en-US"/>
        </w:rPr>
        <w:t xml:space="preserve">. </w:t>
      </w:r>
    </w:p>
    <w:p w14:paraId="1BD76A4B" w14:textId="128F6B30" w:rsidR="00F7531E" w:rsidRPr="00BD22C2" w:rsidRDefault="003D7875" w:rsidP="00F7531E">
      <w:pPr>
        <w:pStyle w:val="Paragraphe"/>
        <w:rPr>
          <w:rFonts w:eastAsia="Calibri"/>
          <w:lang w:val="fr-CA" w:eastAsia="en-US"/>
        </w:rPr>
      </w:pPr>
      <w:r w:rsidRPr="00BD22C2">
        <w:rPr>
          <w:rFonts w:eastAsia="Calibri"/>
          <w:lang w:val="fr-CA" w:eastAsia="en-US"/>
        </w:rPr>
        <w:t>Dans le respect de la primauté parentale et de l’autonomie graduelle de l’enfant, l</w:t>
      </w:r>
      <w:r w:rsidR="00F7531E" w:rsidRPr="00BD22C2">
        <w:rPr>
          <w:rFonts w:eastAsia="Calibri"/>
          <w:lang w:val="fr-CA" w:eastAsia="en-US"/>
        </w:rPr>
        <w:t xml:space="preserve">’État </w:t>
      </w:r>
      <w:r w:rsidR="005731CC" w:rsidRPr="00BD22C2">
        <w:rPr>
          <w:rFonts w:eastAsia="Calibri"/>
          <w:lang w:val="fr-CA" w:eastAsia="en-US"/>
        </w:rPr>
        <w:t>a par ailleurs d’importantes responsabilités</w:t>
      </w:r>
      <w:r w:rsidR="00A6547B" w:rsidRPr="00BD22C2">
        <w:rPr>
          <w:rFonts w:eastAsia="Calibri"/>
          <w:lang w:val="fr-CA" w:eastAsia="en-US"/>
        </w:rPr>
        <w:t xml:space="preserve"> à assumer</w:t>
      </w:r>
      <w:r w:rsidR="005731CC" w:rsidRPr="00BD22C2">
        <w:rPr>
          <w:rFonts w:eastAsia="Calibri"/>
          <w:lang w:val="fr-CA" w:eastAsia="en-US"/>
        </w:rPr>
        <w:t xml:space="preserve">, que ce soit </w:t>
      </w:r>
      <w:r w:rsidR="00F5416E" w:rsidRPr="00BD22C2">
        <w:rPr>
          <w:rFonts w:eastAsia="Calibri"/>
          <w:lang w:val="fr-CA" w:eastAsia="en-US"/>
        </w:rPr>
        <w:t>en lien avec la mise en œuvre effective des droits économiques et sociaux</w:t>
      </w:r>
      <w:r w:rsidR="002705BD" w:rsidRPr="00BD22C2">
        <w:rPr>
          <w:rFonts w:eastAsia="Calibri"/>
          <w:lang w:val="fr-CA" w:eastAsia="en-US"/>
        </w:rPr>
        <w:t xml:space="preserve">, </w:t>
      </w:r>
      <w:r w:rsidR="00F5416E" w:rsidRPr="00BD22C2">
        <w:rPr>
          <w:rFonts w:eastAsia="Calibri"/>
          <w:lang w:val="fr-CA" w:eastAsia="en-US"/>
        </w:rPr>
        <w:t>dans une perspective de prévention</w:t>
      </w:r>
      <w:r w:rsidR="002705BD" w:rsidRPr="00BD22C2">
        <w:rPr>
          <w:rFonts w:eastAsia="Calibri"/>
          <w:lang w:val="fr-CA" w:eastAsia="en-US"/>
        </w:rPr>
        <w:t xml:space="preserve"> des </w:t>
      </w:r>
      <w:r w:rsidR="00401882" w:rsidRPr="00BD22C2">
        <w:rPr>
          <w:rFonts w:eastAsia="Calibri"/>
          <w:lang w:val="fr-CA" w:eastAsia="en-US"/>
        </w:rPr>
        <w:t xml:space="preserve">atteintes aux droits des enfants </w:t>
      </w:r>
      <w:r w:rsidR="00AE4C25" w:rsidRPr="00BD22C2">
        <w:rPr>
          <w:rFonts w:eastAsia="Calibri"/>
          <w:lang w:val="fr-CA" w:eastAsia="en-US"/>
        </w:rPr>
        <w:t>et</w:t>
      </w:r>
      <w:r w:rsidR="00401882" w:rsidRPr="00BD22C2">
        <w:rPr>
          <w:rFonts w:eastAsia="Calibri"/>
          <w:lang w:val="fr-CA" w:eastAsia="en-US"/>
        </w:rPr>
        <w:t xml:space="preserve"> des </w:t>
      </w:r>
      <w:r w:rsidR="002705BD" w:rsidRPr="00BD22C2">
        <w:rPr>
          <w:rFonts w:eastAsia="Calibri"/>
          <w:lang w:val="fr-CA" w:eastAsia="en-US"/>
        </w:rPr>
        <w:t>situations de compromission</w:t>
      </w:r>
      <w:r w:rsidR="00F5416E" w:rsidRPr="00BD22C2">
        <w:rPr>
          <w:rFonts w:eastAsia="Calibri"/>
          <w:lang w:val="fr-CA" w:eastAsia="en-US"/>
        </w:rPr>
        <w:t xml:space="preserve"> ou </w:t>
      </w:r>
      <w:r w:rsidR="00A6547B" w:rsidRPr="00BD22C2">
        <w:rPr>
          <w:rFonts w:eastAsia="Calibri"/>
          <w:lang w:val="fr-CA" w:eastAsia="en-US"/>
        </w:rPr>
        <w:t>encore lorsqu’il</w:t>
      </w:r>
      <w:r w:rsidR="00F7531E" w:rsidRPr="00BD22C2">
        <w:rPr>
          <w:rFonts w:eastAsia="Calibri"/>
          <w:lang w:val="fr-CA" w:eastAsia="en-US"/>
        </w:rPr>
        <w:t xml:space="preserve"> </w:t>
      </w:r>
      <w:r w:rsidR="00A6547B" w:rsidRPr="00BD22C2">
        <w:rPr>
          <w:rFonts w:eastAsia="Calibri"/>
          <w:lang w:val="fr-CA" w:eastAsia="en-US"/>
        </w:rPr>
        <w:t>a à</w:t>
      </w:r>
      <w:r w:rsidR="00F7531E" w:rsidRPr="00BD22C2">
        <w:rPr>
          <w:rFonts w:eastAsia="Calibri"/>
          <w:lang w:val="fr-CA" w:eastAsia="en-US"/>
        </w:rPr>
        <w:t xml:space="preserve"> intervenir de </w:t>
      </w:r>
      <w:r w:rsidR="00F7531E" w:rsidRPr="00BD22C2">
        <w:rPr>
          <w:rFonts w:eastAsia="Calibri"/>
          <w:lang w:val="fr-CA" w:eastAsia="en-US"/>
        </w:rPr>
        <w:lastRenderedPageBreak/>
        <w:t>façon forcée dans la vie des familles pour protéger l’enfant des menaces à son développement et à sa sécurité</w:t>
      </w:r>
      <w:r w:rsidR="00F7531E" w:rsidRPr="00BD22C2">
        <w:rPr>
          <w:rFonts w:eastAsia="Calibri"/>
          <w:vertAlign w:val="superscript"/>
          <w:lang w:val="fr-CA" w:eastAsia="en-US"/>
        </w:rPr>
        <w:endnoteReference w:id="279"/>
      </w:r>
      <w:r w:rsidR="00F7531E" w:rsidRPr="00BD22C2">
        <w:rPr>
          <w:rFonts w:eastAsia="Calibri"/>
          <w:lang w:val="fr-CA" w:eastAsia="en-US"/>
        </w:rPr>
        <w:t xml:space="preserve">. </w:t>
      </w:r>
      <w:r w:rsidR="00984E9F" w:rsidRPr="00BD22C2">
        <w:rPr>
          <w:rFonts w:eastAsia="Calibri"/>
          <w:lang w:val="fr-CA" w:eastAsia="en-US"/>
        </w:rPr>
        <w:t xml:space="preserve">Comme l’indique le Professeur Robert P. </w:t>
      </w:r>
      <w:proofErr w:type="spellStart"/>
      <w:r w:rsidR="00984E9F" w:rsidRPr="00BD22C2">
        <w:rPr>
          <w:rFonts w:eastAsia="Calibri"/>
          <w:lang w:val="fr-CA" w:eastAsia="en-US"/>
        </w:rPr>
        <w:t>Kouri</w:t>
      </w:r>
      <w:proofErr w:type="spellEnd"/>
      <w:r w:rsidR="00984E9F" w:rsidRPr="00BD22C2">
        <w:rPr>
          <w:rFonts w:eastAsia="Calibri"/>
          <w:lang w:val="fr-CA" w:eastAsia="en-US"/>
        </w:rPr>
        <w:t>, référant aux commentaires du ministre de la Justice, «</w:t>
      </w:r>
      <w:r w:rsidR="0051216B" w:rsidRPr="00BD22C2">
        <w:rPr>
          <w:rFonts w:eastAsia="Calibri"/>
          <w:lang w:val="fr-CA" w:eastAsia="en-US"/>
        </w:rPr>
        <w:t> </w:t>
      </w:r>
      <w:r w:rsidR="00984E9F" w:rsidRPr="00BD22C2">
        <w:rPr>
          <w:rFonts w:eastAsia="Calibri"/>
          <w:lang w:val="fr-CA" w:eastAsia="en-US"/>
        </w:rPr>
        <w:t>[l]a minorité est normalement une lente progression vers la pleine capacité, et donc, la pleine autonomie</w:t>
      </w:r>
      <w:r w:rsidR="00984E9F" w:rsidRPr="00BD22C2">
        <w:rPr>
          <w:rStyle w:val="Appeldenotedefin"/>
          <w:rFonts w:eastAsia="Calibri"/>
          <w:lang w:val="fr-CA" w:eastAsia="en-US"/>
        </w:rPr>
        <w:endnoteReference w:id="280"/>
      </w:r>
      <w:r w:rsidR="00984E9F" w:rsidRPr="00BD22C2">
        <w:rPr>
          <w:rFonts w:eastAsia="Calibri"/>
          <w:lang w:val="fr-CA" w:eastAsia="en-US"/>
        </w:rPr>
        <w:t>. Durant cette période, le droit doit offrir au mineur une protection adéquate tout en s’assurant du respect de ses droits fondamentaux</w:t>
      </w:r>
      <w:r w:rsidR="0051216B" w:rsidRPr="00BD22C2">
        <w:rPr>
          <w:rFonts w:eastAsia="Calibri"/>
          <w:lang w:val="fr-CA" w:eastAsia="en-US"/>
        </w:rPr>
        <w:t> </w:t>
      </w:r>
      <w:r w:rsidR="00984E9F" w:rsidRPr="00BD22C2">
        <w:rPr>
          <w:rFonts w:eastAsia="Calibri"/>
          <w:lang w:val="fr-CA" w:eastAsia="en-US"/>
        </w:rPr>
        <w:t>»</w:t>
      </w:r>
      <w:r w:rsidR="00984E9F" w:rsidRPr="00BD22C2">
        <w:rPr>
          <w:rStyle w:val="Appeldenotedefin"/>
          <w:rFonts w:eastAsia="Calibri"/>
          <w:lang w:val="fr-CA" w:eastAsia="en-US"/>
        </w:rPr>
        <w:endnoteReference w:id="281"/>
      </w:r>
      <w:r w:rsidR="00984E9F" w:rsidRPr="00BD22C2">
        <w:rPr>
          <w:rFonts w:eastAsia="Calibri"/>
          <w:lang w:val="fr-CA" w:eastAsia="en-US"/>
        </w:rPr>
        <w:t>.</w:t>
      </w:r>
    </w:p>
    <w:p w14:paraId="3215768B" w14:textId="4943C6F1" w:rsidR="00F7531E" w:rsidRPr="00BD22C2" w:rsidRDefault="00F7531E" w:rsidP="00F7531E">
      <w:pPr>
        <w:pStyle w:val="Paragraphe"/>
        <w:rPr>
          <w:rFonts w:eastAsia="Calibri"/>
          <w:lang w:val="fr-CA" w:eastAsia="en-US"/>
        </w:rPr>
      </w:pPr>
      <w:r w:rsidRPr="00BD22C2">
        <w:rPr>
          <w:rFonts w:eastAsia="Calibri"/>
          <w:lang w:val="fr-CA" w:eastAsia="en-US"/>
        </w:rPr>
        <w:t>Le C.c.Q. prévoit également l’obligation pour les enfants de respecter l’autorité parentale jusqu’à leur majorité ou leur émancipation</w:t>
      </w:r>
      <w:r w:rsidRPr="00BD22C2">
        <w:rPr>
          <w:rFonts w:eastAsia="Calibri"/>
          <w:vertAlign w:val="superscript"/>
          <w:lang w:val="fr-CA" w:eastAsia="en-US"/>
        </w:rPr>
        <w:endnoteReference w:id="282"/>
      </w:r>
      <w:r w:rsidRPr="00BD22C2">
        <w:rPr>
          <w:rFonts w:eastAsia="Calibri"/>
          <w:lang w:val="fr-CA" w:eastAsia="en-US"/>
        </w:rPr>
        <w:t xml:space="preserve">. </w:t>
      </w:r>
      <w:r w:rsidR="00E71C37" w:rsidRPr="00BD22C2">
        <w:rPr>
          <w:rFonts w:eastAsia="Calibri"/>
          <w:lang w:val="fr-CA" w:eastAsia="en-US"/>
        </w:rPr>
        <w:t>C</w:t>
      </w:r>
      <w:r w:rsidRPr="00BD22C2">
        <w:rPr>
          <w:rFonts w:eastAsia="Calibri"/>
          <w:lang w:val="fr-CA" w:eastAsia="en-US"/>
        </w:rPr>
        <w:t xml:space="preserve">ette notion </w:t>
      </w:r>
      <w:r w:rsidR="00E675E7" w:rsidRPr="00BD22C2">
        <w:rPr>
          <w:rFonts w:eastAsia="Calibri"/>
          <w:lang w:val="fr-CA" w:eastAsia="en-US"/>
        </w:rPr>
        <w:t>implique</w:t>
      </w:r>
      <w:r w:rsidRPr="00BD22C2">
        <w:rPr>
          <w:rFonts w:eastAsia="Calibri"/>
          <w:lang w:val="fr-CA" w:eastAsia="en-US"/>
        </w:rPr>
        <w:t xml:space="preserve"> des droits et des responsabilités aux parents, leur permettant de prendre les décisions nécessaires au bien-être de leurs enfants</w:t>
      </w:r>
      <w:r w:rsidRPr="00BD22C2">
        <w:rPr>
          <w:rFonts w:eastAsia="Calibri"/>
          <w:vertAlign w:val="superscript"/>
          <w:lang w:val="fr-CA" w:eastAsia="en-US"/>
        </w:rPr>
        <w:endnoteReference w:id="283"/>
      </w:r>
      <w:r w:rsidRPr="00BD22C2">
        <w:rPr>
          <w:rFonts w:eastAsia="Calibri"/>
          <w:lang w:val="fr-CA" w:eastAsia="en-US"/>
        </w:rPr>
        <w:t>, dans leur intérêt et le respect de leurs droits</w:t>
      </w:r>
      <w:r w:rsidRPr="00BD22C2">
        <w:rPr>
          <w:rFonts w:eastAsia="Calibri"/>
          <w:vertAlign w:val="superscript"/>
          <w:lang w:val="fr-CA" w:eastAsia="en-US"/>
        </w:rPr>
        <w:endnoteReference w:id="284"/>
      </w:r>
      <w:r w:rsidRPr="00BD22C2">
        <w:rPr>
          <w:rFonts w:eastAsia="Calibri"/>
          <w:lang w:val="fr-CA" w:eastAsia="en-US"/>
        </w:rPr>
        <w:t>. L’autorité parentale permet de servir l’intérêt de l’enfant, qui conditionne toutes les décisions prises à leur égard</w:t>
      </w:r>
      <w:r w:rsidRPr="00BD22C2">
        <w:rPr>
          <w:rFonts w:eastAsia="Calibri"/>
          <w:vertAlign w:val="superscript"/>
          <w:lang w:val="fr-CA" w:eastAsia="en-US"/>
        </w:rPr>
        <w:endnoteReference w:id="285"/>
      </w:r>
      <w:r w:rsidRPr="00BD22C2">
        <w:rPr>
          <w:rFonts w:eastAsia="Calibri"/>
          <w:lang w:val="fr-CA" w:eastAsia="en-US"/>
        </w:rPr>
        <w:t>, par l’exercice des droits et responsabilités de garde, de surveillance, d’éducation, d’alimentation et d’entretien</w:t>
      </w:r>
      <w:r w:rsidRPr="00BD22C2">
        <w:rPr>
          <w:rFonts w:eastAsia="Calibri"/>
          <w:vertAlign w:val="superscript"/>
          <w:lang w:val="fr-CA" w:eastAsia="en-US"/>
        </w:rPr>
        <w:endnoteReference w:id="286"/>
      </w:r>
      <w:r w:rsidRPr="00BD22C2">
        <w:rPr>
          <w:rFonts w:eastAsia="Calibri"/>
          <w:lang w:val="fr-CA" w:eastAsia="en-US"/>
        </w:rPr>
        <w:t xml:space="preserve">. </w:t>
      </w:r>
    </w:p>
    <w:p w14:paraId="7C718E48" w14:textId="2DD952E4" w:rsidR="00F7531E" w:rsidRPr="00BD22C2" w:rsidRDefault="00F7531E" w:rsidP="00F7531E">
      <w:pPr>
        <w:shd w:val="clear" w:color="auto" w:fill="FFFFFF" w:themeFill="background1"/>
        <w:spacing w:before="240" w:after="240"/>
        <w:jc w:val="left"/>
        <w:rPr>
          <w:rFonts w:eastAsia="Calibri" w:cs="Open Sans"/>
          <w:color w:val="000000"/>
          <w:lang w:eastAsia="en-US"/>
        </w:rPr>
      </w:pPr>
      <w:r w:rsidRPr="00BD22C2">
        <w:rPr>
          <w:rFonts w:eastAsia="Calibri" w:cs="Open Sans"/>
          <w:color w:val="000000"/>
          <w:lang w:eastAsia="en-US"/>
        </w:rPr>
        <w:t>En plus des droits de l’enfant déjà abordés, ses droits à une autonomie graduelle</w:t>
      </w:r>
      <w:r w:rsidRPr="00BD22C2">
        <w:rPr>
          <w:rFonts w:eastAsia="Calibri" w:cs="Open Sans"/>
          <w:color w:val="000000" w:themeColor="text1"/>
          <w:lang w:eastAsia="en-US"/>
        </w:rPr>
        <w:t>, à l’éducation</w:t>
      </w:r>
      <w:r w:rsidRPr="00BD22C2">
        <w:rPr>
          <w:rFonts w:eastAsia="Calibri" w:cs="Open Sans"/>
          <w:color w:val="000000"/>
          <w:lang w:eastAsia="en-US"/>
        </w:rPr>
        <w:t xml:space="preserve"> et au respect de sa vie privée et leurs potentielles atteintes doivent eux</w:t>
      </w:r>
      <w:r w:rsidR="00F93A07" w:rsidRPr="00BD22C2">
        <w:rPr>
          <w:rFonts w:eastAsia="Calibri" w:cs="Open Sans"/>
          <w:color w:val="000000"/>
          <w:lang w:eastAsia="en-US"/>
        </w:rPr>
        <w:t xml:space="preserve"> </w:t>
      </w:r>
      <w:r w:rsidRPr="00BD22C2">
        <w:rPr>
          <w:rFonts w:eastAsia="Calibri" w:cs="Open Sans"/>
          <w:color w:val="000000"/>
          <w:lang w:eastAsia="en-US"/>
        </w:rPr>
        <w:t xml:space="preserve">aussi être considérés dans l’élaboration de politiques et de lois les concernant. </w:t>
      </w:r>
    </w:p>
    <w:p w14:paraId="23C8FBC6" w14:textId="4B731790" w:rsidR="00701EE1" w:rsidRPr="00BD22C2" w:rsidRDefault="00F7531E" w:rsidP="00644EF9">
      <w:pPr>
        <w:shd w:val="clear" w:color="auto" w:fill="FFFFFF" w:themeFill="background1"/>
        <w:spacing w:before="240" w:after="240"/>
        <w:jc w:val="left"/>
        <w:rPr>
          <w:rFonts w:eastAsia="Calibri"/>
          <w:lang w:eastAsia="en-US"/>
        </w:rPr>
      </w:pPr>
      <w:r w:rsidRPr="00BD22C2">
        <w:rPr>
          <w:rFonts w:eastAsia="Calibri" w:cs="Open Sans"/>
          <w:color w:val="000000"/>
          <w:lang w:eastAsia="en-US"/>
        </w:rPr>
        <w:t xml:space="preserve">Bien que le droit à l’autodétermination ne soit pas explicitement </w:t>
      </w:r>
      <w:r w:rsidR="00AA1A72" w:rsidRPr="00BD22C2">
        <w:rPr>
          <w:rFonts w:eastAsia="Calibri" w:cs="Open Sans"/>
          <w:color w:val="000000"/>
          <w:lang w:eastAsia="en-US"/>
        </w:rPr>
        <w:t>inscrit</w:t>
      </w:r>
      <w:r w:rsidRPr="00BD22C2">
        <w:rPr>
          <w:rFonts w:eastAsia="Calibri" w:cs="Open Sans"/>
          <w:color w:val="000000"/>
          <w:lang w:eastAsia="en-US"/>
        </w:rPr>
        <w:t xml:space="preserve"> à la CRDE, le droit de l’enfant à ce que ses opinions soient « dûment prises en considération eu égard à son âge et à sa maturité »</w:t>
      </w:r>
      <w:r w:rsidRPr="00BD22C2">
        <w:rPr>
          <w:rFonts w:eastAsia="Calibri" w:cs="Open Sans"/>
          <w:color w:val="000000"/>
          <w:vertAlign w:val="superscript"/>
          <w:lang w:eastAsia="en-US"/>
        </w:rPr>
        <w:endnoteReference w:id="287"/>
      </w:r>
      <w:r w:rsidRPr="00BD22C2">
        <w:rPr>
          <w:rFonts w:eastAsia="Calibri" w:cs="Open Sans"/>
          <w:color w:val="000000"/>
          <w:lang w:eastAsia="en-US"/>
        </w:rPr>
        <w:t xml:space="preserve"> traduit une reconnaissance de l’autonomie graduelle des enfants. Comme le soulignait le Comité des droits de l’enfant, « le degré de compréhension des enfants n’est pas lié de manière uniforme à leur âge biologique »</w:t>
      </w:r>
      <w:r w:rsidRPr="00BD22C2">
        <w:rPr>
          <w:rFonts w:eastAsia="Calibri" w:cs="Open Sans"/>
          <w:color w:val="000000"/>
          <w:vertAlign w:val="superscript"/>
          <w:lang w:eastAsia="en-US"/>
        </w:rPr>
        <w:endnoteReference w:id="288"/>
      </w:r>
      <w:r w:rsidRPr="00BD22C2">
        <w:rPr>
          <w:rFonts w:eastAsia="Calibri" w:cs="Open Sans"/>
          <w:color w:val="000000"/>
          <w:lang w:eastAsia="en-US"/>
        </w:rPr>
        <w:t>. Il faut plutôt tenir compte de « l’information, l’expérience, l’environnement, les attentes sociales et culturelles et le soutien dont bénéficie l’enfant [qui] sont autant de facteurs qui contribuent au développement de la capacité de l’enfant de se faire une opinion »</w:t>
      </w:r>
      <w:r w:rsidRPr="00BD22C2">
        <w:rPr>
          <w:rFonts w:eastAsia="Calibri" w:cs="Open Sans"/>
          <w:color w:val="000000"/>
          <w:vertAlign w:val="superscript"/>
          <w:lang w:eastAsia="en-US"/>
        </w:rPr>
        <w:endnoteReference w:id="289"/>
      </w:r>
      <w:r w:rsidRPr="00BD22C2">
        <w:rPr>
          <w:rFonts w:eastAsia="Calibri" w:cs="Open Sans"/>
          <w:color w:val="000000"/>
          <w:lang w:eastAsia="en-US"/>
        </w:rPr>
        <w:t>. Puisque les capacités physiques, intellectuelles, sociales et émotionnelles varient d’un enfant à l’autre, particulièrement à l’adolescence</w:t>
      </w:r>
      <w:bookmarkStart w:id="142" w:name="_Ref167455436"/>
      <w:r w:rsidRPr="00BD22C2">
        <w:rPr>
          <w:rStyle w:val="Appeldenotedefin"/>
          <w:rFonts w:eastAsia="Calibri" w:cs="Open Sans"/>
          <w:color w:val="000000"/>
          <w:lang w:eastAsia="en-US"/>
        </w:rPr>
        <w:endnoteReference w:id="290"/>
      </w:r>
      <w:bookmarkEnd w:id="142"/>
      <w:r w:rsidRPr="00BD22C2">
        <w:rPr>
          <w:rFonts w:eastAsia="Calibri" w:cs="Open Sans"/>
          <w:color w:val="000000"/>
          <w:lang w:eastAsia="en-US"/>
        </w:rPr>
        <w:t xml:space="preserve">, l’évaluation de </w:t>
      </w:r>
      <w:r w:rsidR="00A043D1" w:rsidRPr="00BD22C2">
        <w:rPr>
          <w:rFonts w:eastAsia="Calibri" w:cs="Open Sans"/>
          <w:color w:val="000000"/>
          <w:lang w:eastAsia="en-US"/>
        </w:rPr>
        <w:t xml:space="preserve">la </w:t>
      </w:r>
      <w:r w:rsidRPr="00BD22C2">
        <w:rPr>
          <w:rFonts w:eastAsia="Calibri" w:cs="Open Sans"/>
          <w:color w:val="000000"/>
          <w:lang w:eastAsia="en-US"/>
        </w:rPr>
        <w:t xml:space="preserve">capacité </w:t>
      </w:r>
      <w:r w:rsidR="00A043D1" w:rsidRPr="00BD22C2">
        <w:rPr>
          <w:rFonts w:eastAsia="Calibri" w:cs="Open Sans"/>
          <w:color w:val="000000"/>
          <w:lang w:eastAsia="en-US"/>
        </w:rPr>
        <w:t xml:space="preserve">de la personne mineure </w:t>
      </w:r>
      <w:r w:rsidRPr="00BD22C2">
        <w:rPr>
          <w:rFonts w:eastAsia="Calibri" w:cs="Open Sans"/>
          <w:color w:val="000000"/>
          <w:lang w:eastAsia="en-US"/>
        </w:rPr>
        <w:t>à participer doit toujours se faire de manière individualisée.</w:t>
      </w:r>
    </w:p>
    <w:p w14:paraId="5A945AA7" w14:textId="01C8E279" w:rsidR="00F7531E" w:rsidRPr="00BD22C2" w:rsidRDefault="00F7531E" w:rsidP="00F7531E">
      <w:pPr>
        <w:pStyle w:val="Paragraphe"/>
        <w:rPr>
          <w:rFonts w:eastAsia="Calibri"/>
          <w:lang w:val="fr-CA" w:eastAsia="en-US"/>
        </w:rPr>
      </w:pPr>
      <w:r w:rsidRPr="00BD22C2">
        <w:rPr>
          <w:rFonts w:eastAsia="Calibri"/>
          <w:lang w:val="fr-CA" w:eastAsia="en-US"/>
        </w:rPr>
        <w:t>Toujours à propos de l’articulation du rôle des parents et de l’État,</w:t>
      </w:r>
      <w:r w:rsidRPr="00BD22C2" w:rsidDel="001D0733">
        <w:rPr>
          <w:rFonts w:eastAsia="Calibri"/>
          <w:lang w:val="fr-CA" w:eastAsia="en-US"/>
        </w:rPr>
        <w:t xml:space="preserve"> </w:t>
      </w:r>
      <w:r w:rsidR="001D0733" w:rsidRPr="00BD22C2">
        <w:rPr>
          <w:rFonts w:eastAsia="Calibri"/>
          <w:lang w:val="fr-CA" w:eastAsia="en-US"/>
        </w:rPr>
        <w:t>mentionnons</w:t>
      </w:r>
      <w:r w:rsidRPr="00BD22C2">
        <w:rPr>
          <w:rFonts w:eastAsia="Calibri"/>
          <w:lang w:val="fr-CA" w:eastAsia="en-US"/>
        </w:rPr>
        <w:t xml:space="preserve"> par ailleurs que les enfants et les jeunes ont droit à l’instruction publique gratuite et à l’éducation, des droits protégés par la Charte, le </w:t>
      </w:r>
      <w:r w:rsidR="001906E5" w:rsidRPr="00BD22C2">
        <w:rPr>
          <w:rFonts w:eastAsia="Calibri"/>
          <w:i/>
          <w:iCs/>
          <w:lang w:val="fr-CA" w:eastAsia="en-US"/>
        </w:rPr>
        <w:t>Pacte international relatif aux droits économiques, sociaux et culturels</w:t>
      </w:r>
      <w:r w:rsidR="001906E5" w:rsidRPr="00BD22C2">
        <w:rPr>
          <w:rFonts w:eastAsia="Calibri"/>
          <w:lang w:val="fr-CA" w:eastAsia="en-US"/>
        </w:rPr>
        <w:t xml:space="preserve"> (ci-après «</w:t>
      </w:r>
      <w:r w:rsidR="00444FEB">
        <w:rPr>
          <w:rFonts w:eastAsia="Calibri"/>
          <w:lang w:val="fr-CA" w:eastAsia="en-US"/>
        </w:rPr>
        <w:t> </w:t>
      </w:r>
      <w:r w:rsidR="001906E5" w:rsidRPr="00BD22C2">
        <w:rPr>
          <w:rFonts w:eastAsia="Calibri"/>
          <w:lang w:val="fr-CA" w:eastAsia="en-US"/>
        </w:rPr>
        <w:t>PIDESC</w:t>
      </w:r>
      <w:r w:rsidR="00444FEB">
        <w:rPr>
          <w:rFonts w:eastAsia="Calibri"/>
          <w:lang w:val="fr-CA" w:eastAsia="en-US"/>
        </w:rPr>
        <w:t> </w:t>
      </w:r>
      <w:r w:rsidR="001906E5" w:rsidRPr="00BD22C2">
        <w:rPr>
          <w:rFonts w:eastAsia="Calibri"/>
          <w:lang w:val="fr-CA" w:eastAsia="en-US"/>
        </w:rPr>
        <w:t>»)</w:t>
      </w:r>
      <w:r w:rsidR="00CB139E" w:rsidRPr="00BD22C2">
        <w:rPr>
          <w:rFonts w:eastAsia="Calibri"/>
          <w:lang w:val="fr-CA" w:eastAsia="en-US"/>
        </w:rPr>
        <w:t xml:space="preserve"> </w:t>
      </w:r>
      <w:r w:rsidR="005513F0" w:rsidRPr="00BD22C2">
        <w:rPr>
          <w:rFonts w:eastAsia="Calibri"/>
          <w:lang w:val="fr-CA" w:eastAsia="en-US"/>
        </w:rPr>
        <w:t>et</w:t>
      </w:r>
      <w:r w:rsidRPr="00BD22C2">
        <w:rPr>
          <w:rFonts w:eastAsia="Calibri"/>
          <w:lang w:val="fr-CA" w:eastAsia="en-US"/>
        </w:rPr>
        <w:t xml:space="preserve"> la CRDE</w:t>
      </w:r>
      <w:r w:rsidRPr="00BD22C2">
        <w:rPr>
          <w:rStyle w:val="Appeldenotedefin"/>
          <w:rFonts w:eastAsia="Calibri"/>
          <w:lang w:val="fr-CA" w:eastAsia="en-US"/>
        </w:rPr>
        <w:endnoteReference w:id="291"/>
      </w:r>
      <w:r w:rsidRPr="00BD22C2">
        <w:rPr>
          <w:rFonts w:eastAsia="Calibri"/>
          <w:lang w:val="fr-CA" w:eastAsia="en-US"/>
        </w:rPr>
        <w:t>. Ils doivent pouvoir être exercés en pleine égalité, sans distinction, exclusion ou préférence fondée sur l’identité ou l’expression de genre</w:t>
      </w:r>
      <w:r w:rsidRPr="00BD22C2">
        <w:rPr>
          <w:rStyle w:val="Appeldenotedefin"/>
          <w:rFonts w:eastAsia="Calibri"/>
          <w:lang w:val="fr-CA" w:eastAsia="en-US"/>
        </w:rPr>
        <w:endnoteReference w:id="292"/>
      </w:r>
      <w:r w:rsidRPr="00BD22C2">
        <w:rPr>
          <w:rFonts w:eastAsia="Calibri"/>
          <w:lang w:val="fr-CA" w:eastAsia="en-US"/>
        </w:rPr>
        <w:t xml:space="preserve">, permettant </w:t>
      </w:r>
      <w:r w:rsidRPr="00BD22C2">
        <w:rPr>
          <w:rFonts w:eastAsia="Calibri"/>
          <w:lang w:val="fr-CA" w:eastAsia="en-US"/>
        </w:rPr>
        <w:lastRenderedPageBreak/>
        <w:t xml:space="preserve">ainsi aux enfants trans et non binaires d’évoluer au sein de leur école, comme tous les autres élèves. Comme l’indique le Rapporteur spécial sur le droit à la vie privée, </w:t>
      </w:r>
      <w:r w:rsidR="006C5B00" w:rsidRPr="00BD22C2">
        <w:rPr>
          <w:rFonts w:eastAsia="Calibri"/>
          <w:lang w:val="fr-CA" w:eastAsia="en-US"/>
        </w:rPr>
        <w:t>«</w:t>
      </w:r>
      <w:r w:rsidR="0051216B" w:rsidRPr="00BD22C2">
        <w:rPr>
          <w:rFonts w:eastAsia="Calibri"/>
          <w:lang w:val="fr-CA" w:eastAsia="en-US"/>
        </w:rPr>
        <w:t> </w:t>
      </w:r>
      <w:r w:rsidRPr="00BD22C2">
        <w:rPr>
          <w:rFonts w:eastAsia="Calibri"/>
          <w:lang w:val="fr-CA" w:eastAsia="en-US"/>
        </w:rPr>
        <w:t>[l]’éducation vise à favoriser l’épanouissement de la personnalité de l’enfant et le développement de ses dons et de ses aptitudes mentales et physiques, dans toute la mesure de leurs potentialités. […] Les États sont tenus de respecter, de protéger et de réaliser le droit à l’éducation en supprimant les obstacles à l’éducation, tels que les interdictions et la violence fondées sur le genre</w:t>
      </w:r>
      <w:r w:rsidR="0051216B" w:rsidRPr="00BD22C2">
        <w:rPr>
          <w:rFonts w:eastAsia="Calibri"/>
          <w:lang w:val="fr-CA" w:eastAsia="en-US"/>
        </w:rPr>
        <w:t> </w:t>
      </w:r>
      <w:r w:rsidR="006C5B00" w:rsidRPr="00BD22C2">
        <w:rPr>
          <w:rFonts w:eastAsia="Calibri"/>
          <w:lang w:val="fr-CA" w:eastAsia="en-US"/>
        </w:rPr>
        <w:t>»</w:t>
      </w:r>
      <w:r w:rsidRPr="00BD22C2">
        <w:rPr>
          <w:rStyle w:val="Appeldenotedefin"/>
          <w:rFonts w:eastAsia="Calibri"/>
          <w:lang w:val="fr-CA" w:eastAsia="en-US"/>
        </w:rPr>
        <w:endnoteReference w:id="293"/>
      </w:r>
      <w:r w:rsidR="006C5B00" w:rsidRPr="00BD22C2">
        <w:rPr>
          <w:rFonts w:eastAsia="Calibri"/>
          <w:lang w:val="fr-CA" w:eastAsia="en-US"/>
        </w:rPr>
        <w:t>.</w:t>
      </w:r>
      <w:r w:rsidRPr="00BD22C2">
        <w:rPr>
          <w:rFonts w:eastAsia="Calibri"/>
          <w:lang w:val="fr-CA" w:eastAsia="en-US"/>
        </w:rPr>
        <w:t xml:space="preserve"> La Commission a d’ailleurs insisté à plusieurs reprises sur la nécessité d’instaurer dans les écoles du Québec un environnement sain</w:t>
      </w:r>
      <w:r w:rsidR="00B6474C" w:rsidRPr="00BD22C2">
        <w:rPr>
          <w:rFonts w:eastAsia="Calibri"/>
          <w:lang w:val="fr-CA" w:eastAsia="en-US"/>
        </w:rPr>
        <w:t xml:space="preserve"> pour les enfants</w:t>
      </w:r>
      <w:r w:rsidRPr="00BD22C2">
        <w:rPr>
          <w:rFonts w:eastAsia="Calibri"/>
          <w:lang w:val="fr-CA" w:eastAsia="en-US"/>
        </w:rPr>
        <w:t>, propice à l’apprentissage et respectueux de leurs droits</w:t>
      </w:r>
      <w:r w:rsidRPr="00BD22C2">
        <w:rPr>
          <w:rStyle w:val="Appeldenotedefin"/>
          <w:rFonts w:eastAsia="Calibri"/>
          <w:lang w:val="fr-CA" w:eastAsia="en-US"/>
        </w:rPr>
        <w:endnoteReference w:id="294"/>
      </w:r>
      <w:r w:rsidRPr="00BD22C2">
        <w:rPr>
          <w:rFonts w:eastAsia="Calibri"/>
          <w:lang w:val="fr-CA" w:eastAsia="en-US"/>
        </w:rPr>
        <w:t xml:space="preserve">. </w:t>
      </w:r>
    </w:p>
    <w:p w14:paraId="51A2DD8F" w14:textId="234A0D2F" w:rsidR="00F7531E" w:rsidRPr="00BD22C2" w:rsidRDefault="002C0106" w:rsidP="00F7531E">
      <w:pPr>
        <w:pStyle w:val="Paragraphe"/>
        <w:rPr>
          <w:rFonts w:eastAsia="Calibri"/>
          <w:lang w:val="fr-CA" w:eastAsia="en-US"/>
        </w:rPr>
      </w:pPr>
      <w:r w:rsidRPr="00BD22C2">
        <w:rPr>
          <w:rFonts w:eastAsia="Calibri"/>
          <w:lang w:val="fr-CA" w:eastAsia="en-US"/>
        </w:rPr>
        <w:t>Enfin,</w:t>
      </w:r>
      <w:r w:rsidR="00F7531E" w:rsidRPr="00BD22C2">
        <w:rPr>
          <w:rFonts w:eastAsia="Calibri"/>
          <w:lang w:val="fr-CA" w:eastAsia="en-US"/>
        </w:rPr>
        <w:t xml:space="preserve"> les personnes mineures ont le droit au respect de leur vie privée en vertu des instruments internationaux de protection des droits de la personne</w:t>
      </w:r>
      <w:r w:rsidR="00F7531E" w:rsidRPr="00BD22C2">
        <w:rPr>
          <w:rStyle w:val="Appeldenotedefin"/>
          <w:rFonts w:eastAsia="Calibri"/>
          <w:lang w:val="fr-CA" w:eastAsia="en-US"/>
        </w:rPr>
        <w:endnoteReference w:id="295"/>
      </w:r>
      <w:r w:rsidR="00F7531E" w:rsidRPr="00BD22C2">
        <w:rPr>
          <w:rFonts w:eastAsia="Calibri"/>
          <w:lang w:val="fr-CA" w:eastAsia="en-US"/>
        </w:rPr>
        <w:t xml:space="preserve"> et de la </w:t>
      </w:r>
      <w:r w:rsidR="00F7531E" w:rsidRPr="00BD22C2">
        <w:rPr>
          <w:rFonts w:eastAsia="Calibri"/>
          <w:i/>
          <w:iCs/>
          <w:lang w:val="fr-CA" w:eastAsia="en-US"/>
        </w:rPr>
        <w:t>Charte</w:t>
      </w:r>
      <w:r w:rsidR="00F7531E" w:rsidRPr="00BD22C2">
        <w:rPr>
          <w:rStyle w:val="Appeldenotedefin"/>
          <w:rFonts w:eastAsia="Calibri"/>
          <w:lang w:val="fr-CA" w:eastAsia="en-US"/>
        </w:rPr>
        <w:endnoteReference w:id="296"/>
      </w:r>
      <w:r w:rsidR="00F7531E" w:rsidRPr="00BD22C2">
        <w:rPr>
          <w:rFonts w:eastAsia="Calibri"/>
          <w:lang w:val="fr-CA" w:eastAsia="en-US"/>
        </w:rPr>
        <w:t xml:space="preserve">. Le Rapporteur spécial des Nations Unies sur le droit à la vie privée, dans son récent rapport, indique à cet effet que </w:t>
      </w:r>
      <w:r w:rsidR="00F7531E" w:rsidRPr="00BD22C2">
        <w:rPr>
          <w:lang w:val="fr-CA"/>
        </w:rPr>
        <w:t>«</w:t>
      </w:r>
      <w:r w:rsidR="0051216B" w:rsidRPr="00BD22C2">
        <w:rPr>
          <w:lang w:val="fr-CA"/>
        </w:rPr>
        <w:t> </w:t>
      </w:r>
      <w:r w:rsidR="00F7531E" w:rsidRPr="00BD22C2">
        <w:rPr>
          <w:rFonts w:eastAsia="Calibri"/>
          <w:lang w:val="fr-CA" w:eastAsia="en-US"/>
        </w:rPr>
        <w:t>la vie intellectuelle, affective et sexuelle de l’individu trouve son fondement dans l’enfance et l’adolescence, et la protection de la vie privée joue un rôle à cet égard</w:t>
      </w:r>
      <w:r w:rsidR="0051216B" w:rsidRPr="00BD22C2">
        <w:rPr>
          <w:rFonts w:eastAsia="Calibri"/>
          <w:lang w:val="fr-CA" w:eastAsia="en-US"/>
        </w:rPr>
        <w:t> </w:t>
      </w:r>
      <w:r w:rsidR="00F7531E" w:rsidRPr="00BD22C2">
        <w:rPr>
          <w:rFonts w:eastAsia="Calibri"/>
          <w:lang w:val="fr-CA" w:eastAsia="en-US"/>
        </w:rPr>
        <w:t>»</w:t>
      </w:r>
      <w:bookmarkStart w:id="144" w:name="_Ref167447890"/>
      <w:r w:rsidR="00F7531E" w:rsidRPr="00BD22C2">
        <w:rPr>
          <w:rStyle w:val="Appeldenotedefin"/>
          <w:rFonts w:eastAsia="Calibri"/>
          <w:lang w:val="fr-CA" w:eastAsia="en-US"/>
        </w:rPr>
        <w:endnoteReference w:id="297"/>
      </w:r>
      <w:bookmarkEnd w:id="144"/>
      <w:r w:rsidR="00F7531E" w:rsidRPr="00BD22C2">
        <w:rPr>
          <w:rFonts w:eastAsia="Calibri"/>
          <w:lang w:val="fr-CA" w:eastAsia="en-US"/>
        </w:rPr>
        <w:t xml:space="preserve">. </w:t>
      </w:r>
      <w:r w:rsidR="00D7578B" w:rsidRPr="00BD22C2">
        <w:rPr>
          <w:rFonts w:eastAsia="Calibri"/>
          <w:lang w:val="fr-CA" w:eastAsia="en-US"/>
        </w:rPr>
        <w:t>En droit québécois, par exemple, l’enfant de 14</w:t>
      </w:r>
      <w:r w:rsidR="009D3E22">
        <w:rPr>
          <w:rFonts w:eastAsia="Calibri"/>
          <w:lang w:val="fr-CA" w:eastAsia="en-US"/>
        </w:rPr>
        <w:t> </w:t>
      </w:r>
      <w:r w:rsidR="00D7578B" w:rsidRPr="00BD22C2">
        <w:rPr>
          <w:rFonts w:eastAsia="Calibri"/>
          <w:lang w:val="fr-CA" w:eastAsia="en-US"/>
        </w:rPr>
        <w:t>ans et plus a droit au respect d</w:t>
      </w:r>
      <w:r w:rsidR="005A2998" w:rsidRPr="00BD22C2">
        <w:rPr>
          <w:rFonts w:eastAsia="Calibri"/>
          <w:lang w:val="fr-CA" w:eastAsia="en-US"/>
        </w:rPr>
        <w:t>u secret professionnel et son dossier médical est confidentiel</w:t>
      </w:r>
      <w:r w:rsidR="006971DC" w:rsidRPr="00BD22C2">
        <w:rPr>
          <w:rStyle w:val="Appeldenotedefin"/>
          <w:rFonts w:eastAsia="Calibri"/>
          <w:lang w:val="fr-CA" w:eastAsia="en-US"/>
        </w:rPr>
        <w:endnoteReference w:id="298"/>
      </w:r>
      <w:r w:rsidR="006971DC" w:rsidRPr="00BD22C2">
        <w:rPr>
          <w:rFonts w:eastAsia="Calibri"/>
          <w:lang w:val="fr-CA" w:eastAsia="en-US"/>
        </w:rPr>
        <w:t>.</w:t>
      </w:r>
      <w:r w:rsidR="00944A70" w:rsidRPr="00BD22C2">
        <w:rPr>
          <w:rFonts w:eastAsia="Calibri"/>
          <w:lang w:val="fr-CA" w:eastAsia="en-US"/>
        </w:rPr>
        <w:t xml:space="preserve"> </w:t>
      </w:r>
      <w:r w:rsidR="00F7531E" w:rsidRPr="00BD22C2">
        <w:rPr>
          <w:rFonts w:eastAsia="Calibri"/>
          <w:lang w:val="fr-CA" w:eastAsia="en-US"/>
        </w:rPr>
        <w:t xml:space="preserve">Le droit de l’enfant à la protection de sa vie privée et au développement de sa personnalité est un facteur d’autonomie. </w:t>
      </w:r>
      <w:r w:rsidR="00944A70" w:rsidRPr="00BD22C2">
        <w:rPr>
          <w:rFonts w:eastAsia="Calibri"/>
          <w:lang w:val="fr-CA" w:eastAsia="en-US"/>
        </w:rPr>
        <w:t xml:space="preserve">Le Rapporteur spécial des Nations Unies sur le droit à la vie privée </w:t>
      </w:r>
      <w:r w:rsidR="00F7531E" w:rsidRPr="00BD22C2">
        <w:rPr>
          <w:rFonts w:eastAsia="Calibri"/>
          <w:lang w:val="fr-CA" w:eastAsia="en-US"/>
        </w:rPr>
        <w:t xml:space="preserve">poursuit : </w:t>
      </w:r>
    </w:p>
    <w:p w14:paraId="6189E740" w14:textId="230FCCD5" w:rsidR="004E10A9" w:rsidRPr="00BD22C2" w:rsidRDefault="004E10A9" w:rsidP="00944A70">
      <w:pPr>
        <w:pStyle w:val="Citation"/>
        <w:rPr>
          <w:rFonts w:eastAsia="Calibri"/>
          <w:lang w:eastAsia="en-US"/>
        </w:rPr>
      </w:pPr>
      <w:r w:rsidRPr="00BD22C2">
        <w:rPr>
          <w:rFonts w:eastAsia="Calibri"/>
          <w:lang w:eastAsia="en-US"/>
        </w:rPr>
        <w:t>«</w:t>
      </w:r>
      <w:r w:rsidR="0051216B" w:rsidRPr="00BD22C2">
        <w:rPr>
          <w:rFonts w:eastAsia="Calibri"/>
          <w:lang w:eastAsia="en-US"/>
        </w:rPr>
        <w:t> </w:t>
      </w:r>
      <w:r w:rsidR="00F7531E" w:rsidRPr="00BD22C2">
        <w:rPr>
          <w:rFonts w:eastAsia="Calibri"/>
          <w:lang w:eastAsia="en-US"/>
        </w:rPr>
        <w:t>[l]e droit de l’enfant au respect de sa vie privée est traditionnellement considéré comme une question gérée par les adultes. Pourtant, les besoins des enfants en matière de vie privée diffèrent de ceux des adultes et peuvent entrer en conflit avec eux. […] L’interprétation que font les adultes des besoins des enfants en matière de vie privée peut empêcher un développement sain de l’autonomie et de l’indépendance de l’enfant et restreindre sa vie privée au prétexte de la protection</w:t>
      </w:r>
      <w:r w:rsidR="00BD22C2" w:rsidRPr="00BD22C2">
        <w:rPr>
          <w:rFonts w:eastAsia="Calibri"/>
          <w:lang w:eastAsia="en-US"/>
        </w:rPr>
        <w:t>.</w:t>
      </w:r>
      <w:r w:rsidR="0051216B" w:rsidRPr="00BD22C2">
        <w:rPr>
          <w:rFonts w:eastAsia="Calibri"/>
          <w:lang w:eastAsia="en-US"/>
        </w:rPr>
        <w:t> </w:t>
      </w:r>
      <w:r w:rsidR="00F7531E" w:rsidRPr="00BD22C2">
        <w:rPr>
          <w:rFonts w:eastAsia="Calibri"/>
          <w:lang w:eastAsia="en-US"/>
        </w:rPr>
        <w:t>»</w:t>
      </w:r>
      <w:r w:rsidR="00F7531E" w:rsidRPr="00BD22C2">
        <w:rPr>
          <w:rStyle w:val="Appeldenotedefin"/>
          <w:rFonts w:eastAsia="Calibri"/>
          <w:szCs w:val="20"/>
          <w:lang w:eastAsia="en-US"/>
        </w:rPr>
        <w:endnoteReference w:id="299"/>
      </w:r>
    </w:p>
    <w:p w14:paraId="3431E32A" w14:textId="06CDB80F" w:rsidR="00F7531E" w:rsidRPr="00BD22C2" w:rsidRDefault="00F7531E" w:rsidP="00F7531E">
      <w:pPr>
        <w:pStyle w:val="Paragraphe"/>
        <w:rPr>
          <w:rFonts w:eastAsia="Calibri"/>
          <w:lang w:val="fr-CA" w:eastAsia="en-US"/>
        </w:rPr>
      </w:pPr>
      <w:r w:rsidRPr="00BD22C2">
        <w:rPr>
          <w:rFonts w:eastAsia="Calibri"/>
          <w:lang w:val="fr-CA" w:eastAsia="en-US"/>
        </w:rPr>
        <w:t>C’est précisément à l’encontre de cette restriction indue des droits et libertés de l’enfant que la Commission souhaite sensibiliser le Comité de sages. La jurisprudence offre plusieurs exemples de situations où l’intérêt et les droits d’un enfant ont été jugés difficilement réconciliables à ceux de leurs parents</w:t>
      </w:r>
      <w:r w:rsidRPr="00BD22C2">
        <w:rPr>
          <w:rFonts w:eastAsia="Calibri"/>
          <w:vertAlign w:val="superscript"/>
          <w:lang w:val="fr-CA" w:eastAsia="en-US"/>
        </w:rPr>
        <w:endnoteReference w:id="300"/>
      </w:r>
      <w:r w:rsidRPr="00BD22C2">
        <w:rPr>
          <w:rFonts w:eastAsia="Calibri"/>
          <w:lang w:val="fr-CA" w:eastAsia="en-US"/>
        </w:rPr>
        <w:t>. Dans de telles situations, les tribunaux ont mis les droits parentaux en balance avec les droits de l’enfant et son intérêt, auxquels ils accordent une attention primordiale. En contexte d’adoption</w:t>
      </w:r>
      <w:r w:rsidR="00FC4252" w:rsidRPr="00BD22C2">
        <w:rPr>
          <w:rFonts w:eastAsia="Calibri"/>
          <w:lang w:val="fr-CA" w:eastAsia="en-US"/>
        </w:rPr>
        <w:t>, de garde</w:t>
      </w:r>
      <w:r w:rsidRPr="00BD22C2">
        <w:rPr>
          <w:rFonts w:eastAsia="Calibri"/>
          <w:lang w:val="fr-CA" w:eastAsia="en-US"/>
        </w:rPr>
        <w:t xml:space="preserve"> et de protection de la jeunesse, l’intérêt de l’enfant constitue </w:t>
      </w:r>
      <w:r w:rsidRPr="00BD22C2">
        <w:rPr>
          <w:rFonts w:eastAsia="Calibri"/>
          <w:i/>
          <w:lang w:val="fr-CA" w:eastAsia="en-US"/>
        </w:rPr>
        <w:t>la</w:t>
      </w:r>
      <w:r w:rsidRPr="00BD22C2">
        <w:rPr>
          <w:rFonts w:eastAsia="Calibri"/>
          <w:lang w:val="fr-CA" w:eastAsia="en-US"/>
        </w:rPr>
        <w:t xml:space="preserve"> considération primordiale</w:t>
      </w:r>
      <w:r w:rsidRPr="00BD22C2">
        <w:rPr>
          <w:rFonts w:eastAsia="Calibri"/>
          <w:vertAlign w:val="superscript"/>
          <w:lang w:val="fr-CA" w:eastAsia="en-US"/>
        </w:rPr>
        <w:endnoteReference w:id="301"/>
      </w:r>
      <w:r w:rsidRPr="00BD22C2">
        <w:rPr>
          <w:rFonts w:eastAsia="Calibri"/>
          <w:lang w:val="fr-CA" w:eastAsia="en-US"/>
        </w:rPr>
        <w:t xml:space="preserve">. </w:t>
      </w:r>
    </w:p>
    <w:p w14:paraId="78E4986C" w14:textId="6F82B44D" w:rsidR="00F7531E" w:rsidRPr="00BD22C2" w:rsidRDefault="00F7531E" w:rsidP="00F7531E">
      <w:pPr>
        <w:pStyle w:val="Paragraphe"/>
        <w:rPr>
          <w:rFonts w:eastAsia="Calibri"/>
          <w:lang w:val="fr-CA" w:eastAsia="en-US"/>
        </w:rPr>
      </w:pPr>
      <w:r w:rsidRPr="00BD22C2">
        <w:rPr>
          <w:rFonts w:eastAsia="Calibri"/>
          <w:lang w:val="fr-CA" w:eastAsia="en-US"/>
        </w:rPr>
        <w:t xml:space="preserve">Une revue de la jurisprudence en contexte de protection de la jeunesse permet ainsi d’observer que là où les juges ont constaté des conflits intrafamiliaux liés à l’acceptation de l’identité ou </w:t>
      </w:r>
      <w:r w:rsidRPr="00BD22C2">
        <w:rPr>
          <w:rFonts w:eastAsia="Calibri"/>
          <w:lang w:val="fr-CA" w:eastAsia="en-US"/>
        </w:rPr>
        <w:lastRenderedPageBreak/>
        <w:t>l’expression de genre de l’enfant et compromettant sa sécurité ou son développement, les juges ont ordonné des mesures en se basant sur une analyse de l’intérêt de l’enfant. La Chambre de la jeunesse a généralement considéré qu’une attitude d’écoute, d’ouverture, d’accompagnement et de soutien de la part des parents envers leur enfant trans, non binaire ou en questionnement par rapport à son identité de genre était dans l’intérêt de l’enfant</w:t>
      </w:r>
      <w:r w:rsidRPr="00BD22C2">
        <w:rPr>
          <w:rFonts w:eastAsia="Calibri"/>
          <w:vertAlign w:val="superscript"/>
          <w:lang w:val="fr-CA" w:eastAsia="en-US"/>
        </w:rPr>
        <w:endnoteReference w:id="302"/>
      </w:r>
      <w:r w:rsidRPr="00BD22C2">
        <w:rPr>
          <w:rFonts w:eastAsia="Calibri"/>
          <w:lang w:val="fr-CA" w:eastAsia="en-US"/>
        </w:rPr>
        <w:t xml:space="preserve">. Par exemple, dans </w:t>
      </w:r>
      <w:r w:rsidRPr="00BD22C2">
        <w:rPr>
          <w:rFonts w:eastAsia="Calibri"/>
          <w:i/>
          <w:iCs/>
          <w:lang w:val="fr-CA" w:eastAsia="en-US"/>
        </w:rPr>
        <w:t>Protection de la jeunesse — 1 910 125</w:t>
      </w:r>
      <w:r w:rsidRPr="00BD22C2">
        <w:rPr>
          <w:rStyle w:val="Appeldenotedefin"/>
          <w:rFonts w:eastAsia="Calibri"/>
          <w:lang w:val="fr-CA" w:eastAsia="en-US"/>
        </w:rPr>
        <w:endnoteReference w:id="303"/>
      </w:r>
      <w:r w:rsidRPr="00BD22C2">
        <w:rPr>
          <w:rFonts w:eastAsia="Calibri"/>
          <w:lang w:val="fr-CA" w:eastAsia="en-US"/>
        </w:rPr>
        <w:t xml:space="preserve">, la situation de l’enfant avait été déclarée comme compromise en raison de l’attitude des parents à l’égard de l’identité de genre de l’enfant. Constatant l’incapacité des parents à soutenir convenablement leur enfant dans son affirmation, le Tribunal indiqua : </w:t>
      </w:r>
    </w:p>
    <w:p w14:paraId="74B86317" w14:textId="5B03F833" w:rsidR="00F7531E" w:rsidRPr="00BD22C2" w:rsidRDefault="00BD22C2" w:rsidP="00F7531E">
      <w:pPr>
        <w:pStyle w:val="Citation"/>
        <w:rPr>
          <w:rFonts w:eastAsia="Calibri"/>
          <w:lang w:eastAsia="en-US"/>
        </w:rPr>
      </w:pPr>
      <w:r w:rsidRPr="00BD22C2">
        <w:rPr>
          <w:rFonts w:eastAsia="Calibri"/>
          <w:lang w:eastAsia="en-US"/>
        </w:rPr>
        <w:t>«</w:t>
      </w:r>
      <w:r w:rsidR="00444FEB">
        <w:rPr>
          <w:rFonts w:eastAsia="Calibri"/>
          <w:lang w:eastAsia="en-US"/>
        </w:rPr>
        <w:t> </w:t>
      </w:r>
      <w:r w:rsidR="00F7531E" w:rsidRPr="00BD22C2">
        <w:rPr>
          <w:rFonts w:eastAsia="Calibri"/>
          <w:lang w:eastAsia="en-US"/>
        </w:rPr>
        <w:t>[18] Le Tribunal ne doute pas de l’amour des parents envers leur enfant. Toutefois, ces derniers doivent faire preuve d’ouverture et accepter sa différence.</w:t>
      </w:r>
    </w:p>
    <w:p w14:paraId="60BE4CEF" w14:textId="77777777" w:rsidR="00F7531E" w:rsidRPr="00BD22C2" w:rsidRDefault="00F7531E" w:rsidP="00F7531E">
      <w:pPr>
        <w:pStyle w:val="Citation"/>
        <w:rPr>
          <w:rFonts w:eastAsia="Calibri"/>
          <w:lang w:eastAsia="en-US"/>
        </w:rPr>
      </w:pPr>
      <w:r w:rsidRPr="00BD22C2">
        <w:rPr>
          <w:rFonts w:eastAsia="Calibri"/>
          <w:lang w:eastAsia="en-US"/>
        </w:rPr>
        <w:t>[19]   Ils doivent être accompagnés en ce sens. […]</w:t>
      </w:r>
    </w:p>
    <w:p w14:paraId="7F9A5618" w14:textId="67BE6E18" w:rsidR="00F7531E" w:rsidRPr="00BD22C2" w:rsidRDefault="00F7531E" w:rsidP="00F7531E">
      <w:pPr>
        <w:pStyle w:val="Citation"/>
        <w:rPr>
          <w:rFonts w:eastAsia="Calibri"/>
          <w:lang w:eastAsia="en-US"/>
        </w:rPr>
      </w:pPr>
      <w:r w:rsidRPr="00BD22C2">
        <w:rPr>
          <w:rFonts w:eastAsia="Calibri"/>
          <w:lang w:eastAsia="en-US"/>
        </w:rPr>
        <w:t>[22]   Les parents doivent passer par un processus d’acceptation complet et réel. Cela prendra un certain temps. Il est également nécessaire que l’enfant puisse se développer adéquatement sans sentir de pression ou de désapprobation des gens qui l’entourent.</w:t>
      </w:r>
      <w:r w:rsidR="00444FEB">
        <w:rPr>
          <w:rFonts w:eastAsia="Calibri"/>
          <w:lang w:eastAsia="en-US"/>
        </w:rPr>
        <w:t> </w:t>
      </w:r>
      <w:r w:rsidR="00BD22C2" w:rsidRPr="00BD22C2">
        <w:rPr>
          <w:rFonts w:eastAsia="Calibri"/>
          <w:lang w:eastAsia="en-US"/>
        </w:rPr>
        <w:t>»</w:t>
      </w:r>
      <w:r w:rsidRPr="00BD22C2">
        <w:rPr>
          <w:rStyle w:val="Appeldenotedefin"/>
          <w:rFonts w:eastAsia="Calibri"/>
          <w:lang w:eastAsia="en-US"/>
        </w:rPr>
        <w:endnoteReference w:id="304"/>
      </w:r>
    </w:p>
    <w:p w14:paraId="5EE5DEC9" w14:textId="025FD70C" w:rsidR="00F7531E" w:rsidRPr="00BD22C2" w:rsidRDefault="00F7531E" w:rsidP="00EF1CB2">
      <w:pPr>
        <w:pStyle w:val="Paragraphe"/>
        <w:rPr>
          <w:rFonts w:eastAsia="Calibri"/>
          <w:lang w:val="fr-CA" w:eastAsia="en-US"/>
        </w:rPr>
      </w:pPr>
      <w:r w:rsidRPr="00BD22C2">
        <w:rPr>
          <w:rFonts w:eastAsia="Calibri"/>
          <w:lang w:val="fr-CA" w:eastAsia="en-US"/>
        </w:rPr>
        <w:t>En somme, les droits des parents à l’égard de leurs enfants s’exercent dans le respect de l’intérêt de ces derniers et de leurs droits.</w:t>
      </w:r>
    </w:p>
    <w:p w14:paraId="33A0BFD4" w14:textId="3F67AC0A" w:rsidR="00F7531E" w:rsidRPr="00BD22C2" w:rsidRDefault="00F7531E" w:rsidP="00EF1CB2">
      <w:pPr>
        <w:pStyle w:val="Titre2"/>
        <w:rPr>
          <w:rFonts w:eastAsia="Calibri"/>
          <w:lang w:eastAsia="en-US"/>
        </w:rPr>
      </w:pPr>
      <w:bookmarkStart w:id="145" w:name="_Toc165301040"/>
      <w:bookmarkStart w:id="146" w:name="_Toc165636123"/>
      <w:r w:rsidRPr="00BD22C2">
        <w:rPr>
          <w:rFonts w:eastAsia="Calibri"/>
          <w:lang w:eastAsia="en-US"/>
        </w:rPr>
        <w:t>Le respect de l’identité de genre des enfants et des jeunes</w:t>
      </w:r>
      <w:r w:rsidR="0051216B" w:rsidRPr="00BD22C2">
        <w:rPr>
          <w:rFonts w:eastAsia="Calibri" w:hint="eastAsia"/>
          <w:lang w:eastAsia="en-US"/>
        </w:rPr>
        <w:t> </w:t>
      </w:r>
      <w:r w:rsidRPr="00BD22C2">
        <w:rPr>
          <w:rFonts w:eastAsia="Calibri"/>
          <w:lang w:eastAsia="en-US"/>
        </w:rPr>
        <w:t>: intimement lié à leur éducation et à leur développement sain</w:t>
      </w:r>
      <w:bookmarkEnd w:id="145"/>
      <w:bookmarkEnd w:id="146"/>
    </w:p>
    <w:p w14:paraId="38EBF6B1" w14:textId="3EA5F8A5" w:rsidR="00F7531E" w:rsidRPr="00BD22C2" w:rsidRDefault="00F7531E" w:rsidP="00F7531E">
      <w:pPr>
        <w:pStyle w:val="Paragraphe"/>
        <w:jc w:val="both"/>
        <w:rPr>
          <w:rFonts w:eastAsia="Calibri"/>
          <w:lang w:val="fr-CA"/>
        </w:rPr>
      </w:pPr>
      <w:r w:rsidRPr="00BD22C2">
        <w:rPr>
          <w:rFonts w:eastAsia="Calibri"/>
          <w:lang w:val="fr-CA"/>
        </w:rPr>
        <w:t>Comme exposé précédemment, les enfants et les jeunes trans et non</w:t>
      </w:r>
      <w:r w:rsidR="007F5A6D" w:rsidRPr="00BD22C2">
        <w:rPr>
          <w:rFonts w:eastAsia="Calibri"/>
          <w:lang w:val="fr-CA"/>
        </w:rPr>
        <w:t xml:space="preserve"> </w:t>
      </w:r>
      <w:r w:rsidRPr="00BD22C2">
        <w:rPr>
          <w:rFonts w:eastAsia="Calibri"/>
          <w:lang w:val="fr-CA"/>
        </w:rPr>
        <w:t xml:space="preserve">binaires ont le droit au développement et à l’éducation. </w:t>
      </w:r>
      <w:r w:rsidRPr="00BD22C2">
        <w:rPr>
          <w:rFonts w:eastAsia="Calibri"/>
          <w:lang w:val="fr-CA" w:eastAsia="en-US"/>
        </w:rPr>
        <w:t>La discrimination, l’exclusion, le rejet et la violence qu’ils peuvent vivre en contexte scolaire et familial affectent directement la mise en œuvre effective de ces droits</w:t>
      </w:r>
      <w:bookmarkStart w:id="147" w:name="_Ref166751055"/>
      <w:r w:rsidRPr="00BD22C2">
        <w:rPr>
          <w:rStyle w:val="Appeldenotedefin"/>
          <w:rFonts w:eastAsia="Calibri"/>
          <w:lang w:val="fr-CA" w:eastAsia="en-US"/>
        </w:rPr>
        <w:endnoteReference w:id="305"/>
      </w:r>
      <w:bookmarkEnd w:id="147"/>
      <w:r w:rsidRPr="00BD22C2">
        <w:rPr>
          <w:rFonts w:eastAsia="Calibri"/>
          <w:lang w:val="fr-CA" w:eastAsia="en-US"/>
        </w:rPr>
        <w:t xml:space="preserve">. </w:t>
      </w:r>
    </w:p>
    <w:p w14:paraId="539E7770" w14:textId="3031CA4B" w:rsidR="00EC7720" w:rsidRPr="00BD22C2" w:rsidRDefault="00B54343" w:rsidP="00EA33FB">
      <w:pPr>
        <w:pStyle w:val="Paragraphe"/>
        <w:rPr>
          <w:rFonts w:eastAsia="Calibri"/>
          <w:lang w:val="fr-CA"/>
        </w:rPr>
      </w:pPr>
      <w:r w:rsidRPr="00BD22C2">
        <w:rPr>
          <w:rFonts w:eastAsia="Calibri"/>
          <w:lang w:val="fr-CA"/>
        </w:rPr>
        <w:t>Selon l</w:t>
      </w:r>
      <w:r w:rsidR="001A11F4" w:rsidRPr="00BD22C2">
        <w:rPr>
          <w:rFonts w:eastAsia="Calibri"/>
          <w:lang w:val="fr-CA"/>
        </w:rPr>
        <w:t xml:space="preserve">a </w:t>
      </w:r>
      <w:r w:rsidR="00500650" w:rsidRPr="00BD22C2">
        <w:rPr>
          <w:rFonts w:eastAsia="Calibri"/>
          <w:lang w:val="fr-CA"/>
        </w:rPr>
        <w:t>S</w:t>
      </w:r>
      <w:r w:rsidR="001A11F4" w:rsidRPr="00BD22C2">
        <w:rPr>
          <w:rFonts w:eastAsia="Calibri"/>
          <w:lang w:val="fr-CA"/>
        </w:rPr>
        <w:t>ociété canadienne de pédiatrie</w:t>
      </w:r>
      <w:r w:rsidRPr="00BD22C2">
        <w:rPr>
          <w:rFonts w:eastAsia="Calibri"/>
          <w:lang w:val="fr-CA"/>
        </w:rPr>
        <w:t xml:space="preserve">, </w:t>
      </w:r>
      <w:r w:rsidR="00846C10" w:rsidRPr="00BD22C2">
        <w:rPr>
          <w:rFonts w:eastAsia="Calibri"/>
          <w:lang w:val="fr-CA"/>
        </w:rPr>
        <w:t>«</w:t>
      </w:r>
      <w:r w:rsidR="0051216B" w:rsidRPr="00BD22C2">
        <w:rPr>
          <w:rFonts w:eastAsia="Calibri"/>
          <w:lang w:val="fr-CA"/>
        </w:rPr>
        <w:t> </w:t>
      </w:r>
      <w:r w:rsidR="008D7B77" w:rsidRPr="00BD22C2">
        <w:rPr>
          <w:rFonts w:eastAsia="Calibri"/>
          <w:lang w:val="fr-CA"/>
        </w:rPr>
        <w:t>[l]a cognition du genre émerge tôt</w:t>
      </w:r>
      <w:r w:rsidR="0051216B" w:rsidRPr="00BD22C2">
        <w:rPr>
          <w:rFonts w:eastAsia="Calibri"/>
          <w:lang w:val="fr-CA"/>
        </w:rPr>
        <w:t> </w:t>
      </w:r>
      <w:r w:rsidR="00846C10" w:rsidRPr="00BD22C2">
        <w:rPr>
          <w:rFonts w:eastAsia="Calibri"/>
          <w:lang w:val="fr-CA"/>
        </w:rPr>
        <w:t>»</w:t>
      </w:r>
      <w:r w:rsidR="00BF20C2" w:rsidRPr="00BD22C2">
        <w:rPr>
          <w:rStyle w:val="Appeldenotedefin"/>
          <w:rFonts w:eastAsia="Calibri"/>
          <w:lang w:val="fr-CA"/>
        </w:rPr>
        <w:endnoteReference w:id="306"/>
      </w:r>
      <w:r w:rsidR="00BF20C2" w:rsidRPr="00BD22C2">
        <w:rPr>
          <w:rFonts w:eastAsia="Calibri"/>
          <w:lang w:val="fr-CA"/>
        </w:rPr>
        <w:t>. Dès l’âge de trois ans, la plupart des enfants sont capables de nommer leur propre genre</w:t>
      </w:r>
      <w:r w:rsidR="00BF20C2" w:rsidRPr="00BD22C2">
        <w:rPr>
          <w:rStyle w:val="Appeldenotedefin"/>
          <w:rFonts w:eastAsia="Calibri"/>
          <w:lang w:val="fr-CA"/>
        </w:rPr>
        <w:endnoteReference w:id="307"/>
      </w:r>
      <w:r w:rsidR="00BF20C2" w:rsidRPr="00BD22C2">
        <w:rPr>
          <w:rFonts w:eastAsia="Calibri"/>
          <w:lang w:val="fr-CA"/>
        </w:rPr>
        <w:t xml:space="preserve"> et entre 3 et 5</w:t>
      </w:r>
      <w:r w:rsidR="009D3E22">
        <w:rPr>
          <w:rFonts w:eastAsia="Calibri"/>
          <w:lang w:val="fr-CA"/>
        </w:rPr>
        <w:t> </w:t>
      </w:r>
      <w:r w:rsidR="00BF20C2" w:rsidRPr="00BD22C2">
        <w:rPr>
          <w:rFonts w:eastAsia="Calibri"/>
          <w:lang w:val="fr-CA"/>
        </w:rPr>
        <w:t>ans, ils prennent conscience de la stabilité du genre</w:t>
      </w:r>
      <w:r w:rsidR="00BF20C2" w:rsidRPr="00BD22C2">
        <w:rPr>
          <w:rStyle w:val="Appeldenotedefin"/>
          <w:rFonts w:eastAsia="Calibri"/>
          <w:lang w:val="fr-CA"/>
        </w:rPr>
        <w:endnoteReference w:id="308"/>
      </w:r>
      <w:r w:rsidR="00BF20C2" w:rsidRPr="00BD22C2">
        <w:rPr>
          <w:rFonts w:eastAsia="Calibri"/>
          <w:lang w:val="fr-CA"/>
        </w:rPr>
        <w:t xml:space="preserve">. C’est toutefois vers l’âge de </w:t>
      </w:r>
      <w:r w:rsidR="00800949" w:rsidRPr="00BD22C2">
        <w:rPr>
          <w:rFonts w:eastAsia="Calibri"/>
          <w:lang w:val="fr-CA"/>
        </w:rPr>
        <w:t>six</w:t>
      </w:r>
      <w:r w:rsidR="00BF20C2" w:rsidRPr="00BD22C2">
        <w:rPr>
          <w:rFonts w:eastAsia="Calibri"/>
          <w:lang w:val="fr-CA"/>
        </w:rPr>
        <w:t xml:space="preserve"> à sept ans que les enfants «</w:t>
      </w:r>
      <w:r w:rsidR="0051216B" w:rsidRPr="00BD22C2">
        <w:rPr>
          <w:rFonts w:eastAsia="Calibri"/>
          <w:lang w:val="fr-CA"/>
        </w:rPr>
        <w:t> </w:t>
      </w:r>
      <w:r w:rsidR="00BF20C2" w:rsidRPr="00BD22C2">
        <w:rPr>
          <w:rFonts w:eastAsia="Calibri"/>
          <w:lang w:val="fr-CA"/>
        </w:rPr>
        <w:t>commencent à prendre conscience du genre comme d’une identité indépendante des caractéristiques externes</w:t>
      </w:r>
      <w:r w:rsidR="0051216B" w:rsidRPr="00BD22C2">
        <w:rPr>
          <w:rFonts w:eastAsia="Calibri"/>
          <w:lang w:val="fr-CA"/>
        </w:rPr>
        <w:t> </w:t>
      </w:r>
      <w:r w:rsidR="00BF20C2" w:rsidRPr="00BD22C2">
        <w:rPr>
          <w:rFonts w:eastAsia="Calibri"/>
          <w:lang w:val="fr-CA"/>
        </w:rPr>
        <w:t>» et à la fin de l’enfance, dans le passage vers l’adolescence, «</w:t>
      </w:r>
      <w:r w:rsidR="0051216B" w:rsidRPr="00BD22C2">
        <w:rPr>
          <w:rFonts w:eastAsia="Calibri"/>
          <w:lang w:val="fr-CA"/>
        </w:rPr>
        <w:t> </w:t>
      </w:r>
      <w:r w:rsidR="00BF20C2" w:rsidRPr="00BD22C2">
        <w:rPr>
          <w:lang w:val="fr-CA"/>
        </w:rPr>
        <w:t xml:space="preserve">ils commencent à avoir une appréciation plus raffinée de l’identité de genre, et le début de la puberté est une période particulièrement marquante, qui peut déclencher une </w:t>
      </w:r>
      <w:r w:rsidR="00BF20C2" w:rsidRPr="00BD22C2">
        <w:rPr>
          <w:lang w:val="fr-CA"/>
        </w:rPr>
        <w:lastRenderedPageBreak/>
        <w:t>réflexion plus profonde sur la concordance de leur assignation de genre avec leur identité de genre ressentie</w:t>
      </w:r>
      <w:r w:rsidR="0051216B" w:rsidRPr="00BD22C2">
        <w:rPr>
          <w:lang w:val="fr-CA"/>
        </w:rPr>
        <w:t> </w:t>
      </w:r>
      <w:r w:rsidR="00BF20C2" w:rsidRPr="00BD22C2">
        <w:rPr>
          <w:lang w:val="fr-CA"/>
        </w:rPr>
        <w:t>»</w:t>
      </w:r>
      <w:r w:rsidR="00BF20C2" w:rsidRPr="00BD22C2">
        <w:rPr>
          <w:rStyle w:val="Appeldenotedefin"/>
          <w:lang w:val="fr-CA"/>
        </w:rPr>
        <w:endnoteReference w:id="309"/>
      </w:r>
      <w:r w:rsidR="00BF20C2" w:rsidRPr="00BD22C2">
        <w:rPr>
          <w:lang w:val="fr-CA"/>
        </w:rPr>
        <w:t>.</w:t>
      </w:r>
      <w:r w:rsidR="004B5DF3" w:rsidRPr="00BD22C2">
        <w:rPr>
          <w:lang w:val="fr-CA"/>
        </w:rPr>
        <w:t xml:space="preserve"> </w:t>
      </w:r>
    </w:p>
    <w:p w14:paraId="630F64C9" w14:textId="410D1EF7" w:rsidR="009B30A8" w:rsidRPr="00BD22C2" w:rsidRDefault="00F7531E" w:rsidP="009B30A8">
      <w:pPr>
        <w:pStyle w:val="Paragraphe"/>
        <w:rPr>
          <w:rFonts w:eastAsia="Calibri"/>
          <w:lang w:val="fr-CA" w:eastAsia="en-US"/>
        </w:rPr>
      </w:pPr>
      <w:r w:rsidRPr="00BD22C2">
        <w:rPr>
          <w:rFonts w:eastAsia="Calibri"/>
          <w:lang w:val="fr-CA"/>
        </w:rPr>
        <w:t xml:space="preserve">Des chercheuses et chercheurs rapportent que l’expérience qu’ont les jeunes de la discrimination, du rejet, du </w:t>
      </w:r>
      <w:proofErr w:type="spellStart"/>
      <w:r w:rsidRPr="00BD22C2">
        <w:rPr>
          <w:rFonts w:eastAsia="Calibri"/>
          <w:lang w:val="fr-CA"/>
        </w:rPr>
        <w:t>mégenrage</w:t>
      </w:r>
      <w:proofErr w:type="spellEnd"/>
      <w:r w:rsidRPr="00BD22C2">
        <w:rPr>
          <w:rFonts w:eastAsia="Calibri"/>
          <w:lang w:val="fr-CA"/>
        </w:rPr>
        <w:t>, du refus d’utiliser le prénom choisi, de l’intimidation, du harcèlement ou de toute autre forme de violence liée à la négation de leur identité de genre peut avoir des effets délétères sur leur santé mentale</w:t>
      </w:r>
      <w:bookmarkStart w:id="148" w:name="_Ref167448445"/>
      <w:r w:rsidRPr="00BD22C2">
        <w:rPr>
          <w:rStyle w:val="Appeldenotedefin"/>
          <w:rFonts w:eastAsia="Calibri"/>
          <w:lang w:val="fr-CA"/>
        </w:rPr>
        <w:endnoteReference w:id="310"/>
      </w:r>
      <w:bookmarkEnd w:id="148"/>
      <w:r w:rsidRPr="00BD22C2">
        <w:rPr>
          <w:rFonts w:eastAsia="Calibri"/>
          <w:lang w:val="fr-CA"/>
        </w:rPr>
        <w:t>. Ceux-ci peuvent se manifester par de l’anxiété, la dépression, des idées suicidaires, de l’abus de substance ou même des tentatives de suicide</w:t>
      </w:r>
      <w:r w:rsidRPr="00BD22C2">
        <w:rPr>
          <w:rFonts w:eastAsia="Calibri"/>
          <w:vertAlign w:val="superscript"/>
          <w:lang w:val="fr-CA"/>
        </w:rPr>
        <w:endnoteReference w:id="311"/>
      </w:r>
      <w:r w:rsidRPr="00BD22C2">
        <w:rPr>
          <w:rFonts w:eastAsia="Calibri"/>
          <w:lang w:val="fr-CA"/>
        </w:rPr>
        <w:t xml:space="preserve">. </w:t>
      </w:r>
      <w:r w:rsidR="00675D05" w:rsidRPr="00BD22C2">
        <w:rPr>
          <w:rFonts w:eastAsia="Calibri"/>
          <w:lang w:val="fr-CA"/>
        </w:rPr>
        <w:t>En contexte scolaire, d</w:t>
      </w:r>
      <w:r w:rsidR="009B30A8" w:rsidRPr="00BD22C2">
        <w:rPr>
          <w:rFonts w:eastAsia="Calibri"/>
          <w:lang w:val="fr-CA" w:eastAsia="en-US"/>
        </w:rPr>
        <w:t>es études ont fait état d’enjeux de santé mentale chez les élèves de la diversité sexuelle</w:t>
      </w:r>
      <w:r w:rsidR="009B30A8" w:rsidRPr="00BD22C2">
        <w:rPr>
          <w:rStyle w:val="Appeldenotedefin"/>
          <w:rFonts w:eastAsia="Calibri"/>
          <w:lang w:val="fr-CA" w:eastAsia="en-US"/>
        </w:rPr>
        <w:endnoteReference w:id="312"/>
      </w:r>
      <w:r w:rsidR="009B30A8" w:rsidRPr="00BD22C2">
        <w:rPr>
          <w:rFonts w:eastAsia="Calibri"/>
          <w:lang w:val="fr-CA" w:eastAsia="en-US"/>
        </w:rPr>
        <w:t xml:space="preserve">. Plus précisément, selon une étude publiée en 2022 dans le </w:t>
      </w:r>
      <w:r w:rsidR="009B30A8" w:rsidRPr="00BD22C2">
        <w:rPr>
          <w:rFonts w:eastAsia="Calibri"/>
          <w:i/>
          <w:iCs/>
          <w:lang w:val="fr-CA" w:eastAsia="en-US"/>
        </w:rPr>
        <w:t xml:space="preserve">Canadian </w:t>
      </w:r>
      <w:proofErr w:type="spellStart"/>
      <w:r w:rsidR="009B30A8" w:rsidRPr="00BD22C2">
        <w:rPr>
          <w:rFonts w:eastAsia="Calibri"/>
          <w:i/>
          <w:iCs/>
          <w:lang w:val="fr-CA" w:eastAsia="en-US"/>
        </w:rPr>
        <w:t>Medical</w:t>
      </w:r>
      <w:proofErr w:type="spellEnd"/>
      <w:r w:rsidR="009B30A8" w:rsidRPr="00BD22C2">
        <w:rPr>
          <w:rFonts w:eastAsia="Calibri"/>
          <w:i/>
          <w:iCs/>
          <w:lang w:val="fr-CA" w:eastAsia="en-US"/>
        </w:rPr>
        <w:t xml:space="preserve"> Association Journal</w:t>
      </w:r>
      <w:r w:rsidR="009B30A8" w:rsidRPr="00BD22C2">
        <w:rPr>
          <w:rFonts w:eastAsia="Calibri"/>
          <w:lang w:val="fr-CA" w:eastAsia="en-US"/>
        </w:rPr>
        <w:t xml:space="preserve">, en comparaison de leurs pairs cisgenres et hétérosexuels, les jeunes trans âgés </w:t>
      </w:r>
      <w:r w:rsidR="00F93A07" w:rsidRPr="00BD22C2">
        <w:rPr>
          <w:rFonts w:eastAsia="Calibri"/>
          <w:lang w:val="fr-CA" w:eastAsia="en-US"/>
        </w:rPr>
        <w:t>de</w:t>
      </w:r>
      <w:r w:rsidR="009B30A8" w:rsidRPr="00BD22C2">
        <w:rPr>
          <w:rFonts w:eastAsia="Calibri"/>
          <w:lang w:val="fr-CA" w:eastAsia="en-US"/>
        </w:rPr>
        <w:t xml:space="preserve"> 15 </w:t>
      </w:r>
      <w:r w:rsidR="00F93A07" w:rsidRPr="00BD22C2">
        <w:rPr>
          <w:rFonts w:eastAsia="Calibri"/>
          <w:lang w:val="fr-CA" w:eastAsia="en-US"/>
        </w:rPr>
        <w:t xml:space="preserve">à </w:t>
      </w:r>
      <w:r w:rsidR="009B30A8" w:rsidRPr="00BD22C2">
        <w:rPr>
          <w:rFonts w:eastAsia="Calibri"/>
          <w:lang w:val="fr-CA" w:eastAsia="en-US"/>
        </w:rPr>
        <w:t>17</w:t>
      </w:r>
      <w:r w:rsidR="009D3E22">
        <w:rPr>
          <w:rFonts w:eastAsia="Calibri"/>
          <w:lang w:val="fr-CA" w:eastAsia="en-US"/>
        </w:rPr>
        <w:t> </w:t>
      </w:r>
      <w:r w:rsidR="009B30A8" w:rsidRPr="00BD22C2">
        <w:rPr>
          <w:rFonts w:eastAsia="Calibri"/>
          <w:lang w:val="fr-CA" w:eastAsia="en-US"/>
        </w:rPr>
        <w:t>ans étaient 5</w:t>
      </w:r>
      <w:r w:rsidR="009D3E22">
        <w:rPr>
          <w:rFonts w:eastAsia="Calibri"/>
          <w:lang w:val="fr-CA" w:eastAsia="en-US"/>
        </w:rPr>
        <w:t> </w:t>
      </w:r>
      <w:r w:rsidR="009B30A8" w:rsidRPr="00BD22C2">
        <w:rPr>
          <w:rFonts w:eastAsia="Calibri"/>
          <w:lang w:val="fr-CA" w:eastAsia="en-US"/>
        </w:rPr>
        <w:t>fois plus à risque d’avoir des idéations suicidaires et 7,6</w:t>
      </w:r>
      <w:r w:rsidR="009D3E22">
        <w:rPr>
          <w:rFonts w:eastAsia="Calibri"/>
          <w:lang w:val="fr-CA" w:eastAsia="en-US"/>
        </w:rPr>
        <w:t> </w:t>
      </w:r>
      <w:r w:rsidR="009B30A8" w:rsidRPr="00BD22C2">
        <w:rPr>
          <w:rFonts w:eastAsia="Calibri"/>
          <w:lang w:val="fr-CA" w:eastAsia="en-US"/>
        </w:rPr>
        <w:t>fois plus à risque d’avoir déjà tenté de se suicider</w:t>
      </w:r>
      <w:r w:rsidR="009B30A8" w:rsidRPr="00BD22C2">
        <w:rPr>
          <w:rStyle w:val="Appeldenotedefin"/>
          <w:rFonts w:eastAsia="Calibri"/>
          <w:lang w:val="fr-CA" w:eastAsia="en-US"/>
        </w:rPr>
        <w:endnoteReference w:id="313"/>
      </w:r>
      <w:r w:rsidR="009B30A8" w:rsidRPr="00BD22C2">
        <w:rPr>
          <w:rFonts w:eastAsia="Calibri"/>
          <w:lang w:val="fr-CA" w:eastAsia="en-US"/>
        </w:rPr>
        <w:t>. Au nombre des causes possibles, la littérature scientifique identifie des probabilités plus grandes parmi les jeunes trans et non</w:t>
      </w:r>
      <w:r w:rsidR="006057C1" w:rsidRPr="00BD22C2">
        <w:rPr>
          <w:rFonts w:eastAsia="Calibri"/>
          <w:lang w:val="fr-CA" w:eastAsia="en-US"/>
        </w:rPr>
        <w:t xml:space="preserve"> </w:t>
      </w:r>
      <w:r w:rsidR="009B30A8" w:rsidRPr="00BD22C2">
        <w:rPr>
          <w:rFonts w:eastAsia="Calibri"/>
          <w:lang w:val="fr-CA" w:eastAsia="en-US"/>
        </w:rPr>
        <w:t>binaires de rencontrer les facteurs de risques suivants : victimisation subie par les pairs, notamment à l’école, problèmes familiaux et obstacles dans l’accès aux soins de santé mentale</w:t>
      </w:r>
      <w:r w:rsidR="009B30A8" w:rsidRPr="00BD22C2">
        <w:rPr>
          <w:rStyle w:val="Appeldenotedefin"/>
          <w:rFonts w:eastAsia="Calibri"/>
          <w:lang w:val="fr-CA" w:eastAsia="en-US"/>
        </w:rPr>
        <w:endnoteReference w:id="314"/>
      </w:r>
      <w:r w:rsidR="009B30A8" w:rsidRPr="00BD22C2">
        <w:rPr>
          <w:rFonts w:eastAsia="Calibri"/>
          <w:lang w:val="fr-CA" w:eastAsia="en-US"/>
        </w:rPr>
        <w:t>. En se basant sur des études européennes, l</w:t>
      </w:r>
      <w:r w:rsidR="009F4817" w:rsidRPr="00BD22C2">
        <w:rPr>
          <w:rFonts w:eastAsia="Calibri"/>
          <w:lang w:val="fr-CA" w:eastAsia="en-US"/>
        </w:rPr>
        <w:t>a Commissaire aux droits de l’homme du</w:t>
      </w:r>
      <w:r w:rsidR="009B30A8" w:rsidRPr="00BD22C2">
        <w:rPr>
          <w:rFonts w:eastAsia="Calibri"/>
          <w:lang w:val="fr-CA" w:eastAsia="en-US"/>
        </w:rPr>
        <w:t xml:space="preserve"> Conseil de l’Europe établit une prévalence au suicide plus élevée parmi les jeunes trans en raison précisément de la transphobie vécue à l’école</w:t>
      </w:r>
      <w:r w:rsidR="009B30A8" w:rsidRPr="00BD22C2">
        <w:rPr>
          <w:rStyle w:val="Appeldenotedefin"/>
          <w:rFonts w:eastAsia="Calibri"/>
          <w:lang w:val="fr-CA" w:eastAsia="en-US"/>
        </w:rPr>
        <w:endnoteReference w:id="315"/>
      </w:r>
      <w:r w:rsidR="009B30A8" w:rsidRPr="00BD22C2">
        <w:rPr>
          <w:rFonts w:eastAsia="Calibri"/>
          <w:lang w:val="fr-CA" w:eastAsia="en-US"/>
        </w:rPr>
        <w:t xml:space="preserve">. </w:t>
      </w:r>
    </w:p>
    <w:p w14:paraId="155DBD5D" w14:textId="02726FB7" w:rsidR="00D041C3" w:rsidRPr="00BD22C2" w:rsidRDefault="00F7531E" w:rsidP="00F53415">
      <w:pPr>
        <w:pStyle w:val="Corpsdetexte"/>
        <w:jc w:val="left"/>
        <w:rPr>
          <w:rFonts w:eastAsia="Calibri"/>
          <w:lang w:eastAsia="en-US"/>
        </w:rPr>
      </w:pPr>
      <w:r w:rsidRPr="00BD22C2">
        <w:rPr>
          <w:rStyle w:val="ParagrapheCar"/>
          <w:rFonts w:eastAsia="Calibri"/>
          <w:lang w:val="fr-CA"/>
        </w:rPr>
        <w:t>Ces jeunes sont également «</w:t>
      </w:r>
      <w:r w:rsidR="0051216B" w:rsidRPr="00BD22C2">
        <w:rPr>
          <w:rStyle w:val="ParagrapheCar"/>
          <w:rFonts w:eastAsia="Calibri"/>
          <w:lang w:val="fr-CA"/>
        </w:rPr>
        <w:t> </w:t>
      </w:r>
      <w:r w:rsidRPr="00BD22C2">
        <w:rPr>
          <w:rStyle w:val="ParagrapheCar"/>
          <w:rFonts w:eastAsia="Calibri"/>
          <w:lang w:val="fr-CA"/>
        </w:rPr>
        <w:t>à très haut risque de vivre de l’abus et de la négligence parentale</w:t>
      </w:r>
      <w:r w:rsidR="0051216B" w:rsidRPr="00BD22C2">
        <w:rPr>
          <w:rStyle w:val="ParagrapheCar"/>
          <w:rFonts w:eastAsia="Calibri"/>
          <w:lang w:val="fr-CA"/>
        </w:rPr>
        <w:t> </w:t>
      </w:r>
      <w:r w:rsidRPr="00BD22C2">
        <w:rPr>
          <w:rStyle w:val="ParagrapheCar"/>
          <w:rFonts w:eastAsia="Calibri"/>
          <w:lang w:val="fr-CA"/>
        </w:rPr>
        <w:t>»</w:t>
      </w:r>
      <w:r w:rsidRPr="00BD22C2">
        <w:rPr>
          <w:rStyle w:val="ParagrapheCar"/>
          <w:rFonts w:eastAsia="Calibri"/>
          <w:vertAlign w:val="superscript"/>
          <w:lang w:val="fr-CA"/>
        </w:rPr>
        <w:endnoteReference w:id="316"/>
      </w:r>
      <w:r w:rsidRPr="00BD22C2">
        <w:rPr>
          <w:rStyle w:val="ParagrapheCar"/>
          <w:rFonts w:eastAsia="Calibri"/>
          <w:lang w:val="fr-CA"/>
        </w:rPr>
        <w:t xml:space="preserve">. Il est d’ailleurs possible de répertorier, dans la jurisprudence de la Cour du Québec, </w:t>
      </w:r>
      <w:r w:rsidR="002325D1" w:rsidRPr="00BD22C2">
        <w:rPr>
          <w:rStyle w:val="ParagrapheCar"/>
          <w:rFonts w:eastAsia="Calibri"/>
          <w:lang w:val="fr-CA"/>
        </w:rPr>
        <w:t>plusieurs</w:t>
      </w:r>
      <w:r w:rsidRPr="00BD22C2">
        <w:rPr>
          <w:rStyle w:val="ParagrapheCar"/>
          <w:rFonts w:eastAsia="Calibri"/>
          <w:lang w:val="fr-CA"/>
        </w:rPr>
        <w:t xml:space="preserve"> situations où le rejet de l’identité de genre d’un enfant par ses parents a été identifié comme étant intimement lié à la compromission de sa sécurité ou de son développement</w:t>
      </w:r>
      <w:r w:rsidRPr="00BD22C2">
        <w:rPr>
          <w:rStyle w:val="ParagrapheCar"/>
          <w:rFonts w:eastAsia="Calibri"/>
          <w:vertAlign w:val="superscript"/>
          <w:lang w:val="fr-CA"/>
        </w:rPr>
        <w:endnoteReference w:id="317"/>
      </w:r>
      <w:r w:rsidRPr="00BD22C2">
        <w:rPr>
          <w:rStyle w:val="ParagrapheCar"/>
          <w:rFonts w:eastAsia="Calibri"/>
          <w:lang w:val="fr-CA"/>
        </w:rPr>
        <w:t>.</w:t>
      </w:r>
      <w:r w:rsidR="00D041C3" w:rsidRPr="00BD22C2">
        <w:rPr>
          <w:rStyle w:val="ParagrapheCar"/>
          <w:rFonts w:eastAsia="Calibri"/>
          <w:lang w:val="fr-CA"/>
        </w:rPr>
        <w:t xml:space="preserve"> </w:t>
      </w:r>
      <w:r w:rsidR="005031EE" w:rsidRPr="00BD22C2">
        <w:rPr>
          <w:rStyle w:val="ParagrapheCar"/>
          <w:rFonts w:eastAsia="Calibri"/>
          <w:lang w:val="fr-CA"/>
        </w:rPr>
        <w:t>D</w:t>
      </w:r>
      <w:r w:rsidR="00D041C3" w:rsidRPr="00BD22C2">
        <w:rPr>
          <w:rStyle w:val="ParagrapheCar"/>
          <w:rFonts w:eastAsia="Calibri"/>
          <w:lang w:val="fr-CA"/>
        </w:rPr>
        <w:t xml:space="preserve">es travaux récents au Québec démontrent que les enfants et les jeunes trans et non binaires suivis en protection de la jeunesse vivent des situations particulièrement difficiles, </w:t>
      </w:r>
      <w:r w:rsidR="00FC4CBF" w:rsidRPr="00BD22C2">
        <w:rPr>
          <w:rStyle w:val="ParagrapheCar"/>
          <w:rFonts w:eastAsia="Calibri"/>
          <w:lang w:val="fr-CA"/>
        </w:rPr>
        <w:t xml:space="preserve">entre autres </w:t>
      </w:r>
      <w:r w:rsidR="00D041C3" w:rsidRPr="00BD22C2">
        <w:rPr>
          <w:rStyle w:val="ParagrapheCar"/>
          <w:rFonts w:eastAsia="Calibri"/>
          <w:lang w:val="fr-CA"/>
        </w:rPr>
        <w:t>liées aux obstacles supplémentaires qu’ils rencontrent pour changer leurs documents d’identification ou avoir accès à des services spécialisés</w:t>
      </w:r>
      <w:r w:rsidR="00D041C3" w:rsidRPr="00BD22C2">
        <w:rPr>
          <w:rStyle w:val="ParagrapheCar"/>
          <w:rFonts w:eastAsia="Calibri"/>
          <w:vertAlign w:val="superscript"/>
          <w:lang w:val="fr-CA"/>
        </w:rPr>
        <w:endnoteReference w:id="318"/>
      </w:r>
      <w:r w:rsidR="00D041C3" w:rsidRPr="00BD22C2">
        <w:rPr>
          <w:rStyle w:val="ParagrapheCar"/>
          <w:rFonts w:eastAsia="Calibri"/>
          <w:lang w:val="fr-CA"/>
        </w:rPr>
        <w:t>. Ces travaux suggèrent une possible surreprésentation des jeunes trans et non</w:t>
      </w:r>
      <w:r w:rsidR="00F44E3F" w:rsidRPr="00BD22C2">
        <w:rPr>
          <w:rStyle w:val="ParagrapheCar"/>
          <w:rFonts w:eastAsia="Calibri"/>
          <w:lang w:val="fr-CA"/>
        </w:rPr>
        <w:t xml:space="preserve"> </w:t>
      </w:r>
      <w:r w:rsidR="00D041C3" w:rsidRPr="00BD22C2">
        <w:rPr>
          <w:rStyle w:val="ParagrapheCar"/>
          <w:rFonts w:eastAsia="Calibri"/>
          <w:lang w:val="fr-CA"/>
        </w:rPr>
        <w:t>binaires dans les services de protection de la jeunesse au Québec</w:t>
      </w:r>
      <w:r w:rsidR="00D041C3" w:rsidRPr="00BD22C2">
        <w:rPr>
          <w:rStyle w:val="Appeldenotedefin"/>
          <w:rFonts w:eastAsia="Calibri"/>
          <w:lang w:eastAsia="en-US"/>
        </w:rPr>
        <w:endnoteReference w:id="319"/>
      </w:r>
      <w:r w:rsidR="00D041C3" w:rsidRPr="00BD22C2">
        <w:rPr>
          <w:rFonts w:eastAsia="Calibri"/>
          <w:lang w:eastAsia="en-US"/>
        </w:rPr>
        <w:t xml:space="preserve">. </w:t>
      </w:r>
    </w:p>
    <w:p w14:paraId="4F63B380" w14:textId="361E5DF1" w:rsidR="00F7531E" w:rsidRPr="00BD22C2" w:rsidRDefault="00F7531E" w:rsidP="00F7531E">
      <w:pPr>
        <w:pStyle w:val="Paragraphe"/>
        <w:jc w:val="both"/>
        <w:rPr>
          <w:rFonts w:eastAsia="Calibri"/>
          <w:lang w:val="fr-CA"/>
        </w:rPr>
      </w:pPr>
      <w:r w:rsidRPr="00BD22C2">
        <w:rPr>
          <w:rFonts w:eastAsia="Calibri"/>
          <w:lang w:val="fr-CA"/>
        </w:rPr>
        <w:t>Le fait d’ignorer les démarches d’affirmation de genre des enfants a, de façon similaire, été associé à la détérioration de leur santé mentale</w:t>
      </w:r>
      <w:r w:rsidRPr="00BD22C2">
        <w:rPr>
          <w:rStyle w:val="Appeldenotedefin"/>
          <w:rFonts w:eastAsia="Calibri"/>
          <w:lang w:val="fr-CA"/>
        </w:rPr>
        <w:endnoteReference w:id="320"/>
      </w:r>
      <w:r w:rsidRPr="00BD22C2">
        <w:rPr>
          <w:rFonts w:eastAsia="Calibri"/>
          <w:lang w:val="fr-CA"/>
        </w:rPr>
        <w:t>. La</w:t>
      </w:r>
      <w:r w:rsidRPr="00BD22C2" w:rsidDel="007B4414">
        <w:rPr>
          <w:rFonts w:eastAsia="Calibri"/>
          <w:lang w:val="fr-CA"/>
        </w:rPr>
        <w:t xml:space="preserve"> </w:t>
      </w:r>
      <w:r w:rsidRPr="00BD22C2">
        <w:rPr>
          <w:rFonts w:eastAsia="Calibri"/>
          <w:lang w:val="fr-CA"/>
        </w:rPr>
        <w:t xml:space="preserve">huitième version des Standards de soins de la World Professional Association for </w:t>
      </w:r>
      <w:proofErr w:type="spellStart"/>
      <w:r w:rsidRPr="00BD22C2">
        <w:rPr>
          <w:rFonts w:eastAsia="Calibri"/>
          <w:lang w:val="fr-CA"/>
        </w:rPr>
        <w:t>Transgender</w:t>
      </w:r>
      <w:proofErr w:type="spellEnd"/>
      <w:r w:rsidRPr="00BD22C2">
        <w:rPr>
          <w:rFonts w:eastAsia="Calibri"/>
          <w:lang w:val="fr-CA"/>
        </w:rPr>
        <w:t xml:space="preserve"> </w:t>
      </w:r>
      <w:proofErr w:type="spellStart"/>
      <w:r w:rsidRPr="00BD22C2">
        <w:rPr>
          <w:rFonts w:eastAsia="Calibri"/>
          <w:lang w:val="fr-CA"/>
        </w:rPr>
        <w:t>Health</w:t>
      </w:r>
      <w:proofErr w:type="spellEnd"/>
      <w:r w:rsidRPr="00BD22C2">
        <w:rPr>
          <w:rFonts w:eastAsia="Calibri"/>
          <w:lang w:val="fr-CA"/>
        </w:rPr>
        <w:t xml:space="preserve"> indique à cet égard</w:t>
      </w:r>
      <w:r w:rsidR="0051216B" w:rsidRPr="00BD22C2">
        <w:rPr>
          <w:rFonts w:eastAsia="Calibri"/>
          <w:lang w:val="fr-CA"/>
        </w:rPr>
        <w:t> </w:t>
      </w:r>
      <w:r w:rsidRPr="00BD22C2">
        <w:rPr>
          <w:rFonts w:eastAsia="Calibri"/>
          <w:lang w:val="fr-CA"/>
        </w:rPr>
        <w:t xml:space="preserve">: </w:t>
      </w:r>
    </w:p>
    <w:p w14:paraId="3EEA0F1D" w14:textId="19587805" w:rsidR="00F7531E" w:rsidRPr="00E16C03" w:rsidRDefault="00BD22C2" w:rsidP="00F7531E">
      <w:pPr>
        <w:pStyle w:val="Citation"/>
        <w:jc w:val="both"/>
        <w:rPr>
          <w:rFonts w:eastAsia="Calibri"/>
          <w:lang w:val="en-CA" w:eastAsia="en-US"/>
        </w:rPr>
      </w:pPr>
      <w:r w:rsidRPr="00C666CA">
        <w:rPr>
          <w:rFonts w:eastAsia="Calibri"/>
          <w:lang w:val="en-CA" w:eastAsia="en-US"/>
        </w:rPr>
        <w:lastRenderedPageBreak/>
        <w:t>«</w:t>
      </w:r>
      <w:r w:rsidR="00444FEB">
        <w:rPr>
          <w:rFonts w:eastAsia="Calibri"/>
          <w:lang w:val="en-CA" w:eastAsia="en-US"/>
        </w:rPr>
        <w:t> </w:t>
      </w:r>
      <w:r w:rsidR="00F7531E" w:rsidRPr="00BD22C2">
        <w:rPr>
          <w:rFonts w:eastAsia="Calibri"/>
          <w:lang w:val="en-CA" w:eastAsia="en-US"/>
        </w:rPr>
        <w:t xml:space="preserve">For these reasons, it is important not to ignore a youth’s gender questioning or delay consideration of the youth’s gender-related needs. </w:t>
      </w:r>
      <w:r w:rsidR="00F7531E" w:rsidRPr="00E16C03">
        <w:rPr>
          <w:rFonts w:eastAsia="Calibri"/>
          <w:lang w:val="en-CA" w:eastAsia="en-US"/>
        </w:rPr>
        <w:t xml:space="preserve">There is </w:t>
      </w:r>
      <w:proofErr w:type="gramStart"/>
      <w:r w:rsidR="00F7531E" w:rsidRPr="00E16C03">
        <w:rPr>
          <w:rFonts w:eastAsia="Calibri"/>
          <w:lang w:val="en-CA" w:eastAsia="en-US"/>
        </w:rPr>
        <w:t>particular value</w:t>
      </w:r>
      <w:proofErr w:type="gramEnd"/>
      <w:r w:rsidR="00F7531E" w:rsidRPr="00E16C03">
        <w:rPr>
          <w:rFonts w:eastAsia="Calibri"/>
          <w:lang w:val="en-CA" w:eastAsia="en-US"/>
        </w:rPr>
        <w:t xml:space="preserve"> in professionals recognizing youth need individualized approaches, support, and consideration of needs around gender expression, identity, and embodiment over time and across domains and relationships. Youth may need help coping with the tension of tolerating others’ processing/adjusting to an adolescent’s identity exploration and changes.</w:t>
      </w:r>
      <w:r w:rsidR="00444FEB">
        <w:rPr>
          <w:rFonts w:eastAsia="Calibri"/>
          <w:lang w:val="en-CA" w:eastAsia="en-US"/>
        </w:rPr>
        <w:t> </w:t>
      </w:r>
      <w:r w:rsidRPr="00E16C03">
        <w:rPr>
          <w:rFonts w:eastAsia="Calibri"/>
          <w:lang w:val="en-CA" w:eastAsia="en-US"/>
        </w:rPr>
        <w:t>»</w:t>
      </w:r>
      <w:r w:rsidR="00F7531E" w:rsidRPr="00BD22C2">
        <w:rPr>
          <w:rStyle w:val="Appeldenotedefin"/>
          <w:rFonts w:eastAsia="Calibri"/>
          <w:lang w:eastAsia="en-US"/>
        </w:rPr>
        <w:endnoteReference w:id="321"/>
      </w:r>
    </w:p>
    <w:p w14:paraId="3452AEAB" w14:textId="10F529AF" w:rsidR="00F7531E" w:rsidRPr="00BD22C2" w:rsidRDefault="00F7531E" w:rsidP="00F53415">
      <w:pPr>
        <w:pStyle w:val="Paragraphe"/>
        <w:rPr>
          <w:rFonts w:eastAsia="Calibri"/>
          <w:lang w:val="fr-CA" w:eastAsia="en-US"/>
        </w:rPr>
      </w:pPr>
      <w:r w:rsidRPr="00BD22C2">
        <w:rPr>
          <w:rFonts w:eastAsia="Calibri"/>
          <w:lang w:val="fr-CA" w:eastAsia="en-US"/>
        </w:rPr>
        <w:t xml:space="preserve">Des études démontrent </w:t>
      </w:r>
      <w:r w:rsidR="00A57AEF" w:rsidRPr="00BD22C2">
        <w:rPr>
          <w:rFonts w:eastAsia="Calibri"/>
          <w:lang w:val="fr-CA" w:eastAsia="en-US"/>
        </w:rPr>
        <w:t>enfin</w:t>
      </w:r>
      <w:r w:rsidRPr="00BD22C2">
        <w:rPr>
          <w:rFonts w:eastAsia="Calibri"/>
          <w:lang w:val="fr-CA" w:eastAsia="en-US"/>
        </w:rPr>
        <w:t xml:space="preserve"> que le processus d’affirmation sociale de l’identité de genre peut jouer un rôle protecteur pour certains enfants et contribuer à leur bonne santé mentale</w:t>
      </w:r>
      <w:r w:rsidRPr="00BD22C2">
        <w:rPr>
          <w:rFonts w:eastAsia="Calibri"/>
          <w:vertAlign w:val="superscript"/>
          <w:lang w:val="fr-CA" w:eastAsia="en-US"/>
        </w:rPr>
        <w:endnoteReference w:id="322"/>
      </w:r>
      <w:r w:rsidRPr="00BD22C2">
        <w:rPr>
          <w:rFonts w:eastAsia="Calibri"/>
          <w:lang w:val="fr-CA" w:eastAsia="en-US"/>
        </w:rPr>
        <w:t>. En effet, une corrélation existerait entre leur bien-être et l’acception de leur identité de genre dans leurs différents environnements, dont le milieu familial, l’école, le travail et entre amis</w:t>
      </w:r>
      <w:r w:rsidRPr="00BD22C2">
        <w:rPr>
          <w:rFonts w:eastAsia="Calibri"/>
          <w:vertAlign w:val="superscript"/>
          <w:lang w:val="fr-CA" w:eastAsia="en-US"/>
        </w:rPr>
        <w:endnoteReference w:id="323"/>
      </w:r>
      <w:r w:rsidRPr="00BD22C2">
        <w:rPr>
          <w:rFonts w:eastAsia="Calibri"/>
          <w:lang w:val="fr-CA" w:eastAsia="en-US"/>
        </w:rPr>
        <w:t xml:space="preserve">. Un soutien professionnel adéquat </w:t>
      </w:r>
      <w:r w:rsidR="001B14B2" w:rsidRPr="00BD22C2">
        <w:rPr>
          <w:rFonts w:eastAsia="Calibri"/>
          <w:lang w:val="fr-CA" w:eastAsia="en-US"/>
        </w:rPr>
        <w:t>p</w:t>
      </w:r>
      <w:r w:rsidR="0073606B" w:rsidRPr="00BD22C2">
        <w:rPr>
          <w:rFonts w:eastAsia="Calibri"/>
          <w:lang w:val="fr-CA" w:eastAsia="en-US"/>
        </w:rPr>
        <w:t>ourrai</w:t>
      </w:r>
      <w:r w:rsidR="001B14B2" w:rsidRPr="00BD22C2">
        <w:rPr>
          <w:rFonts w:eastAsia="Calibri"/>
          <w:lang w:val="fr-CA" w:eastAsia="en-US"/>
        </w:rPr>
        <w:t xml:space="preserve">t également </w:t>
      </w:r>
      <w:r w:rsidRPr="00BD22C2">
        <w:rPr>
          <w:rFonts w:eastAsia="Calibri"/>
          <w:lang w:val="fr-CA" w:eastAsia="en-US"/>
        </w:rPr>
        <w:t>participe</w:t>
      </w:r>
      <w:r w:rsidR="001B14B2" w:rsidRPr="00BD22C2">
        <w:rPr>
          <w:rFonts w:eastAsia="Calibri"/>
          <w:lang w:val="fr-CA" w:eastAsia="en-US"/>
        </w:rPr>
        <w:t>r</w:t>
      </w:r>
      <w:r w:rsidRPr="00BD22C2">
        <w:rPr>
          <w:rFonts w:eastAsia="Calibri"/>
          <w:lang w:val="fr-CA" w:eastAsia="en-US"/>
        </w:rPr>
        <w:t xml:space="preserve"> à atténuer les défis qu’ils peuvent rencontrer</w:t>
      </w:r>
      <w:r w:rsidR="009A2A07" w:rsidRPr="00BD22C2">
        <w:rPr>
          <w:rStyle w:val="Appeldenotedefin"/>
          <w:rFonts w:eastAsia="Calibri"/>
          <w:lang w:val="fr-CA" w:eastAsia="en-US"/>
        </w:rPr>
        <w:endnoteReference w:id="324"/>
      </w:r>
      <w:r w:rsidRPr="00BD22C2">
        <w:rPr>
          <w:rFonts w:eastAsia="Calibri"/>
          <w:lang w:val="fr-CA" w:eastAsia="en-US"/>
        </w:rPr>
        <w:t>. Parmi les pistes d’action</w:t>
      </w:r>
      <w:r w:rsidRPr="00BD22C2" w:rsidDel="00F84D26">
        <w:rPr>
          <w:rFonts w:eastAsia="Calibri"/>
          <w:lang w:val="fr-CA" w:eastAsia="en-US"/>
        </w:rPr>
        <w:t xml:space="preserve"> </w:t>
      </w:r>
      <w:r w:rsidRPr="00BD22C2">
        <w:rPr>
          <w:rFonts w:eastAsia="Calibri"/>
          <w:lang w:val="fr-CA" w:eastAsia="en-US"/>
        </w:rPr>
        <w:t>contribuant au bien-être des jeunes trans et non</w:t>
      </w:r>
      <w:r w:rsidR="008A2588" w:rsidRPr="00BD22C2">
        <w:rPr>
          <w:rFonts w:eastAsia="Calibri"/>
          <w:lang w:val="fr-CA" w:eastAsia="en-US"/>
        </w:rPr>
        <w:t xml:space="preserve"> </w:t>
      </w:r>
      <w:r w:rsidRPr="00BD22C2">
        <w:rPr>
          <w:rFonts w:eastAsia="Calibri"/>
          <w:lang w:val="fr-CA" w:eastAsia="en-US"/>
        </w:rPr>
        <w:t>binaires, des chercheurs proposent </w:t>
      </w:r>
      <w:r w:rsidR="00512FBA" w:rsidRPr="00BD22C2">
        <w:rPr>
          <w:rFonts w:eastAsia="Calibri"/>
          <w:lang w:val="fr-CA" w:eastAsia="en-US"/>
        </w:rPr>
        <w:t xml:space="preserve">aussi </w:t>
      </w:r>
      <w:r w:rsidRPr="00BD22C2">
        <w:rPr>
          <w:rFonts w:eastAsia="Calibri"/>
          <w:lang w:val="fr-CA" w:eastAsia="en-US"/>
        </w:rPr>
        <w:t>d’adopter une communication visant à soutenir les jeunes dans leur expression et leur exploration de genre, d’utiliser les prénoms et pronoms choisis par l’enfant, de mettre en place des lieux inclusifs (comme des vestiaires ou des toilettes mixtes), d’éduquer les jeunes au sujet de la diversité de genre ou d’adopter des politiques effectives visant à contrer l’intimidation</w:t>
      </w:r>
      <w:r w:rsidRPr="00BD22C2">
        <w:rPr>
          <w:rStyle w:val="Appeldenotedefin"/>
          <w:rFonts w:eastAsia="Calibri"/>
          <w:lang w:val="fr-CA" w:eastAsia="en-US"/>
        </w:rPr>
        <w:endnoteReference w:id="325"/>
      </w:r>
      <w:r w:rsidR="00712F8C" w:rsidRPr="00BD22C2">
        <w:rPr>
          <w:rFonts w:eastAsia="Calibri"/>
          <w:lang w:val="fr-CA" w:eastAsia="en-US"/>
        </w:rPr>
        <w:t>.</w:t>
      </w:r>
    </w:p>
    <w:p w14:paraId="6F59553C" w14:textId="3D0D301F" w:rsidR="00352C9B" w:rsidRPr="00BD22C2" w:rsidRDefault="00352C9B" w:rsidP="00EF1CB2">
      <w:pPr>
        <w:pStyle w:val="Paragraphe"/>
        <w:rPr>
          <w:rFonts w:eastAsia="Calibri"/>
          <w:lang w:val="fr-CA" w:eastAsia="en-US"/>
        </w:rPr>
      </w:pPr>
      <w:r w:rsidRPr="00BD22C2">
        <w:rPr>
          <w:rFonts w:eastAsia="Calibri"/>
          <w:lang w:val="fr-CA" w:eastAsia="en-US"/>
        </w:rPr>
        <w:t xml:space="preserve">La Commission insiste donc sur l’importance pour le Comité de sages de favoriser la recommandation de mesures liées à la mise en place </w:t>
      </w:r>
      <w:r w:rsidR="003B3EF9" w:rsidRPr="00BD22C2">
        <w:rPr>
          <w:rFonts w:eastAsia="Calibri"/>
          <w:lang w:val="fr-CA" w:eastAsia="en-US"/>
        </w:rPr>
        <w:t xml:space="preserve">d’un soutien approprié </w:t>
      </w:r>
      <w:r w:rsidR="00DC6764" w:rsidRPr="00BD22C2">
        <w:rPr>
          <w:rFonts w:eastAsia="Calibri"/>
          <w:lang w:val="fr-CA" w:eastAsia="en-US"/>
        </w:rPr>
        <w:t xml:space="preserve">aux enfants </w:t>
      </w:r>
      <w:r w:rsidR="00093AD6" w:rsidRPr="00BD22C2">
        <w:rPr>
          <w:rFonts w:eastAsia="Calibri"/>
          <w:lang w:val="fr-CA" w:eastAsia="en-US"/>
        </w:rPr>
        <w:t xml:space="preserve">trans </w:t>
      </w:r>
      <w:r w:rsidR="00DC6764" w:rsidRPr="00BD22C2">
        <w:rPr>
          <w:rFonts w:eastAsia="Calibri"/>
          <w:lang w:val="fr-CA" w:eastAsia="en-US"/>
        </w:rPr>
        <w:t>et à leurs familles</w:t>
      </w:r>
      <w:r w:rsidR="00B46836" w:rsidRPr="00BD22C2">
        <w:rPr>
          <w:rFonts w:eastAsia="Calibri"/>
          <w:lang w:val="fr-CA" w:eastAsia="en-US"/>
        </w:rPr>
        <w:t xml:space="preserve">, ainsi que </w:t>
      </w:r>
      <w:r w:rsidRPr="00BD22C2">
        <w:rPr>
          <w:rFonts w:eastAsia="Calibri"/>
          <w:lang w:val="fr-CA" w:eastAsia="en-US"/>
        </w:rPr>
        <w:t>d’environnements permettant aux enfants trans et non</w:t>
      </w:r>
      <w:r w:rsidR="004B383E" w:rsidRPr="00BD22C2">
        <w:rPr>
          <w:rFonts w:eastAsia="Calibri"/>
          <w:lang w:val="fr-CA" w:eastAsia="en-US"/>
        </w:rPr>
        <w:t xml:space="preserve"> </w:t>
      </w:r>
      <w:r w:rsidRPr="00BD22C2">
        <w:rPr>
          <w:rFonts w:eastAsia="Calibri"/>
          <w:lang w:val="fr-CA" w:eastAsia="en-US"/>
        </w:rPr>
        <w:t xml:space="preserve">binaires d’être acceptés, respectés et traités avec dignité. Elle estime que la mise en œuvre effective de leurs droits exige l’adoption de politiques favorisant l’acceptation et le soutien des jeunes dans l’affirmation </w:t>
      </w:r>
      <w:r w:rsidR="007C6E85" w:rsidRPr="00BD22C2">
        <w:rPr>
          <w:rFonts w:eastAsia="Calibri"/>
          <w:lang w:val="fr-CA" w:eastAsia="en-US"/>
        </w:rPr>
        <w:t xml:space="preserve">sociale </w:t>
      </w:r>
      <w:r w:rsidRPr="00BD22C2">
        <w:rPr>
          <w:rFonts w:eastAsia="Calibri"/>
          <w:lang w:val="fr-CA" w:eastAsia="en-US"/>
        </w:rPr>
        <w:t>de leur identité de genre.</w:t>
      </w:r>
    </w:p>
    <w:p w14:paraId="6D70C68D" w14:textId="1DD977F8" w:rsidR="006B45E0" w:rsidRPr="00BD22C2" w:rsidRDefault="00BC0F4F" w:rsidP="006B45E0">
      <w:pPr>
        <w:pStyle w:val="Paragraphe"/>
        <w:rPr>
          <w:rFonts w:eastAsia="Calibri"/>
          <w:lang w:val="fr-CA" w:eastAsia="en-US"/>
        </w:rPr>
      </w:pPr>
      <w:r w:rsidRPr="00BD22C2">
        <w:rPr>
          <w:rFonts w:eastAsia="Calibri"/>
          <w:lang w:val="fr-CA" w:eastAsia="en-US"/>
        </w:rPr>
        <w:t>Comme nous le verrons plus en détail</w:t>
      </w:r>
      <w:r w:rsidR="008E4A0C" w:rsidRPr="00BD22C2">
        <w:rPr>
          <w:rFonts w:eastAsia="Calibri"/>
          <w:lang w:val="fr-CA" w:eastAsia="en-US"/>
        </w:rPr>
        <w:t xml:space="preserve"> à la section</w:t>
      </w:r>
      <w:r w:rsidR="0091080B">
        <w:rPr>
          <w:rFonts w:eastAsia="Calibri"/>
          <w:lang w:val="fr-CA" w:eastAsia="en-US"/>
        </w:rPr>
        <w:t> </w:t>
      </w:r>
      <w:r w:rsidR="008E4A0C" w:rsidRPr="00BD22C2">
        <w:rPr>
          <w:rFonts w:eastAsia="Calibri"/>
          <w:lang w:val="fr-CA" w:eastAsia="en-US"/>
        </w:rPr>
        <w:t>7 de ce mémoire, l</w:t>
      </w:r>
      <w:r w:rsidR="006B45E0" w:rsidRPr="00BD22C2">
        <w:rPr>
          <w:rFonts w:eastAsia="Calibri"/>
          <w:lang w:val="fr-CA" w:eastAsia="en-US"/>
        </w:rPr>
        <w:t>’école québécoise doit donc elle aussi poursuivre ses efforts visant à garantir à tous les élèves un environnement exempt de discriminations et favorisant du même coup la réalisation du droit à l’éducation. Il apparaît ainsi fondamental que tous les acteurs de l’école soient en mesure de jouer leur rôle et d’assumer leurs responsabilités de manière à rendre le milieu scolaire pleinement inclusif. Bien souvent les adaptations requises sont peu contraignantes, mais auront un impact majeur sur le quotidien des élèves trans et non</w:t>
      </w:r>
      <w:r w:rsidR="004B383E" w:rsidRPr="00BD22C2">
        <w:rPr>
          <w:rFonts w:eastAsia="Calibri"/>
          <w:lang w:val="fr-CA" w:eastAsia="en-US"/>
        </w:rPr>
        <w:t xml:space="preserve"> </w:t>
      </w:r>
      <w:r w:rsidR="006B45E0" w:rsidRPr="00BD22C2">
        <w:rPr>
          <w:rFonts w:eastAsia="Calibri"/>
          <w:lang w:val="fr-CA" w:eastAsia="en-US"/>
        </w:rPr>
        <w:t>binaires</w:t>
      </w:r>
      <w:r w:rsidR="006B45E0" w:rsidRPr="00BD22C2">
        <w:rPr>
          <w:rStyle w:val="Appeldenotedefin"/>
          <w:rFonts w:eastAsia="Calibri"/>
          <w:lang w:val="fr-CA" w:eastAsia="en-US"/>
        </w:rPr>
        <w:endnoteReference w:id="326"/>
      </w:r>
      <w:r w:rsidR="006B45E0" w:rsidRPr="00BD22C2">
        <w:rPr>
          <w:rFonts w:eastAsia="Calibri"/>
          <w:lang w:val="fr-CA" w:eastAsia="en-US"/>
        </w:rPr>
        <w:t>.</w:t>
      </w:r>
    </w:p>
    <w:p w14:paraId="1FE351A5" w14:textId="50E2274D" w:rsidR="00851DAF" w:rsidRPr="00BD22C2" w:rsidRDefault="00027282" w:rsidP="00EF1CB2">
      <w:pPr>
        <w:pStyle w:val="Paragraphe"/>
        <w:rPr>
          <w:rFonts w:eastAsia="Calibri"/>
          <w:lang w:val="fr-CA" w:eastAsia="en-US"/>
        </w:rPr>
      </w:pPr>
      <w:r w:rsidRPr="00BD22C2">
        <w:rPr>
          <w:rFonts w:eastAsia="Calibri"/>
          <w:lang w:val="fr-CA" w:eastAsia="en-US"/>
        </w:rPr>
        <w:t xml:space="preserve">Certaines politiques gouvernementales comportent déjà des balises visant à favoriser la mise en place de tels environnements. </w:t>
      </w:r>
      <w:r w:rsidR="00403D98" w:rsidRPr="00BD22C2">
        <w:rPr>
          <w:rFonts w:eastAsia="Calibri"/>
          <w:lang w:val="fr-CA" w:eastAsia="en-US"/>
        </w:rPr>
        <w:t>D</w:t>
      </w:r>
      <w:r w:rsidRPr="00BD22C2">
        <w:rPr>
          <w:rFonts w:eastAsia="Calibri"/>
          <w:lang w:val="fr-CA" w:eastAsia="en-US"/>
        </w:rPr>
        <w:t xml:space="preserve">ans le réseau de la santé et </w:t>
      </w:r>
      <w:r w:rsidR="001B300C" w:rsidRPr="00BD22C2">
        <w:rPr>
          <w:rFonts w:eastAsia="Calibri"/>
          <w:lang w:val="fr-CA" w:eastAsia="en-US"/>
        </w:rPr>
        <w:t xml:space="preserve">des </w:t>
      </w:r>
      <w:r w:rsidRPr="00BD22C2">
        <w:rPr>
          <w:rFonts w:eastAsia="Calibri"/>
          <w:lang w:val="fr-CA" w:eastAsia="en-US"/>
        </w:rPr>
        <w:t>services sociaux, les</w:t>
      </w:r>
      <w:r w:rsidR="00F7531E" w:rsidRPr="00BD22C2">
        <w:rPr>
          <w:rFonts w:eastAsia="Calibri"/>
          <w:lang w:val="fr-CA" w:eastAsia="en-US"/>
        </w:rPr>
        <w:t xml:space="preserve"> </w:t>
      </w:r>
      <w:r w:rsidR="00F7531E" w:rsidRPr="00BD22C2">
        <w:rPr>
          <w:rFonts w:eastAsia="Calibri"/>
          <w:i/>
          <w:iCs/>
          <w:lang w:val="fr-CA" w:eastAsia="en-US"/>
        </w:rPr>
        <w:t xml:space="preserve">Lignes </w:t>
      </w:r>
      <w:r w:rsidR="00F7531E" w:rsidRPr="00BD22C2">
        <w:rPr>
          <w:rFonts w:eastAsia="Calibri"/>
          <w:i/>
          <w:iCs/>
          <w:lang w:val="fr-CA" w:eastAsia="en-US"/>
        </w:rPr>
        <w:lastRenderedPageBreak/>
        <w:t>directrices sur la santé et le bien-être des personnes de la diversité sexuelle et des genres</w:t>
      </w:r>
      <w:r w:rsidR="00F7531E" w:rsidRPr="00BD22C2">
        <w:rPr>
          <w:rFonts w:eastAsia="Calibri"/>
          <w:lang w:val="fr-CA" w:eastAsia="en-US"/>
        </w:rPr>
        <w:t xml:space="preserve"> prévoient</w:t>
      </w:r>
      <w:r w:rsidR="005C12EE" w:rsidRPr="00BD22C2">
        <w:rPr>
          <w:rFonts w:eastAsia="Calibri"/>
          <w:lang w:val="fr-CA" w:eastAsia="en-US"/>
        </w:rPr>
        <w:t xml:space="preserve"> de</w:t>
      </w:r>
      <w:r w:rsidR="00692C71" w:rsidRPr="00BD22C2">
        <w:rPr>
          <w:rFonts w:eastAsia="Calibri"/>
          <w:lang w:val="fr-CA" w:eastAsia="en-US"/>
        </w:rPr>
        <w:t> :</w:t>
      </w:r>
      <w:r w:rsidR="005C12EE" w:rsidRPr="00BD22C2">
        <w:rPr>
          <w:rFonts w:eastAsia="Calibri"/>
          <w:lang w:val="fr-CA" w:eastAsia="en-US"/>
        </w:rPr>
        <w:t xml:space="preserve"> «</w:t>
      </w:r>
      <w:r w:rsidR="0051216B" w:rsidRPr="00BD22C2">
        <w:rPr>
          <w:rFonts w:eastAsia="Calibri"/>
          <w:lang w:val="fr-CA" w:eastAsia="en-US"/>
        </w:rPr>
        <w:t> </w:t>
      </w:r>
      <w:r w:rsidR="005C12EE" w:rsidRPr="00BD22C2">
        <w:rPr>
          <w:rFonts w:eastAsia="Calibri"/>
          <w:lang w:val="fr-CA" w:eastAsia="en-US"/>
        </w:rPr>
        <w:t>[f]</w:t>
      </w:r>
      <w:proofErr w:type="spellStart"/>
      <w:r w:rsidR="005C12EE" w:rsidRPr="00BD22C2">
        <w:rPr>
          <w:rFonts w:eastAsia="Calibri"/>
          <w:lang w:val="fr-CA" w:eastAsia="en-US"/>
        </w:rPr>
        <w:t>avoriser</w:t>
      </w:r>
      <w:proofErr w:type="spellEnd"/>
      <w:r w:rsidR="005C12EE" w:rsidRPr="00BD22C2">
        <w:rPr>
          <w:rFonts w:eastAsia="Calibri"/>
          <w:lang w:val="fr-CA" w:eastAsia="en-US"/>
        </w:rPr>
        <w:t xml:space="preserve"> un accueil, des milieux et des services inclusifs et sécuritaires</w:t>
      </w:r>
      <w:r w:rsidR="0051216B" w:rsidRPr="00BD22C2">
        <w:rPr>
          <w:rFonts w:eastAsia="Calibri"/>
          <w:lang w:val="fr-CA" w:eastAsia="en-US"/>
        </w:rPr>
        <w:t> </w:t>
      </w:r>
      <w:r w:rsidR="005C12EE" w:rsidRPr="00BD22C2">
        <w:rPr>
          <w:rFonts w:eastAsia="Calibri"/>
          <w:lang w:val="fr-CA" w:eastAsia="en-US"/>
        </w:rPr>
        <w:t xml:space="preserve">». Le premier engagement </w:t>
      </w:r>
      <w:r w:rsidR="002D546F" w:rsidRPr="00BD22C2">
        <w:rPr>
          <w:rFonts w:eastAsia="Calibri"/>
          <w:lang w:val="fr-CA" w:eastAsia="en-US"/>
        </w:rPr>
        <w:t>qui en émane</w:t>
      </w:r>
      <w:r w:rsidR="005C12EE" w:rsidRPr="00BD22C2">
        <w:rPr>
          <w:rFonts w:eastAsia="Calibri"/>
          <w:lang w:val="fr-CA" w:eastAsia="en-US"/>
        </w:rPr>
        <w:t xml:space="preserve"> est la mise en place de conditions favorisant l’inclusion, comme le fait d</w:t>
      </w:r>
      <w:proofErr w:type="gramStart"/>
      <w:r w:rsidR="005C12EE" w:rsidRPr="00BD22C2">
        <w:rPr>
          <w:rFonts w:eastAsia="Calibri"/>
          <w:lang w:val="fr-CA" w:eastAsia="en-US"/>
        </w:rPr>
        <w:t>’«</w:t>
      </w:r>
      <w:proofErr w:type="gramEnd"/>
      <w:r w:rsidR="0051216B" w:rsidRPr="00BD22C2">
        <w:rPr>
          <w:rFonts w:eastAsia="Calibri"/>
          <w:lang w:val="fr-CA" w:eastAsia="en-US"/>
        </w:rPr>
        <w:t> </w:t>
      </w:r>
      <w:r w:rsidR="005C12EE" w:rsidRPr="00BD22C2">
        <w:rPr>
          <w:rFonts w:eastAsia="Calibri"/>
          <w:lang w:val="fr-CA" w:eastAsia="en-US"/>
        </w:rPr>
        <w:t xml:space="preserve">encourager les approches affirmatives ou </w:t>
      </w:r>
      <w:proofErr w:type="spellStart"/>
      <w:r w:rsidR="005C12EE" w:rsidRPr="00BD22C2">
        <w:rPr>
          <w:rFonts w:eastAsia="Calibri"/>
          <w:lang w:val="fr-CA" w:eastAsia="en-US"/>
        </w:rPr>
        <w:t>transaffirmatives</w:t>
      </w:r>
      <w:proofErr w:type="spellEnd"/>
      <w:r w:rsidR="005C12EE" w:rsidRPr="00BD22C2">
        <w:rPr>
          <w:rFonts w:eastAsia="Calibri"/>
          <w:lang w:val="fr-CA" w:eastAsia="en-US"/>
        </w:rPr>
        <w:t xml:space="preserve"> […] qui […] favorisent l’autodétermination de la personne usagère, soutiennent l’affirmation d’identité et s’assurent du consentement éclairé</w:t>
      </w:r>
      <w:r w:rsidR="0051216B" w:rsidRPr="00BD22C2">
        <w:rPr>
          <w:rFonts w:eastAsia="Calibri"/>
          <w:lang w:val="fr-CA" w:eastAsia="en-US"/>
        </w:rPr>
        <w:t> </w:t>
      </w:r>
      <w:r w:rsidR="005C12EE" w:rsidRPr="00BD22C2">
        <w:rPr>
          <w:rFonts w:eastAsia="Calibri"/>
          <w:lang w:val="fr-CA" w:eastAsia="en-US"/>
        </w:rPr>
        <w:t>»</w:t>
      </w:r>
      <w:bookmarkStart w:id="150" w:name="_Ref167367810"/>
      <w:r w:rsidR="005C12EE" w:rsidRPr="00BD22C2">
        <w:rPr>
          <w:rStyle w:val="Appeldenotedefin"/>
          <w:rFonts w:eastAsia="Calibri"/>
          <w:sz w:val="20"/>
          <w:szCs w:val="20"/>
          <w:lang w:val="fr-CA" w:eastAsia="en-US"/>
        </w:rPr>
        <w:endnoteReference w:id="327"/>
      </w:r>
      <w:bookmarkEnd w:id="150"/>
      <w:r w:rsidR="005C12EE" w:rsidRPr="00BD22C2">
        <w:rPr>
          <w:rFonts w:eastAsia="Calibri"/>
          <w:lang w:val="fr-CA" w:eastAsia="en-US"/>
        </w:rPr>
        <w:t>.</w:t>
      </w:r>
      <w:r w:rsidR="00191206" w:rsidRPr="00BD22C2">
        <w:rPr>
          <w:rFonts w:eastAsia="Calibri"/>
          <w:lang w:val="fr-CA" w:eastAsia="en-US"/>
        </w:rPr>
        <w:t xml:space="preserve"> </w:t>
      </w:r>
      <w:r w:rsidR="005C12EE" w:rsidRPr="00BD22C2">
        <w:rPr>
          <w:rFonts w:eastAsia="Calibri"/>
          <w:lang w:val="fr-CA" w:eastAsia="en-US"/>
        </w:rPr>
        <w:t xml:space="preserve">Ces lignes directrices </w:t>
      </w:r>
      <w:r w:rsidR="00F7531E" w:rsidRPr="00BD22C2">
        <w:rPr>
          <w:rFonts w:eastAsia="Calibri"/>
          <w:lang w:val="fr-CA" w:eastAsia="en-US"/>
        </w:rPr>
        <w:t xml:space="preserve">prévoient </w:t>
      </w:r>
      <w:r w:rsidR="005C12EE" w:rsidRPr="00BD22C2">
        <w:rPr>
          <w:rFonts w:eastAsia="Calibri"/>
          <w:lang w:val="fr-CA" w:eastAsia="en-US"/>
        </w:rPr>
        <w:t>aussi</w:t>
      </w:r>
      <w:r w:rsidR="00F7531E" w:rsidRPr="00BD22C2">
        <w:rPr>
          <w:rFonts w:eastAsia="Calibri"/>
          <w:lang w:val="fr-CA" w:eastAsia="en-US"/>
        </w:rPr>
        <w:t xml:space="preserve"> la formation et la sensibilisation du personnel des établissement</w:t>
      </w:r>
      <w:r w:rsidR="00F93A07" w:rsidRPr="00BD22C2">
        <w:rPr>
          <w:rFonts w:eastAsia="Calibri"/>
          <w:lang w:val="fr-CA" w:eastAsia="en-US"/>
        </w:rPr>
        <w:t>s</w:t>
      </w:r>
      <w:r w:rsidR="00F7531E" w:rsidRPr="00BD22C2">
        <w:rPr>
          <w:rFonts w:eastAsia="Calibri"/>
          <w:lang w:val="fr-CA" w:eastAsia="en-US"/>
        </w:rPr>
        <w:t xml:space="preserve"> de santé et de services sociaux sur «</w:t>
      </w:r>
      <w:r w:rsidR="0051216B" w:rsidRPr="00BD22C2">
        <w:rPr>
          <w:rFonts w:eastAsia="Calibri"/>
          <w:lang w:val="fr-CA" w:eastAsia="en-US"/>
        </w:rPr>
        <w:t> </w:t>
      </w:r>
      <w:r w:rsidR="00F7531E" w:rsidRPr="00BD22C2">
        <w:rPr>
          <w:rFonts w:eastAsia="Calibri"/>
          <w:lang w:val="fr-CA" w:eastAsia="en-US"/>
        </w:rPr>
        <w:t>la diversité sexuelle et des genres, sur les conséquences de la discrimination (homophobie, transphobie, etc.), sur les réalités et les besoins de santé et de bien-être des personnes de la diversité sexuelle et des genres, ainsi que sur leurs droits</w:t>
      </w:r>
      <w:r w:rsidR="0051216B" w:rsidRPr="00BD22C2">
        <w:rPr>
          <w:rFonts w:eastAsia="Calibri"/>
          <w:lang w:val="fr-CA" w:eastAsia="en-US"/>
        </w:rPr>
        <w:t> </w:t>
      </w:r>
      <w:r w:rsidR="00F7531E" w:rsidRPr="00BD22C2">
        <w:rPr>
          <w:rFonts w:eastAsia="Calibri"/>
          <w:lang w:val="fr-CA" w:eastAsia="en-US"/>
        </w:rPr>
        <w:t>»</w:t>
      </w:r>
      <w:r w:rsidR="00F7531E" w:rsidRPr="00BD22C2">
        <w:rPr>
          <w:rStyle w:val="Appeldenotedefin"/>
          <w:rFonts w:eastAsia="Calibri"/>
          <w:lang w:val="fr-CA" w:eastAsia="en-US"/>
        </w:rPr>
        <w:endnoteReference w:id="328"/>
      </w:r>
      <w:r w:rsidR="00F7531E" w:rsidRPr="00BD22C2">
        <w:rPr>
          <w:rFonts w:eastAsia="Calibri"/>
          <w:lang w:val="fr-CA" w:eastAsia="en-US"/>
        </w:rPr>
        <w:t>. Le</w:t>
      </w:r>
      <w:r w:rsidR="00F7531E" w:rsidRPr="00BD22C2">
        <w:rPr>
          <w:rFonts w:eastAsia="Calibri"/>
          <w:i/>
          <w:lang w:val="fr-CA" w:eastAsia="en-US"/>
        </w:rPr>
        <w:t xml:space="preserve"> </w:t>
      </w:r>
      <w:r w:rsidR="00F7531E" w:rsidRPr="00BD22C2">
        <w:rPr>
          <w:rFonts w:eastAsia="Calibri"/>
          <w:lang w:val="fr-CA" w:eastAsia="en-US"/>
        </w:rPr>
        <w:t>Plan d’action gouvernemental de lutte contre l’homophobie et la transphobie</w:t>
      </w:r>
      <w:r w:rsidR="0091080B">
        <w:rPr>
          <w:rFonts w:eastAsia="Calibri"/>
          <w:lang w:val="fr-CA" w:eastAsia="en-US"/>
        </w:rPr>
        <w:t> </w:t>
      </w:r>
      <w:r w:rsidR="00F7531E" w:rsidRPr="00BD22C2">
        <w:rPr>
          <w:rFonts w:eastAsia="Calibri"/>
          <w:lang w:val="fr-CA" w:eastAsia="en-US"/>
        </w:rPr>
        <w:t>2023-2028 énonce des mesures en ce sens</w:t>
      </w:r>
      <w:r w:rsidR="00F7531E" w:rsidRPr="00BD22C2">
        <w:rPr>
          <w:rStyle w:val="Appeldenotedefin"/>
          <w:rFonts w:eastAsia="Calibri"/>
          <w:lang w:val="fr-CA" w:eastAsia="en-US"/>
        </w:rPr>
        <w:endnoteReference w:id="329"/>
      </w:r>
      <w:r w:rsidR="00F7531E" w:rsidRPr="00BD22C2">
        <w:rPr>
          <w:rFonts w:eastAsia="Calibri"/>
          <w:lang w:val="fr-CA" w:eastAsia="en-US"/>
        </w:rPr>
        <w:t>. Mentionnons, d’une part, l’accès en ligne à «</w:t>
      </w:r>
      <w:r w:rsidR="0051216B" w:rsidRPr="00BD22C2">
        <w:rPr>
          <w:rFonts w:eastAsia="Calibri"/>
          <w:lang w:val="fr-CA" w:eastAsia="en-US"/>
        </w:rPr>
        <w:t> </w:t>
      </w:r>
      <w:r w:rsidR="00F7531E" w:rsidRPr="00BD22C2">
        <w:rPr>
          <w:rFonts w:eastAsia="Calibri"/>
          <w:lang w:val="fr-CA" w:eastAsia="en-US"/>
        </w:rPr>
        <w:t>de l’information et des outils relatifs à la diversité sexuelle et de genre dans une perspective de promotion de la santé et du bien-être de la population, et en particulier des jeunes</w:t>
      </w:r>
      <w:r w:rsidR="0051216B" w:rsidRPr="00BD22C2">
        <w:rPr>
          <w:rFonts w:eastAsia="Calibri"/>
          <w:lang w:val="fr-CA" w:eastAsia="en-US"/>
        </w:rPr>
        <w:t> </w:t>
      </w:r>
      <w:r w:rsidR="00F7531E" w:rsidRPr="00BD22C2">
        <w:rPr>
          <w:rFonts w:eastAsia="Calibri"/>
          <w:lang w:val="fr-CA" w:eastAsia="en-US"/>
        </w:rPr>
        <w:t>»</w:t>
      </w:r>
      <w:r w:rsidR="00F7531E" w:rsidRPr="00BD22C2">
        <w:rPr>
          <w:rStyle w:val="Appeldenotedefin"/>
          <w:rFonts w:eastAsia="Calibri"/>
          <w:lang w:val="fr-CA" w:eastAsia="en-US"/>
        </w:rPr>
        <w:endnoteReference w:id="330"/>
      </w:r>
      <w:r w:rsidR="00F7531E" w:rsidRPr="00BD22C2">
        <w:rPr>
          <w:rFonts w:eastAsia="Calibri"/>
          <w:lang w:val="fr-CA" w:eastAsia="en-US"/>
        </w:rPr>
        <w:t xml:space="preserve"> </w:t>
      </w:r>
      <w:r w:rsidR="00240FD5" w:rsidRPr="00BD22C2">
        <w:rPr>
          <w:rFonts w:eastAsia="Calibri"/>
          <w:lang w:val="fr-CA" w:eastAsia="en-US"/>
        </w:rPr>
        <w:t>puis</w:t>
      </w:r>
      <w:r w:rsidR="00F7531E" w:rsidRPr="00BD22C2">
        <w:rPr>
          <w:rFonts w:eastAsia="Calibri"/>
          <w:lang w:val="fr-CA" w:eastAsia="en-US"/>
        </w:rPr>
        <w:t>, d’autre part, le soutien, la bonification et la promotion de la «</w:t>
      </w:r>
      <w:r w:rsidR="0051216B" w:rsidRPr="00BD22C2">
        <w:rPr>
          <w:rFonts w:eastAsia="Calibri"/>
          <w:lang w:val="fr-CA" w:eastAsia="en-US"/>
        </w:rPr>
        <w:t> </w:t>
      </w:r>
      <w:r w:rsidR="00F7531E" w:rsidRPr="00BD22C2">
        <w:rPr>
          <w:rFonts w:eastAsia="Calibri"/>
          <w:lang w:val="fr-CA" w:eastAsia="en-US"/>
        </w:rPr>
        <w:t>sensibilisation du personnel et des équipes d’intervention des milieux de la santé et des services sociaux, de l’enseignement et des services publics ou communautaires</w:t>
      </w:r>
      <w:r w:rsidR="0051216B" w:rsidRPr="00BD22C2">
        <w:rPr>
          <w:rFonts w:eastAsia="Calibri"/>
          <w:lang w:val="fr-CA" w:eastAsia="en-US"/>
        </w:rPr>
        <w:t> </w:t>
      </w:r>
      <w:r w:rsidR="00F7531E" w:rsidRPr="00BD22C2">
        <w:rPr>
          <w:rFonts w:eastAsia="Calibri"/>
          <w:lang w:val="fr-CA" w:eastAsia="en-US"/>
        </w:rPr>
        <w:t>»</w:t>
      </w:r>
      <w:r w:rsidR="00F7531E" w:rsidRPr="00BD22C2">
        <w:rPr>
          <w:rStyle w:val="Appeldenotedefin"/>
          <w:rFonts w:eastAsia="Calibri"/>
          <w:lang w:val="fr-CA" w:eastAsia="en-US"/>
        </w:rPr>
        <w:endnoteReference w:id="331"/>
      </w:r>
      <w:r w:rsidR="00F7531E" w:rsidRPr="00BD22C2">
        <w:rPr>
          <w:rFonts w:eastAsia="Calibri"/>
          <w:lang w:val="fr-CA" w:eastAsia="en-US"/>
        </w:rPr>
        <w:t>. Une mesure vise en outre à «</w:t>
      </w:r>
      <w:r w:rsidR="0051216B" w:rsidRPr="00BD22C2">
        <w:rPr>
          <w:rFonts w:eastAsia="Calibri"/>
          <w:lang w:val="fr-CA" w:eastAsia="en-US"/>
        </w:rPr>
        <w:t> </w:t>
      </w:r>
      <w:r w:rsidR="00F7531E" w:rsidRPr="00BD22C2">
        <w:rPr>
          <w:rFonts w:eastAsia="Calibri"/>
          <w:lang w:val="fr-CA" w:eastAsia="en-US"/>
        </w:rPr>
        <w:t>[o]</w:t>
      </w:r>
      <w:proofErr w:type="spellStart"/>
      <w:r w:rsidR="00F7531E" w:rsidRPr="00BD22C2">
        <w:rPr>
          <w:rFonts w:eastAsia="Calibri"/>
          <w:lang w:val="fr-CA" w:eastAsia="en-US"/>
        </w:rPr>
        <w:t>utiller</w:t>
      </w:r>
      <w:proofErr w:type="spellEnd"/>
      <w:r w:rsidR="00F7531E" w:rsidRPr="00BD22C2">
        <w:rPr>
          <w:rFonts w:eastAsia="Calibri"/>
          <w:lang w:val="fr-CA" w:eastAsia="en-US"/>
        </w:rPr>
        <w:t xml:space="preserve"> les personnes intervenantes sur les bonnes pratiques psychosociales adaptées aux réalités des personnes de la diversité sexuelle et de genre</w:t>
      </w:r>
      <w:r w:rsidR="0051216B" w:rsidRPr="00BD22C2">
        <w:rPr>
          <w:rFonts w:eastAsia="Calibri"/>
          <w:lang w:val="fr-CA" w:eastAsia="en-US"/>
        </w:rPr>
        <w:t> </w:t>
      </w:r>
      <w:r w:rsidR="00F7531E" w:rsidRPr="00BD22C2">
        <w:rPr>
          <w:rFonts w:eastAsia="Calibri"/>
          <w:lang w:val="fr-CA" w:eastAsia="en-US"/>
        </w:rPr>
        <w:t>»</w:t>
      </w:r>
      <w:r w:rsidR="00F7531E" w:rsidRPr="00BD22C2">
        <w:rPr>
          <w:rStyle w:val="Appeldenotedefin"/>
          <w:rFonts w:eastAsia="Calibri"/>
          <w:lang w:val="fr-CA" w:eastAsia="en-US"/>
        </w:rPr>
        <w:endnoteReference w:id="332"/>
      </w:r>
      <w:r w:rsidR="00F7531E" w:rsidRPr="00BD22C2">
        <w:rPr>
          <w:rFonts w:eastAsia="Calibri"/>
          <w:lang w:val="fr-CA" w:eastAsia="en-US"/>
        </w:rPr>
        <w:t xml:space="preserve">. </w:t>
      </w:r>
    </w:p>
    <w:p w14:paraId="1B8B8FB2" w14:textId="30ABEA7A" w:rsidR="00F7531E" w:rsidRPr="00BD22C2" w:rsidRDefault="00F7531E" w:rsidP="00EF1CB2">
      <w:pPr>
        <w:pStyle w:val="Paragraphe"/>
        <w:rPr>
          <w:rFonts w:eastAsia="Calibri"/>
          <w:lang w:val="fr-CA" w:eastAsia="en-US"/>
        </w:rPr>
      </w:pPr>
      <w:r w:rsidRPr="00BD22C2">
        <w:rPr>
          <w:rFonts w:eastAsia="Calibri"/>
          <w:lang w:val="fr-CA" w:eastAsia="en-US"/>
        </w:rPr>
        <w:t xml:space="preserve">Ces outils et formations sont ou seront offerts au personnel des services de santé et des services sociaux, mais ne sont pas obligatoires dans le réseau. </w:t>
      </w:r>
    </w:p>
    <w:p w14:paraId="5819F747" w14:textId="1B753658" w:rsidR="00F7531E" w:rsidRPr="00BD22C2" w:rsidRDefault="00F7531E" w:rsidP="00F7531E">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0048217A" w:rsidRPr="00BD22C2">
        <w:rPr>
          <w:rFonts w:eastAsia="Calibri"/>
          <w:lang w:eastAsia="en-US"/>
        </w:rPr>
        <w:t>6</w:t>
      </w:r>
    </w:p>
    <w:p w14:paraId="5434B4FB" w14:textId="02AA2F19" w:rsidR="00EF1CB2" w:rsidRPr="00BD22C2" w:rsidRDefault="00F7531E" w:rsidP="00AC6BF6">
      <w:pPr>
        <w:pStyle w:val="Texterecommandation"/>
        <w:ind w:left="706" w:firstLine="3"/>
        <w:rPr>
          <w:lang w:eastAsia="en-US"/>
        </w:rPr>
      </w:pPr>
      <w:r w:rsidRPr="00BD22C2">
        <w:rPr>
          <w:bCs/>
          <w:lang w:eastAsia="en-US"/>
        </w:rPr>
        <w:t>La Commission recommande au Comité de sages sur l’identité de genre</w:t>
      </w:r>
      <w:r w:rsidRPr="00BD22C2">
        <w:rPr>
          <w:lang w:eastAsia="en-US"/>
        </w:rPr>
        <w:t xml:space="preserve"> d’accorder une attention particulière à l’amélioration du soutien disponible </w:t>
      </w:r>
      <w:r w:rsidR="00EA7F37" w:rsidRPr="00BD22C2">
        <w:rPr>
          <w:lang w:eastAsia="en-US"/>
        </w:rPr>
        <w:t xml:space="preserve">et </w:t>
      </w:r>
      <w:r w:rsidR="00D75EF5" w:rsidRPr="00BD22C2">
        <w:rPr>
          <w:lang w:eastAsia="en-US"/>
        </w:rPr>
        <w:t>à</w:t>
      </w:r>
      <w:r w:rsidR="00EA7F37" w:rsidRPr="00BD22C2">
        <w:rPr>
          <w:lang w:eastAsia="en-US"/>
        </w:rPr>
        <w:t xml:space="preserve"> l</w:t>
      </w:r>
      <w:r w:rsidR="00841BD6" w:rsidRPr="00BD22C2">
        <w:rPr>
          <w:lang w:eastAsia="en-US"/>
        </w:rPr>
        <w:t>’</w:t>
      </w:r>
      <w:r w:rsidR="00EA7F37" w:rsidRPr="00BD22C2">
        <w:rPr>
          <w:lang w:eastAsia="en-US"/>
        </w:rPr>
        <w:t xml:space="preserve">accès à celui-ci </w:t>
      </w:r>
      <w:r w:rsidRPr="00BD22C2">
        <w:rPr>
          <w:lang w:eastAsia="en-US"/>
        </w:rPr>
        <w:t xml:space="preserve">pour les </w:t>
      </w:r>
      <w:r w:rsidR="00FA3D83" w:rsidRPr="00BD22C2">
        <w:rPr>
          <w:lang w:eastAsia="en-US"/>
        </w:rPr>
        <w:t xml:space="preserve">enfants </w:t>
      </w:r>
      <w:r w:rsidR="006F5C82" w:rsidRPr="00BD22C2">
        <w:rPr>
          <w:lang w:eastAsia="en-US"/>
        </w:rPr>
        <w:t>et</w:t>
      </w:r>
      <w:r w:rsidR="00FA3D83" w:rsidRPr="00BD22C2">
        <w:rPr>
          <w:lang w:eastAsia="en-US"/>
        </w:rPr>
        <w:t xml:space="preserve"> les </w:t>
      </w:r>
      <w:r w:rsidRPr="00BD22C2">
        <w:rPr>
          <w:lang w:eastAsia="en-US"/>
        </w:rPr>
        <w:t xml:space="preserve">jeunes </w:t>
      </w:r>
      <w:r w:rsidR="00FA3D83" w:rsidRPr="00BD22C2">
        <w:rPr>
          <w:lang w:eastAsia="en-US"/>
        </w:rPr>
        <w:t xml:space="preserve">trans et non binaires </w:t>
      </w:r>
      <w:r w:rsidRPr="00BD22C2">
        <w:rPr>
          <w:lang w:eastAsia="en-US"/>
        </w:rPr>
        <w:t xml:space="preserve">et </w:t>
      </w:r>
      <w:r w:rsidRPr="00BD22C2">
        <w:rPr>
          <w:bCs/>
          <w:lang w:eastAsia="en-US"/>
        </w:rPr>
        <w:t>leurs</w:t>
      </w:r>
      <w:r w:rsidRPr="00BD22C2">
        <w:rPr>
          <w:lang w:eastAsia="en-US"/>
        </w:rPr>
        <w:t xml:space="preserve"> parents</w:t>
      </w:r>
      <w:r w:rsidR="00FA3D83" w:rsidRPr="00BD22C2">
        <w:rPr>
          <w:lang w:eastAsia="en-US"/>
        </w:rPr>
        <w:t>,</w:t>
      </w:r>
      <w:r w:rsidRPr="00BD22C2">
        <w:rPr>
          <w:lang w:eastAsia="en-US"/>
        </w:rPr>
        <w:t xml:space="preserve"> tout au long </w:t>
      </w:r>
      <w:r w:rsidRPr="00BD22C2">
        <w:rPr>
          <w:bCs/>
          <w:lang w:eastAsia="en-US"/>
        </w:rPr>
        <w:t>du</w:t>
      </w:r>
      <w:r w:rsidRPr="00BD22C2">
        <w:rPr>
          <w:lang w:eastAsia="en-US"/>
        </w:rPr>
        <w:t xml:space="preserve"> processus</w:t>
      </w:r>
      <w:r w:rsidRPr="00BD22C2">
        <w:rPr>
          <w:bCs/>
          <w:lang w:eastAsia="en-US"/>
        </w:rPr>
        <w:t xml:space="preserve"> d’affirmation de genre</w:t>
      </w:r>
      <w:r w:rsidRPr="00BD22C2">
        <w:rPr>
          <w:lang w:eastAsia="en-US"/>
        </w:rPr>
        <w:t xml:space="preserve">, et ce, </w:t>
      </w:r>
      <w:r w:rsidR="00064C5F" w:rsidRPr="00BD22C2">
        <w:rPr>
          <w:lang w:eastAsia="en-US"/>
        </w:rPr>
        <w:t>dans</w:t>
      </w:r>
      <w:r w:rsidRPr="00BD22C2">
        <w:rPr>
          <w:lang w:eastAsia="en-US"/>
        </w:rPr>
        <w:t xml:space="preserve"> l’ensemble des institutions que ces enfants et jeunes sont susceptibles de fréquenter</w:t>
      </w:r>
      <w:r w:rsidRPr="00BD22C2">
        <w:rPr>
          <w:bCs/>
          <w:lang w:eastAsia="en-US"/>
        </w:rPr>
        <w:t xml:space="preserve"> (santé et services sociaux, </w:t>
      </w:r>
      <w:r w:rsidRPr="00BD22C2">
        <w:rPr>
          <w:lang w:eastAsia="en-US"/>
        </w:rPr>
        <w:t>écoles</w:t>
      </w:r>
      <w:r w:rsidRPr="00BD22C2">
        <w:rPr>
          <w:bCs/>
          <w:lang w:eastAsia="en-US"/>
        </w:rPr>
        <w:t>, protection de la jeunesse</w:t>
      </w:r>
      <w:r w:rsidR="00363230" w:rsidRPr="00BD22C2">
        <w:rPr>
          <w:bCs/>
          <w:lang w:eastAsia="en-US"/>
        </w:rPr>
        <w:t>, emploi, milieu communauta</w:t>
      </w:r>
      <w:r w:rsidR="009A58C4" w:rsidRPr="00BD22C2">
        <w:rPr>
          <w:bCs/>
          <w:lang w:eastAsia="en-US"/>
        </w:rPr>
        <w:t>ire, etc.</w:t>
      </w:r>
      <w:r w:rsidR="005D2CAA" w:rsidRPr="00BD22C2">
        <w:rPr>
          <w:bCs/>
          <w:lang w:eastAsia="en-US"/>
        </w:rPr>
        <w:t>)</w:t>
      </w:r>
      <w:r w:rsidRPr="00BD22C2">
        <w:rPr>
          <w:lang w:eastAsia="en-US"/>
        </w:rPr>
        <w:t>.</w:t>
      </w:r>
    </w:p>
    <w:p w14:paraId="13625C20" w14:textId="2FCEA50D" w:rsidR="00F7531E" w:rsidRPr="00BD22C2" w:rsidRDefault="00F7531E" w:rsidP="00C20A74">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00FA23CD" w:rsidRPr="00BD22C2">
        <w:rPr>
          <w:rFonts w:eastAsia="Calibri"/>
          <w:lang w:eastAsia="en-US"/>
        </w:rPr>
        <w:t>7</w:t>
      </w:r>
      <w:r w:rsidRPr="00BD22C2">
        <w:rPr>
          <w:rFonts w:eastAsia="Calibri"/>
          <w:lang w:eastAsia="en-US"/>
        </w:rPr>
        <w:t xml:space="preserve"> </w:t>
      </w:r>
    </w:p>
    <w:p w14:paraId="62D53AA5" w14:textId="16B2A8EB" w:rsidR="004D797F" w:rsidRPr="00BD22C2" w:rsidRDefault="004E10A9" w:rsidP="00EF1CB2">
      <w:pPr>
        <w:pStyle w:val="Texterecommandation"/>
        <w:ind w:left="576" w:firstLine="0"/>
        <w:rPr>
          <w:lang w:eastAsia="en-US"/>
        </w:rPr>
      </w:pPr>
      <w:r w:rsidRPr="00BD22C2">
        <w:rPr>
          <w:lang w:eastAsia="en-US"/>
        </w:rPr>
        <w:t xml:space="preserve">La </w:t>
      </w:r>
      <w:r w:rsidR="00FA3D83" w:rsidRPr="00BD22C2">
        <w:rPr>
          <w:lang w:eastAsia="en-US"/>
        </w:rPr>
        <w:t xml:space="preserve">Commission </w:t>
      </w:r>
      <w:r w:rsidRPr="00BD22C2">
        <w:rPr>
          <w:lang w:eastAsia="en-US"/>
        </w:rPr>
        <w:t xml:space="preserve">recommande que le </w:t>
      </w:r>
      <w:r w:rsidR="000905F8" w:rsidRPr="00BD22C2">
        <w:rPr>
          <w:lang w:eastAsia="en-US"/>
        </w:rPr>
        <w:t>C</w:t>
      </w:r>
      <w:r w:rsidRPr="00BD22C2">
        <w:rPr>
          <w:lang w:eastAsia="en-US"/>
        </w:rPr>
        <w:t>omit</w:t>
      </w:r>
      <w:r w:rsidRPr="00BD22C2">
        <w:rPr>
          <w:rFonts w:hint="eastAsia"/>
          <w:lang w:eastAsia="en-US"/>
        </w:rPr>
        <w:t>é</w:t>
      </w:r>
      <w:r w:rsidRPr="00BD22C2">
        <w:rPr>
          <w:lang w:eastAsia="en-US"/>
        </w:rPr>
        <w:t xml:space="preserve"> de sages sur l</w:t>
      </w:r>
      <w:r w:rsidR="00FF4799" w:rsidRPr="00BD22C2">
        <w:rPr>
          <w:lang w:eastAsia="en-US"/>
        </w:rPr>
        <w:t>’</w:t>
      </w:r>
      <w:r w:rsidRPr="00BD22C2">
        <w:rPr>
          <w:lang w:eastAsia="en-US"/>
        </w:rPr>
        <w:t>identit</w:t>
      </w:r>
      <w:r w:rsidRPr="00BD22C2">
        <w:rPr>
          <w:rFonts w:hint="eastAsia"/>
          <w:lang w:eastAsia="en-US"/>
        </w:rPr>
        <w:t>é</w:t>
      </w:r>
      <w:r w:rsidRPr="00BD22C2">
        <w:rPr>
          <w:lang w:eastAsia="en-US"/>
        </w:rPr>
        <w:t xml:space="preserve"> de genre </w:t>
      </w:r>
      <w:r w:rsidRPr="00BD22C2">
        <w:rPr>
          <w:rFonts w:hint="eastAsia"/>
          <w:lang w:eastAsia="en-US"/>
        </w:rPr>
        <w:t>é</w:t>
      </w:r>
      <w:r w:rsidRPr="00BD22C2">
        <w:rPr>
          <w:lang w:eastAsia="en-US"/>
        </w:rPr>
        <w:t>value la possibilit</w:t>
      </w:r>
      <w:r w:rsidRPr="00BD22C2">
        <w:rPr>
          <w:rFonts w:hint="eastAsia"/>
          <w:lang w:eastAsia="en-US"/>
        </w:rPr>
        <w:t>é</w:t>
      </w:r>
      <w:r w:rsidRPr="00BD22C2">
        <w:rPr>
          <w:lang w:eastAsia="en-US"/>
        </w:rPr>
        <w:t xml:space="preserve"> </w:t>
      </w:r>
      <w:r w:rsidR="00835259" w:rsidRPr="00BD22C2">
        <w:rPr>
          <w:lang w:eastAsia="en-US"/>
        </w:rPr>
        <w:t>qu</w:t>
      </w:r>
      <w:r w:rsidR="001B6389" w:rsidRPr="00BD22C2">
        <w:rPr>
          <w:lang w:eastAsia="en-US"/>
        </w:rPr>
        <w:t>’une formation</w:t>
      </w:r>
      <w:r w:rsidR="0068133B" w:rsidRPr="00BD22C2">
        <w:rPr>
          <w:lang w:eastAsia="en-US"/>
        </w:rPr>
        <w:t xml:space="preserve"> obligatoire </w:t>
      </w:r>
      <w:r w:rsidR="00835259" w:rsidRPr="00BD22C2">
        <w:rPr>
          <w:lang w:eastAsia="en-US"/>
        </w:rPr>
        <w:t>soit dispensée</w:t>
      </w:r>
      <w:r w:rsidR="0068133B" w:rsidRPr="00BD22C2">
        <w:rPr>
          <w:lang w:eastAsia="en-US"/>
        </w:rPr>
        <w:t xml:space="preserve"> </w:t>
      </w:r>
      <w:r w:rsidR="007F5982" w:rsidRPr="00BD22C2">
        <w:rPr>
          <w:lang w:eastAsia="en-US"/>
        </w:rPr>
        <w:t>à</w:t>
      </w:r>
      <w:r w:rsidRPr="00BD22C2">
        <w:rPr>
          <w:lang w:eastAsia="en-US"/>
        </w:rPr>
        <w:t xml:space="preserve"> l</w:t>
      </w:r>
      <w:r w:rsidR="00FF4799" w:rsidRPr="00BD22C2">
        <w:rPr>
          <w:lang w:eastAsia="en-US"/>
        </w:rPr>
        <w:t>’</w:t>
      </w:r>
      <w:r w:rsidRPr="00BD22C2">
        <w:rPr>
          <w:lang w:eastAsia="en-US"/>
        </w:rPr>
        <w:t>ensemble du personnel offrant des services d</w:t>
      </w:r>
      <w:r w:rsidR="00FF4799" w:rsidRPr="00BD22C2">
        <w:rPr>
          <w:lang w:eastAsia="en-US"/>
        </w:rPr>
        <w:t>’</w:t>
      </w:r>
      <w:r w:rsidRPr="00BD22C2">
        <w:rPr>
          <w:lang w:eastAsia="en-US"/>
        </w:rPr>
        <w:t>intervention en protection de la jeunesse, leur permettant d</w:t>
      </w:r>
      <w:r w:rsidR="00FF4799" w:rsidRPr="00BD22C2">
        <w:rPr>
          <w:lang w:eastAsia="en-US"/>
        </w:rPr>
        <w:t>’</w:t>
      </w:r>
      <w:r w:rsidRPr="00BD22C2">
        <w:rPr>
          <w:lang w:eastAsia="en-US"/>
        </w:rPr>
        <w:t>accompagner et de soutenir, sans biais discriminatoires, ces jeunes et leurs familles dans les d</w:t>
      </w:r>
      <w:r w:rsidRPr="00BD22C2">
        <w:rPr>
          <w:rFonts w:hint="eastAsia"/>
          <w:lang w:eastAsia="en-US"/>
        </w:rPr>
        <w:t>é</w:t>
      </w:r>
      <w:r w:rsidRPr="00BD22C2">
        <w:rPr>
          <w:lang w:eastAsia="en-US"/>
        </w:rPr>
        <w:t>fis qu</w:t>
      </w:r>
      <w:r w:rsidR="00FF4799" w:rsidRPr="00BD22C2">
        <w:rPr>
          <w:lang w:eastAsia="en-US"/>
        </w:rPr>
        <w:t>’</w:t>
      </w:r>
      <w:r w:rsidRPr="00BD22C2">
        <w:rPr>
          <w:lang w:eastAsia="en-US"/>
        </w:rPr>
        <w:t>ils peuvent rencontrer</w:t>
      </w:r>
      <w:r w:rsidR="00F7531E" w:rsidRPr="00BD22C2">
        <w:rPr>
          <w:lang w:eastAsia="en-US"/>
        </w:rPr>
        <w:t>.</w:t>
      </w:r>
    </w:p>
    <w:p w14:paraId="145DBB75" w14:textId="0E4B3045" w:rsidR="004463FF" w:rsidRPr="00BD22C2" w:rsidRDefault="00E60BF2" w:rsidP="00EF1CB2">
      <w:pPr>
        <w:pStyle w:val="Titre2"/>
        <w:rPr>
          <w:rFonts w:eastAsia="Calibri"/>
          <w:lang w:eastAsia="en-US"/>
        </w:rPr>
      </w:pPr>
      <w:bookmarkStart w:id="151" w:name="_Toc165301041"/>
      <w:bookmarkStart w:id="152" w:name="_Toc165636124"/>
      <w:r w:rsidRPr="00BD22C2">
        <w:rPr>
          <w:rFonts w:eastAsia="Calibri"/>
          <w:lang w:eastAsia="en-US"/>
        </w:rPr>
        <w:lastRenderedPageBreak/>
        <w:t>Les soins destinés aux jeunes trans et non binaires</w:t>
      </w:r>
      <w:bookmarkEnd w:id="151"/>
      <w:bookmarkEnd w:id="152"/>
    </w:p>
    <w:p w14:paraId="03977423" w14:textId="6B7D75BA" w:rsidR="00F7531E" w:rsidRPr="00BD22C2" w:rsidRDefault="00F7531E" w:rsidP="00F7531E">
      <w:pPr>
        <w:pStyle w:val="Paragraphe"/>
        <w:rPr>
          <w:rFonts w:eastAsia="Calibri"/>
          <w:lang w:val="fr-CA" w:eastAsia="en-US"/>
        </w:rPr>
      </w:pPr>
      <w:r w:rsidRPr="00BD22C2">
        <w:rPr>
          <w:rFonts w:eastAsia="Calibri"/>
          <w:lang w:val="fr-CA" w:eastAsia="en-US"/>
        </w:rPr>
        <w:t>Au cours des derniers mois, la Commission a pu constater une certaine remise en question au sujet de l’accès aux soins d’affirmation de genre pour les jeunes, en particulier de l’âge à partir duquel il est approprié de les offrir. Au Canada, le gouvernement de l’Alberta a annoncé, sans consultation préalable, son intention d’interdire les chirurgies d’affirmation de genre pour les jeunes de 17</w:t>
      </w:r>
      <w:r w:rsidR="009D3E22">
        <w:rPr>
          <w:rFonts w:eastAsia="Calibri"/>
          <w:lang w:val="fr-CA" w:eastAsia="en-US"/>
        </w:rPr>
        <w:t> </w:t>
      </w:r>
      <w:r w:rsidRPr="00BD22C2">
        <w:rPr>
          <w:rFonts w:eastAsia="Calibri"/>
          <w:lang w:val="fr-CA" w:eastAsia="en-US"/>
        </w:rPr>
        <w:t>ans et moins ainsi que la prescription de bloqueurs de puberté et d’hormones aux personnes mineures de 15</w:t>
      </w:r>
      <w:r w:rsidR="009D3E22">
        <w:rPr>
          <w:rFonts w:eastAsia="Calibri"/>
          <w:lang w:val="fr-CA" w:eastAsia="en-US"/>
        </w:rPr>
        <w:t> </w:t>
      </w:r>
      <w:r w:rsidRPr="00BD22C2">
        <w:rPr>
          <w:rFonts w:eastAsia="Calibri"/>
          <w:lang w:val="fr-CA" w:eastAsia="en-US"/>
        </w:rPr>
        <w:t xml:space="preserve">ans et moins et, toujours pour ces deux traitements, d’exiger l’obtention de l’accord des parents et de personnes professionnelles (médecin et psychologue). </w:t>
      </w:r>
    </w:p>
    <w:p w14:paraId="041E68A7" w14:textId="4F240D1D" w:rsidR="00F41702" w:rsidRPr="00BD22C2" w:rsidRDefault="00F7531E" w:rsidP="00F7531E">
      <w:pPr>
        <w:pStyle w:val="Paragraphe"/>
        <w:rPr>
          <w:rFonts w:eastAsia="Calibri"/>
          <w:lang w:val="fr-CA"/>
        </w:rPr>
      </w:pPr>
      <w:r w:rsidRPr="00BD22C2">
        <w:rPr>
          <w:rFonts w:eastAsia="Calibri"/>
          <w:lang w:val="fr-CA" w:eastAsia="en-US"/>
        </w:rPr>
        <w:t>Au Royaume-Uni, l</w:t>
      </w:r>
      <w:r w:rsidR="007B4D7B" w:rsidRPr="00BD22C2">
        <w:rPr>
          <w:rFonts w:eastAsia="Calibri"/>
          <w:lang w:val="fr-CA" w:eastAsia="en-US"/>
        </w:rPr>
        <w:t>’organisme responsable du</w:t>
      </w:r>
      <w:r w:rsidRPr="00BD22C2">
        <w:rPr>
          <w:rFonts w:eastAsia="Calibri"/>
          <w:lang w:val="fr-CA" w:eastAsia="en-US"/>
        </w:rPr>
        <w:t xml:space="preserve"> </w:t>
      </w:r>
      <w:r w:rsidR="00032148" w:rsidRPr="00BD22C2">
        <w:rPr>
          <w:rFonts w:eastAsia="Calibri"/>
          <w:lang w:val="fr-CA" w:eastAsia="en-US"/>
        </w:rPr>
        <w:t xml:space="preserve">système de santé </w:t>
      </w:r>
      <w:r w:rsidRPr="00BD22C2">
        <w:rPr>
          <w:rFonts w:eastAsia="Calibri"/>
          <w:lang w:val="fr-CA" w:eastAsia="en-US"/>
        </w:rPr>
        <w:t xml:space="preserve">a lancé un examen indépendant </w:t>
      </w:r>
      <w:r w:rsidRPr="00BD22C2">
        <w:rPr>
          <w:lang w:val="fr-CA"/>
        </w:rPr>
        <w:t>des services liés à l’identité de genre pour les enfants et les jeunes en 2020</w:t>
      </w:r>
      <w:r w:rsidRPr="00BD22C2">
        <w:rPr>
          <w:rStyle w:val="Appeldenotedefin"/>
          <w:lang w:val="fr-CA"/>
        </w:rPr>
        <w:endnoteReference w:id="333"/>
      </w:r>
      <w:r w:rsidRPr="00BD22C2">
        <w:rPr>
          <w:lang w:val="fr-CA"/>
        </w:rPr>
        <w:t>. Le rapport intérimaire de cet examen</w:t>
      </w:r>
      <w:r w:rsidR="00B37A8A" w:rsidRPr="00BD22C2">
        <w:rPr>
          <w:rStyle w:val="Appeldenotedefin"/>
          <w:lang w:val="fr-CA"/>
        </w:rPr>
        <w:endnoteReference w:id="334"/>
      </w:r>
      <w:r w:rsidRPr="00BD22C2">
        <w:rPr>
          <w:lang w:val="fr-CA"/>
        </w:rPr>
        <w:t xml:space="preserve">, s’appuyant sur une approche strictement clinique, a </w:t>
      </w:r>
      <w:r w:rsidR="00E35F60" w:rsidRPr="00BD22C2">
        <w:rPr>
          <w:lang w:val="fr-CA"/>
        </w:rPr>
        <w:t xml:space="preserve">conduit à </w:t>
      </w:r>
      <w:r w:rsidR="008B2AC0" w:rsidRPr="00BD22C2">
        <w:rPr>
          <w:lang w:val="fr-CA"/>
        </w:rPr>
        <w:t>la mi</w:t>
      </w:r>
      <w:r w:rsidR="00E35F60" w:rsidRPr="00BD22C2">
        <w:rPr>
          <w:lang w:val="fr-CA"/>
        </w:rPr>
        <w:t>se en place</w:t>
      </w:r>
      <w:r w:rsidR="00461572" w:rsidRPr="00BD22C2">
        <w:rPr>
          <w:lang w:val="fr-CA"/>
        </w:rPr>
        <w:t xml:space="preserve"> d’un </w:t>
      </w:r>
      <w:r w:rsidR="007A61EC" w:rsidRPr="00BD22C2">
        <w:rPr>
          <w:lang w:val="fr-CA"/>
        </w:rPr>
        <w:t xml:space="preserve">nouveau </w:t>
      </w:r>
      <w:r w:rsidR="00461572" w:rsidRPr="00BD22C2">
        <w:rPr>
          <w:lang w:val="fr-CA"/>
        </w:rPr>
        <w:t>protocole</w:t>
      </w:r>
      <w:r w:rsidR="008B2AC0" w:rsidRPr="00BD22C2">
        <w:rPr>
          <w:lang w:val="fr-CA"/>
        </w:rPr>
        <w:t xml:space="preserve"> </w:t>
      </w:r>
      <w:r w:rsidR="007A61EC" w:rsidRPr="00BD22C2">
        <w:rPr>
          <w:lang w:val="fr-CA"/>
        </w:rPr>
        <w:t>exigeant</w:t>
      </w:r>
      <w:r w:rsidRPr="00BD22C2">
        <w:rPr>
          <w:lang w:val="fr-CA"/>
        </w:rPr>
        <w:t xml:space="preserve"> que la prescription de bloqueurs de puberté à des fins d’affirmation de genre se fasse uniquement dans </w:t>
      </w:r>
      <w:r w:rsidR="007A61EC" w:rsidRPr="00BD22C2">
        <w:rPr>
          <w:lang w:val="fr-CA"/>
        </w:rPr>
        <w:t>un contexte de recherche</w:t>
      </w:r>
      <w:r w:rsidRPr="00BD22C2">
        <w:rPr>
          <w:lang w:val="fr-CA"/>
        </w:rPr>
        <w:t xml:space="preserve"> afin de recueillir davantage de données</w:t>
      </w:r>
      <w:r w:rsidRPr="00BD22C2">
        <w:rPr>
          <w:rStyle w:val="Appeldenotedefin"/>
          <w:lang w:val="fr-CA"/>
        </w:rPr>
        <w:endnoteReference w:id="335"/>
      </w:r>
      <w:r w:rsidRPr="00BD22C2">
        <w:rPr>
          <w:lang w:val="fr-CA"/>
        </w:rPr>
        <w:t xml:space="preserve">. </w:t>
      </w:r>
      <w:r w:rsidR="007604CF" w:rsidRPr="00BD22C2">
        <w:rPr>
          <w:lang w:val="fr-CA"/>
        </w:rPr>
        <w:t>Cette décision a été confirmée</w:t>
      </w:r>
      <w:r w:rsidR="00E3474D" w:rsidRPr="00BD22C2">
        <w:rPr>
          <w:rStyle w:val="Appeldenotedefin"/>
          <w:lang w:val="fr-CA"/>
        </w:rPr>
        <w:endnoteReference w:id="336"/>
      </w:r>
      <w:r w:rsidR="007604CF" w:rsidRPr="00BD22C2">
        <w:rPr>
          <w:lang w:val="fr-CA"/>
        </w:rPr>
        <w:t xml:space="preserve"> à la suite de la publication du rapport final</w:t>
      </w:r>
      <w:r w:rsidR="008249C0" w:rsidRPr="00BD22C2">
        <w:rPr>
          <w:rStyle w:val="Appeldenotedefin"/>
          <w:lang w:val="fr-CA"/>
        </w:rPr>
        <w:endnoteReference w:id="337"/>
      </w:r>
      <w:r w:rsidR="007604CF" w:rsidRPr="00BD22C2">
        <w:rPr>
          <w:lang w:val="fr-CA"/>
        </w:rPr>
        <w:t>. Ce dernier</w:t>
      </w:r>
      <w:r w:rsidRPr="00BD22C2">
        <w:rPr>
          <w:lang w:val="fr-CA"/>
        </w:rPr>
        <w:t xml:space="preserve"> recommande également de développer un nouveau modèle de service régional s’éloignant de l’ancien modèle de clinique spécialisée</w:t>
      </w:r>
      <w:r w:rsidR="00E720C5" w:rsidRPr="00BD22C2">
        <w:rPr>
          <w:lang w:val="fr-CA"/>
        </w:rPr>
        <w:t xml:space="preserve"> afin d’élargir </w:t>
      </w:r>
      <w:r w:rsidR="00505C7D" w:rsidRPr="00BD22C2">
        <w:rPr>
          <w:lang w:val="fr-CA"/>
        </w:rPr>
        <w:t>l’accès et faciliter la continuité des soins</w:t>
      </w:r>
      <w:r w:rsidRPr="00BD22C2">
        <w:rPr>
          <w:rStyle w:val="Appeldenotedefin"/>
          <w:lang w:val="fr-CA"/>
        </w:rPr>
        <w:endnoteReference w:id="338"/>
      </w:r>
      <w:r w:rsidRPr="00BD22C2">
        <w:rPr>
          <w:lang w:val="fr-CA"/>
        </w:rPr>
        <w:t xml:space="preserve">. </w:t>
      </w:r>
      <w:r w:rsidR="00BD3FD3" w:rsidRPr="00BD22C2">
        <w:rPr>
          <w:lang w:val="fr-CA"/>
        </w:rPr>
        <w:t xml:space="preserve">Comme </w:t>
      </w:r>
      <w:r w:rsidR="00A50FB3" w:rsidRPr="00BD22C2">
        <w:rPr>
          <w:lang w:val="fr-CA"/>
        </w:rPr>
        <w:t>indiqué en introduction, des exercices similaires réalisés</w:t>
      </w:r>
      <w:r w:rsidRPr="00BD22C2">
        <w:rPr>
          <w:lang w:val="fr-CA"/>
        </w:rPr>
        <w:t xml:space="preserve"> en </w:t>
      </w:r>
      <w:r w:rsidR="00A50FB3" w:rsidRPr="00BD22C2">
        <w:rPr>
          <w:lang w:val="fr-CA"/>
        </w:rPr>
        <w:t xml:space="preserve">Finlande et en </w:t>
      </w:r>
      <w:r w:rsidRPr="00BD22C2">
        <w:rPr>
          <w:lang w:val="fr-CA"/>
        </w:rPr>
        <w:t xml:space="preserve">Suède </w:t>
      </w:r>
      <w:r w:rsidR="00A50FB3" w:rsidRPr="00BD22C2">
        <w:rPr>
          <w:lang w:val="fr-CA"/>
        </w:rPr>
        <w:t>ont</w:t>
      </w:r>
      <w:r w:rsidRPr="00BD22C2">
        <w:rPr>
          <w:lang w:val="fr-CA"/>
        </w:rPr>
        <w:t xml:space="preserve"> aussi mené à des conclusions allant dans le même sens quant à l’idée d’administrer des bloqueurs de puberté</w:t>
      </w:r>
      <w:r w:rsidR="00561962" w:rsidRPr="00BD22C2">
        <w:rPr>
          <w:lang w:val="fr-CA"/>
        </w:rPr>
        <w:t xml:space="preserve"> et traitements hormonaux </w:t>
      </w:r>
      <w:r w:rsidRPr="00BD22C2">
        <w:rPr>
          <w:lang w:val="fr-CA"/>
        </w:rPr>
        <w:t>seulement en contexte de recherche.</w:t>
      </w:r>
      <w:r w:rsidRPr="00BD22C2">
        <w:rPr>
          <w:rFonts w:eastAsia="Calibri"/>
          <w:lang w:val="fr-CA"/>
        </w:rPr>
        <w:t xml:space="preserve"> </w:t>
      </w:r>
    </w:p>
    <w:p w14:paraId="644F09E7" w14:textId="4CB1C16C" w:rsidR="00F7531E" w:rsidRPr="00BD22C2" w:rsidRDefault="00F7531E" w:rsidP="00F7531E">
      <w:pPr>
        <w:pStyle w:val="Paragraphe"/>
        <w:rPr>
          <w:lang w:val="fr-CA"/>
        </w:rPr>
      </w:pPr>
      <w:r w:rsidRPr="00BD22C2">
        <w:rPr>
          <w:lang w:val="fr-CA"/>
        </w:rPr>
        <w:t>Les constats faits dans ces pays contrastent en certains points avec la</w:t>
      </w:r>
      <w:r w:rsidRPr="00BD22C2" w:rsidDel="005A1CCC">
        <w:rPr>
          <w:lang w:val="fr-CA"/>
        </w:rPr>
        <w:t xml:space="preserve"> </w:t>
      </w:r>
      <w:r w:rsidRPr="00BD22C2">
        <w:rPr>
          <w:lang w:val="fr-CA"/>
        </w:rPr>
        <w:t>huitième version des Standards de soins de la Wor</w:t>
      </w:r>
      <w:r w:rsidR="006D36E6" w:rsidRPr="00BD22C2">
        <w:rPr>
          <w:lang w:val="fr-CA"/>
        </w:rPr>
        <w:t>l</w:t>
      </w:r>
      <w:r w:rsidRPr="00BD22C2">
        <w:rPr>
          <w:lang w:val="fr-CA"/>
        </w:rPr>
        <w:t xml:space="preserve">d Professional Association for </w:t>
      </w:r>
      <w:proofErr w:type="spellStart"/>
      <w:r w:rsidRPr="00BD22C2">
        <w:rPr>
          <w:lang w:val="fr-CA"/>
        </w:rPr>
        <w:t>Transgender</w:t>
      </w:r>
      <w:proofErr w:type="spellEnd"/>
      <w:r w:rsidRPr="00BD22C2">
        <w:rPr>
          <w:lang w:val="fr-CA"/>
        </w:rPr>
        <w:t xml:space="preserve"> </w:t>
      </w:r>
      <w:proofErr w:type="spellStart"/>
      <w:r w:rsidRPr="00BD22C2">
        <w:rPr>
          <w:lang w:val="fr-CA"/>
        </w:rPr>
        <w:t>Health</w:t>
      </w:r>
      <w:proofErr w:type="spellEnd"/>
      <w:r w:rsidRPr="00BD22C2">
        <w:rPr>
          <w:lang w:val="fr-CA"/>
        </w:rPr>
        <w:t xml:space="preserve"> qui sont généralement acceptés comme faisant autorité à l’international en matière de soins aux personnes trans et non binaires</w:t>
      </w:r>
      <w:r w:rsidRPr="00BD22C2">
        <w:rPr>
          <w:rStyle w:val="Appeldenotedefin"/>
          <w:lang w:val="fr-CA"/>
        </w:rPr>
        <w:endnoteReference w:id="339"/>
      </w:r>
      <w:r w:rsidR="008437AC" w:rsidRPr="00BD22C2">
        <w:rPr>
          <w:lang w:val="fr-CA"/>
        </w:rPr>
        <w:t>, y compris au Québec</w:t>
      </w:r>
      <w:r w:rsidR="008437AC" w:rsidRPr="00BD22C2">
        <w:rPr>
          <w:rStyle w:val="Appeldenotedefin"/>
          <w:lang w:val="fr-CA"/>
        </w:rPr>
        <w:endnoteReference w:id="340"/>
      </w:r>
      <w:r w:rsidRPr="00BD22C2">
        <w:rPr>
          <w:lang w:val="fr-CA"/>
        </w:rPr>
        <w:t>.</w:t>
      </w:r>
    </w:p>
    <w:p w14:paraId="473BBCAF" w14:textId="0F646A21" w:rsidR="00F7531E" w:rsidRPr="00BD22C2" w:rsidRDefault="00F7531E" w:rsidP="00F7531E">
      <w:pPr>
        <w:pStyle w:val="Paragraphe"/>
        <w:rPr>
          <w:lang w:val="fr-CA"/>
        </w:rPr>
      </w:pPr>
      <w:r w:rsidRPr="00BD22C2">
        <w:rPr>
          <w:lang w:val="fr-CA"/>
        </w:rPr>
        <w:t xml:space="preserve">Dans ce contexte, la Commission est préoccupée par l’accessibilité et la qualité de l’accompagnement et des soins que reçoivent les personnes mineures trans et non binaires et du recul possible qu’ils pourraient subir dans les suites de ces décisions survenues dans d’autres </w:t>
      </w:r>
      <w:r w:rsidR="001E1D0D" w:rsidRPr="00BD22C2">
        <w:rPr>
          <w:lang w:val="fr-CA"/>
        </w:rPr>
        <w:t>pays</w:t>
      </w:r>
      <w:r w:rsidRPr="00BD22C2">
        <w:rPr>
          <w:lang w:val="fr-CA"/>
        </w:rPr>
        <w:t xml:space="preserve">, </w:t>
      </w:r>
      <w:r w:rsidR="00B178A1" w:rsidRPr="00BD22C2">
        <w:rPr>
          <w:lang w:val="fr-CA"/>
        </w:rPr>
        <w:t>suivant des considérations</w:t>
      </w:r>
      <w:r w:rsidRPr="00BD22C2">
        <w:rPr>
          <w:lang w:val="fr-CA"/>
        </w:rPr>
        <w:t xml:space="preserve"> qui leur sont particulières. Elle l’est tout autant par la tendance qu’elle observe en Amérique du Nord à vouloir légiférer rapidement et sans consultation préalable pour restreindre voire interdire l’accès aux soins d’affirmation de genre pour les personnes mineures</w:t>
      </w:r>
      <w:r w:rsidRPr="00BD22C2">
        <w:rPr>
          <w:rStyle w:val="Appeldenotedefin"/>
          <w:lang w:val="fr-CA"/>
        </w:rPr>
        <w:endnoteReference w:id="341"/>
      </w:r>
      <w:r w:rsidR="00477077" w:rsidRPr="00BD22C2">
        <w:rPr>
          <w:lang w:val="fr-CA"/>
        </w:rPr>
        <w:t xml:space="preserve"> et des conséquences </w:t>
      </w:r>
      <w:r w:rsidR="009B1775" w:rsidRPr="00BD22C2">
        <w:rPr>
          <w:lang w:val="fr-CA"/>
        </w:rPr>
        <w:t xml:space="preserve">négatives que pourrait avoir </w:t>
      </w:r>
      <w:r w:rsidR="00BF78F8" w:rsidRPr="00BD22C2">
        <w:rPr>
          <w:lang w:val="fr-CA"/>
        </w:rPr>
        <w:t xml:space="preserve">le non-accès </w:t>
      </w:r>
      <w:r w:rsidR="00BF78F8" w:rsidRPr="00BD22C2">
        <w:rPr>
          <w:lang w:val="fr-CA"/>
        </w:rPr>
        <w:lastRenderedPageBreak/>
        <w:t>à des soins d’affirmation de genre pour ces personnes, notamment sur le plan de la santé mentale.</w:t>
      </w:r>
    </w:p>
    <w:p w14:paraId="59C25047" w14:textId="556055F0" w:rsidR="00F7531E" w:rsidRPr="00BD22C2" w:rsidRDefault="00DA00A0" w:rsidP="00F7531E">
      <w:pPr>
        <w:pStyle w:val="Paragraphe"/>
        <w:rPr>
          <w:rFonts w:eastAsia="Calibri"/>
          <w:lang w:val="fr-CA"/>
        </w:rPr>
      </w:pPr>
      <w:r w:rsidRPr="00BD22C2">
        <w:rPr>
          <w:lang w:val="fr-CA"/>
        </w:rPr>
        <w:t>D</w:t>
      </w:r>
      <w:r w:rsidR="0096181A" w:rsidRPr="00BD22C2">
        <w:rPr>
          <w:lang w:val="fr-CA"/>
        </w:rPr>
        <w:t>e prime abord</w:t>
      </w:r>
      <w:r w:rsidRPr="00BD22C2">
        <w:rPr>
          <w:lang w:val="fr-CA"/>
        </w:rPr>
        <w:t xml:space="preserve">, la Commission invite à aborder cet enjeu avec </w:t>
      </w:r>
      <w:r w:rsidR="009B56D9" w:rsidRPr="00BD22C2">
        <w:rPr>
          <w:lang w:val="fr-CA"/>
        </w:rPr>
        <w:t>précaution</w:t>
      </w:r>
      <w:r w:rsidRPr="00BD22C2">
        <w:rPr>
          <w:lang w:val="fr-CA"/>
        </w:rPr>
        <w:t>, et ce à deux niveaux</w:t>
      </w:r>
      <w:r w:rsidR="006F2D4C" w:rsidRPr="00BD22C2">
        <w:rPr>
          <w:lang w:val="fr-CA"/>
        </w:rPr>
        <w:t xml:space="preserve">. D’une part, </w:t>
      </w:r>
      <w:r w:rsidR="004D0FF9" w:rsidRPr="00BD22C2">
        <w:rPr>
          <w:lang w:val="fr-CA"/>
        </w:rPr>
        <w:t>il convient de faire preuve de prudence lorsqu’est considérée une</w:t>
      </w:r>
      <w:r w:rsidR="006F2D4C" w:rsidRPr="00BD22C2">
        <w:rPr>
          <w:lang w:val="fr-CA"/>
        </w:rPr>
        <w:t xml:space="preserve"> restriction de l’accès à des </w:t>
      </w:r>
      <w:r w:rsidR="0096181A" w:rsidRPr="00BD22C2">
        <w:rPr>
          <w:lang w:val="fr-CA"/>
        </w:rPr>
        <w:t>soins d</w:t>
      </w:r>
      <w:r w:rsidR="00426773" w:rsidRPr="00BD22C2">
        <w:rPr>
          <w:lang w:val="fr-CA"/>
        </w:rPr>
        <w:t>’affirmation de genre</w:t>
      </w:r>
      <w:r w:rsidR="003A35A5" w:rsidRPr="00BD22C2">
        <w:rPr>
          <w:lang w:val="fr-CA"/>
        </w:rPr>
        <w:t>.</w:t>
      </w:r>
      <w:r w:rsidR="003E0882" w:rsidRPr="00BD22C2">
        <w:rPr>
          <w:lang w:val="fr-CA"/>
        </w:rPr>
        <w:t xml:space="preserve"> </w:t>
      </w:r>
      <w:r w:rsidR="00E930BB" w:rsidRPr="00BD22C2">
        <w:rPr>
          <w:lang w:val="fr-CA"/>
        </w:rPr>
        <w:t>Comme il sera exposé ci-après, l’accès à ces soins est susceptible de participer à la réalisation de plusieurs droits garantis aux personnes trans et non binaires.</w:t>
      </w:r>
      <w:r w:rsidR="00CD7B73" w:rsidRPr="00BD22C2">
        <w:rPr>
          <w:lang w:val="fr-CA"/>
        </w:rPr>
        <w:t xml:space="preserve"> Restreindre cet accès </w:t>
      </w:r>
      <w:r w:rsidR="004C283C" w:rsidRPr="00BD22C2">
        <w:rPr>
          <w:lang w:val="fr-CA"/>
        </w:rPr>
        <w:t>pourrait</w:t>
      </w:r>
      <w:r w:rsidR="00CD7B73" w:rsidRPr="00BD22C2">
        <w:rPr>
          <w:lang w:val="fr-CA"/>
        </w:rPr>
        <w:t xml:space="preserve"> ainsi y porter atteinte.</w:t>
      </w:r>
      <w:r w:rsidR="00982591" w:rsidRPr="00BD22C2">
        <w:rPr>
          <w:lang w:val="fr-CA"/>
        </w:rPr>
        <w:t xml:space="preserve"> </w:t>
      </w:r>
      <w:r w:rsidR="00546762" w:rsidRPr="00BD22C2">
        <w:rPr>
          <w:lang w:val="fr-CA"/>
        </w:rPr>
        <w:t>L</w:t>
      </w:r>
      <w:r w:rsidR="005712DF" w:rsidRPr="00BD22C2">
        <w:rPr>
          <w:lang w:val="fr-CA"/>
        </w:rPr>
        <w:t>e cas échéant</w:t>
      </w:r>
      <w:r w:rsidR="00982591" w:rsidRPr="00BD22C2">
        <w:rPr>
          <w:lang w:val="fr-CA"/>
        </w:rPr>
        <w:t xml:space="preserve">, il appartiendrait au gouvernement de </w:t>
      </w:r>
      <w:r w:rsidR="005969A4" w:rsidRPr="00BD22C2">
        <w:rPr>
          <w:lang w:val="fr-CA"/>
        </w:rPr>
        <w:t>justifier</w:t>
      </w:r>
      <w:r w:rsidR="005A3F1C" w:rsidRPr="00BD22C2">
        <w:rPr>
          <w:lang w:val="fr-CA"/>
        </w:rPr>
        <w:t xml:space="preserve"> la mesure attentatoire aux droits</w:t>
      </w:r>
      <w:r w:rsidR="005969A4" w:rsidRPr="00BD22C2">
        <w:rPr>
          <w:lang w:val="fr-CA"/>
        </w:rPr>
        <w:t xml:space="preserve"> </w:t>
      </w:r>
      <w:r w:rsidR="00027F67" w:rsidRPr="00BD22C2">
        <w:rPr>
          <w:lang w:val="fr-CA"/>
        </w:rPr>
        <w:t>suivant les critères développés par la jurisprudence</w:t>
      </w:r>
      <w:r w:rsidR="00C92543" w:rsidRPr="00BD22C2">
        <w:rPr>
          <w:rStyle w:val="Appeldenotedefin"/>
          <w:lang w:val="fr-CA"/>
        </w:rPr>
        <w:endnoteReference w:id="342"/>
      </w:r>
      <w:r w:rsidR="00C919A3" w:rsidRPr="00BD22C2">
        <w:rPr>
          <w:lang w:val="fr-CA"/>
        </w:rPr>
        <w:t>.</w:t>
      </w:r>
      <w:r w:rsidR="00027F67" w:rsidRPr="00BD22C2">
        <w:rPr>
          <w:lang w:val="fr-CA"/>
        </w:rPr>
        <w:t xml:space="preserve"> Rappelons </w:t>
      </w:r>
      <w:r w:rsidR="009E167B" w:rsidRPr="00BD22C2">
        <w:rPr>
          <w:lang w:val="fr-CA"/>
        </w:rPr>
        <w:t xml:space="preserve">simplement ici que </w:t>
      </w:r>
      <w:r w:rsidR="00E10435" w:rsidRPr="00BD22C2">
        <w:rPr>
          <w:lang w:val="fr-CA"/>
        </w:rPr>
        <w:t>la mesure</w:t>
      </w:r>
      <w:r w:rsidR="009E167B" w:rsidRPr="00BD22C2">
        <w:rPr>
          <w:lang w:val="fr-CA"/>
        </w:rPr>
        <w:t xml:space="preserve"> d</w:t>
      </w:r>
      <w:r w:rsidR="00220F8C" w:rsidRPr="00BD22C2">
        <w:rPr>
          <w:lang w:val="fr-CA"/>
        </w:rPr>
        <w:t>evrait</w:t>
      </w:r>
      <w:r w:rsidR="009E167B" w:rsidRPr="00BD22C2">
        <w:rPr>
          <w:lang w:val="fr-CA"/>
        </w:rPr>
        <w:t xml:space="preserve"> </w:t>
      </w:r>
      <w:r w:rsidR="00824BAC" w:rsidRPr="00BD22C2">
        <w:rPr>
          <w:lang w:val="fr-CA"/>
        </w:rPr>
        <w:t>viser à répondre</w:t>
      </w:r>
      <w:r w:rsidR="009B3FAF" w:rsidRPr="00BD22C2">
        <w:rPr>
          <w:lang w:val="fr-CA"/>
        </w:rPr>
        <w:t xml:space="preserve">, de façon </w:t>
      </w:r>
      <w:r w:rsidR="00AE7E4A" w:rsidRPr="00BD22C2">
        <w:rPr>
          <w:lang w:val="fr-CA"/>
        </w:rPr>
        <w:t xml:space="preserve">rationnelle et </w:t>
      </w:r>
      <w:r w:rsidR="009B3FAF" w:rsidRPr="00BD22C2">
        <w:rPr>
          <w:lang w:val="fr-CA"/>
        </w:rPr>
        <w:t>proportionnée,</w:t>
      </w:r>
      <w:r w:rsidR="00824BAC" w:rsidRPr="00BD22C2">
        <w:rPr>
          <w:lang w:val="fr-CA"/>
        </w:rPr>
        <w:t xml:space="preserve"> à des préoccupations réelles et urgentes</w:t>
      </w:r>
      <w:r w:rsidR="009B3FAF" w:rsidRPr="00BD22C2">
        <w:rPr>
          <w:lang w:val="fr-CA"/>
        </w:rPr>
        <w:t xml:space="preserve"> sur la base de </w:t>
      </w:r>
      <w:r w:rsidR="009E167B" w:rsidRPr="00BD22C2">
        <w:rPr>
          <w:lang w:val="fr-CA"/>
        </w:rPr>
        <w:t>données probantes</w:t>
      </w:r>
      <w:r w:rsidR="009B3FAF" w:rsidRPr="00BD22C2">
        <w:rPr>
          <w:lang w:val="fr-CA"/>
        </w:rPr>
        <w:t>. D’autre part,</w:t>
      </w:r>
      <w:r w:rsidR="002B71DF" w:rsidRPr="00BD22C2">
        <w:rPr>
          <w:lang w:val="fr-CA"/>
        </w:rPr>
        <w:t xml:space="preserve"> la prudence est aussi de mise lorsque </w:t>
      </w:r>
      <w:r w:rsidR="00E75ABD" w:rsidRPr="00BD22C2">
        <w:rPr>
          <w:lang w:val="fr-CA"/>
        </w:rPr>
        <w:t xml:space="preserve">vient </w:t>
      </w:r>
      <w:r w:rsidR="00AF09EE" w:rsidRPr="00BD22C2">
        <w:rPr>
          <w:lang w:val="fr-CA"/>
        </w:rPr>
        <w:t xml:space="preserve">le temps </w:t>
      </w:r>
      <w:r w:rsidR="00DD1FEC" w:rsidRPr="00BD22C2">
        <w:rPr>
          <w:lang w:val="fr-CA"/>
        </w:rPr>
        <w:t xml:space="preserve">de considérer </w:t>
      </w:r>
      <w:r w:rsidR="00A42EF6" w:rsidRPr="00BD22C2">
        <w:rPr>
          <w:lang w:val="fr-CA"/>
        </w:rPr>
        <w:t xml:space="preserve">la </w:t>
      </w:r>
      <w:r w:rsidR="00A85D0C" w:rsidRPr="00BD22C2">
        <w:rPr>
          <w:lang w:val="fr-CA"/>
        </w:rPr>
        <w:t xml:space="preserve">manière dont </w:t>
      </w:r>
      <w:r w:rsidR="006274E0" w:rsidRPr="00BD22C2">
        <w:rPr>
          <w:lang w:val="fr-CA"/>
        </w:rPr>
        <w:t>sont offerts les</w:t>
      </w:r>
      <w:r w:rsidR="00E065A5" w:rsidRPr="00BD22C2">
        <w:rPr>
          <w:lang w:val="fr-CA"/>
        </w:rPr>
        <w:t xml:space="preserve"> soins</w:t>
      </w:r>
      <w:r w:rsidR="00DD1FEC" w:rsidRPr="00BD22C2">
        <w:rPr>
          <w:lang w:val="fr-CA"/>
        </w:rPr>
        <w:t xml:space="preserve"> d’affirmation de genre.</w:t>
      </w:r>
      <w:r w:rsidR="00E065A5" w:rsidRPr="00BD22C2">
        <w:rPr>
          <w:lang w:val="fr-CA"/>
        </w:rPr>
        <w:t xml:space="preserve"> Ceux-ci doivent être</w:t>
      </w:r>
      <w:r w:rsidR="00AC7675" w:rsidRPr="00BD22C2">
        <w:rPr>
          <w:lang w:val="fr-CA"/>
        </w:rPr>
        <w:t xml:space="preserve"> prodigués dans des conditions respectueuses des droits des personnes y faisant appel, incluant </w:t>
      </w:r>
      <w:r w:rsidR="007444BB" w:rsidRPr="00BD22C2">
        <w:rPr>
          <w:lang w:val="fr-CA"/>
        </w:rPr>
        <w:t>ceux</w:t>
      </w:r>
      <w:r w:rsidR="00AC7675" w:rsidRPr="00BD22C2">
        <w:rPr>
          <w:lang w:val="fr-CA"/>
        </w:rPr>
        <w:t xml:space="preserve"> des enfants</w:t>
      </w:r>
      <w:r w:rsidR="003F7A78" w:rsidRPr="00BD22C2">
        <w:rPr>
          <w:lang w:val="fr-CA"/>
        </w:rPr>
        <w:t xml:space="preserve"> et des jeunes</w:t>
      </w:r>
      <w:r w:rsidR="006701D0" w:rsidRPr="00BD22C2">
        <w:rPr>
          <w:lang w:val="fr-CA"/>
        </w:rPr>
        <w:t>, comme exposé ci-après</w:t>
      </w:r>
      <w:r w:rsidR="00AC7675" w:rsidRPr="00BD22C2">
        <w:rPr>
          <w:lang w:val="fr-CA"/>
        </w:rPr>
        <w:t>.</w:t>
      </w:r>
      <w:r w:rsidR="00005D76" w:rsidRPr="00BD22C2">
        <w:rPr>
          <w:lang w:val="fr-CA"/>
        </w:rPr>
        <w:t xml:space="preserve"> </w:t>
      </w:r>
      <w:r w:rsidR="00F7531E" w:rsidRPr="00BD22C2">
        <w:rPr>
          <w:lang w:val="fr-CA"/>
        </w:rPr>
        <w:t xml:space="preserve">Sans pouvoir se prononcer sur les meilleurs soins à offrir aux jeunes trans et non binaires, la Commission tient à rappeler que le Comité de sages doit </w:t>
      </w:r>
      <w:r w:rsidR="00247F01" w:rsidRPr="00BD22C2">
        <w:rPr>
          <w:lang w:val="fr-CA"/>
        </w:rPr>
        <w:t xml:space="preserve">s’appuyer sur </w:t>
      </w:r>
      <w:r w:rsidR="00F7531E" w:rsidRPr="00BD22C2">
        <w:rPr>
          <w:lang w:val="fr-CA"/>
        </w:rPr>
        <w:t>le cadre</w:t>
      </w:r>
      <w:r w:rsidR="00223AE5" w:rsidRPr="00BD22C2">
        <w:rPr>
          <w:lang w:val="fr-CA"/>
        </w:rPr>
        <w:t xml:space="preserve"> de la Charte et l’approche</w:t>
      </w:r>
      <w:r w:rsidR="00F7531E" w:rsidRPr="00BD22C2">
        <w:rPr>
          <w:lang w:val="fr-CA"/>
        </w:rPr>
        <w:t xml:space="preserve"> des droits de l’enfant dans son traitement de la question</w:t>
      </w:r>
      <w:r w:rsidR="00223AE5" w:rsidRPr="00BD22C2">
        <w:rPr>
          <w:lang w:val="fr-CA"/>
        </w:rPr>
        <w:t xml:space="preserve">. </w:t>
      </w:r>
      <w:r w:rsidR="00C44B7B" w:rsidRPr="00BD22C2">
        <w:rPr>
          <w:lang w:val="fr-CA"/>
        </w:rPr>
        <w:t>L</w:t>
      </w:r>
      <w:r w:rsidR="00F7531E" w:rsidRPr="00BD22C2">
        <w:rPr>
          <w:lang w:val="fr-CA"/>
        </w:rPr>
        <w:t xml:space="preserve">e droit québécois offre </w:t>
      </w:r>
      <w:r w:rsidR="00765DCD" w:rsidRPr="00BD22C2">
        <w:rPr>
          <w:lang w:val="fr-CA"/>
        </w:rPr>
        <w:t xml:space="preserve">notamment </w:t>
      </w:r>
      <w:r w:rsidR="00F7531E" w:rsidRPr="00BD22C2">
        <w:rPr>
          <w:lang w:val="fr-CA"/>
        </w:rPr>
        <w:t>déjà un encadrement précis du consentement aux soins pour les personnes mineures. Pour la Commission, ces cadres, s’ils sont bien appliqués, fournissent tous les outils nécessaires pour faire progresser la réflexion sur cet enjeu.</w:t>
      </w:r>
      <w:r w:rsidR="00676E69" w:rsidRPr="00BD22C2">
        <w:rPr>
          <w:lang w:val="fr-CA"/>
        </w:rPr>
        <w:t xml:space="preserve"> </w:t>
      </w:r>
    </w:p>
    <w:p w14:paraId="0E8E914F" w14:textId="7CC19DEA" w:rsidR="00F7531E" w:rsidRPr="00BD22C2" w:rsidRDefault="00F7531E" w:rsidP="00F7531E">
      <w:pPr>
        <w:pStyle w:val="Paragraphe"/>
        <w:rPr>
          <w:rFonts w:eastAsia="Calibri"/>
          <w:lang w:val="fr-CA" w:eastAsia="en-US"/>
        </w:rPr>
      </w:pPr>
      <w:r w:rsidRPr="00BD22C2">
        <w:rPr>
          <w:rFonts w:eastAsia="Calibri"/>
          <w:lang w:val="fr-CA" w:eastAsia="en-US"/>
        </w:rPr>
        <w:t>En ce qui a trait d’abord au cadre des droits de l’enfant, les enfants trans et non binaires, comme tous les enfants, «</w:t>
      </w:r>
      <w:r w:rsidR="0051216B" w:rsidRPr="00BD22C2">
        <w:rPr>
          <w:lang w:val="fr-CA"/>
        </w:rPr>
        <w:t> </w:t>
      </w:r>
      <w:r w:rsidRPr="00BD22C2">
        <w:rPr>
          <w:rFonts w:eastAsia="Calibri"/>
          <w:lang w:val="fr-CA" w:eastAsia="en-US"/>
        </w:rPr>
        <w:t>ont le droit à la liberté d’expression et le droit au respect de leur intégrité physique et psychologique, de leur identité de genre et de leur autonomie naissante</w:t>
      </w:r>
      <w:r w:rsidR="0051216B" w:rsidRPr="00BD22C2">
        <w:rPr>
          <w:rFonts w:eastAsia="Calibri"/>
          <w:lang w:val="fr-CA" w:eastAsia="en-US"/>
        </w:rPr>
        <w:t> </w:t>
      </w:r>
      <w:r w:rsidRPr="00BD22C2">
        <w:rPr>
          <w:rFonts w:eastAsia="Calibri"/>
          <w:lang w:val="fr-CA" w:eastAsia="en-US"/>
        </w:rPr>
        <w:t>»</w:t>
      </w:r>
      <w:r w:rsidRPr="00BD22C2">
        <w:rPr>
          <w:rStyle w:val="Appeldenotedefin"/>
          <w:rFonts w:eastAsia="Calibri"/>
          <w:lang w:val="fr-CA" w:eastAsia="en-US"/>
        </w:rPr>
        <w:endnoteReference w:id="343"/>
      </w:r>
      <w:r w:rsidRPr="00BD22C2">
        <w:rPr>
          <w:rFonts w:eastAsia="Calibri"/>
          <w:lang w:val="fr-CA" w:eastAsia="en-US"/>
        </w:rPr>
        <w:t xml:space="preserve">. </w:t>
      </w:r>
      <w:r w:rsidR="004A23E9" w:rsidRPr="00BD22C2">
        <w:rPr>
          <w:rFonts w:eastAsia="Calibri"/>
          <w:lang w:val="fr-CA" w:eastAsia="en-US"/>
        </w:rPr>
        <w:t>Un</w:t>
      </w:r>
      <w:r w:rsidRPr="00BD22C2">
        <w:rPr>
          <w:rFonts w:eastAsia="Calibri"/>
          <w:lang w:val="fr-CA" w:eastAsia="en-US"/>
        </w:rPr>
        <w:t xml:space="preserve"> lien étroit </w:t>
      </w:r>
      <w:r w:rsidR="004A23E9" w:rsidRPr="00BD22C2">
        <w:rPr>
          <w:rFonts w:eastAsia="Calibri"/>
          <w:lang w:val="fr-CA" w:eastAsia="en-US"/>
        </w:rPr>
        <w:t xml:space="preserve">existe </w:t>
      </w:r>
      <w:r w:rsidRPr="00BD22C2">
        <w:rPr>
          <w:rFonts w:eastAsia="Calibri"/>
          <w:lang w:val="fr-CA" w:eastAsia="en-US"/>
        </w:rPr>
        <w:t>entre la détermination de l’intérêt de l’enfant et la mise en œuvre de son droit à la santé</w:t>
      </w:r>
      <w:r w:rsidRPr="00BD22C2">
        <w:rPr>
          <w:rStyle w:val="Appeldenotedefin"/>
          <w:rFonts w:eastAsia="Calibri"/>
          <w:lang w:val="fr-CA" w:eastAsia="en-US"/>
        </w:rPr>
        <w:endnoteReference w:id="344"/>
      </w:r>
      <w:r w:rsidRPr="00BD22C2">
        <w:rPr>
          <w:rFonts w:eastAsia="Calibri"/>
          <w:lang w:val="fr-CA" w:eastAsia="en-US"/>
        </w:rPr>
        <w:t xml:space="preserve">. </w:t>
      </w:r>
      <w:r w:rsidR="004F26E9" w:rsidRPr="00BD22C2">
        <w:rPr>
          <w:rFonts w:eastAsia="Calibri"/>
          <w:lang w:val="fr-CA" w:eastAsia="en-US"/>
        </w:rPr>
        <w:t xml:space="preserve">À ce sujet, le Comité </w:t>
      </w:r>
      <w:r w:rsidR="005B739D" w:rsidRPr="00BD22C2">
        <w:rPr>
          <w:rFonts w:eastAsia="Calibri"/>
          <w:lang w:val="fr-CA" w:eastAsia="en-US"/>
        </w:rPr>
        <w:t xml:space="preserve">des droits de l’enfant </w:t>
      </w:r>
      <w:r w:rsidRPr="00BD22C2">
        <w:rPr>
          <w:rFonts w:eastAsia="Calibri"/>
          <w:lang w:val="fr-CA" w:eastAsia="en-US"/>
        </w:rPr>
        <w:t>précise que dans la détermination des soins que devrait recevoir l’enfant, « les avantages respectifs de tous ces traitements doivent […] être mis en balance avec les risques qu’ils peuvent comporter et leurs éventuels effets secondaires, et les opinions de l’enfant doivent être dûment prises en considération eu égard à son âge et à son degré de maturité »</w:t>
      </w:r>
      <w:r w:rsidRPr="00BD22C2">
        <w:rPr>
          <w:rStyle w:val="Appeldenotedefin"/>
          <w:rFonts w:eastAsia="Calibri"/>
          <w:lang w:val="fr-CA" w:eastAsia="en-US"/>
        </w:rPr>
        <w:endnoteReference w:id="345"/>
      </w:r>
      <w:r w:rsidRPr="00BD22C2">
        <w:rPr>
          <w:rFonts w:eastAsia="Calibri"/>
          <w:lang w:val="fr-CA" w:eastAsia="en-US"/>
        </w:rPr>
        <w:t>. Cet exercice de mise en balance doit également tenir compte des risques pour l’enfant de ne pas recevoir ces soins, en gardant en tête l’importance cruciale de l’identité de genre pour le développement de la personnalité de l’enfant. Rappelons</w:t>
      </w:r>
      <w:r w:rsidR="002B623B" w:rsidRPr="00BD22C2">
        <w:rPr>
          <w:rFonts w:eastAsia="Calibri"/>
          <w:lang w:val="fr-CA" w:eastAsia="en-US"/>
        </w:rPr>
        <w:t xml:space="preserve"> également</w:t>
      </w:r>
      <w:r w:rsidRPr="00BD22C2">
        <w:rPr>
          <w:rFonts w:eastAsia="Calibri"/>
          <w:lang w:val="fr-CA" w:eastAsia="en-US"/>
        </w:rPr>
        <w:t xml:space="preserve"> qu’en 2021, le Rapporteur spécial sur le droit à </w:t>
      </w:r>
      <w:r w:rsidRPr="00BD22C2">
        <w:rPr>
          <w:rFonts w:eastAsia="Calibri"/>
          <w:lang w:val="fr-CA" w:eastAsia="en-US"/>
        </w:rPr>
        <w:lastRenderedPageBreak/>
        <w:t>la vie privée a identifié la pathologisation de l’identité de genre, les traitements médicaux inutiles et le refus de prestation de services de santé spécifiques, notamment des informations et services en matière de santé sexuelle et procréative, comme des atteintes aux droits des personnes trans et non binaires</w:t>
      </w:r>
      <w:r w:rsidRPr="00BD22C2">
        <w:rPr>
          <w:rStyle w:val="Appeldenotedefin"/>
          <w:rFonts w:eastAsia="Calibri"/>
          <w:lang w:val="fr-CA" w:eastAsia="en-US"/>
        </w:rPr>
        <w:endnoteReference w:id="346"/>
      </w:r>
      <w:r w:rsidRPr="00BD22C2">
        <w:rPr>
          <w:rFonts w:eastAsia="Calibri"/>
          <w:lang w:val="fr-CA" w:eastAsia="en-US"/>
        </w:rPr>
        <w:t xml:space="preserve">. </w:t>
      </w:r>
    </w:p>
    <w:p w14:paraId="0E692B31" w14:textId="16C77227" w:rsidR="00F7531E" w:rsidRPr="00BD22C2" w:rsidRDefault="0046343D" w:rsidP="00F7531E">
      <w:pPr>
        <w:pStyle w:val="Paragraphe"/>
        <w:rPr>
          <w:rFonts w:eastAsia="Calibri"/>
          <w:lang w:val="fr-CA" w:eastAsia="en-US"/>
        </w:rPr>
      </w:pPr>
      <w:r w:rsidRPr="00BD22C2">
        <w:rPr>
          <w:rFonts w:eastAsia="Calibri"/>
          <w:lang w:val="fr-CA" w:eastAsia="en-US"/>
        </w:rPr>
        <w:t>Le consentement aux soins doit être libre et éclairé</w:t>
      </w:r>
      <w:r w:rsidR="00837786" w:rsidRPr="00BD22C2">
        <w:rPr>
          <w:rFonts w:eastAsia="Calibri" w:cs="Times New Roman"/>
          <w:color w:val="auto"/>
          <w:szCs w:val="24"/>
          <w:vertAlign w:val="superscript"/>
          <w:lang w:val="fr-CA" w:eastAsia="en-US"/>
        </w:rPr>
        <w:endnoteReference w:id="347"/>
      </w:r>
      <w:r w:rsidRPr="00BD22C2">
        <w:rPr>
          <w:rFonts w:eastAsia="Calibri"/>
          <w:lang w:val="fr-CA" w:eastAsia="en-US"/>
        </w:rPr>
        <w:t xml:space="preserve">, c’est-à-dire qu’il </w:t>
      </w:r>
      <w:r w:rsidR="00837786" w:rsidRPr="00BD22C2">
        <w:rPr>
          <w:rFonts w:eastAsia="Calibri"/>
          <w:lang w:val="fr-CA" w:eastAsia="en-US"/>
        </w:rPr>
        <w:t xml:space="preserve">doit être </w:t>
      </w:r>
      <w:r w:rsidRPr="00BD22C2">
        <w:rPr>
          <w:rFonts w:eastAsia="Calibri"/>
          <w:lang w:val="fr-CA" w:eastAsia="en-US"/>
        </w:rPr>
        <w:t>donné «</w:t>
      </w:r>
      <w:r w:rsidR="00444FEB">
        <w:rPr>
          <w:rFonts w:eastAsia="Calibri"/>
          <w:lang w:val="fr-CA" w:eastAsia="en-US"/>
        </w:rPr>
        <w:t> </w:t>
      </w:r>
      <w:r w:rsidRPr="00BD22C2">
        <w:rPr>
          <w:rFonts w:eastAsia="Calibri"/>
          <w:lang w:val="fr-CA" w:eastAsia="en-US"/>
        </w:rPr>
        <w:t>en dehors de toute influence ou contrainte indue</w:t>
      </w:r>
      <w:r w:rsidR="00444FEB">
        <w:rPr>
          <w:rFonts w:eastAsia="Calibri"/>
          <w:lang w:val="fr-CA" w:eastAsia="en-US"/>
        </w:rPr>
        <w:t> </w:t>
      </w:r>
      <w:r w:rsidRPr="00BD22C2">
        <w:rPr>
          <w:rFonts w:eastAsia="Calibri"/>
          <w:lang w:val="fr-CA" w:eastAsia="en-US"/>
        </w:rPr>
        <w:t>»</w:t>
      </w:r>
      <w:bookmarkStart w:id="154" w:name="_Ref167455720"/>
      <w:r w:rsidR="00837786" w:rsidRPr="00BD22C2">
        <w:rPr>
          <w:rFonts w:eastAsia="Calibri" w:cs="Times New Roman"/>
          <w:color w:val="auto"/>
          <w:szCs w:val="24"/>
          <w:vertAlign w:val="superscript"/>
          <w:lang w:val="fr-CA" w:eastAsia="en-US"/>
        </w:rPr>
        <w:endnoteReference w:id="348"/>
      </w:r>
      <w:bookmarkEnd w:id="154"/>
      <w:r w:rsidR="00837786" w:rsidRPr="00BD22C2">
        <w:rPr>
          <w:rFonts w:eastAsia="Calibri"/>
          <w:lang w:val="fr-CA" w:eastAsia="en-US"/>
        </w:rPr>
        <w:t xml:space="preserve"> </w:t>
      </w:r>
      <w:r w:rsidR="00534FEF" w:rsidRPr="00BD22C2">
        <w:rPr>
          <w:rFonts w:eastAsia="Calibri"/>
          <w:lang w:val="fr-CA" w:eastAsia="en-US"/>
        </w:rPr>
        <w:t>et que</w:t>
      </w:r>
      <w:r w:rsidR="00445A9E" w:rsidRPr="00BD22C2">
        <w:rPr>
          <w:rFonts w:eastAsia="Calibri"/>
          <w:lang w:val="fr-CA" w:eastAsia="en-US"/>
        </w:rPr>
        <w:t>,</w:t>
      </w:r>
      <w:r w:rsidR="00534FEF" w:rsidRPr="00BD22C2">
        <w:rPr>
          <w:rFonts w:eastAsia="Calibri"/>
          <w:lang w:val="fr-CA" w:eastAsia="en-US"/>
        </w:rPr>
        <w:t xml:space="preserve"> t</w:t>
      </w:r>
      <w:r w:rsidR="00F7531E" w:rsidRPr="00BD22C2">
        <w:rPr>
          <w:rFonts w:eastAsia="Calibri"/>
          <w:lang w:val="fr-CA" w:eastAsia="en-US"/>
        </w:rPr>
        <w:t xml:space="preserve">ant pour les enfants </w:t>
      </w:r>
      <w:r w:rsidR="008B7FC4" w:rsidRPr="00BD22C2">
        <w:rPr>
          <w:rFonts w:eastAsia="Calibri"/>
          <w:lang w:val="fr-CA" w:eastAsia="en-US"/>
        </w:rPr>
        <w:t xml:space="preserve">(et leurs parents) </w:t>
      </w:r>
      <w:r w:rsidR="00F7531E" w:rsidRPr="00BD22C2">
        <w:rPr>
          <w:rFonts w:eastAsia="Calibri"/>
          <w:lang w:val="fr-CA" w:eastAsia="en-US"/>
        </w:rPr>
        <w:t>que pour les personnes adolescentes, des informations suffisantes et adaptées doivent leur être fournies</w:t>
      </w:r>
      <w:r w:rsidR="00B547D3" w:rsidRPr="00BD22C2">
        <w:rPr>
          <w:rStyle w:val="Appeldenotedefin"/>
          <w:rFonts w:eastAsia="Calibri"/>
          <w:lang w:val="fr-CA" w:eastAsia="en-US"/>
        </w:rPr>
        <w:endnoteReference w:id="349"/>
      </w:r>
      <w:r w:rsidR="00F7531E" w:rsidRPr="00BD22C2">
        <w:rPr>
          <w:rFonts w:eastAsia="Calibri"/>
          <w:lang w:val="fr-CA" w:eastAsia="en-US"/>
        </w:rPr>
        <w:t>. Celles-ci doivent leur permettre de comprendre la situation, les soins disponibles, les conséquences qu’ils auront sur leur vie et tout autre aspect nécessaire à la fourniture d’un consentement éclairé et à la participation active à la prise de décisions qui les concernent</w:t>
      </w:r>
      <w:r w:rsidR="00F7531E" w:rsidRPr="00BD22C2">
        <w:rPr>
          <w:rStyle w:val="Appeldenotedefin"/>
          <w:rFonts w:eastAsia="Calibri"/>
          <w:lang w:val="fr-CA" w:eastAsia="en-US"/>
        </w:rPr>
        <w:endnoteReference w:id="350"/>
      </w:r>
      <w:r w:rsidR="00F7531E" w:rsidRPr="00BD22C2">
        <w:rPr>
          <w:rFonts w:eastAsia="Calibri"/>
          <w:lang w:val="fr-CA" w:eastAsia="en-US"/>
        </w:rPr>
        <w:t>. Cette participation est d’ailleurs susceptible d’améliorer la qualité des soins qu’ils reçoivent et leur succès</w:t>
      </w:r>
      <w:r w:rsidR="00F7531E" w:rsidRPr="00BD22C2">
        <w:rPr>
          <w:rStyle w:val="Appeldenotedefin"/>
          <w:rFonts w:eastAsia="Calibri"/>
          <w:lang w:val="fr-CA" w:eastAsia="en-US"/>
        </w:rPr>
        <w:endnoteReference w:id="351"/>
      </w:r>
      <w:r w:rsidR="00F7531E" w:rsidRPr="00BD22C2">
        <w:rPr>
          <w:rFonts w:eastAsia="Calibri"/>
          <w:lang w:val="fr-CA" w:eastAsia="en-US"/>
        </w:rPr>
        <w:t xml:space="preserve">. </w:t>
      </w:r>
    </w:p>
    <w:p w14:paraId="73AA9FB5" w14:textId="5664BE31" w:rsidR="00F7531E" w:rsidRDefault="00F7531E" w:rsidP="00F7531E">
      <w:pPr>
        <w:pStyle w:val="Paragraphe"/>
        <w:rPr>
          <w:rFonts w:eastAsia="Calibri"/>
          <w:lang w:val="fr-CA" w:eastAsia="en-US"/>
        </w:rPr>
      </w:pPr>
      <w:r w:rsidRPr="00BD22C2">
        <w:rPr>
          <w:rFonts w:eastAsia="Calibri"/>
          <w:lang w:val="fr-CA" w:eastAsia="en-US"/>
        </w:rPr>
        <w:t xml:space="preserve">En ce qui a trait à l’encadrement </w:t>
      </w:r>
      <w:r w:rsidRPr="00BD22C2">
        <w:rPr>
          <w:lang w:val="fr-CA"/>
        </w:rPr>
        <w:t>du consentement aux soins pour les personnes mineures, le</w:t>
      </w:r>
      <w:r w:rsidRPr="00BD22C2">
        <w:rPr>
          <w:rFonts w:eastAsia="Calibri"/>
          <w:lang w:val="fr-CA" w:eastAsia="en-US"/>
        </w:rPr>
        <w:t xml:space="preserve"> C.c.Q. prévoit un régime particulier</w:t>
      </w:r>
      <w:r w:rsidRPr="00BD22C2">
        <w:rPr>
          <w:rFonts w:eastAsia="Calibri"/>
          <w:vertAlign w:val="superscript"/>
          <w:lang w:val="fr-CA" w:eastAsia="en-US"/>
        </w:rPr>
        <w:endnoteReference w:id="352"/>
      </w:r>
      <w:r w:rsidRPr="00BD22C2">
        <w:rPr>
          <w:rFonts w:eastAsia="Calibri"/>
          <w:lang w:val="fr-CA" w:eastAsia="en-US"/>
        </w:rPr>
        <w:t xml:space="preserve">, qui constitue une exception à </w:t>
      </w:r>
      <w:r w:rsidR="00DA43DC" w:rsidRPr="00BD22C2">
        <w:rPr>
          <w:rFonts w:eastAsia="Calibri"/>
          <w:lang w:val="fr-CA" w:eastAsia="en-US"/>
        </w:rPr>
        <w:t>l’aptitude</w:t>
      </w:r>
      <w:r w:rsidRPr="00BD22C2">
        <w:rPr>
          <w:rFonts w:eastAsia="Calibri"/>
          <w:lang w:val="fr-CA" w:eastAsia="en-US"/>
        </w:rPr>
        <w:t xml:space="preserve"> générale des personnes de consentir aux soins qui leur sont offerts</w:t>
      </w:r>
      <w:r w:rsidRPr="00BD22C2">
        <w:rPr>
          <w:rFonts w:eastAsia="Calibri"/>
          <w:vertAlign w:val="superscript"/>
          <w:lang w:val="fr-CA" w:eastAsia="en-US"/>
        </w:rPr>
        <w:endnoteReference w:id="353"/>
      </w:r>
      <w:r w:rsidRPr="00BD22C2">
        <w:rPr>
          <w:rFonts w:eastAsia="Calibri"/>
          <w:lang w:val="fr-CA" w:eastAsia="en-US"/>
        </w:rPr>
        <w:t>. En vertu de ce cadre, les personnes mineures de 14</w:t>
      </w:r>
      <w:r w:rsidR="009D3E22">
        <w:rPr>
          <w:rFonts w:eastAsia="Calibri"/>
          <w:lang w:val="fr-CA" w:eastAsia="en-US"/>
        </w:rPr>
        <w:t> </w:t>
      </w:r>
      <w:r w:rsidRPr="00BD22C2">
        <w:rPr>
          <w:rFonts w:eastAsia="Calibri"/>
          <w:lang w:val="fr-CA" w:eastAsia="en-US"/>
        </w:rPr>
        <w:t xml:space="preserve">ans et plus peuvent, à certaines conditions, consentir elles-mêmes à des soins. La nature du soin envisagé (un soin </w:t>
      </w:r>
      <w:r w:rsidRPr="00BD22C2">
        <w:rPr>
          <w:rFonts w:eastAsia="Calibri"/>
          <w:i/>
          <w:iCs/>
          <w:lang w:val="fr-CA" w:eastAsia="en-US"/>
        </w:rPr>
        <w:t>requis</w:t>
      </w:r>
      <w:r w:rsidRPr="00BD22C2">
        <w:rPr>
          <w:rFonts w:eastAsia="Calibri"/>
          <w:lang w:val="fr-CA" w:eastAsia="en-US"/>
        </w:rPr>
        <w:t xml:space="preserve"> ou </w:t>
      </w:r>
      <w:r w:rsidRPr="00BD22C2">
        <w:rPr>
          <w:rFonts w:eastAsia="Calibri"/>
          <w:i/>
          <w:iCs/>
          <w:lang w:val="fr-CA" w:eastAsia="en-US"/>
        </w:rPr>
        <w:t>non requis</w:t>
      </w:r>
      <w:r w:rsidRPr="00BD22C2">
        <w:rPr>
          <w:rFonts w:eastAsia="Calibri"/>
          <w:lang w:val="fr-CA" w:eastAsia="en-US"/>
        </w:rPr>
        <w:t xml:space="preserve"> par l’état de santé), ses impacts concrets sur la vie de la personne mineure et l’âge de la personne ont une importance significative pour déterminer le droit applicable à une situation donnée. Le tableau suivant présente certaines règles de ce régime particulier.</w:t>
      </w:r>
    </w:p>
    <w:p w14:paraId="425B936E" w14:textId="5151C33B" w:rsidR="002A3FFA" w:rsidRDefault="002A3FFA" w:rsidP="002A3FFA">
      <w:pPr>
        <w:pStyle w:val="Corpsdetexte"/>
        <w:rPr>
          <w:rFonts w:eastAsia="Calibri"/>
          <w:b/>
          <w:sz w:val="20"/>
          <w:szCs w:val="20"/>
          <w:lang w:eastAsia="en-US"/>
        </w:rPr>
      </w:pPr>
      <w:r w:rsidRPr="00877ED9">
        <w:rPr>
          <w:rFonts w:eastAsia="Calibri"/>
          <w:b/>
          <w:sz w:val="20"/>
          <w:szCs w:val="20"/>
          <w:lang w:eastAsia="en-US"/>
        </w:rPr>
        <w:t>Tableau</w:t>
      </w:r>
      <w:r w:rsidR="0091080B" w:rsidRPr="00877ED9">
        <w:rPr>
          <w:rFonts w:eastAsia="Calibri"/>
          <w:b/>
          <w:sz w:val="20"/>
          <w:szCs w:val="20"/>
          <w:lang w:eastAsia="en-US"/>
        </w:rPr>
        <w:t> </w:t>
      </w:r>
      <w:r w:rsidRPr="00877ED9">
        <w:rPr>
          <w:rFonts w:eastAsia="Calibri"/>
          <w:b/>
          <w:sz w:val="20"/>
          <w:szCs w:val="20"/>
          <w:lang w:eastAsia="en-US"/>
        </w:rPr>
        <w:t>3</w:t>
      </w:r>
    </w:p>
    <w:p w14:paraId="50A7CA80" w14:textId="1474A370" w:rsidR="00E34A3B" w:rsidRPr="00877ED9" w:rsidRDefault="00A519C5" w:rsidP="002A3FFA">
      <w:pPr>
        <w:pStyle w:val="Corpsdetexte"/>
        <w:rPr>
          <w:rFonts w:eastAsia="Calibri"/>
          <w:b/>
          <w:sz w:val="20"/>
          <w:szCs w:val="20"/>
          <w:lang w:eastAsia="en-US"/>
        </w:rPr>
      </w:pPr>
      <w:r>
        <w:rPr>
          <w:rFonts w:eastAsia="Calibri"/>
          <w:b/>
          <w:sz w:val="20"/>
          <w:szCs w:val="20"/>
          <w:lang w:eastAsia="en-US"/>
        </w:rPr>
        <w:t>Le</w:t>
      </w:r>
      <w:r w:rsidR="007C2AD7">
        <w:rPr>
          <w:rFonts w:eastAsia="Calibri"/>
          <w:b/>
          <w:sz w:val="20"/>
          <w:szCs w:val="20"/>
          <w:lang w:eastAsia="en-US"/>
        </w:rPr>
        <w:t xml:space="preserve"> consentement aux soins selon l’âge</w:t>
      </w:r>
    </w:p>
    <w:tbl>
      <w:tblPr>
        <w:tblStyle w:val="TableauList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17"/>
        <w:gridCol w:w="3116"/>
        <w:gridCol w:w="3117"/>
      </w:tblGrid>
      <w:tr w:rsidR="00F7531E" w:rsidRPr="00BD22C2" w14:paraId="153E8E66" w14:textId="77777777" w:rsidTr="005943FF">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3117" w:type="dxa"/>
            <w:shd w:val="clear" w:color="auto" w:fill="0099CC"/>
            <w:vAlign w:val="center"/>
          </w:tcPr>
          <w:p w14:paraId="73BDE9B2" w14:textId="761AA384" w:rsidR="00F7531E" w:rsidRPr="00BD22C2" w:rsidRDefault="00F7531E" w:rsidP="0072117A">
            <w:pPr>
              <w:pStyle w:val="Corpsdetexte"/>
              <w:spacing w:after="0" w:line="240" w:lineRule="auto"/>
              <w:jc w:val="center"/>
              <w:rPr>
                <w:rFonts w:eastAsia="Calibri"/>
                <w:sz w:val="20"/>
                <w:szCs w:val="20"/>
                <w:lang w:eastAsia="en-US"/>
              </w:rPr>
            </w:pPr>
          </w:p>
        </w:tc>
        <w:tc>
          <w:tcPr>
            <w:tcW w:w="3116" w:type="dxa"/>
            <w:shd w:val="clear" w:color="auto" w:fill="0099CC"/>
            <w:vAlign w:val="center"/>
          </w:tcPr>
          <w:p w14:paraId="57BB571C" w14:textId="6A84A4B4" w:rsidR="00F7531E" w:rsidRPr="00BD22C2" w:rsidRDefault="00F7531E" w:rsidP="0072117A">
            <w:pPr>
              <w:pStyle w:val="Corpsdetexte"/>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MOINS DE 14</w:t>
            </w:r>
            <w:r w:rsidR="009D3E22">
              <w:rPr>
                <w:rFonts w:eastAsia="Calibri"/>
                <w:sz w:val="20"/>
                <w:szCs w:val="20"/>
                <w:lang w:eastAsia="en-US"/>
              </w:rPr>
              <w:t> </w:t>
            </w:r>
            <w:r w:rsidRPr="00BD22C2">
              <w:rPr>
                <w:rFonts w:eastAsia="Calibri"/>
                <w:sz w:val="20"/>
                <w:szCs w:val="20"/>
                <w:lang w:eastAsia="en-US"/>
              </w:rPr>
              <w:t>ANS</w:t>
            </w:r>
          </w:p>
        </w:tc>
        <w:tc>
          <w:tcPr>
            <w:tcW w:w="3117" w:type="dxa"/>
            <w:shd w:val="clear" w:color="auto" w:fill="0099CC"/>
            <w:vAlign w:val="center"/>
          </w:tcPr>
          <w:p w14:paraId="4909BA58" w14:textId="4DB90CDD" w:rsidR="00F7531E" w:rsidRPr="00BD22C2" w:rsidRDefault="00F7531E" w:rsidP="0072117A">
            <w:pPr>
              <w:pStyle w:val="Corpsdetexte"/>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14</w:t>
            </w:r>
            <w:r w:rsidR="009D3E22">
              <w:rPr>
                <w:rFonts w:eastAsia="Calibri"/>
                <w:sz w:val="20"/>
                <w:szCs w:val="20"/>
                <w:lang w:eastAsia="en-US"/>
              </w:rPr>
              <w:t> </w:t>
            </w:r>
            <w:r w:rsidRPr="00BD22C2">
              <w:rPr>
                <w:rFonts w:eastAsia="Calibri"/>
                <w:sz w:val="20"/>
                <w:szCs w:val="20"/>
                <w:lang w:eastAsia="en-US"/>
              </w:rPr>
              <w:t>ANS ET PLUS</w:t>
            </w:r>
          </w:p>
        </w:tc>
      </w:tr>
      <w:tr w:rsidR="00F7531E" w:rsidRPr="00BD22C2" w14:paraId="1AAF7214" w14:textId="77777777" w:rsidTr="0059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shd w:val="clear" w:color="auto" w:fill="FFFFFF" w:themeFill="background1"/>
          </w:tcPr>
          <w:p w14:paraId="6C39AAF8" w14:textId="77777777" w:rsidR="00F7531E" w:rsidRPr="00BD22C2" w:rsidRDefault="00F7531E" w:rsidP="0072117A">
            <w:pPr>
              <w:pStyle w:val="Corpsdetexte"/>
              <w:spacing w:after="0" w:line="240" w:lineRule="auto"/>
              <w:jc w:val="left"/>
              <w:rPr>
                <w:rFonts w:eastAsia="Calibri"/>
                <w:sz w:val="20"/>
                <w:szCs w:val="20"/>
                <w:lang w:eastAsia="en-US"/>
              </w:rPr>
            </w:pPr>
            <w:r w:rsidRPr="00BD22C2">
              <w:rPr>
                <w:rFonts w:eastAsia="Calibri"/>
                <w:sz w:val="20"/>
                <w:szCs w:val="20"/>
                <w:lang w:eastAsia="en-US"/>
              </w:rPr>
              <w:t>Consentement aux soins requis par l’état de santé du mineur</w:t>
            </w:r>
          </w:p>
        </w:tc>
        <w:tc>
          <w:tcPr>
            <w:tcW w:w="3116" w:type="dxa"/>
            <w:shd w:val="clear" w:color="auto" w:fill="FFFFFF" w:themeFill="background1"/>
          </w:tcPr>
          <w:p w14:paraId="500B34B8" w14:textId="59BB682E" w:rsidR="00F7531E" w:rsidRPr="00BD22C2" w:rsidRDefault="00F7531E" w:rsidP="0072117A">
            <w:pPr>
              <w:pStyle w:val="Corpsdetexte"/>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b/>
                <w:sz w:val="20"/>
                <w:szCs w:val="20"/>
                <w:lang w:eastAsia="en-US"/>
              </w:rPr>
            </w:pPr>
            <w:r w:rsidRPr="00BD22C2">
              <w:rPr>
                <w:rFonts w:eastAsia="Calibri"/>
                <w:sz w:val="20"/>
                <w:szCs w:val="20"/>
                <w:lang w:eastAsia="en-US"/>
              </w:rPr>
              <w:t>Le consentement est donné par le titulaire de l’autorité parentale, art. 14</w:t>
            </w:r>
            <w:r w:rsidR="008B4522">
              <w:rPr>
                <w:rFonts w:eastAsia="Calibri"/>
                <w:sz w:val="20"/>
                <w:szCs w:val="20"/>
                <w:lang w:eastAsia="en-US"/>
              </w:rPr>
              <w:t> </w:t>
            </w:r>
            <w:r w:rsidRPr="00BD22C2">
              <w:rPr>
                <w:rFonts w:eastAsia="Calibri"/>
                <w:sz w:val="20"/>
                <w:szCs w:val="20"/>
                <w:lang w:eastAsia="en-US"/>
              </w:rPr>
              <w:t>al.1 C.c.Q.</w:t>
            </w:r>
          </w:p>
        </w:tc>
        <w:tc>
          <w:tcPr>
            <w:tcW w:w="3117" w:type="dxa"/>
            <w:shd w:val="clear" w:color="auto" w:fill="FFFFFF" w:themeFill="background1"/>
          </w:tcPr>
          <w:p w14:paraId="62DA5D92" w14:textId="6598A2D9" w:rsidR="00F7531E" w:rsidRPr="00BD22C2" w:rsidRDefault="00F7531E" w:rsidP="0072117A">
            <w:pPr>
              <w:pStyle w:val="Corpsdetexte"/>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Le mineur de 14</w:t>
            </w:r>
            <w:r w:rsidR="009D3E22">
              <w:rPr>
                <w:rFonts w:eastAsia="Calibri"/>
                <w:sz w:val="20"/>
                <w:szCs w:val="20"/>
                <w:lang w:eastAsia="en-US"/>
              </w:rPr>
              <w:t> </w:t>
            </w:r>
            <w:r w:rsidRPr="00BD22C2">
              <w:rPr>
                <w:rFonts w:eastAsia="Calibri"/>
                <w:sz w:val="20"/>
                <w:szCs w:val="20"/>
                <w:lang w:eastAsia="en-US"/>
              </w:rPr>
              <w:t>ans et plus peut consentir seul à ces soins.</w:t>
            </w:r>
          </w:p>
          <w:p w14:paraId="5AD0E35E" w14:textId="0A9F1DCC" w:rsidR="00F7531E" w:rsidRPr="00BD22C2" w:rsidRDefault="00F7531E" w:rsidP="0072117A">
            <w:pPr>
              <w:pStyle w:val="Corpsdetexte"/>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Si son état de santé exige qu’il demeure dans un établissement de santé ou de services sociaux plus de 12</w:t>
            </w:r>
            <w:r w:rsidR="009D3E22">
              <w:rPr>
                <w:rFonts w:eastAsia="Calibri"/>
                <w:sz w:val="20"/>
                <w:szCs w:val="20"/>
                <w:lang w:eastAsia="en-US"/>
              </w:rPr>
              <w:t> </w:t>
            </w:r>
            <w:r w:rsidRPr="00BD22C2">
              <w:rPr>
                <w:rFonts w:eastAsia="Calibri"/>
                <w:sz w:val="20"/>
                <w:szCs w:val="20"/>
                <w:lang w:eastAsia="en-US"/>
              </w:rPr>
              <w:t>heures, le titulaire de l’autorité parentale ou le tuteur doit en être informé. Art. 14</w:t>
            </w:r>
            <w:r w:rsidR="00762FE8">
              <w:rPr>
                <w:rFonts w:eastAsia="Calibri"/>
                <w:sz w:val="20"/>
                <w:szCs w:val="20"/>
                <w:lang w:eastAsia="en-US"/>
              </w:rPr>
              <w:t> </w:t>
            </w:r>
            <w:r w:rsidRPr="00BD22C2">
              <w:rPr>
                <w:rFonts w:eastAsia="Calibri"/>
                <w:sz w:val="20"/>
                <w:szCs w:val="20"/>
                <w:lang w:eastAsia="en-US"/>
              </w:rPr>
              <w:t>al. 2 C.c.Q.</w:t>
            </w:r>
          </w:p>
        </w:tc>
      </w:tr>
      <w:tr w:rsidR="00F7531E" w:rsidRPr="00BD22C2" w14:paraId="49A266ED" w14:textId="77777777" w:rsidTr="005943FF">
        <w:tc>
          <w:tcPr>
            <w:cnfStyle w:val="001000000000" w:firstRow="0" w:lastRow="0" w:firstColumn="1" w:lastColumn="0" w:oddVBand="0" w:evenVBand="0" w:oddHBand="0" w:evenHBand="0" w:firstRowFirstColumn="0" w:firstRowLastColumn="0" w:lastRowFirstColumn="0" w:lastRowLastColumn="0"/>
            <w:tcW w:w="3117" w:type="dxa"/>
            <w:shd w:val="clear" w:color="auto" w:fill="FFFFFF" w:themeFill="background1"/>
          </w:tcPr>
          <w:p w14:paraId="09AC873F" w14:textId="77777777" w:rsidR="00F7531E" w:rsidRPr="00BD22C2" w:rsidRDefault="00F7531E" w:rsidP="0072117A">
            <w:pPr>
              <w:pStyle w:val="Corpsdetexte"/>
              <w:spacing w:after="0" w:line="240" w:lineRule="auto"/>
              <w:jc w:val="left"/>
              <w:rPr>
                <w:rFonts w:eastAsia="Calibri"/>
                <w:sz w:val="20"/>
                <w:szCs w:val="20"/>
                <w:lang w:eastAsia="en-US"/>
              </w:rPr>
            </w:pPr>
            <w:r w:rsidRPr="00BD22C2">
              <w:rPr>
                <w:rFonts w:eastAsia="Calibri"/>
                <w:sz w:val="20"/>
                <w:szCs w:val="20"/>
                <w:lang w:eastAsia="en-US"/>
              </w:rPr>
              <w:lastRenderedPageBreak/>
              <w:t>Soins non requis par l’état de santé du mineur</w:t>
            </w:r>
          </w:p>
        </w:tc>
        <w:tc>
          <w:tcPr>
            <w:tcW w:w="3116" w:type="dxa"/>
            <w:shd w:val="clear" w:color="auto" w:fill="FFFFFF" w:themeFill="background1"/>
          </w:tcPr>
          <w:p w14:paraId="6C0F1AEC" w14:textId="77777777" w:rsidR="00F7531E" w:rsidRPr="00BD22C2" w:rsidRDefault="00F7531E" w:rsidP="0072117A">
            <w:pPr>
              <w:pStyle w:val="Corpsdetexte"/>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Le consentement est donné par le titulaire de l’autorité parentale ou le tuteur,</w:t>
            </w:r>
          </w:p>
          <w:p w14:paraId="1A88B75D" w14:textId="77777777" w:rsidR="00F7531E" w:rsidRPr="00BD22C2" w:rsidRDefault="00F7531E" w:rsidP="0072117A">
            <w:pPr>
              <w:pStyle w:val="Corpsdetexte"/>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b/>
                <w:sz w:val="20"/>
                <w:szCs w:val="20"/>
                <w:u w:val="single"/>
                <w:lang w:eastAsia="en-US"/>
              </w:rPr>
            </w:pPr>
            <w:r w:rsidRPr="00BD22C2">
              <w:rPr>
                <w:rFonts w:eastAsia="Calibri"/>
                <w:b/>
                <w:sz w:val="20"/>
                <w:szCs w:val="20"/>
                <w:u w:val="single"/>
                <w:lang w:eastAsia="en-US"/>
              </w:rPr>
              <w:t>SAUF</w:t>
            </w:r>
          </w:p>
          <w:p w14:paraId="09EF265B" w14:textId="56E933C0" w:rsidR="00F7531E" w:rsidRPr="00BD22C2" w:rsidRDefault="00F7531E" w:rsidP="0072117A">
            <w:pPr>
              <w:pStyle w:val="Corpsdetexte"/>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si les soins non requis présentent un risque sérieux pour la santé ou qu’ils peuvent causer des effets graves et permanents, auquel cas le tribunal autorise les soins, art. 18</w:t>
            </w:r>
            <w:r w:rsidR="009D3E22">
              <w:rPr>
                <w:rFonts w:eastAsia="Calibri"/>
                <w:sz w:val="20"/>
                <w:szCs w:val="20"/>
                <w:lang w:eastAsia="en-US"/>
              </w:rPr>
              <w:t> </w:t>
            </w:r>
            <w:r w:rsidRPr="00BD22C2">
              <w:rPr>
                <w:rFonts w:eastAsia="Calibri"/>
                <w:sz w:val="20"/>
                <w:szCs w:val="20"/>
                <w:lang w:eastAsia="en-US"/>
              </w:rPr>
              <w:t>C.c.Q.</w:t>
            </w:r>
          </w:p>
        </w:tc>
        <w:tc>
          <w:tcPr>
            <w:tcW w:w="3117" w:type="dxa"/>
            <w:shd w:val="clear" w:color="auto" w:fill="FFFFFF" w:themeFill="background1"/>
          </w:tcPr>
          <w:p w14:paraId="149C72AD" w14:textId="77777777" w:rsidR="00F7531E" w:rsidRPr="00BD22C2" w:rsidRDefault="00F7531E" w:rsidP="0072117A">
            <w:pPr>
              <w:pStyle w:val="Corpsdetexte"/>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BD22C2">
              <w:rPr>
                <w:rFonts w:eastAsia="Calibri"/>
                <w:sz w:val="20"/>
                <w:szCs w:val="20"/>
                <w:lang w:eastAsia="en-US"/>
              </w:rPr>
              <w:t>Peut consentir seul à ces soins,</w:t>
            </w:r>
          </w:p>
          <w:p w14:paraId="50E800CF" w14:textId="77777777" w:rsidR="00F7531E" w:rsidRPr="00BD22C2" w:rsidRDefault="00F7531E" w:rsidP="0072117A">
            <w:pPr>
              <w:pStyle w:val="Corpsdetexte"/>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b/>
                <w:sz w:val="20"/>
                <w:szCs w:val="20"/>
                <w:u w:val="single"/>
                <w:lang w:eastAsia="en-US"/>
              </w:rPr>
            </w:pPr>
            <w:r w:rsidRPr="00BD22C2">
              <w:rPr>
                <w:rFonts w:eastAsia="Calibri"/>
                <w:b/>
                <w:sz w:val="20"/>
                <w:szCs w:val="20"/>
                <w:u w:val="single"/>
                <w:lang w:eastAsia="en-US"/>
              </w:rPr>
              <w:t>SAUF</w:t>
            </w:r>
          </w:p>
          <w:p w14:paraId="6F73D43F" w14:textId="1F0BD8F5" w:rsidR="00F7531E" w:rsidRPr="00BD22C2" w:rsidRDefault="00F7531E" w:rsidP="0072117A">
            <w:pPr>
              <w:pStyle w:val="Corpsdetexte"/>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b/>
                <w:sz w:val="20"/>
                <w:szCs w:val="20"/>
                <w:u w:val="single"/>
                <w:lang w:eastAsia="en-US"/>
              </w:rPr>
            </w:pPr>
            <w:r w:rsidRPr="00BD22C2">
              <w:rPr>
                <w:rFonts w:eastAsia="Calibri"/>
                <w:sz w:val="20"/>
                <w:szCs w:val="20"/>
                <w:lang w:eastAsia="en-US"/>
              </w:rPr>
              <w:t xml:space="preserve">si les soins non requis présentent un risque sérieux pour la santé </w:t>
            </w:r>
            <w:r w:rsidR="00941AD9" w:rsidRPr="00BD22C2">
              <w:rPr>
                <w:rFonts w:eastAsia="Calibri"/>
                <w:sz w:val="20"/>
                <w:szCs w:val="20"/>
                <w:lang w:eastAsia="en-US"/>
              </w:rPr>
              <w:t>et</w:t>
            </w:r>
            <w:r w:rsidRPr="00BD22C2">
              <w:rPr>
                <w:rFonts w:eastAsia="Calibri"/>
                <w:sz w:val="20"/>
                <w:szCs w:val="20"/>
                <w:lang w:eastAsia="en-US"/>
              </w:rPr>
              <w:t xml:space="preserve"> qu’ils peuvent causer des effets graves et permanents, auquel cas le titulaire de l’autorité parentale ou le tuteur autorise les soins, art. 17</w:t>
            </w:r>
            <w:r w:rsidR="009D3E22">
              <w:rPr>
                <w:rFonts w:eastAsia="Calibri"/>
                <w:sz w:val="20"/>
                <w:szCs w:val="20"/>
                <w:lang w:eastAsia="en-US"/>
              </w:rPr>
              <w:t> </w:t>
            </w:r>
            <w:r w:rsidRPr="00BD22C2">
              <w:rPr>
                <w:rFonts w:eastAsia="Calibri"/>
                <w:sz w:val="20"/>
                <w:szCs w:val="20"/>
                <w:lang w:eastAsia="en-US"/>
              </w:rPr>
              <w:t>C.c.Q.</w:t>
            </w:r>
          </w:p>
        </w:tc>
      </w:tr>
    </w:tbl>
    <w:p w14:paraId="7C070956" w14:textId="77777777" w:rsidR="00F7531E" w:rsidRPr="00CD4047" w:rsidRDefault="00F7531E" w:rsidP="00F7531E">
      <w:pPr>
        <w:pStyle w:val="Paragraphe"/>
        <w:rPr>
          <w:rFonts w:eastAsia="Calibri"/>
          <w:lang w:val="fr-CA" w:eastAsia="en-US"/>
        </w:rPr>
      </w:pPr>
      <w:r w:rsidRPr="00CD4047">
        <w:rPr>
          <w:rFonts w:eastAsia="Calibri"/>
          <w:lang w:val="fr-CA" w:eastAsia="en-US"/>
        </w:rPr>
        <w:t>Ce régime repose sur la reconnaissance d’une autonomie décisionnelle graduelle de l’enfant</w:t>
      </w:r>
      <w:r w:rsidRPr="4BB1F094">
        <w:rPr>
          <w:rFonts w:eastAsia="Calibri"/>
          <w:vertAlign w:val="superscript"/>
          <w:lang w:eastAsia="en-US"/>
        </w:rPr>
        <w:endnoteReference w:id="354"/>
      </w:r>
      <w:r w:rsidRPr="00CD4047">
        <w:rPr>
          <w:rFonts w:eastAsia="Calibri"/>
          <w:lang w:val="fr-CA" w:eastAsia="en-US"/>
        </w:rPr>
        <w:t>, sur ses droits à la protection</w:t>
      </w:r>
      <w:r w:rsidRPr="4BB1F094">
        <w:rPr>
          <w:rFonts w:eastAsia="Calibri"/>
          <w:vertAlign w:val="superscript"/>
          <w:lang w:eastAsia="en-US"/>
        </w:rPr>
        <w:endnoteReference w:id="355"/>
      </w:r>
      <w:r w:rsidRPr="00CD4047">
        <w:rPr>
          <w:rFonts w:eastAsia="Calibri"/>
          <w:lang w:val="fr-CA" w:eastAsia="en-US"/>
        </w:rPr>
        <w:t>, à l’inviolabilité et à l’intégrité de sa personne</w:t>
      </w:r>
      <w:r w:rsidRPr="4BB1F094">
        <w:rPr>
          <w:rFonts w:eastAsia="Calibri"/>
          <w:vertAlign w:val="superscript"/>
          <w:lang w:eastAsia="en-US"/>
        </w:rPr>
        <w:endnoteReference w:id="356"/>
      </w:r>
      <w:r w:rsidRPr="00CD4047">
        <w:rPr>
          <w:rFonts w:eastAsia="Calibri"/>
          <w:lang w:val="fr-CA" w:eastAsia="en-US"/>
        </w:rPr>
        <w:t xml:space="preserve"> ainsi que sur le respect de la primauté parentale</w:t>
      </w:r>
      <w:r w:rsidRPr="4BB1F094">
        <w:rPr>
          <w:rFonts w:eastAsia="Calibri"/>
          <w:vertAlign w:val="superscript"/>
          <w:lang w:eastAsia="en-US"/>
        </w:rPr>
        <w:endnoteReference w:id="357"/>
      </w:r>
      <w:r w:rsidRPr="00CD4047">
        <w:rPr>
          <w:rFonts w:eastAsia="Calibri"/>
          <w:lang w:val="fr-CA" w:eastAsia="en-US"/>
        </w:rPr>
        <w:t xml:space="preserve">.  </w:t>
      </w:r>
    </w:p>
    <w:p w14:paraId="34FE1AA9" w14:textId="77777777" w:rsidR="00F7531E" w:rsidRPr="00BD22C2" w:rsidRDefault="00F7531E" w:rsidP="00F7531E">
      <w:pPr>
        <w:pStyle w:val="Paragraphe"/>
        <w:rPr>
          <w:rFonts w:eastAsia="Calibri"/>
          <w:lang w:val="fr-CA" w:eastAsia="en-US"/>
        </w:rPr>
      </w:pPr>
      <w:r w:rsidRPr="00BD22C2">
        <w:rPr>
          <w:rFonts w:eastAsia="Calibri"/>
          <w:lang w:val="fr-CA" w:eastAsia="en-US"/>
        </w:rPr>
        <w:t xml:space="preserve">L’article 11 du C.c.Q. prévoit par ailleurs une définition très large de la notion de soin : </w:t>
      </w:r>
    </w:p>
    <w:p w14:paraId="135186F6" w14:textId="0176E367" w:rsidR="00F7531E" w:rsidRPr="00BD22C2" w:rsidRDefault="00AE2156" w:rsidP="00F7531E">
      <w:pPr>
        <w:pStyle w:val="Citation"/>
        <w:jc w:val="both"/>
        <w:rPr>
          <w:rFonts w:eastAsia="Calibri"/>
          <w:lang w:eastAsia="en-US"/>
        </w:rPr>
      </w:pPr>
      <w:r>
        <w:rPr>
          <w:rFonts w:eastAsia="Calibri"/>
          <w:lang w:eastAsia="en-US"/>
        </w:rPr>
        <w:t>«</w:t>
      </w:r>
      <w:r w:rsidR="00444FEB">
        <w:rPr>
          <w:rFonts w:eastAsia="Calibri"/>
          <w:lang w:eastAsia="en-US"/>
        </w:rPr>
        <w:t> </w:t>
      </w:r>
      <w:r w:rsidR="00F7531E" w:rsidRPr="00BD22C2">
        <w:rPr>
          <w:rFonts w:eastAsia="Calibri"/>
          <w:lang w:eastAsia="en-US"/>
        </w:rPr>
        <w:t>11. Nul ne peut être soumis sans son consentement à des soins, quelle qu’en soit la nature, qu’il s’agisse d’examens, de prélèvements, de traitements ou de toute autre intervention. Sauf disposition contraire de la loi, le consentement n’est assujetti à aucune forme particulière et peut être révoqué à tout moment, même verbalement.</w:t>
      </w:r>
      <w:r w:rsidR="00444FEB">
        <w:rPr>
          <w:rFonts w:eastAsia="Calibri"/>
          <w:lang w:eastAsia="en-US"/>
        </w:rPr>
        <w:t> </w:t>
      </w:r>
      <w:r>
        <w:rPr>
          <w:rFonts w:eastAsia="Calibri"/>
          <w:lang w:eastAsia="en-US"/>
        </w:rPr>
        <w:t>»</w:t>
      </w:r>
    </w:p>
    <w:p w14:paraId="2C1FDA69" w14:textId="193FD299" w:rsidR="00F7531E" w:rsidRPr="00BD22C2" w:rsidRDefault="00F7531E" w:rsidP="00F7531E">
      <w:pPr>
        <w:pStyle w:val="Paragraphe"/>
        <w:rPr>
          <w:rFonts w:eastAsia="Calibri"/>
          <w:lang w:val="fr-CA" w:eastAsia="en-US"/>
        </w:rPr>
      </w:pPr>
      <w:r w:rsidRPr="00BD22C2">
        <w:rPr>
          <w:rFonts w:eastAsia="Calibri"/>
          <w:lang w:val="fr-CA" w:eastAsia="en-US"/>
        </w:rPr>
        <w:t>Les soins peuvent être de nature médicale, psychologique ou sociale, requis ou non par l’état de santé, physique ou mentale</w:t>
      </w:r>
      <w:bookmarkStart w:id="156" w:name="_Ref167455781"/>
      <w:r w:rsidRPr="00BD22C2">
        <w:rPr>
          <w:rFonts w:eastAsia="Calibri"/>
          <w:vertAlign w:val="superscript"/>
          <w:lang w:val="fr-CA" w:eastAsia="en-US"/>
        </w:rPr>
        <w:endnoteReference w:id="358"/>
      </w:r>
      <w:bookmarkEnd w:id="156"/>
      <w:r w:rsidRPr="00BD22C2">
        <w:rPr>
          <w:rFonts w:eastAsia="Calibri"/>
          <w:lang w:val="fr-CA" w:eastAsia="en-US"/>
        </w:rPr>
        <w:t xml:space="preserve">. Ils sont généralement </w:t>
      </w:r>
      <w:r w:rsidRPr="00BD22C2">
        <w:rPr>
          <w:rFonts w:eastAsia="Calibri"/>
          <w:i/>
          <w:iCs/>
          <w:lang w:val="fr-CA" w:eastAsia="en-US"/>
        </w:rPr>
        <w:t>requis par l’état de santé</w:t>
      </w:r>
      <w:r w:rsidRPr="00BD22C2">
        <w:rPr>
          <w:rFonts w:eastAsia="Calibri"/>
          <w:lang w:val="fr-CA" w:eastAsia="en-US"/>
        </w:rPr>
        <w:t xml:space="preserve"> lorsqu’ils ont une finalité thérapeutique, préventive, ou qu’ils visent à soulager ou à contrer la maladie, à maintenir ou à améliorer les capacités physiologiques ou fonctionnelles d’une personne ou à apaiser la douleur</w:t>
      </w:r>
      <w:r w:rsidRPr="00BD22C2">
        <w:rPr>
          <w:rFonts w:eastAsia="Calibri"/>
          <w:vertAlign w:val="superscript"/>
          <w:lang w:val="fr-CA" w:eastAsia="en-US"/>
        </w:rPr>
        <w:endnoteReference w:id="359"/>
      </w:r>
      <w:r w:rsidRPr="00BD22C2">
        <w:rPr>
          <w:rFonts w:eastAsia="Calibri"/>
          <w:lang w:val="fr-CA" w:eastAsia="en-US"/>
        </w:rPr>
        <w:t>.</w:t>
      </w:r>
      <w:r w:rsidR="00B12C57" w:rsidRPr="00BD22C2">
        <w:rPr>
          <w:rFonts w:eastAsia="Calibri"/>
          <w:lang w:val="fr-CA" w:eastAsia="en-US"/>
        </w:rPr>
        <w:t xml:space="preserve"> </w:t>
      </w:r>
      <w:r w:rsidRPr="00BD22C2">
        <w:rPr>
          <w:rFonts w:eastAsia="Calibri"/>
          <w:lang w:val="fr-CA" w:eastAsia="en-US"/>
        </w:rPr>
        <w:t>Les catégories de soins ne sont toutefois pas fixes ni étanches : le même soin pourrait être considéré comme facultatif ou électif dans un cas donné, alors que chez une autre personne, il pourrait être essentiel à sa santé</w:t>
      </w:r>
      <w:r w:rsidRPr="00BD22C2">
        <w:rPr>
          <w:rFonts w:eastAsia="Calibri"/>
          <w:vertAlign w:val="superscript"/>
          <w:lang w:val="fr-CA" w:eastAsia="en-US"/>
        </w:rPr>
        <w:endnoteReference w:id="360"/>
      </w:r>
      <w:r w:rsidRPr="00BD22C2">
        <w:rPr>
          <w:rFonts w:eastAsia="Calibri"/>
          <w:lang w:val="fr-CA" w:eastAsia="en-US"/>
        </w:rPr>
        <w:t xml:space="preserve">. Comme l’indique le professeur </w:t>
      </w:r>
      <w:proofErr w:type="spellStart"/>
      <w:r w:rsidRPr="00BD22C2">
        <w:rPr>
          <w:rFonts w:eastAsia="Calibri"/>
          <w:lang w:val="fr-CA" w:eastAsia="en-US"/>
        </w:rPr>
        <w:t>Goubau</w:t>
      </w:r>
      <w:proofErr w:type="spellEnd"/>
      <w:r w:rsidRPr="00BD22C2">
        <w:rPr>
          <w:rFonts w:eastAsia="Calibri"/>
          <w:lang w:val="fr-CA" w:eastAsia="en-US"/>
        </w:rPr>
        <w:t>, « il s’agit d’un critère fluctuant et le caractère requis ou non dépend donc aussi de la situation particulière du patient »</w:t>
      </w:r>
      <w:r w:rsidRPr="00BD22C2">
        <w:rPr>
          <w:rFonts w:eastAsia="Calibri"/>
          <w:vertAlign w:val="superscript"/>
          <w:lang w:val="fr-CA" w:eastAsia="en-US"/>
        </w:rPr>
        <w:endnoteReference w:id="361"/>
      </w:r>
      <w:r w:rsidRPr="00BD22C2">
        <w:rPr>
          <w:rFonts w:eastAsia="Calibri"/>
          <w:lang w:val="fr-CA" w:eastAsia="en-US"/>
        </w:rPr>
        <w:t>. Lorsque les soins ne sont pas requis par l’état de santé d’un mineur de 14</w:t>
      </w:r>
      <w:r w:rsidR="009D3E22">
        <w:rPr>
          <w:rFonts w:eastAsia="Calibri"/>
          <w:lang w:val="fr-CA" w:eastAsia="en-US"/>
        </w:rPr>
        <w:t> </w:t>
      </w:r>
      <w:r w:rsidRPr="00BD22C2">
        <w:rPr>
          <w:rFonts w:eastAsia="Calibri"/>
          <w:lang w:val="fr-CA" w:eastAsia="en-US"/>
        </w:rPr>
        <w:t xml:space="preserve">ans et plus, si les effets de ces soins comportent des risques sérieux </w:t>
      </w:r>
      <w:r w:rsidR="007032C9" w:rsidRPr="00BD22C2">
        <w:rPr>
          <w:rFonts w:eastAsia="Calibri"/>
          <w:lang w:val="fr-CA" w:eastAsia="en-US"/>
        </w:rPr>
        <w:t>et</w:t>
      </w:r>
      <w:r w:rsidRPr="00BD22C2">
        <w:rPr>
          <w:rFonts w:eastAsia="Calibri"/>
          <w:lang w:val="fr-CA" w:eastAsia="en-US"/>
        </w:rPr>
        <w:t xml:space="preserve"> s’ils peuvent avoir des effets graves et permanents, le consentement parental est nécessaire</w:t>
      </w:r>
      <w:r w:rsidRPr="00BD22C2">
        <w:rPr>
          <w:rFonts w:eastAsia="Calibri"/>
          <w:vertAlign w:val="superscript"/>
          <w:lang w:val="fr-CA" w:eastAsia="en-US"/>
        </w:rPr>
        <w:endnoteReference w:id="362"/>
      </w:r>
      <w:r w:rsidRPr="00BD22C2">
        <w:rPr>
          <w:rFonts w:eastAsia="Calibri"/>
          <w:lang w:val="fr-CA" w:eastAsia="en-US"/>
        </w:rPr>
        <w:t xml:space="preserve">. </w:t>
      </w:r>
    </w:p>
    <w:p w14:paraId="5D0AB613" w14:textId="632B8C2B" w:rsidR="00F7531E" w:rsidRPr="00BD22C2" w:rsidRDefault="00F7531E" w:rsidP="00F7531E">
      <w:pPr>
        <w:pStyle w:val="Paragraphe"/>
        <w:rPr>
          <w:rFonts w:eastAsia="Calibri"/>
          <w:b/>
          <w:lang w:val="fr-CA" w:eastAsia="en-US"/>
        </w:rPr>
      </w:pPr>
      <w:r w:rsidRPr="00BD22C2">
        <w:rPr>
          <w:rFonts w:eastAsia="Calibri"/>
          <w:lang w:val="fr-CA" w:eastAsia="en-US"/>
        </w:rPr>
        <w:t xml:space="preserve">Les soins disponibles aux personnes trans et non binaires sont multiples et ont des impacts variables sur les personnes qui les utilisent. Parmi ces soins, on retrouve notamment l’accompagnement psychologique ou social, l’hormonothérapie (les bloqueurs de puberté ou la prise d’hormones) ou les différentes chirurgies visant l’ablation ou la construction de certains organes génitaux ou caractéristiques sexuelles secondaires. </w:t>
      </w:r>
      <w:r w:rsidR="008650A1" w:rsidRPr="00BD22C2">
        <w:rPr>
          <w:rFonts w:eastAsia="Calibri"/>
          <w:lang w:val="fr-CA" w:eastAsia="en-US"/>
        </w:rPr>
        <w:t>Ces</w:t>
      </w:r>
      <w:r w:rsidRPr="00BD22C2">
        <w:rPr>
          <w:rFonts w:eastAsia="Calibri"/>
          <w:lang w:val="fr-CA" w:eastAsia="en-US"/>
        </w:rPr>
        <w:t xml:space="preserve"> soins </w:t>
      </w:r>
      <w:r w:rsidR="00160B52" w:rsidRPr="00BD22C2">
        <w:rPr>
          <w:rFonts w:eastAsia="Calibri"/>
          <w:lang w:val="fr-CA" w:eastAsia="en-US"/>
        </w:rPr>
        <w:t xml:space="preserve">ont différents degrés de </w:t>
      </w:r>
      <w:r w:rsidR="00160B52" w:rsidRPr="00BD22C2">
        <w:rPr>
          <w:rFonts w:eastAsia="Calibri"/>
          <w:lang w:val="fr-CA" w:eastAsia="en-US"/>
        </w:rPr>
        <w:lastRenderedPageBreak/>
        <w:t>gravité</w:t>
      </w:r>
      <w:r w:rsidRPr="00BD22C2">
        <w:rPr>
          <w:rFonts w:eastAsia="Calibri"/>
          <w:lang w:val="fr-CA" w:eastAsia="en-US"/>
        </w:rPr>
        <w:t xml:space="preserve"> ou </w:t>
      </w:r>
      <w:r w:rsidR="00160B52" w:rsidRPr="00BD22C2">
        <w:rPr>
          <w:rFonts w:eastAsia="Calibri"/>
          <w:lang w:val="fr-CA" w:eastAsia="en-US"/>
        </w:rPr>
        <w:t>de permanence</w:t>
      </w:r>
      <w:r w:rsidR="00317D9E" w:rsidRPr="00BD22C2">
        <w:rPr>
          <w:rFonts w:eastAsia="Calibri"/>
          <w:lang w:val="fr-CA" w:eastAsia="en-US"/>
        </w:rPr>
        <w:t>. I</w:t>
      </w:r>
      <w:r w:rsidR="00927C19" w:rsidRPr="00BD22C2">
        <w:rPr>
          <w:lang w:val="fr-CA"/>
        </w:rPr>
        <w:t>l convient cependant de garder à l’esprit qu’aucune personne mineure n</w:t>
      </w:r>
      <w:r w:rsidR="0051216B" w:rsidRPr="00BD22C2">
        <w:rPr>
          <w:lang w:val="fr-CA"/>
        </w:rPr>
        <w:t>’</w:t>
      </w:r>
      <w:r w:rsidR="00927C19" w:rsidRPr="00BD22C2">
        <w:rPr>
          <w:lang w:val="fr-CA"/>
        </w:rPr>
        <w:t xml:space="preserve">a reçu de chirurgie génitale pour des raisons d’affirmation de genre depuis 2020 ni avant 2016, selon les données disponibles du ministère de la Santé et </w:t>
      </w:r>
      <w:r w:rsidR="00745A9E" w:rsidRPr="00BD22C2">
        <w:rPr>
          <w:lang w:val="fr-CA"/>
        </w:rPr>
        <w:t xml:space="preserve">des </w:t>
      </w:r>
      <w:r w:rsidR="00241904" w:rsidRPr="00BD22C2">
        <w:rPr>
          <w:lang w:val="fr-CA"/>
        </w:rPr>
        <w:t>S</w:t>
      </w:r>
      <w:r w:rsidR="00927C19" w:rsidRPr="00BD22C2">
        <w:rPr>
          <w:lang w:val="fr-CA"/>
        </w:rPr>
        <w:t xml:space="preserve">ervices sociaux rendues publiques </w:t>
      </w:r>
      <w:r w:rsidR="004D4764" w:rsidRPr="00BD22C2">
        <w:rPr>
          <w:lang w:val="fr-CA"/>
        </w:rPr>
        <w:t>dans les médias</w:t>
      </w:r>
      <w:r w:rsidR="002E289D" w:rsidRPr="00BD22C2">
        <w:rPr>
          <w:rStyle w:val="Appeldenotedefin"/>
          <w:lang w:val="fr-CA"/>
        </w:rPr>
        <w:endnoteReference w:id="363"/>
      </w:r>
      <w:r w:rsidR="002E289D" w:rsidRPr="00BD22C2">
        <w:rPr>
          <w:lang w:val="fr-CA"/>
        </w:rPr>
        <w:t>.</w:t>
      </w:r>
      <w:r w:rsidR="00927C19" w:rsidRPr="00BD22C2">
        <w:rPr>
          <w:lang w:val="fr-CA"/>
        </w:rPr>
        <w:t xml:space="preserve"> Les mastectomies auraient </w:t>
      </w:r>
      <w:r w:rsidR="006A1F94" w:rsidRPr="00BD22C2">
        <w:rPr>
          <w:lang w:val="fr-CA"/>
        </w:rPr>
        <w:t xml:space="preserve">quant à elles </w:t>
      </w:r>
      <w:r w:rsidR="00927C19" w:rsidRPr="00BD22C2">
        <w:rPr>
          <w:lang w:val="fr-CA"/>
        </w:rPr>
        <w:t>conc</w:t>
      </w:r>
      <w:r w:rsidR="00F77FA0" w:rsidRPr="00BD22C2">
        <w:rPr>
          <w:lang w:val="fr-CA"/>
        </w:rPr>
        <w:t>er</w:t>
      </w:r>
      <w:r w:rsidR="00927C19" w:rsidRPr="00BD22C2">
        <w:rPr>
          <w:lang w:val="fr-CA"/>
        </w:rPr>
        <w:t>né moins de cinq jeunes de 15 à 16</w:t>
      </w:r>
      <w:r w:rsidR="009D3E22">
        <w:rPr>
          <w:lang w:val="fr-CA"/>
        </w:rPr>
        <w:t> </w:t>
      </w:r>
      <w:r w:rsidR="00927C19" w:rsidRPr="00BD22C2">
        <w:rPr>
          <w:lang w:val="fr-CA"/>
        </w:rPr>
        <w:t>ans depuis 2020, toujours selon la même source</w:t>
      </w:r>
      <w:r w:rsidR="00927C19" w:rsidRPr="002A3FFA">
        <w:rPr>
          <w:lang w:val="fr-CA"/>
        </w:rPr>
        <w:t>.</w:t>
      </w:r>
      <w:r w:rsidR="009B20B9" w:rsidRPr="002A3FFA">
        <w:rPr>
          <w:lang w:val="fr-CA"/>
        </w:rPr>
        <w:t xml:space="preserve"> </w:t>
      </w:r>
      <w:r w:rsidR="00753B72" w:rsidRPr="002A3FFA">
        <w:rPr>
          <w:lang w:val="fr-CA"/>
        </w:rPr>
        <w:t>En France, l</w:t>
      </w:r>
      <w:r w:rsidR="00976D09" w:rsidRPr="002A3FFA">
        <w:rPr>
          <w:lang w:val="fr-CA"/>
        </w:rPr>
        <w:t xml:space="preserve">e Défenseur des droits </w:t>
      </w:r>
      <w:r w:rsidR="00246483" w:rsidRPr="002A3FFA">
        <w:rPr>
          <w:lang w:val="fr-CA"/>
        </w:rPr>
        <w:t xml:space="preserve">a </w:t>
      </w:r>
      <w:r w:rsidR="00B45C5D" w:rsidRPr="002A3FFA">
        <w:rPr>
          <w:lang w:val="fr-CA"/>
        </w:rPr>
        <w:t xml:space="preserve">également relevé que </w:t>
      </w:r>
      <w:r w:rsidR="00251356" w:rsidRPr="002A3FFA">
        <w:rPr>
          <w:lang w:val="fr-CA"/>
        </w:rPr>
        <w:t>moins de la moitié</w:t>
      </w:r>
      <w:r w:rsidR="00B45C5D" w:rsidRPr="002A3FFA">
        <w:rPr>
          <w:lang w:val="fr-CA"/>
        </w:rPr>
        <w:t xml:space="preserve"> des personnes mineures trans</w:t>
      </w:r>
      <w:r w:rsidR="00913336" w:rsidRPr="002A3FFA">
        <w:rPr>
          <w:lang w:val="fr-CA"/>
        </w:rPr>
        <w:t xml:space="preserve"> suivies par une clinique spécialisée</w:t>
      </w:r>
      <w:r w:rsidR="00B45C5D" w:rsidRPr="002A3FFA">
        <w:rPr>
          <w:lang w:val="fr-CA"/>
        </w:rPr>
        <w:t xml:space="preserve"> ont </w:t>
      </w:r>
      <w:r w:rsidR="00F93466" w:rsidRPr="002A3FFA">
        <w:rPr>
          <w:lang w:val="fr-CA"/>
        </w:rPr>
        <w:t xml:space="preserve">eu </w:t>
      </w:r>
      <w:r w:rsidR="00B45C5D" w:rsidRPr="002A3FFA">
        <w:rPr>
          <w:lang w:val="fr-CA"/>
        </w:rPr>
        <w:t>recours à une transition médicale et qu’une faible proportion de celles-ci</w:t>
      </w:r>
      <w:r w:rsidR="00162858" w:rsidRPr="002A3FFA">
        <w:rPr>
          <w:lang w:val="fr-CA"/>
        </w:rPr>
        <w:t xml:space="preserve">, </w:t>
      </w:r>
      <w:r w:rsidR="00501FCF" w:rsidRPr="002A3FFA">
        <w:rPr>
          <w:lang w:val="fr-CA"/>
        </w:rPr>
        <w:t xml:space="preserve">toutes </w:t>
      </w:r>
      <w:r w:rsidR="00162858" w:rsidRPr="002A3FFA">
        <w:rPr>
          <w:lang w:val="fr-CA"/>
        </w:rPr>
        <w:t>âgées de 16</w:t>
      </w:r>
      <w:r w:rsidR="003641EC" w:rsidRPr="002A3FFA">
        <w:rPr>
          <w:lang w:val="fr-CA"/>
        </w:rPr>
        <w:t> </w:t>
      </w:r>
      <w:r w:rsidR="00162858" w:rsidRPr="002A3FFA">
        <w:rPr>
          <w:lang w:val="fr-CA"/>
        </w:rPr>
        <w:t>ans et plus,</w:t>
      </w:r>
      <w:r w:rsidR="00F93466" w:rsidRPr="002A3FFA">
        <w:rPr>
          <w:lang w:val="fr-CA"/>
        </w:rPr>
        <w:t xml:space="preserve"> ont opté</w:t>
      </w:r>
      <w:r w:rsidR="000554A1" w:rsidRPr="002A3FFA">
        <w:rPr>
          <w:lang w:val="fr-CA"/>
        </w:rPr>
        <w:t xml:space="preserve"> pour </w:t>
      </w:r>
      <w:r w:rsidR="00F93466" w:rsidRPr="002A3FFA">
        <w:rPr>
          <w:lang w:val="fr-CA"/>
        </w:rPr>
        <w:t xml:space="preserve">une intervention chirurgicale (mastectomie ou </w:t>
      </w:r>
      <w:proofErr w:type="spellStart"/>
      <w:r w:rsidR="00F93466" w:rsidRPr="002A3FFA">
        <w:rPr>
          <w:lang w:val="fr-CA"/>
        </w:rPr>
        <w:t>torsoplastie</w:t>
      </w:r>
      <w:proofErr w:type="spellEnd"/>
      <w:r w:rsidR="00F93466" w:rsidRPr="002A3FFA">
        <w:rPr>
          <w:lang w:val="fr-CA"/>
        </w:rPr>
        <w:t>)</w:t>
      </w:r>
      <w:r w:rsidR="00277DDD" w:rsidRPr="002A3FFA">
        <w:rPr>
          <w:rStyle w:val="Appeldenotedefin"/>
          <w:lang w:val="fr-CA"/>
        </w:rPr>
        <w:endnoteReference w:id="364"/>
      </w:r>
      <w:r w:rsidR="00F93466" w:rsidRPr="002A3FFA">
        <w:rPr>
          <w:lang w:val="fr-CA"/>
        </w:rPr>
        <w:t>.</w:t>
      </w:r>
      <w:r w:rsidR="00197FFE" w:rsidRPr="002A3FFA">
        <w:rPr>
          <w:lang w:val="fr-CA"/>
        </w:rPr>
        <w:t xml:space="preserve"> </w:t>
      </w:r>
      <w:r w:rsidR="009B20B9" w:rsidRPr="002A3FFA">
        <w:rPr>
          <w:lang w:val="fr-CA"/>
        </w:rPr>
        <w:t xml:space="preserve">Ces données montrent </w:t>
      </w:r>
      <w:r w:rsidR="00A648A7" w:rsidRPr="002A3FFA">
        <w:rPr>
          <w:lang w:val="fr-CA"/>
        </w:rPr>
        <w:t>que la question de l’accès</w:t>
      </w:r>
      <w:r w:rsidR="00D76BC7" w:rsidRPr="002A3FFA">
        <w:rPr>
          <w:lang w:val="fr-CA"/>
        </w:rPr>
        <w:t xml:space="preserve"> aux chir</w:t>
      </w:r>
      <w:r w:rsidR="00285217" w:rsidRPr="002A3FFA">
        <w:rPr>
          <w:lang w:val="fr-CA"/>
        </w:rPr>
        <w:t>urgies</w:t>
      </w:r>
      <w:r w:rsidR="00A648A7" w:rsidRPr="002A3FFA">
        <w:rPr>
          <w:lang w:val="fr-CA"/>
        </w:rPr>
        <w:t xml:space="preserve"> se pose rarement pour les </w:t>
      </w:r>
      <w:r w:rsidR="00285217" w:rsidRPr="002A3FFA">
        <w:rPr>
          <w:lang w:val="fr-CA"/>
        </w:rPr>
        <w:t>personnes mineures</w:t>
      </w:r>
      <w:r w:rsidR="00A648A7" w:rsidRPr="002A3FFA">
        <w:rPr>
          <w:lang w:val="fr-CA"/>
        </w:rPr>
        <w:t xml:space="preserve">, mais que </w:t>
      </w:r>
      <w:r w:rsidR="00F77FA0" w:rsidRPr="002A3FFA">
        <w:rPr>
          <w:lang w:val="fr-CA"/>
        </w:rPr>
        <w:t>c</w:t>
      </w:r>
      <w:r w:rsidR="00285217" w:rsidRPr="002A3FFA">
        <w:rPr>
          <w:lang w:val="fr-CA"/>
        </w:rPr>
        <w:t>elles-ci</w:t>
      </w:r>
      <w:r w:rsidR="00F77FA0" w:rsidRPr="002A3FFA">
        <w:rPr>
          <w:lang w:val="fr-CA"/>
        </w:rPr>
        <w:t xml:space="preserve"> peuvent</w:t>
      </w:r>
      <w:r w:rsidR="00F77FA0" w:rsidRPr="00BD22C2">
        <w:rPr>
          <w:lang w:val="fr-CA"/>
        </w:rPr>
        <w:t xml:space="preserve"> répondre aux besoins de certaines </w:t>
      </w:r>
      <w:r w:rsidR="00285217" w:rsidRPr="00BD22C2">
        <w:rPr>
          <w:lang w:val="fr-CA"/>
        </w:rPr>
        <w:t>d’entre elles</w:t>
      </w:r>
      <w:r w:rsidR="00EB46ED" w:rsidRPr="00BD22C2">
        <w:rPr>
          <w:lang w:val="fr-CA"/>
        </w:rPr>
        <w:t xml:space="preserve"> suivant </w:t>
      </w:r>
      <w:r w:rsidR="008A7683" w:rsidRPr="00BD22C2">
        <w:rPr>
          <w:lang w:val="fr-CA"/>
        </w:rPr>
        <w:t>un accompagnement a</w:t>
      </w:r>
      <w:r w:rsidR="00B31B1C" w:rsidRPr="00BD22C2">
        <w:rPr>
          <w:lang w:val="fr-CA"/>
        </w:rPr>
        <w:t>pproprié</w:t>
      </w:r>
      <w:r w:rsidR="00285217" w:rsidRPr="00BD22C2">
        <w:rPr>
          <w:lang w:val="fr-CA"/>
        </w:rPr>
        <w:t>.</w:t>
      </w:r>
    </w:p>
    <w:p w14:paraId="7EF7DF20" w14:textId="4687A343" w:rsidR="00F7531E" w:rsidRPr="00BD22C2" w:rsidRDefault="00F7531E" w:rsidP="00F7531E">
      <w:pPr>
        <w:pStyle w:val="Paragraphe"/>
        <w:rPr>
          <w:rFonts w:eastAsia="Calibri"/>
          <w:lang w:val="fr-CA" w:eastAsia="en-US"/>
        </w:rPr>
      </w:pPr>
      <w:r w:rsidRPr="00BD22C2">
        <w:rPr>
          <w:rFonts w:eastAsia="Calibri"/>
          <w:lang w:val="fr-CA" w:eastAsia="en-US"/>
        </w:rPr>
        <w:t>Actuellement, la question de la capacité du mineur de 14</w:t>
      </w:r>
      <w:r w:rsidR="009D3E22">
        <w:rPr>
          <w:rFonts w:eastAsia="Calibri"/>
          <w:lang w:val="fr-CA" w:eastAsia="en-US"/>
        </w:rPr>
        <w:t> </w:t>
      </w:r>
      <w:r w:rsidRPr="00BD22C2">
        <w:rPr>
          <w:rFonts w:eastAsia="Calibri"/>
          <w:lang w:val="fr-CA" w:eastAsia="en-US"/>
        </w:rPr>
        <w:t>ans et plus à consentir à des soins d’affirmation de genre n’est pas constante dans la jurisprudence</w:t>
      </w:r>
      <w:r w:rsidR="00D56838" w:rsidRPr="00BD22C2">
        <w:rPr>
          <w:rFonts w:eastAsia="Calibri"/>
          <w:lang w:val="fr-CA" w:eastAsia="en-US"/>
        </w:rPr>
        <w:t xml:space="preserve"> québécoise</w:t>
      </w:r>
      <w:r w:rsidRPr="00BD22C2">
        <w:rPr>
          <w:rFonts w:eastAsia="Calibri"/>
          <w:vertAlign w:val="superscript"/>
          <w:lang w:val="fr-CA" w:eastAsia="en-US"/>
        </w:rPr>
        <w:endnoteReference w:id="365"/>
      </w:r>
      <w:r w:rsidRPr="00BD22C2">
        <w:rPr>
          <w:rFonts w:eastAsia="Calibri"/>
          <w:lang w:val="fr-CA" w:eastAsia="en-US"/>
        </w:rPr>
        <w:t>. Cela est attribuable d’abord à leur qualification comme soins requis ou non requis par l’état de santé, mais aussi à la détermination de leurs niveaux de risque, de gravité et de permanence sur les individus qui les reçoivent.</w:t>
      </w:r>
    </w:p>
    <w:p w14:paraId="0637C1DE" w14:textId="216951F8" w:rsidR="00F7531E" w:rsidRPr="00BD22C2" w:rsidRDefault="00F7531E" w:rsidP="00F7531E">
      <w:pPr>
        <w:pStyle w:val="Paragraphe"/>
        <w:rPr>
          <w:rFonts w:eastAsia="Calibri"/>
          <w:lang w:val="fr-CA" w:eastAsia="en-US"/>
        </w:rPr>
      </w:pPr>
      <w:r w:rsidRPr="00BD22C2">
        <w:rPr>
          <w:rFonts w:eastAsia="Calibri"/>
          <w:lang w:val="fr-CA" w:eastAsia="en-US"/>
        </w:rPr>
        <w:t>D’une part, le caractère requi</w:t>
      </w:r>
      <w:r w:rsidR="00B564A2">
        <w:rPr>
          <w:rFonts w:eastAsia="Calibri"/>
          <w:lang w:val="fr-CA" w:eastAsia="en-US"/>
        </w:rPr>
        <w:t>s</w:t>
      </w:r>
      <w:r w:rsidRPr="00BD22C2">
        <w:rPr>
          <w:rFonts w:eastAsia="Calibri"/>
          <w:lang w:val="fr-CA" w:eastAsia="en-US"/>
        </w:rPr>
        <w:t xml:space="preserve"> ou non des soins d’affirmation de genre et les critères permettant cette détermination demeurent incertains dans la jurisprudence. Dans des décisions rendues en contexte de protection de la jeunesse, un suivi effectué par une clinique spécialisée en matière d’identité de genre a été considéré comme requis par l</w:t>
      </w:r>
      <w:r w:rsidR="00F47306" w:rsidRPr="00BD22C2">
        <w:rPr>
          <w:rFonts w:eastAsia="Calibri"/>
          <w:lang w:val="fr-CA" w:eastAsia="en-US"/>
        </w:rPr>
        <w:t>’état</w:t>
      </w:r>
      <w:r w:rsidRPr="00BD22C2">
        <w:rPr>
          <w:rFonts w:eastAsia="Calibri"/>
          <w:lang w:val="fr-CA" w:eastAsia="en-US"/>
        </w:rPr>
        <w:t xml:space="preserve"> de santé </w:t>
      </w:r>
      <w:r w:rsidR="00BC569C" w:rsidRPr="00BD22C2">
        <w:rPr>
          <w:rFonts w:eastAsia="Calibri"/>
          <w:lang w:val="fr-CA" w:eastAsia="en-US"/>
        </w:rPr>
        <w:t xml:space="preserve">des enfants </w:t>
      </w:r>
      <w:r w:rsidR="000A2E20" w:rsidRPr="00BD22C2">
        <w:rPr>
          <w:rFonts w:eastAsia="Calibri"/>
          <w:lang w:val="fr-CA" w:eastAsia="en-US"/>
        </w:rPr>
        <w:t>concernés</w:t>
      </w:r>
      <w:r w:rsidRPr="00BD22C2">
        <w:rPr>
          <w:rFonts w:eastAsia="Calibri"/>
          <w:lang w:val="fr-CA" w:eastAsia="en-US"/>
        </w:rPr>
        <w:t xml:space="preserve"> en vertu de la </w:t>
      </w:r>
      <w:proofErr w:type="spellStart"/>
      <w:r w:rsidRPr="00BD22C2">
        <w:rPr>
          <w:rFonts w:eastAsia="Calibri"/>
          <w:lang w:val="fr-CA" w:eastAsia="en-US"/>
        </w:rPr>
        <w:t>L.p.j</w:t>
      </w:r>
      <w:proofErr w:type="spellEnd"/>
      <w:r w:rsidRPr="00BD22C2">
        <w:rPr>
          <w:rFonts w:eastAsia="Calibri"/>
          <w:lang w:val="fr-CA" w:eastAsia="en-US"/>
        </w:rPr>
        <w:t>.</w:t>
      </w:r>
      <w:r w:rsidR="00DF5721" w:rsidRPr="00BD22C2">
        <w:rPr>
          <w:rFonts w:eastAsia="Calibri"/>
          <w:vertAlign w:val="superscript"/>
          <w:lang w:val="fr-CA" w:eastAsia="en-US"/>
        </w:rPr>
        <w:endnoteReference w:id="366"/>
      </w:r>
      <w:r w:rsidR="00DF5721" w:rsidRPr="00BD22C2">
        <w:rPr>
          <w:rFonts w:eastAsia="Calibri"/>
          <w:lang w:val="fr-CA" w:eastAsia="en-US"/>
        </w:rPr>
        <w:t xml:space="preserve"> </w:t>
      </w:r>
      <w:r w:rsidR="004D00F3" w:rsidRPr="00BD22C2">
        <w:rPr>
          <w:rFonts w:eastAsia="Calibri"/>
          <w:lang w:val="fr-CA" w:eastAsia="en-US"/>
        </w:rPr>
        <w:t>Certaines décisions suggèrent que l</w:t>
      </w:r>
      <w:r w:rsidR="0015121A" w:rsidRPr="00BD22C2">
        <w:rPr>
          <w:rFonts w:eastAsia="Calibri"/>
          <w:lang w:val="fr-CA" w:eastAsia="en-US"/>
        </w:rPr>
        <w:t>e</w:t>
      </w:r>
      <w:r w:rsidR="00EB366C" w:rsidRPr="00BD22C2">
        <w:rPr>
          <w:rFonts w:eastAsia="Calibri"/>
          <w:lang w:val="fr-CA" w:eastAsia="en-US"/>
        </w:rPr>
        <w:t xml:space="preserve">s </w:t>
      </w:r>
      <w:r w:rsidR="00A75386" w:rsidRPr="00BD22C2">
        <w:rPr>
          <w:rFonts w:eastAsia="Calibri"/>
          <w:lang w:val="fr-CA" w:eastAsia="en-US"/>
        </w:rPr>
        <w:t xml:space="preserve">soins relatifs à des </w:t>
      </w:r>
      <w:r w:rsidR="00EB366C" w:rsidRPr="00BD22C2">
        <w:rPr>
          <w:rFonts w:eastAsia="Calibri"/>
          <w:lang w:val="fr-CA" w:eastAsia="en-US"/>
        </w:rPr>
        <w:t>«</w:t>
      </w:r>
      <w:r w:rsidR="00444FEB">
        <w:rPr>
          <w:rFonts w:eastAsia="Calibri"/>
          <w:lang w:val="fr-CA" w:eastAsia="en-US"/>
        </w:rPr>
        <w:t> </w:t>
      </w:r>
      <w:r w:rsidR="00EB366C" w:rsidRPr="00BD22C2">
        <w:rPr>
          <w:rFonts w:eastAsia="Calibri"/>
          <w:lang w:val="fr-CA" w:eastAsia="en-US"/>
        </w:rPr>
        <w:t>transformations physiques</w:t>
      </w:r>
      <w:r w:rsidR="0051216B" w:rsidRPr="00BD22C2">
        <w:rPr>
          <w:rFonts w:eastAsia="Calibri"/>
          <w:lang w:val="fr-CA" w:eastAsia="en-US"/>
        </w:rPr>
        <w:t> </w:t>
      </w:r>
      <w:r w:rsidR="00EB366C" w:rsidRPr="00BD22C2">
        <w:rPr>
          <w:rFonts w:eastAsia="Calibri"/>
          <w:lang w:val="fr-CA" w:eastAsia="en-US"/>
        </w:rPr>
        <w:t>»</w:t>
      </w:r>
      <w:r w:rsidR="00AA4C37" w:rsidRPr="00BD22C2">
        <w:rPr>
          <w:rStyle w:val="Appeldenotedefin"/>
          <w:rFonts w:eastAsia="Calibri"/>
          <w:lang w:val="fr-CA" w:eastAsia="en-US"/>
        </w:rPr>
        <w:endnoteReference w:id="367"/>
      </w:r>
      <w:r w:rsidR="00927F18" w:rsidRPr="00BD22C2">
        <w:rPr>
          <w:rFonts w:eastAsia="Calibri"/>
          <w:lang w:val="fr-CA" w:eastAsia="en-US"/>
        </w:rPr>
        <w:t xml:space="preserve"> </w:t>
      </w:r>
      <w:r w:rsidR="007B750E" w:rsidRPr="00BD22C2">
        <w:rPr>
          <w:rFonts w:eastAsia="Calibri"/>
          <w:lang w:val="fr-CA" w:eastAsia="en-US"/>
        </w:rPr>
        <w:t>ne seraient pas</w:t>
      </w:r>
      <w:r w:rsidR="00691F8F" w:rsidRPr="00BD22C2">
        <w:rPr>
          <w:rFonts w:eastAsia="Calibri"/>
          <w:lang w:val="fr-CA" w:eastAsia="en-US"/>
        </w:rPr>
        <w:t xml:space="preserve"> requis</w:t>
      </w:r>
      <w:r w:rsidR="00242FBD" w:rsidRPr="00BD22C2">
        <w:rPr>
          <w:rFonts w:eastAsia="Calibri"/>
          <w:lang w:val="fr-CA" w:eastAsia="en-US"/>
        </w:rPr>
        <w:t>,</w:t>
      </w:r>
      <w:r w:rsidR="00B421A1" w:rsidRPr="00BD22C2">
        <w:rPr>
          <w:rFonts w:eastAsia="Calibri"/>
          <w:lang w:val="fr-CA" w:eastAsia="en-US"/>
        </w:rPr>
        <w:t xml:space="preserve"> mais l</w:t>
      </w:r>
      <w:r w:rsidR="001C7901" w:rsidRPr="00BD22C2">
        <w:rPr>
          <w:rFonts w:eastAsia="Calibri"/>
          <w:lang w:val="fr-CA" w:eastAsia="en-US"/>
        </w:rPr>
        <w:t xml:space="preserve">es décisions recensées en la matière </w:t>
      </w:r>
      <w:r w:rsidR="002658BB" w:rsidRPr="00BD22C2">
        <w:rPr>
          <w:rFonts w:eastAsia="Calibri"/>
          <w:lang w:val="fr-CA" w:eastAsia="en-US"/>
        </w:rPr>
        <w:t xml:space="preserve">laissent peu de trace du raisonnement ayant mené à la </w:t>
      </w:r>
      <w:r w:rsidR="000B591F" w:rsidRPr="00BD22C2">
        <w:rPr>
          <w:rFonts w:eastAsia="Calibri"/>
          <w:lang w:val="fr-CA" w:eastAsia="en-US"/>
        </w:rPr>
        <w:t>qua</w:t>
      </w:r>
      <w:r w:rsidR="00DD0385" w:rsidRPr="00BD22C2">
        <w:rPr>
          <w:rFonts w:eastAsia="Calibri"/>
          <w:lang w:val="fr-CA" w:eastAsia="en-US"/>
        </w:rPr>
        <w:t xml:space="preserve">lification </w:t>
      </w:r>
      <w:r w:rsidR="002658BB" w:rsidRPr="00BD22C2">
        <w:rPr>
          <w:rFonts w:eastAsia="Calibri"/>
          <w:lang w:val="fr-CA" w:eastAsia="en-US"/>
        </w:rPr>
        <w:t>des soins</w:t>
      </w:r>
      <w:r w:rsidR="00C655F9" w:rsidRPr="00BD22C2">
        <w:rPr>
          <w:rStyle w:val="Appeldenotedefin"/>
          <w:rFonts w:eastAsia="Calibri"/>
          <w:lang w:val="fr-CA" w:eastAsia="en-US"/>
        </w:rPr>
        <w:endnoteReference w:id="368"/>
      </w:r>
      <w:r w:rsidR="000B4B86" w:rsidRPr="00BD22C2">
        <w:rPr>
          <w:rFonts w:eastAsia="Calibri"/>
          <w:lang w:val="fr-CA" w:eastAsia="en-US"/>
        </w:rPr>
        <w:t>.</w:t>
      </w:r>
      <w:r w:rsidRPr="00BD22C2">
        <w:rPr>
          <w:rFonts w:eastAsia="Calibri"/>
          <w:lang w:val="fr-CA" w:eastAsia="en-US"/>
        </w:rPr>
        <w:t xml:space="preserve"> </w:t>
      </w:r>
    </w:p>
    <w:p w14:paraId="24152336" w14:textId="79B93DE1" w:rsidR="00F7531E" w:rsidRPr="00BD22C2" w:rsidRDefault="00F7531E" w:rsidP="00F7531E">
      <w:pPr>
        <w:pStyle w:val="Paragraphe"/>
        <w:rPr>
          <w:rFonts w:eastAsia="Calibri"/>
          <w:lang w:val="fr-CA" w:eastAsia="en-US"/>
        </w:rPr>
      </w:pPr>
      <w:r w:rsidRPr="00BD22C2">
        <w:rPr>
          <w:rFonts w:eastAsia="Calibri"/>
          <w:lang w:val="fr-CA" w:eastAsia="en-US"/>
        </w:rPr>
        <w:t xml:space="preserve">D’autre part, </w:t>
      </w:r>
      <w:r w:rsidR="00C36CB5" w:rsidRPr="00BD22C2">
        <w:rPr>
          <w:rFonts w:eastAsia="Calibri"/>
          <w:lang w:val="fr-CA" w:eastAsia="en-US"/>
        </w:rPr>
        <w:t>dans la jurisprudence,</w:t>
      </w:r>
      <w:r w:rsidRPr="00BD22C2">
        <w:rPr>
          <w:rFonts w:eastAsia="Calibri"/>
          <w:lang w:val="fr-CA" w:eastAsia="en-US"/>
        </w:rPr>
        <w:t xml:space="preserve"> les soins d’affirmation de genre ne sont pas </w:t>
      </w:r>
      <w:r w:rsidR="00FD13BA" w:rsidRPr="00BD22C2">
        <w:rPr>
          <w:rFonts w:eastAsia="Calibri"/>
          <w:lang w:val="fr-CA" w:eastAsia="en-US"/>
        </w:rPr>
        <w:t>systématiquement</w:t>
      </w:r>
      <w:r w:rsidRPr="00BD22C2">
        <w:rPr>
          <w:rFonts w:eastAsia="Calibri"/>
          <w:lang w:val="fr-CA" w:eastAsia="en-US"/>
        </w:rPr>
        <w:t xml:space="preserve"> classés ni évalués en fonction de leurs impacts concrets sur les jeunes. </w:t>
      </w:r>
      <w:r w:rsidR="005866C3" w:rsidRPr="00BD22C2">
        <w:rPr>
          <w:rFonts w:eastAsia="Calibri"/>
          <w:lang w:val="fr-CA" w:eastAsia="en-US"/>
        </w:rPr>
        <w:t>C</w:t>
      </w:r>
      <w:r w:rsidRPr="00BD22C2">
        <w:rPr>
          <w:rFonts w:eastAsia="Calibri"/>
          <w:lang w:val="fr-CA" w:eastAsia="en-US"/>
        </w:rPr>
        <w:t xml:space="preserve">es soins </w:t>
      </w:r>
      <w:r w:rsidR="005866C3" w:rsidRPr="00BD22C2">
        <w:rPr>
          <w:rFonts w:eastAsia="Calibri"/>
          <w:lang w:val="fr-CA" w:eastAsia="en-US"/>
        </w:rPr>
        <w:t>sont parfois considérés</w:t>
      </w:r>
      <w:r w:rsidRPr="00BD22C2">
        <w:rPr>
          <w:rFonts w:eastAsia="Calibri"/>
          <w:lang w:val="fr-CA" w:eastAsia="en-US"/>
        </w:rPr>
        <w:t xml:space="preserve"> dans leur ensemble, sans égard aux différents niveaux d’impacts qu’ils peuvent avoir sur les individus qui les reçoivent, ou </w:t>
      </w:r>
      <w:r w:rsidR="00C36CB5" w:rsidRPr="00BD22C2">
        <w:rPr>
          <w:rFonts w:eastAsia="Calibri"/>
          <w:lang w:val="fr-CA" w:eastAsia="en-US"/>
        </w:rPr>
        <w:t>à leur</w:t>
      </w:r>
      <w:r w:rsidRPr="00BD22C2">
        <w:rPr>
          <w:rFonts w:eastAsia="Calibri"/>
          <w:lang w:val="fr-CA" w:eastAsia="en-US"/>
        </w:rPr>
        <w:t xml:space="preserve"> degré de permanence. </w:t>
      </w:r>
      <w:r w:rsidR="007F5842" w:rsidRPr="00BD22C2">
        <w:rPr>
          <w:rFonts w:eastAsia="Calibri"/>
          <w:lang w:val="fr-CA" w:eastAsia="en-US"/>
        </w:rPr>
        <w:t>Par exemple, d</w:t>
      </w:r>
      <w:r w:rsidRPr="00BD22C2">
        <w:rPr>
          <w:rFonts w:eastAsia="Calibri"/>
          <w:lang w:val="fr-CA" w:eastAsia="en-US"/>
        </w:rPr>
        <w:t>es jugements réfèrent de façon très générale au « processus transgenre »</w:t>
      </w:r>
      <w:r w:rsidRPr="00BD22C2">
        <w:rPr>
          <w:rFonts w:eastAsia="Calibri"/>
          <w:vertAlign w:val="superscript"/>
          <w:lang w:val="fr-CA" w:eastAsia="en-US"/>
        </w:rPr>
        <w:endnoteReference w:id="369"/>
      </w:r>
      <w:r w:rsidRPr="00BD22C2">
        <w:rPr>
          <w:rFonts w:eastAsia="Calibri"/>
          <w:lang w:val="fr-CA" w:eastAsia="en-US"/>
        </w:rPr>
        <w:t xml:space="preserve"> ou à la « </w:t>
      </w:r>
      <w:proofErr w:type="spellStart"/>
      <w:r w:rsidRPr="00BD22C2">
        <w:rPr>
          <w:rFonts w:eastAsia="Calibri"/>
          <w:lang w:val="fr-CA" w:eastAsia="en-US"/>
        </w:rPr>
        <w:t>transsexualisation</w:t>
      </w:r>
      <w:proofErr w:type="spellEnd"/>
      <w:r w:rsidRPr="00BD22C2">
        <w:rPr>
          <w:rFonts w:eastAsia="Calibri"/>
          <w:lang w:val="fr-CA" w:eastAsia="en-US"/>
        </w:rPr>
        <w:t> »</w:t>
      </w:r>
      <w:r w:rsidRPr="00BD22C2">
        <w:rPr>
          <w:rFonts w:eastAsia="Calibri"/>
          <w:vertAlign w:val="superscript"/>
          <w:lang w:val="fr-CA" w:eastAsia="en-US"/>
        </w:rPr>
        <w:endnoteReference w:id="370"/>
      </w:r>
      <w:r w:rsidRPr="00BD22C2">
        <w:rPr>
          <w:rFonts w:eastAsia="Calibri"/>
          <w:lang w:val="fr-CA" w:eastAsia="en-US"/>
        </w:rPr>
        <w:t>. Ces distinctions sont pourtant essentielles à la détermination du droit applicable</w:t>
      </w:r>
      <w:r w:rsidR="00F97965" w:rsidRPr="00BD22C2">
        <w:rPr>
          <w:rFonts w:eastAsia="Calibri"/>
          <w:lang w:val="fr-CA" w:eastAsia="en-US"/>
        </w:rPr>
        <w:t>, car, rappelons-le, u</w:t>
      </w:r>
      <w:r w:rsidRPr="00BD22C2">
        <w:rPr>
          <w:rFonts w:eastAsia="Calibri"/>
          <w:lang w:val="fr-CA" w:eastAsia="en-US"/>
        </w:rPr>
        <w:t>n mineur de 14</w:t>
      </w:r>
      <w:r w:rsidR="009D3E22">
        <w:rPr>
          <w:rFonts w:eastAsia="Calibri"/>
          <w:lang w:val="fr-CA" w:eastAsia="en-US"/>
        </w:rPr>
        <w:t> </w:t>
      </w:r>
      <w:r w:rsidRPr="00BD22C2">
        <w:rPr>
          <w:rFonts w:eastAsia="Calibri"/>
          <w:lang w:val="fr-CA" w:eastAsia="en-US"/>
        </w:rPr>
        <w:t xml:space="preserve">ans et plus peut consentir seul aux soins non requis par son état de santé, sauf si les soins en question présentent « un risque sérieux pour la </w:t>
      </w:r>
      <w:r w:rsidRPr="00BD22C2">
        <w:rPr>
          <w:rFonts w:eastAsia="Calibri"/>
          <w:lang w:val="fr-CA" w:eastAsia="en-US"/>
        </w:rPr>
        <w:lastRenderedPageBreak/>
        <w:t>santé du mineur et peuvent lui causer des effets graves et permanents »</w:t>
      </w:r>
      <w:r w:rsidRPr="00BD22C2">
        <w:rPr>
          <w:rFonts w:eastAsia="Calibri"/>
          <w:vertAlign w:val="superscript"/>
          <w:lang w:val="fr-CA" w:eastAsia="en-US"/>
        </w:rPr>
        <w:endnoteReference w:id="371"/>
      </w:r>
      <w:r w:rsidRPr="00BD22C2">
        <w:rPr>
          <w:rFonts w:eastAsia="Calibri"/>
          <w:lang w:val="fr-CA" w:eastAsia="en-US"/>
        </w:rPr>
        <w:t>. Dans ce dernier cas, le consentement du titulaire de l’autorité parentale ou du tuteur est nécessaire</w:t>
      </w:r>
      <w:r w:rsidRPr="00BD22C2">
        <w:rPr>
          <w:rFonts w:eastAsia="Calibri"/>
          <w:vertAlign w:val="superscript"/>
          <w:lang w:val="fr-CA" w:eastAsia="en-US"/>
        </w:rPr>
        <w:endnoteReference w:id="372"/>
      </w:r>
      <w:r w:rsidRPr="00BD22C2">
        <w:rPr>
          <w:rFonts w:eastAsia="Calibri"/>
          <w:lang w:val="fr-CA" w:eastAsia="en-US"/>
        </w:rPr>
        <w:t>. En l’absence de qualification précise du soin, il est donc impossible de déterminer son niveau de risque, sa gravité et son degré de permanence. Cette façon de qualifier les soins disponibles pour les personnes trans et non binaires omet également de considérer que chaque personne a des besoins différents. Les traitements médicaux spécifiques à l’affirmation de genre peuvent être distincts d’une personne à l’autre et la trajectoire de services adéquate pour chacun varie tout autant : «</w:t>
      </w:r>
      <w:r w:rsidR="0051216B" w:rsidRPr="00BD22C2">
        <w:rPr>
          <w:rFonts w:eastAsia="Calibri"/>
          <w:lang w:val="fr-CA" w:eastAsia="en-US"/>
        </w:rPr>
        <w:t> </w:t>
      </w:r>
      <w:proofErr w:type="spellStart"/>
      <w:r w:rsidRPr="00BD22C2">
        <w:rPr>
          <w:rFonts w:eastAsia="Calibri"/>
          <w:lang w:val="fr-CA" w:eastAsia="en-US"/>
        </w:rPr>
        <w:t>Some</w:t>
      </w:r>
      <w:proofErr w:type="spellEnd"/>
      <w:r w:rsidRPr="00BD22C2">
        <w:rPr>
          <w:rFonts w:eastAsia="Calibri"/>
          <w:lang w:val="fr-CA" w:eastAsia="en-US"/>
        </w:rPr>
        <w:t xml:space="preserve"> </w:t>
      </w:r>
      <w:proofErr w:type="spellStart"/>
      <w:r w:rsidRPr="00BD22C2">
        <w:rPr>
          <w:rFonts w:eastAsia="Calibri"/>
          <w:lang w:val="fr-CA" w:eastAsia="en-US"/>
        </w:rPr>
        <w:t>may</w:t>
      </w:r>
      <w:proofErr w:type="spellEnd"/>
      <w:r w:rsidRPr="00BD22C2">
        <w:rPr>
          <w:rFonts w:eastAsia="Calibri"/>
          <w:lang w:val="fr-CA" w:eastAsia="en-US"/>
        </w:rPr>
        <w:t xml:space="preserve"> </w:t>
      </w:r>
      <w:proofErr w:type="spellStart"/>
      <w:r w:rsidRPr="00BD22C2">
        <w:rPr>
          <w:rFonts w:eastAsia="Calibri"/>
          <w:lang w:val="fr-CA" w:eastAsia="en-US"/>
        </w:rPr>
        <w:t>want</w:t>
      </w:r>
      <w:proofErr w:type="spellEnd"/>
      <w:r w:rsidRPr="00BD22C2">
        <w:rPr>
          <w:rFonts w:eastAsia="Calibri"/>
          <w:lang w:val="fr-CA" w:eastAsia="en-US"/>
        </w:rPr>
        <w:t xml:space="preserve"> and </w:t>
      </w:r>
      <w:proofErr w:type="spellStart"/>
      <w:r w:rsidRPr="00BD22C2">
        <w:rPr>
          <w:rFonts w:eastAsia="Calibri"/>
          <w:lang w:val="fr-CA" w:eastAsia="en-US"/>
        </w:rPr>
        <w:t>need</w:t>
      </w:r>
      <w:proofErr w:type="spellEnd"/>
      <w:r w:rsidRPr="00BD22C2">
        <w:rPr>
          <w:rFonts w:eastAsia="Calibri"/>
          <w:lang w:val="fr-CA" w:eastAsia="en-US"/>
        </w:rPr>
        <w:t xml:space="preserve"> to </w:t>
      </w:r>
      <w:proofErr w:type="spellStart"/>
      <w:r w:rsidRPr="00BD22C2">
        <w:rPr>
          <w:rFonts w:eastAsia="Calibri"/>
          <w:lang w:val="fr-CA" w:eastAsia="en-US"/>
        </w:rPr>
        <w:t>access</w:t>
      </w:r>
      <w:proofErr w:type="spellEnd"/>
      <w:r w:rsidRPr="00BD22C2">
        <w:rPr>
          <w:rFonts w:eastAsia="Calibri"/>
          <w:lang w:val="fr-CA" w:eastAsia="en-US"/>
        </w:rPr>
        <w:t xml:space="preserve"> all </w:t>
      </w:r>
      <w:proofErr w:type="spellStart"/>
      <w:r w:rsidRPr="00BD22C2">
        <w:rPr>
          <w:rFonts w:eastAsia="Calibri"/>
          <w:lang w:val="fr-CA" w:eastAsia="en-US"/>
        </w:rPr>
        <w:t>available</w:t>
      </w:r>
      <w:proofErr w:type="spellEnd"/>
      <w:r w:rsidRPr="00BD22C2">
        <w:rPr>
          <w:rFonts w:eastAsia="Calibri"/>
          <w:lang w:val="fr-CA" w:eastAsia="en-US"/>
        </w:rPr>
        <w:t xml:space="preserve"> interventions, and </w:t>
      </w:r>
      <w:proofErr w:type="spellStart"/>
      <w:r w:rsidRPr="00BD22C2">
        <w:rPr>
          <w:rFonts w:eastAsia="Calibri"/>
          <w:lang w:val="fr-CA" w:eastAsia="en-US"/>
        </w:rPr>
        <w:t>others</w:t>
      </w:r>
      <w:proofErr w:type="spellEnd"/>
      <w:r w:rsidRPr="00BD22C2">
        <w:rPr>
          <w:rFonts w:eastAsia="Calibri"/>
          <w:lang w:val="fr-CA" w:eastAsia="en-US"/>
        </w:rPr>
        <w:t xml:space="preserve"> </w:t>
      </w:r>
      <w:proofErr w:type="spellStart"/>
      <w:r w:rsidRPr="00BD22C2">
        <w:rPr>
          <w:rFonts w:eastAsia="Calibri"/>
          <w:lang w:val="fr-CA" w:eastAsia="en-US"/>
        </w:rPr>
        <w:t>will</w:t>
      </w:r>
      <w:proofErr w:type="spellEnd"/>
      <w:r w:rsidRPr="00BD22C2">
        <w:rPr>
          <w:rFonts w:eastAsia="Calibri"/>
          <w:lang w:val="fr-CA" w:eastAsia="en-US"/>
        </w:rPr>
        <w:t xml:space="preserve"> not </w:t>
      </w:r>
      <w:proofErr w:type="spellStart"/>
      <w:r w:rsidRPr="00BD22C2">
        <w:rPr>
          <w:rFonts w:eastAsia="Calibri"/>
          <w:lang w:val="fr-CA" w:eastAsia="en-US"/>
        </w:rPr>
        <w:t>want</w:t>
      </w:r>
      <w:proofErr w:type="spellEnd"/>
      <w:r w:rsidRPr="00BD22C2">
        <w:rPr>
          <w:rFonts w:eastAsia="Calibri"/>
          <w:lang w:val="fr-CA" w:eastAsia="en-US"/>
        </w:rPr>
        <w:t xml:space="preserve"> to change </w:t>
      </w:r>
      <w:proofErr w:type="spellStart"/>
      <w:r w:rsidRPr="00BD22C2">
        <w:rPr>
          <w:rFonts w:eastAsia="Calibri"/>
          <w:lang w:val="fr-CA" w:eastAsia="en-US"/>
        </w:rPr>
        <w:t>their</w:t>
      </w:r>
      <w:proofErr w:type="spellEnd"/>
      <w:r w:rsidRPr="00BD22C2">
        <w:rPr>
          <w:rFonts w:eastAsia="Calibri"/>
          <w:lang w:val="fr-CA" w:eastAsia="en-US"/>
        </w:rPr>
        <w:t xml:space="preserve"> bodies at all</w:t>
      </w:r>
      <w:r w:rsidR="0051216B" w:rsidRPr="00BD22C2">
        <w:rPr>
          <w:rFonts w:eastAsia="Calibri"/>
          <w:lang w:val="fr-CA" w:eastAsia="en-US"/>
        </w:rPr>
        <w:t> </w:t>
      </w:r>
      <w:r w:rsidRPr="00BD22C2">
        <w:rPr>
          <w:rFonts w:eastAsia="Calibri"/>
          <w:lang w:val="fr-CA" w:eastAsia="en-US"/>
        </w:rPr>
        <w:t>»</w:t>
      </w:r>
      <w:r w:rsidRPr="00BD22C2">
        <w:rPr>
          <w:rStyle w:val="Appeldenotedefin"/>
          <w:rFonts w:eastAsia="Calibri"/>
          <w:lang w:val="fr-CA" w:eastAsia="en-US"/>
        </w:rPr>
        <w:endnoteReference w:id="373"/>
      </w:r>
      <w:r w:rsidRPr="00BD22C2">
        <w:rPr>
          <w:rFonts w:eastAsia="Calibri"/>
          <w:lang w:val="fr-CA" w:eastAsia="en-US"/>
        </w:rPr>
        <w:t>.</w:t>
      </w:r>
      <w:r w:rsidR="007E1127" w:rsidRPr="00BD22C2">
        <w:rPr>
          <w:rFonts w:eastAsia="Calibri"/>
          <w:lang w:val="fr-CA" w:eastAsia="en-US"/>
        </w:rPr>
        <w:t xml:space="preserve"> </w:t>
      </w:r>
    </w:p>
    <w:p w14:paraId="3C6E12F8" w14:textId="09041669" w:rsidR="00330972" w:rsidRPr="00BD22C2" w:rsidRDefault="00F7531E" w:rsidP="00EF1CB2">
      <w:pPr>
        <w:pStyle w:val="Paragraphe"/>
        <w:rPr>
          <w:rFonts w:eastAsia="Calibri"/>
          <w:lang w:val="fr-CA" w:eastAsia="en-US"/>
        </w:rPr>
      </w:pPr>
      <w:r w:rsidRPr="00BD22C2">
        <w:rPr>
          <w:rFonts w:eastAsia="Calibri"/>
          <w:lang w:val="fr-CA" w:eastAsia="en-US"/>
        </w:rPr>
        <w:t>Cela dit, le régime de consentement aux soins prévu par le droit commun met déjà en place des mécanismes de protection des enfants et des jeunes, tout en leur reconnaissant une autonomie décisionnelle graduelle</w:t>
      </w:r>
      <w:r w:rsidRPr="00BD22C2">
        <w:rPr>
          <w:rStyle w:val="Appeldenotedefin"/>
          <w:rFonts w:eastAsia="Calibri"/>
          <w:lang w:val="fr-CA" w:eastAsia="en-US"/>
        </w:rPr>
        <w:endnoteReference w:id="374"/>
      </w:r>
      <w:r w:rsidRPr="00BD22C2">
        <w:rPr>
          <w:rFonts w:eastAsia="Calibri"/>
          <w:lang w:val="fr-CA" w:eastAsia="en-US"/>
        </w:rPr>
        <w:t xml:space="preserve">. La Commission met donc en garde le Comité de sages et le gouvernement contre la restriction générale de l’accès à des soins d’affirmation de genre aux personnes mineures et contre la mise en place d’un régime de consentement particulier qui s’écarterait des règles générales de consentement aux soins prévues au C.c.Q., établies dans le respect de l’autonomie décisionnelle graduelle des enfants </w:t>
      </w:r>
      <w:r w:rsidR="00FC5E95" w:rsidRPr="00BD22C2">
        <w:rPr>
          <w:rFonts w:eastAsia="Calibri"/>
          <w:lang w:val="fr-CA" w:eastAsia="en-US"/>
        </w:rPr>
        <w:t xml:space="preserve">et </w:t>
      </w:r>
      <w:r w:rsidRPr="00BD22C2">
        <w:rPr>
          <w:rFonts w:eastAsia="Calibri"/>
          <w:lang w:val="fr-CA" w:eastAsia="en-US"/>
        </w:rPr>
        <w:t>de leurs droits</w:t>
      </w:r>
      <w:r w:rsidRPr="00BD22C2">
        <w:rPr>
          <w:rFonts w:eastAsia="Calibri"/>
          <w:vertAlign w:val="superscript"/>
          <w:lang w:val="fr-CA" w:eastAsia="en-US"/>
        </w:rPr>
        <w:endnoteReference w:id="375"/>
      </w:r>
      <w:r w:rsidRPr="00BD22C2">
        <w:rPr>
          <w:rFonts w:eastAsia="Calibri"/>
          <w:lang w:val="fr-CA" w:eastAsia="en-US"/>
        </w:rPr>
        <w:t>. Il importe de ne pas suggérer qu’aucune personne mineure n’a la maturité ni la capacité de discernement pour prendre des décisions concernant les soins qu’elle souhaite recevoir en lien avec l’affirmation de son identité de genre, sans même qu’une évaluation au cas par cas de sa situation et de son intérêt ne soit réalisée. La Commission est d’avis que la protection des personnes mineures ne passe pas par une prohibition des soins d’affirmation de genre. Au contraire, ces soins, comme tous les soins, devraient faire l’objet d’une évaluation individualisée, respectueuse tant du régime de consentement aux soins actuellement en vigueur que du droit de ne pas subir de discrimination liée, notamment, à son âge ou à son expression ou identité de genre.</w:t>
      </w:r>
    </w:p>
    <w:p w14:paraId="58828B58" w14:textId="5FA0DD7E" w:rsidR="00F7531E" w:rsidRPr="00BD22C2" w:rsidRDefault="00F7531E" w:rsidP="00EF1CB2">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00292797" w:rsidRPr="00BD22C2">
        <w:rPr>
          <w:rFonts w:eastAsia="Calibri"/>
          <w:bCs/>
          <w:lang w:eastAsia="en-US"/>
        </w:rPr>
        <w:t>8</w:t>
      </w:r>
    </w:p>
    <w:p w14:paraId="23289732" w14:textId="0552B99A" w:rsidR="00F7531E" w:rsidRPr="00BD22C2" w:rsidRDefault="00F7531E" w:rsidP="00F7531E">
      <w:pPr>
        <w:pStyle w:val="Texterecommandation"/>
        <w:ind w:left="706" w:firstLine="3"/>
        <w:rPr>
          <w:lang w:eastAsia="en-US"/>
        </w:rPr>
      </w:pPr>
      <w:r w:rsidRPr="00BD22C2">
        <w:rPr>
          <w:lang w:eastAsia="en-US"/>
        </w:rPr>
        <w:t xml:space="preserve">La Commission recommande au Comité de sages sur l’identité de genre </w:t>
      </w:r>
      <w:r w:rsidR="00CB24FF" w:rsidRPr="00BD22C2">
        <w:rPr>
          <w:lang w:eastAsia="en-US"/>
        </w:rPr>
        <w:t xml:space="preserve">de fonder </w:t>
      </w:r>
      <w:r w:rsidRPr="00BD22C2">
        <w:rPr>
          <w:lang w:eastAsia="en-US"/>
        </w:rPr>
        <w:t>ses propositions en lien avec les soins d’affirmation de genre</w:t>
      </w:r>
      <w:r w:rsidR="00CB24FF" w:rsidRPr="00BD22C2">
        <w:rPr>
          <w:lang w:eastAsia="en-US"/>
        </w:rPr>
        <w:t xml:space="preserve"> </w:t>
      </w:r>
      <w:r w:rsidRPr="00BD22C2">
        <w:rPr>
          <w:lang w:eastAsia="en-US"/>
        </w:rPr>
        <w:t xml:space="preserve">sur le cadre de la </w:t>
      </w:r>
      <w:r w:rsidRPr="00BD22C2">
        <w:rPr>
          <w:i/>
          <w:lang w:eastAsia="en-US"/>
        </w:rPr>
        <w:t>Charte des droits et libertés de la personne</w:t>
      </w:r>
      <w:r w:rsidR="00E36400" w:rsidRPr="00BD22C2">
        <w:rPr>
          <w:lang w:eastAsia="en-US"/>
        </w:rPr>
        <w:t>,</w:t>
      </w:r>
      <w:r w:rsidRPr="00BD22C2">
        <w:rPr>
          <w:lang w:eastAsia="en-US"/>
        </w:rPr>
        <w:t xml:space="preserve"> </w:t>
      </w:r>
      <w:r w:rsidR="00854328" w:rsidRPr="00BD22C2">
        <w:rPr>
          <w:lang w:eastAsia="en-US"/>
        </w:rPr>
        <w:t>sur</w:t>
      </w:r>
      <w:r w:rsidR="006566EC" w:rsidRPr="00BD22C2">
        <w:rPr>
          <w:lang w:eastAsia="en-US"/>
        </w:rPr>
        <w:t xml:space="preserve"> l’approche </w:t>
      </w:r>
      <w:r w:rsidRPr="00BD22C2">
        <w:rPr>
          <w:lang w:eastAsia="en-US"/>
        </w:rPr>
        <w:t>des droits de l’enfant</w:t>
      </w:r>
      <w:r w:rsidR="00465822" w:rsidRPr="00BD22C2">
        <w:rPr>
          <w:lang w:eastAsia="en-US"/>
        </w:rPr>
        <w:t>,</w:t>
      </w:r>
      <w:r w:rsidRPr="00BD22C2">
        <w:rPr>
          <w:lang w:eastAsia="en-US"/>
        </w:rPr>
        <w:t xml:space="preserve"> ainsi que sur le régime de consentement aux soins déjà prévu par le Code civil du Québec</w:t>
      </w:r>
      <w:r w:rsidR="00465822" w:rsidRPr="00BD22C2">
        <w:rPr>
          <w:lang w:eastAsia="en-US"/>
        </w:rPr>
        <w:t>. Celui-ci</w:t>
      </w:r>
      <w:r w:rsidR="009F429E" w:rsidRPr="00BD22C2">
        <w:rPr>
          <w:lang w:eastAsia="en-US"/>
        </w:rPr>
        <w:t xml:space="preserve"> prévoit notamment </w:t>
      </w:r>
      <w:r w:rsidR="009637F8" w:rsidRPr="00BD22C2">
        <w:rPr>
          <w:lang w:eastAsia="en-US"/>
        </w:rPr>
        <w:t xml:space="preserve">de procéder à </w:t>
      </w:r>
      <w:r w:rsidR="009F429E" w:rsidRPr="00BD22C2">
        <w:rPr>
          <w:lang w:eastAsia="en-US"/>
        </w:rPr>
        <w:t xml:space="preserve">une </w:t>
      </w:r>
      <w:r w:rsidR="00A7143D" w:rsidRPr="00BD22C2">
        <w:rPr>
          <w:lang w:eastAsia="en-US"/>
        </w:rPr>
        <w:t>évaluation réelle des impacts de chaque type de soin et de leur degré de gravité et de permanence pour chaque jeune qui souhaite les recevoir</w:t>
      </w:r>
      <w:r w:rsidRPr="00BD22C2">
        <w:rPr>
          <w:lang w:eastAsia="en-US"/>
        </w:rPr>
        <w:t xml:space="preserve">. </w:t>
      </w:r>
    </w:p>
    <w:p w14:paraId="20B2C694" w14:textId="56C9E8E3" w:rsidR="00F7531E" w:rsidRPr="00BD22C2" w:rsidRDefault="00F7531E" w:rsidP="00F7531E">
      <w:pPr>
        <w:pStyle w:val="Paragraphe"/>
        <w:rPr>
          <w:rFonts w:eastAsia="Calibri"/>
          <w:lang w:val="fr-CA" w:eastAsia="en-US"/>
        </w:rPr>
      </w:pPr>
      <w:r w:rsidRPr="00BD22C2">
        <w:rPr>
          <w:rFonts w:eastAsia="Calibri"/>
          <w:lang w:val="fr-CA" w:eastAsia="en-US"/>
        </w:rPr>
        <w:lastRenderedPageBreak/>
        <w:t>Plus généralement, retenons qu’une évaluation individualisée des soins et de leurs impacts requi</w:t>
      </w:r>
      <w:r w:rsidR="00F81B3E" w:rsidRPr="00BD22C2">
        <w:rPr>
          <w:rFonts w:eastAsia="Calibri"/>
          <w:lang w:val="fr-CA" w:eastAsia="en-US"/>
        </w:rPr>
        <w:t>ert</w:t>
      </w:r>
      <w:r w:rsidRPr="00BD22C2">
        <w:rPr>
          <w:rFonts w:eastAsia="Calibri"/>
          <w:lang w:val="fr-CA" w:eastAsia="en-US"/>
        </w:rPr>
        <w:t xml:space="preserve"> un système de santé et de services sociaux capable de les prendre en charge et respectant le cadre des droits de la personne. </w:t>
      </w:r>
    </w:p>
    <w:p w14:paraId="0578CF8C" w14:textId="72BF4C39" w:rsidR="00F7531E" w:rsidRPr="00BD22C2" w:rsidRDefault="00F7531E" w:rsidP="00F7531E">
      <w:pPr>
        <w:pStyle w:val="Paragraphe"/>
        <w:rPr>
          <w:lang w:val="fr-CA"/>
        </w:rPr>
      </w:pPr>
      <w:r w:rsidRPr="00BD22C2">
        <w:rPr>
          <w:lang w:val="fr-CA" w:eastAsia="en-US"/>
        </w:rPr>
        <w:t xml:space="preserve">Des barrières dans l’accès aux soins de santé sont susceptibles de porter atteinte à l’exercice de nombreux droits de la Charte, </w:t>
      </w:r>
      <w:r w:rsidRPr="00BD22C2">
        <w:rPr>
          <w:lang w:val="fr-CA"/>
        </w:rPr>
        <w:t>dont le droit de tout humain à la vie, la sûreté et l’intégrité de sa personne (art.</w:t>
      </w:r>
      <w:r w:rsidR="0091080B">
        <w:rPr>
          <w:lang w:val="fr-CA"/>
        </w:rPr>
        <w:t> </w:t>
      </w:r>
      <w:r w:rsidRPr="00BD22C2">
        <w:rPr>
          <w:lang w:val="fr-CA"/>
        </w:rPr>
        <w:t>1), le droit de toute personne à la sauvegarde de sa dignité (art.</w:t>
      </w:r>
      <w:r w:rsidR="0091080B">
        <w:rPr>
          <w:lang w:val="fr-CA"/>
        </w:rPr>
        <w:t> </w:t>
      </w:r>
      <w:r w:rsidRPr="00BD22C2">
        <w:rPr>
          <w:lang w:val="fr-CA"/>
        </w:rPr>
        <w:t>4), le droit au respect de sa vie privée (art.</w:t>
      </w:r>
      <w:r w:rsidR="0091080B">
        <w:rPr>
          <w:lang w:val="fr-CA"/>
        </w:rPr>
        <w:t> </w:t>
      </w:r>
      <w:r w:rsidRPr="00BD22C2">
        <w:rPr>
          <w:lang w:val="fr-CA"/>
        </w:rPr>
        <w:t>5) ou encore le droit à l’égalité (art.</w:t>
      </w:r>
      <w:r w:rsidR="0091080B">
        <w:rPr>
          <w:lang w:val="fr-CA"/>
        </w:rPr>
        <w:t> </w:t>
      </w:r>
      <w:r w:rsidRPr="00BD22C2">
        <w:rPr>
          <w:lang w:val="fr-CA"/>
        </w:rPr>
        <w:t xml:space="preserve">10). Les difficultés d’accès aux soins de santé et aux services sociaux compromettent en outre le droit à la santé. </w:t>
      </w:r>
    </w:p>
    <w:p w14:paraId="06BECEAF" w14:textId="74D3CC64" w:rsidR="00F7531E" w:rsidRPr="00BD22C2" w:rsidRDefault="00F7531E" w:rsidP="00F7531E">
      <w:pPr>
        <w:pStyle w:val="Paragraphe"/>
        <w:rPr>
          <w:rFonts w:eastAsia="Calibri"/>
          <w:lang w:val="fr-CA" w:eastAsia="en-US"/>
        </w:rPr>
      </w:pPr>
      <w:r w:rsidRPr="00BD22C2" w:rsidDel="001824AC">
        <w:rPr>
          <w:rFonts w:eastAsia="Calibri"/>
          <w:lang w:val="fr-CA" w:eastAsia="en-US"/>
        </w:rPr>
        <w:t>Ce dernier</w:t>
      </w:r>
      <w:r w:rsidRPr="00BD22C2">
        <w:rPr>
          <w:rFonts w:eastAsia="Calibri"/>
          <w:lang w:val="fr-CA" w:eastAsia="en-US"/>
        </w:rPr>
        <w:t xml:space="preserve"> </w:t>
      </w:r>
      <w:r w:rsidRPr="00BD22C2">
        <w:rPr>
          <w:lang w:val="fr-CA"/>
        </w:rPr>
        <w:t>est défini par l’Organisation mondiale de la santé et le Comité des droits économiques, sociaux et culturels des Nations Uni</w:t>
      </w:r>
      <w:r w:rsidR="00942DA3" w:rsidRPr="00BD22C2">
        <w:rPr>
          <w:lang w:val="fr-CA"/>
        </w:rPr>
        <w:t>e</w:t>
      </w:r>
      <w:r w:rsidRPr="00BD22C2">
        <w:rPr>
          <w:lang w:val="fr-CA"/>
        </w:rPr>
        <w:t>s comme un droit global, visant la possession du meilleur état de santé que tout être humain peut atteindre et dont la réalisation dépend de facteurs sociaux, politiques, économiques et culturels, appelés «</w:t>
      </w:r>
      <w:r w:rsidR="0051216B" w:rsidRPr="00BD22C2">
        <w:rPr>
          <w:lang w:val="fr-CA"/>
        </w:rPr>
        <w:t> </w:t>
      </w:r>
      <w:r w:rsidRPr="00BD22C2">
        <w:rPr>
          <w:lang w:val="fr-CA"/>
        </w:rPr>
        <w:t>déterminant sociaux de la santé</w:t>
      </w:r>
      <w:r w:rsidR="0051216B" w:rsidRPr="00BD22C2">
        <w:rPr>
          <w:lang w:val="fr-CA"/>
        </w:rPr>
        <w:t> </w:t>
      </w:r>
      <w:r w:rsidRPr="00BD22C2">
        <w:rPr>
          <w:lang w:val="fr-CA"/>
        </w:rPr>
        <w:t>»</w:t>
      </w:r>
      <w:r w:rsidRPr="00BD22C2">
        <w:rPr>
          <w:rStyle w:val="Appeldenotedefin"/>
          <w:szCs w:val="22"/>
          <w:lang w:val="fr-CA"/>
        </w:rPr>
        <w:endnoteReference w:id="376"/>
      </w:r>
      <w:r w:rsidRPr="00BD22C2">
        <w:rPr>
          <w:rFonts w:eastAsia="Calibri"/>
          <w:lang w:val="fr-CA" w:eastAsia="en-US"/>
        </w:rPr>
        <w:t xml:space="preserve">. Celui-ci est garanti </w:t>
      </w:r>
      <w:r w:rsidRPr="00BD22C2">
        <w:rPr>
          <w:lang w:val="fr-CA"/>
        </w:rPr>
        <w:t>par l’article</w:t>
      </w:r>
      <w:r w:rsidR="0091080B">
        <w:rPr>
          <w:lang w:val="fr-CA"/>
        </w:rPr>
        <w:t> </w:t>
      </w:r>
      <w:r w:rsidRPr="00BD22C2">
        <w:rPr>
          <w:lang w:val="fr-CA"/>
        </w:rPr>
        <w:t>24 de la CRDE et par l’article</w:t>
      </w:r>
      <w:r w:rsidR="0091080B">
        <w:rPr>
          <w:lang w:val="fr-CA"/>
        </w:rPr>
        <w:t> </w:t>
      </w:r>
      <w:r w:rsidRPr="00BD22C2">
        <w:rPr>
          <w:lang w:val="fr-CA"/>
        </w:rPr>
        <w:t>12 du PIDESC. Rappelons que le Québec s’est reconnu lié par le PIDESC dès 1976 et qu’à ce titre, il se doit de respecter le droit à la santé, de le protéger, de le mettre en œuvre, d’en faciliter l’exercice et de le promouvoir</w:t>
      </w:r>
      <w:r w:rsidRPr="00BD22C2">
        <w:rPr>
          <w:rStyle w:val="Appeldenotedefin"/>
          <w:szCs w:val="22"/>
          <w:lang w:val="fr-CA"/>
        </w:rPr>
        <w:endnoteReference w:id="377"/>
      </w:r>
      <w:r w:rsidRPr="00BD22C2">
        <w:rPr>
          <w:lang w:val="fr-CA"/>
        </w:rPr>
        <w:t xml:space="preserve">. </w:t>
      </w:r>
      <w:r w:rsidRPr="00BD22C2">
        <w:rPr>
          <w:rFonts w:eastAsia="Calibri"/>
          <w:lang w:val="fr-CA" w:eastAsia="en-US"/>
        </w:rPr>
        <w:t xml:space="preserve">La Commission recommande d’ailleurs depuis 2003 </w:t>
      </w:r>
      <w:r w:rsidRPr="00BD22C2">
        <w:rPr>
          <w:lang w:val="fr-CA"/>
        </w:rPr>
        <w:t>que « la Charte reconnaisse le droit de toute personne de bénéficier des programmes, biens, services, installations et conditions lui permettant de jouir du meilleur état de santé physique et mentale qu’elle puisse atteindre »</w:t>
      </w:r>
      <w:r w:rsidRPr="00BD22C2">
        <w:rPr>
          <w:rStyle w:val="Appeldenotedefin"/>
          <w:lang w:val="fr-CA"/>
        </w:rPr>
        <w:endnoteReference w:id="378"/>
      </w:r>
      <w:r w:rsidRPr="00BD22C2">
        <w:rPr>
          <w:lang w:val="fr-CA"/>
        </w:rPr>
        <w:t>.</w:t>
      </w:r>
    </w:p>
    <w:p w14:paraId="610BB21D" w14:textId="5A01B369" w:rsidR="006D2BEC" w:rsidRPr="00BD22C2" w:rsidRDefault="00F7531E" w:rsidP="00F7531E">
      <w:pPr>
        <w:pStyle w:val="Paragraphe"/>
        <w:rPr>
          <w:lang w:val="fr-CA"/>
        </w:rPr>
      </w:pPr>
      <w:r w:rsidRPr="00BD22C2">
        <w:rPr>
          <w:lang w:val="fr-CA"/>
        </w:rPr>
        <w:t>L’accès à des soins d’affirmation de genre fait partie intégrante du droit à la santé dans la mesure où ils participent à l’atteinte du meilleur état de santé qu’une personne puisse atteindre. Le Comité des droits économiques, sociaux et culturels précise que la réalisation de ce droit passe par la disponibilité de services de qualité, accessibles physiquement et économiquement, sans discrimination et en temps opportun</w:t>
      </w:r>
      <w:r w:rsidR="006D2BEC" w:rsidRPr="00BD22C2">
        <w:rPr>
          <w:rStyle w:val="Appeldenotedefin"/>
          <w:lang w:val="fr-CA"/>
        </w:rPr>
        <w:endnoteReference w:id="379"/>
      </w:r>
      <w:r w:rsidR="006D2BEC" w:rsidRPr="00BD22C2">
        <w:rPr>
          <w:lang w:val="fr-CA"/>
        </w:rPr>
        <w:t>. Il implique aussi l’accès à l’information et la participation des personnes concernées à la prise de décision en matière de santé, que ce soit au niveau communautaire, national ou international</w:t>
      </w:r>
      <w:r w:rsidR="006D2BEC" w:rsidRPr="00BD22C2">
        <w:rPr>
          <w:rStyle w:val="Appeldenotedefin"/>
          <w:lang w:val="fr-CA"/>
        </w:rPr>
        <w:endnoteReference w:id="380"/>
      </w:r>
      <w:r w:rsidR="006D2BEC" w:rsidRPr="00BD22C2">
        <w:rPr>
          <w:lang w:val="fr-CA"/>
        </w:rPr>
        <w:t>.</w:t>
      </w:r>
    </w:p>
    <w:p w14:paraId="047A3CD2" w14:textId="536814A3" w:rsidR="00EF1354" w:rsidRPr="00BD22C2" w:rsidRDefault="006D2BEC" w:rsidP="00F7531E">
      <w:pPr>
        <w:pStyle w:val="Paragraphe"/>
        <w:rPr>
          <w:lang w:val="fr-CA"/>
        </w:rPr>
      </w:pPr>
      <w:r w:rsidRPr="00BD22C2">
        <w:rPr>
          <w:lang w:val="fr-CA"/>
        </w:rPr>
        <w:t xml:space="preserve">Actuellement, au Québec, les soins d’affirmation de genre sont offerts par des cliniques spécialisées </w:t>
      </w:r>
      <w:r w:rsidR="000D1C30" w:rsidRPr="00BD22C2">
        <w:rPr>
          <w:rFonts w:cs="Arial"/>
          <w:lang w:val="fr-CA"/>
        </w:rPr>
        <w:t>—</w:t>
      </w:r>
      <w:r w:rsidR="00F7531E" w:rsidRPr="00BD22C2">
        <w:rPr>
          <w:lang w:val="fr-CA"/>
        </w:rPr>
        <w:t xml:space="preserve"> </w:t>
      </w:r>
      <w:r w:rsidRPr="00BD22C2">
        <w:rPr>
          <w:lang w:val="fr-CA"/>
        </w:rPr>
        <w:t>comme le Centre de santé Meraki et la clinique pédiatrique du CHU Sainte-Justine</w:t>
      </w:r>
      <w:r w:rsidR="000D1C30" w:rsidRPr="00BD22C2">
        <w:rPr>
          <w:lang w:val="fr-CA"/>
        </w:rPr>
        <w:t xml:space="preserve"> </w:t>
      </w:r>
      <w:r w:rsidR="000D1C30" w:rsidRPr="00BD22C2">
        <w:rPr>
          <w:rFonts w:cs="Arial"/>
          <w:lang w:val="fr-CA"/>
        </w:rPr>
        <w:t>—</w:t>
      </w:r>
      <w:r w:rsidR="00F7531E" w:rsidRPr="00BD22C2">
        <w:rPr>
          <w:lang w:val="fr-CA"/>
        </w:rPr>
        <w:t>,</w:t>
      </w:r>
      <w:r w:rsidRPr="00BD22C2">
        <w:rPr>
          <w:lang w:val="fr-CA"/>
        </w:rPr>
        <w:t xml:space="preserve"> par des cliniques proposant des chirurgies d’affirmation de genre, ainsi que par différentes catégories de professionnels en pratique privée (médecins, psychologues, </w:t>
      </w:r>
      <w:r w:rsidRPr="00BD22C2">
        <w:rPr>
          <w:lang w:val="fr-CA"/>
        </w:rPr>
        <w:lastRenderedPageBreak/>
        <w:t>sexologues et travailleurs sociaux). L’accessibilité de ces soins est cependant loin d’être optimale. Pour obtenir un premier rendez-vous à Meraki ou à Saint-Justine, un jeune doit par exemple attendre entre huit mois et un an</w:t>
      </w:r>
      <w:r w:rsidRPr="00BD22C2">
        <w:rPr>
          <w:rStyle w:val="Appeldenotedefin"/>
          <w:lang w:val="fr-CA"/>
        </w:rPr>
        <w:endnoteReference w:id="381"/>
      </w:r>
      <w:r w:rsidRPr="00BD22C2">
        <w:rPr>
          <w:lang w:val="fr-CA"/>
        </w:rPr>
        <w:t>.</w:t>
      </w:r>
      <w:r w:rsidR="00F7531E" w:rsidRPr="00BD22C2">
        <w:rPr>
          <w:lang w:val="fr-CA"/>
        </w:rPr>
        <w:t xml:space="preserve"> </w:t>
      </w:r>
      <w:r w:rsidR="0094252A" w:rsidRPr="00BD22C2">
        <w:rPr>
          <w:lang w:val="fr-CA"/>
        </w:rPr>
        <w:t xml:space="preserve">Sans compter que ces </w:t>
      </w:r>
      <w:r w:rsidR="00F7531E" w:rsidRPr="00BD22C2">
        <w:rPr>
          <w:lang w:val="fr-CA"/>
        </w:rPr>
        <w:t>services sont pour la plupart concentrés à Montréal.</w:t>
      </w:r>
    </w:p>
    <w:p w14:paraId="18BCF8A0" w14:textId="4B7A4E79" w:rsidR="00F7531E" w:rsidRPr="00BD22C2" w:rsidRDefault="00EF1354" w:rsidP="00F7531E">
      <w:pPr>
        <w:pStyle w:val="Paragraphe"/>
        <w:rPr>
          <w:lang w:val="fr-CA"/>
        </w:rPr>
      </w:pPr>
      <w:r w:rsidRPr="00BD22C2">
        <w:rPr>
          <w:lang w:val="fr-CA" w:eastAsia="en-US"/>
        </w:rPr>
        <w:t>De plus, a</w:t>
      </w:r>
      <w:r w:rsidRPr="00BD22C2" w:rsidDel="009C4B35">
        <w:rPr>
          <w:lang w:val="fr-CA" w:eastAsia="en-US"/>
        </w:rPr>
        <w:t xml:space="preserve">u-delà des soins d’affirmation de genre, les personnes trans </w:t>
      </w:r>
      <w:r w:rsidR="00771F57" w:rsidRPr="00BD22C2">
        <w:rPr>
          <w:rFonts w:cs="Arial"/>
          <w:lang w:val="fr-CA" w:eastAsia="en-US"/>
        </w:rPr>
        <w:t>—</w:t>
      </w:r>
      <w:r w:rsidRPr="00BD22C2" w:rsidDel="009C4B35">
        <w:rPr>
          <w:lang w:val="fr-CA" w:eastAsia="en-US"/>
        </w:rPr>
        <w:t xml:space="preserve"> mineures et majeures </w:t>
      </w:r>
      <w:r w:rsidR="00771F57" w:rsidRPr="00BD22C2">
        <w:rPr>
          <w:rFonts w:cs="Arial"/>
          <w:lang w:val="fr-CA" w:eastAsia="en-US"/>
        </w:rPr>
        <w:t>—</w:t>
      </w:r>
      <w:r w:rsidRPr="00BD22C2" w:rsidDel="009C4B35">
        <w:rPr>
          <w:lang w:val="fr-CA" w:eastAsia="en-US"/>
        </w:rPr>
        <w:t xml:space="preserve"> rencontrent un nombre considérable de barrières dans l’accès aux soins de santé en général</w:t>
      </w:r>
      <w:r w:rsidRPr="00BD22C2">
        <w:rPr>
          <w:lang w:val="fr-CA" w:eastAsia="en-US"/>
        </w:rPr>
        <w:t>.</w:t>
      </w:r>
      <w:r w:rsidRPr="00BD22C2">
        <w:rPr>
          <w:lang w:val="fr-CA"/>
        </w:rPr>
        <w:t xml:space="preserve"> </w:t>
      </w:r>
      <w:r w:rsidR="00F7531E" w:rsidRPr="00BD22C2">
        <w:rPr>
          <w:lang w:val="fr-CA"/>
        </w:rPr>
        <w:t>L’Enquête SAVIE-LGBTQ brosse un portrait peu enviable de la situation des soins et services de santé offerts aux personnes trans et non binaires :</w:t>
      </w:r>
    </w:p>
    <w:p w14:paraId="249ACFCB" w14:textId="4068DF56" w:rsidR="00F7531E" w:rsidRPr="00BD22C2" w:rsidRDefault="00F7531E" w:rsidP="00F7531E">
      <w:pPr>
        <w:pStyle w:val="Corpsdetexte"/>
        <w:numPr>
          <w:ilvl w:val="0"/>
          <w:numId w:val="26"/>
        </w:numPr>
      </w:pPr>
      <w:r w:rsidRPr="00BD22C2">
        <w:t>28</w:t>
      </w:r>
      <w:r w:rsidR="0051216B" w:rsidRPr="00BD22C2">
        <w:t> </w:t>
      </w:r>
      <w:r w:rsidRPr="00BD22C2">
        <w:t>% des personnes participantes trans ou non binaires ont accès à des services de santé trans dans un rayon de 10</w:t>
      </w:r>
      <w:r w:rsidR="009D3E22">
        <w:t> </w:t>
      </w:r>
      <w:r w:rsidRPr="00BD22C2">
        <w:t>kilomètres de leur domicile</w:t>
      </w:r>
      <w:r w:rsidR="0051216B" w:rsidRPr="00BD22C2">
        <w:t> </w:t>
      </w:r>
      <w:r w:rsidRPr="00BD22C2">
        <w:t>;</w:t>
      </w:r>
    </w:p>
    <w:p w14:paraId="62226507" w14:textId="1E0D6C98" w:rsidR="00F7531E" w:rsidRPr="00BD22C2" w:rsidRDefault="00F7531E" w:rsidP="00EF1CB2">
      <w:pPr>
        <w:pStyle w:val="Corpsdetexte"/>
        <w:numPr>
          <w:ilvl w:val="0"/>
          <w:numId w:val="37"/>
        </w:numPr>
      </w:pPr>
      <w:r w:rsidRPr="00BD22C2">
        <w:t>2</w:t>
      </w:r>
      <w:r w:rsidR="006C0D8E" w:rsidRPr="00BD22C2">
        <w:t>7</w:t>
      </w:r>
      <w:r w:rsidR="0051216B" w:rsidRPr="00BD22C2">
        <w:t> </w:t>
      </w:r>
      <w:r w:rsidRPr="00BD22C2">
        <w:t>% des personnes participantes trans ou non binaires ont rapporté un climat très acceptant à leur égard dans les services de santé</w:t>
      </w:r>
      <w:r w:rsidR="0051216B" w:rsidRPr="00BD22C2">
        <w:t> </w:t>
      </w:r>
      <w:r w:rsidRPr="00BD22C2">
        <w:t>;</w:t>
      </w:r>
    </w:p>
    <w:p w14:paraId="5C8AA5EB" w14:textId="15B6BC6C" w:rsidR="00F7531E" w:rsidRPr="00BD22C2" w:rsidRDefault="00F7531E" w:rsidP="00EF1CB2">
      <w:pPr>
        <w:pStyle w:val="Corpsdetexte"/>
        <w:numPr>
          <w:ilvl w:val="0"/>
          <w:numId w:val="37"/>
        </w:numPr>
      </w:pPr>
      <w:r w:rsidRPr="00BD22C2">
        <w:t>44</w:t>
      </w:r>
      <w:r w:rsidR="0051216B" w:rsidRPr="00BD22C2">
        <w:t> </w:t>
      </w:r>
      <w:r w:rsidRPr="00BD22C2">
        <w:t>% des personnes participantes trans ou non binaires ont rapporté des besoins de santé non comblés</w:t>
      </w:r>
      <w:r w:rsidR="0051216B" w:rsidRPr="00BD22C2">
        <w:t> </w:t>
      </w:r>
      <w:r w:rsidRPr="00BD22C2">
        <w:t>;</w:t>
      </w:r>
    </w:p>
    <w:p w14:paraId="4E0C032F" w14:textId="4E5D4828" w:rsidR="00F7531E" w:rsidRPr="00BD22C2" w:rsidRDefault="00F7531E" w:rsidP="00EF1CB2">
      <w:pPr>
        <w:pStyle w:val="Corpsdetexte"/>
        <w:numPr>
          <w:ilvl w:val="0"/>
          <w:numId w:val="37"/>
        </w:numPr>
      </w:pPr>
      <w:r w:rsidRPr="00BD22C2">
        <w:t>18</w:t>
      </w:r>
      <w:r w:rsidR="0051216B" w:rsidRPr="00BD22C2">
        <w:t> </w:t>
      </w:r>
      <w:r w:rsidRPr="00BD22C2">
        <w:t>% des personnes participantes trans ou non binaires ont rapporté un score élevé de satisfaction générale à l’égard des services de santé reçus</w:t>
      </w:r>
      <w:r w:rsidR="0051216B" w:rsidRPr="00BD22C2">
        <w:t> </w:t>
      </w:r>
      <w:r w:rsidRPr="00BD22C2">
        <w:t>;</w:t>
      </w:r>
    </w:p>
    <w:p w14:paraId="3DE3019C" w14:textId="2283790F" w:rsidR="00F7531E" w:rsidRPr="00BD22C2" w:rsidRDefault="00F7531E" w:rsidP="00EF1CB2">
      <w:pPr>
        <w:pStyle w:val="Corpsdetexte"/>
        <w:numPr>
          <w:ilvl w:val="0"/>
          <w:numId w:val="37"/>
        </w:numPr>
      </w:pPr>
      <w:r w:rsidRPr="00BD22C2">
        <w:t>94</w:t>
      </w:r>
      <w:r w:rsidR="0051216B" w:rsidRPr="00BD22C2">
        <w:t> </w:t>
      </w:r>
      <w:r w:rsidRPr="00BD22C2">
        <w:t xml:space="preserve">% des personnes participantes trans ou non binaires qui ont reçu tous les soins de santé nécessaires </w:t>
      </w:r>
      <w:r w:rsidR="008F3762" w:rsidRPr="00BD22C2">
        <w:t xml:space="preserve">et qui </w:t>
      </w:r>
      <w:r w:rsidRPr="00BD22C2">
        <w:t>en sont satisfaites au cours des 12</w:t>
      </w:r>
      <w:r w:rsidR="009D3E22">
        <w:t> </w:t>
      </w:r>
      <w:r w:rsidRPr="00BD22C2">
        <w:t>derniers mois</w:t>
      </w:r>
      <w:r w:rsidR="004C4C64" w:rsidRPr="00BD22C2">
        <w:rPr>
          <w:rStyle w:val="Appeldenotedefin"/>
        </w:rPr>
        <w:endnoteReference w:id="382"/>
      </w:r>
      <w:r w:rsidRPr="00BD22C2">
        <w:t>.</w:t>
      </w:r>
    </w:p>
    <w:p w14:paraId="48C187DA" w14:textId="729B96C4" w:rsidR="00F7531E" w:rsidRPr="00BD22C2" w:rsidRDefault="00F7531E" w:rsidP="00F7531E">
      <w:pPr>
        <w:pStyle w:val="Paragraphe"/>
        <w:rPr>
          <w:lang w:val="fr-CA"/>
        </w:rPr>
      </w:pPr>
      <w:r w:rsidRPr="00BD22C2">
        <w:rPr>
          <w:lang w:val="fr-CA"/>
        </w:rPr>
        <w:t xml:space="preserve">Dans ses </w:t>
      </w:r>
      <w:r w:rsidRPr="00BD22C2">
        <w:rPr>
          <w:i/>
          <w:iCs/>
          <w:lang w:val="fr-CA"/>
        </w:rPr>
        <w:t>Lignes directrices sur la santé et le bien-être des personnes de la diversité sexuelle et des genres</w:t>
      </w:r>
      <w:r w:rsidR="006D2BEC" w:rsidRPr="00BD22C2">
        <w:rPr>
          <w:rStyle w:val="Appeldenotedefin"/>
          <w:lang w:val="fr-CA"/>
        </w:rPr>
        <w:endnoteReference w:id="383"/>
      </w:r>
      <w:r w:rsidR="006D2BEC" w:rsidRPr="00BD22C2">
        <w:rPr>
          <w:lang w:val="fr-CA"/>
        </w:rPr>
        <w:t xml:space="preserve"> </w:t>
      </w:r>
      <w:r w:rsidRPr="00BD22C2">
        <w:rPr>
          <w:lang w:val="fr-CA"/>
        </w:rPr>
        <w:t xml:space="preserve">précitées, le ministère de la Santé et des Services sociaux a entre autres pris l’engagement de mettre en place des conditions favorisant l’inclusion, de hiérarchiser les services pour la population visée par certaines interventions chirurgicales d’affirmation de genre, d’offrir un soutien psychosocial en soutien à l’affirmation de genre, de former et sensibiliser le personnel, ainsi que de s’assurer d’une mise en œuvre dans chaque région </w:t>
      </w:r>
      <w:proofErr w:type="spellStart"/>
      <w:r w:rsidRPr="00BD22C2">
        <w:rPr>
          <w:lang w:val="fr-CA"/>
        </w:rPr>
        <w:t>sociosanitaire</w:t>
      </w:r>
      <w:proofErr w:type="spellEnd"/>
      <w:r w:rsidRPr="00BD22C2">
        <w:rPr>
          <w:lang w:val="fr-CA"/>
        </w:rPr>
        <w:t>.</w:t>
      </w:r>
      <w:r w:rsidR="0035474B" w:rsidRPr="00BD22C2">
        <w:rPr>
          <w:lang w:val="fr-CA"/>
        </w:rPr>
        <w:t xml:space="preserve"> Les ordres professionnels concernés </w:t>
      </w:r>
      <w:r w:rsidR="00171090" w:rsidRPr="00BD22C2">
        <w:rPr>
          <w:lang w:val="fr-CA"/>
        </w:rPr>
        <w:t xml:space="preserve">ont également un rôle à jouer </w:t>
      </w:r>
      <w:r w:rsidR="00491657" w:rsidRPr="00BD22C2">
        <w:rPr>
          <w:lang w:val="fr-CA"/>
        </w:rPr>
        <w:t xml:space="preserve">en vertu de </w:t>
      </w:r>
      <w:r w:rsidR="00491657">
        <w:rPr>
          <w:lang w:val="fr-CA"/>
        </w:rPr>
        <w:t>l</w:t>
      </w:r>
      <w:r w:rsidR="00392561">
        <w:rPr>
          <w:lang w:val="fr-CA"/>
        </w:rPr>
        <w:t>eur</w:t>
      </w:r>
      <w:r w:rsidR="00491657" w:rsidRPr="00BD22C2">
        <w:rPr>
          <w:lang w:val="fr-CA"/>
        </w:rPr>
        <w:t xml:space="preserve"> mission de </w:t>
      </w:r>
      <w:r w:rsidR="000F4AC1">
        <w:rPr>
          <w:lang w:val="fr-CA"/>
        </w:rPr>
        <w:t>protection du public</w:t>
      </w:r>
      <w:r w:rsidR="000F4AC1">
        <w:rPr>
          <w:rStyle w:val="Appeldenotedefin"/>
          <w:lang w:val="fr-CA"/>
        </w:rPr>
        <w:endnoteReference w:id="384"/>
      </w:r>
      <w:r w:rsidR="00491657" w:rsidRPr="00BD22C2">
        <w:rPr>
          <w:lang w:val="fr-CA"/>
        </w:rPr>
        <w:t>, que ce soit en</w:t>
      </w:r>
      <w:r w:rsidR="00EA633C" w:rsidRPr="00BD22C2">
        <w:rPr>
          <w:lang w:val="fr-CA"/>
        </w:rPr>
        <w:t xml:space="preserve"> s’assurant de la compétence de </w:t>
      </w:r>
      <w:r w:rsidR="002F34D2" w:rsidRPr="00BD22C2">
        <w:rPr>
          <w:lang w:val="fr-CA"/>
        </w:rPr>
        <w:t xml:space="preserve">leurs </w:t>
      </w:r>
      <w:r w:rsidR="00EA633C" w:rsidRPr="00BD22C2">
        <w:rPr>
          <w:lang w:val="fr-CA"/>
        </w:rPr>
        <w:t>membres</w:t>
      </w:r>
      <w:r w:rsidR="00E847ED" w:rsidRPr="00BD22C2">
        <w:rPr>
          <w:lang w:val="fr-CA"/>
        </w:rPr>
        <w:t xml:space="preserve"> ou en </w:t>
      </w:r>
      <w:r w:rsidR="00003670" w:rsidRPr="00BD22C2">
        <w:rPr>
          <w:lang w:val="fr-CA"/>
        </w:rPr>
        <w:t>surveillant l’exercice de la profession</w:t>
      </w:r>
      <w:r w:rsidR="00633CB9" w:rsidRPr="00BD22C2">
        <w:rPr>
          <w:lang w:val="fr-CA"/>
        </w:rPr>
        <w:t>, et ce</w:t>
      </w:r>
      <w:r w:rsidR="009E540A">
        <w:rPr>
          <w:lang w:val="fr-CA"/>
        </w:rPr>
        <w:t>,</w:t>
      </w:r>
      <w:r w:rsidR="00633CB9" w:rsidRPr="00BD22C2">
        <w:rPr>
          <w:lang w:val="fr-CA"/>
        </w:rPr>
        <w:t xml:space="preserve"> dans le respect des droits et libertés garantis par la Charte à laquelle ils sont assujettis</w:t>
      </w:r>
      <w:r w:rsidR="0017282A">
        <w:rPr>
          <w:lang w:val="fr-CA"/>
        </w:rPr>
        <w:t>, tout comme leurs membres</w:t>
      </w:r>
      <w:r w:rsidR="00633CB9" w:rsidRPr="00BD22C2">
        <w:rPr>
          <w:lang w:val="fr-CA"/>
        </w:rPr>
        <w:t>.</w:t>
      </w:r>
    </w:p>
    <w:p w14:paraId="4385894A" w14:textId="10ACCE7F" w:rsidR="00F7531E" w:rsidRPr="00BD22C2" w:rsidRDefault="00F7531E" w:rsidP="00F7531E">
      <w:pPr>
        <w:pStyle w:val="Paragraphe"/>
        <w:rPr>
          <w:rFonts w:eastAsia="Calibri"/>
          <w:lang w:val="fr-CA" w:eastAsia="en-US"/>
        </w:rPr>
      </w:pPr>
      <w:r w:rsidRPr="00BD22C2">
        <w:rPr>
          <w:lang w:val="fr-CA"/>
        </w:rPr>
        <w:lastRenderedPageBreak/>
        <w:t xml:space="preserve">Sans prendre position sur la meilleure façon d’organiser ces services au Québec, la Commission estime que le système de santé et de </w:t>
      </w:r>
      <w:r w:rsidRPr="00BD22C2">
        <w:rPr>
          <w:rFonts w:eastAsia="Calibri"/>
          <w:lang w:val="fr-CA"/>
        </w:rPr>
        <w:t xml:space="preserve">services </w:t>
      </w:r>
      <w:r w:rsidRPr="00BD22C2">
        <w:rPr>
          <w:lang w:val="fr-CA"/>
        </w:rPr>
        <w:t>sociaux doit être en mesure d’offrir des soins et services</w:t>
      </w:r>
      <w:r w:rsidRPr="00BD22C2">
        <w:rPr>
          <w:rFonts w:eastAsia="Calibri"/>
          <w:lang w:val="fr-CA"/>
        </w:rPr>
        <w:t xml:space="preserve"> d’affirmation de genre </w:t>
      </w:r>
      <w:r w:rsidRPr="00BD22C2">
        <w:rPr>
          <w:rFonts w:eastAsia="Calibri"/>
          <w:lang w:val="fr-CA" w:eastAsia="en-US"/>
        </w:rPr>
        <w:t>de qualité</w:t>
      </w:r>
      <w:r w:rsidR="00640684" w:rsidRPr="00BD22C2">
        <w:rPr>
          <w:rFonts w:eastAsia="Calibri"/>
          <w:lang w:val="fr-CA" w:eastAsia="en-US"/>
        </w:rPr>
        <w:t xml:space="preserve"> en temps opportun</w:t>
      </w:r>
      <w:r w:rsidRPr="00BD22C2">
        <w:rPr>
          <w:rFonts w:eastAsia="Calibri"/>
          <w:lang w:val="fr-CA" w:eastAsia="en-US"/>
        </w:rPr>
        <w:t>, dispensés conformément aux normes professionnelles reconnues, donnés par des personnes adéquatement formées, accessibles économiquement et géographiquement, et ce, sans discrimination.</w:t>
      </w:r>
      <w:r w:rsidR="001236E2" w:rsidRPr="00BD22C2">
        <w:rPr>
          <w:rFonts w:eastAsia="Calibri"/>
          <w:lang w:val="fr-CA" w:eastAsia="en-US"/>
        </w:rPr>
        <w:t xml:space="preserve"> </w:t>
      </w:r>
      <w:r w:rsidR="00341DE3" w:rsidRPr="00BD22C2">
        <w:rPr>
          <w:rFonts w:eastAsia="Calibri"/>
          <w:lang w:val="fr-CA" w:eastAsia="en-US"/>
        </w:rPr>
        <w:t>De telles exigences impliquent</w:t>
      </w:r>
      <w:r w:rsidR="00341DE3" w:rsidRPr="00BD22C2" w:rsidDel="00D51EC8">
        <w:rPr>
          <w:rFonts w:eastAsia="Calibri"/>
          <w:lang w:val="fr-CA" w:eastAsia="en-US"/>
        </w:rPr>
        <w:t xml:space="preserve"> </w:t>
      </w:r>
      <w:r w:rsidR="00924692" w:rsidRPr="00BD22C2">
        <w:rPr>
          <w:rFonts w:eastAsia="Calibri"/>
          <w:lang w:val="fr-CA" w:eastAsia="en-US"/>
        </w:rPr>
        <w:t xml:space="preserve">des évaluations </w:t>
      </w:r>
      <w:r w:rsidR="0029296B" w:rsidRPr="00BD22C2">
        <w:rPr>
          <w:rFonts w:eastAsia="Calibri"/>
          <w:lang w:val="fr-CA" w:eastAsia="en-US"/>
        </w:rPr>
        <w:t>individualisées accompagnées d’un soutien et d’un suivi adéquat.</w:t>
      </w:r>
    </w:p>
    <w:p w14:paraId="022365A3" w14:textId="1CDBBD29" w:rsidR="00576876" w:rsidRPr="00BD22C2" w:rsidRDefault="00576876" w:rsidP="00AC21DD">
      <w:pPr>
        <w:pStyle w:val="Corpsdetexte"/>
        <w:rPr>
          <w:rFonts w:eastAsia="Calibri"/>
          <w:lang w:eastAsia="en-US"/>
        </w:rPr>
      </w:pPr>
      <w:r w:rsidRPr="00BD22C2">
        <w:t xml:space="preserve">Plus généralement, </w:t>
      </w:r>
      <w:r w:rsidRPr="00BD22C2" w:rsidDel="009C4B35">
        <w:t>la Commission invite</w:t>
      </w:r>
      <w:r w:rsidRPr="00BD22C2">
        <w:t xml:space="preserve"> aussi</w:t>
      </w:r>
      <w:r w:rsidRPr="00BD22C2" w:rsidDel="009C4B35">
        <w:t xml:space="preserve"> le Comité de sages </w:t>
      </w:r>
      <w:r w:rsidR="00D30B0B" w:rsidRPr="00BD22C2">
        <w:t xml:space="preserve">à tenir </w:t>
      </w:r>
      <w:r w:rsidRPr="00BD22C2" w:rsidDel="009C4B35">
        <w:t>compte des difficultés d’accès de</w:t>
      </w:r>
      <w:r w:rsidR="00EA01A9" w:rsidRPr="00BD22C2">
        <w:t xml:space="preserve">s personnes trans et non binaires </w:t>
      </w:r>
      <w:r w:rsidRPr="00BD22C2" w:rsidDel="009C4B35">
        <w:t xml:space="preserve">à tous les types de soins de santé et de services sociaux offerts au Québec et </w:t>
      </w:r>
      <w:r w:rsidRPr="00BD22C2">
        <w:t xml:space="preserve">notamment </w:t>
      </w:r>
      <w:r w:rsidRPr="00BD22C2" w:rsidDel="009C4B35">
        <w:t xml:space="preserve">de la discrimination dont </w:t>
      </w:r>
      <w:r w:rsidR="007F27B1" w:rsidRPr="00BD22C2">
        <w:t>elles</w:t>
      </w:r>
      <w:r w:rsidR="007F27B1" w:rsidRPr="00BD22C2" w:rsidDel="009C4B35">
        <w:t xml:space="preserve"> </w:t>
      </w:r>
      <w:r w:rsidRPr="00BD22C2" w:rsidDel="009C4B35">
        <w:t xml:space="preserve">sont victimes. </w:t>
      </w:r>
    </w:p>
    <w:p w14:paraId="74F0C694" w14:textId="638D39EA" w:rsidR="00F7531E" w:rsidRPr="00BD22C2" w:rsidRDefault="00F7531E" w:rsidP="00F7531E">
      <w:pPr>
        <w:pStyle w:val="TitreRecommandation"/>
        <w:rPr>
          <w:lang w:eastAsia="en-US"/>
        </w:rPr>
      </w:pPr>
      <w:r w:rsidRPr="00BD22C2">
        <w:rPr>
          <w:lang w:eastAsia="en-US"/>
        </w:rPr>
        <w:t>recommandation</w:t>
      </w:r>
      <w:r w:rsidR="0091080B">
        <w:rPr>
          <w:lang w:eastAsia="en-US"/>
        </w:rPr>
        <w:t> </w:t>
      </w:r>
      <w:r w:rsidR="00292797" w:rsidRPr="00BD22C2">
        <w:rPr>
          <w:lang w:eastAsia="en-US"/>
        </w:rPr>
        <w:t>9</w:t>
      </w:r>
    </w:p>
    <w:p w14:paraId="53FF0EC8" w14:textId="3422EF90" w:rsidR="00F7531E" w:rsidRPr="00BD22C2" w:rsidRDefault="00F7531E" w:rsidP="00F7531E">
      <w:pPr>
        <w:pStyle w:val="Texterecommandation"/>
        <w:ind w:left="706" w:firstLine="3"/>
        <w:rPr>
          <w:lang w:eastAsia="en-US"/>
        </w:rPr>
      </w:pPr>
      <w:r w:rsidRPr="00BD22C2">
        <w:rPr>
          <w:lang w:eastAsia="en-US"/>
        </w:rPr>
        <w:t xml:space="preserve">La Commission recommande au Comité de sages sur l’identité de genre d’évaluer, dans le cadre de ses travaux, la conformité de l’offre de soins et services d’affirmation de genre aux exigences du droit à la santé, notamment en s’assurant qu’ils sont de qualité, dispensés </w:t>
      </w:r>
      <w:r w:rsidR="00640684" w:rsidRPr="00BD22C2">
        <w:rPr>
          <w:lang w:eastAsia="en-US"/>
        </w:rPr>
        <w:t xml:space="preserve">en temps opportun et </w:t>
      </w:r>
      <w:r w:rsidRPr="00BD22C2">
        <w:rPr>
          <w:lang w:eastAsia="en-US"/>
        </w:rPr>
        <w:t xml:space="preserve">conformément aux normes professionnelles reconnues, donnés par des personnes adéquatement formées, accessibles économiquement et géographiquement, et ce, sans discrimination, de façon à permettre aux personnes trans et non binaires </w:t>
      </w:r>
      <w:r w:rsidRPr="00BD22C2">
        <w:t>de jouir du meilleur état de santé physique et mentale qu’elles puissent atteindre.</w:t>
      </w:r>
    </w:p>
    <w:p w14:paraId="0669ADB6" w14:textId="0D0B90B7" w:rsidR="00F7531E" w:rsidRPr="00BD22C2" w:rsidRDefault="00F7531E" w:rsidP="00F7531E">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00FA23CD" w:rsidRPr="00BD22C2">
        <w:rPr>
          <w:rFonts w:eastAsia="Calibri"/>
          <w:lang w:eastAsia="en-US"/>
        </w:rPr>
        <w:t>1</w:t>
      </w:r>
      <w:r w:rsidR="00292797" w:rsidRPr="00BD22C2">
        <w:rPr>
          <w:rFonts w:eastAsia="Calibri"/>
          <w:lang w:eastAsia="en-US"/>
        </w:rPr>
        <w:t>0</w:t>
      </w:r>
    </w:p>
    <w:p w14:paraId="1F39CDCD" w14:textId="098F1695" w:rsidR="00F7531E" w:rsidRPr="00BD22C2" w:rsidRDefault="00F7531E" w:rsidP="00F7531E">
      <w:pPr>
        <w:pStyle w:val="Texterecommandation"/>
        <w:ind w:left="706" w:firstLine="3"/>
        <w:rPr>
          <w:lang w:eastAsia="en-US"/>
        </w:rPr>
      </w:pPr>
      <w:r w:rsidRPr="00BD22C2">
        <w:rPr>
          <w:lang w:eastAsia="en-US"/>
        </w:rPr>
        <w:t>La Commission recommande au Comité de sages sur l’identité de genre d’évaluer, dans le cadre de ses travaux, l’accessibilité</w:t>
      </w:r>
      <w:r w:rsidR="00637746" w:rsidRPr="00BD22C2">
        <w:rPr>
          <w:lang w:eastAsia="en-US"/>
        </w:rPr>
        <w:t>, notamment sans obstacles discriminatoires,</w:t>
      </w:r>
      <w:r w:rsidRPr="00BD22C2">
        <w:rPr>
          <w:lang w:eastAsia="en-US"/>
        </w:rPr>
        <w:t xml:space="preserve"> </w:t>
      </w:r>
      <w:r w:rsidR="00F717BB" w:rsidRPr="00BD22C2">
        <w:rPr>
          <w:lang w:eastAsia="en-US"/>
        </w:rPr>
        <w:t xml:space="preserve">à tous les </w:t>
      </w:r>
      <w:r w:rsidRPr="00BD22C2">
        <w:rPr>
          <w:lang w:eastAsia="en-US"/>
        </w:rPr>
        <w:t xml:space="preserve">soins de santé et services sociaux pour les personnes trans et non binaires de façon à s’assurer qu’elles puissent jouir </w:t>
      </w:r>
      <w:r w:rsidRPr="00BD22C2">
        <w:t>du meilleur état de santé physique et mentale possible.</w:t>
      </w:r>
    </w:p>
    <w:p w14:paraId="1082A538" w14:textId="77777777" w:rsidR="00F7531E" w:rsidRPr="00BD22C2" w:rsidRDefault="00F7531E" w:rsidP="00F7531E">
      <w:pPr>
        <w:pStyle w:val="Corpsdetexte"/>
        <w:rPr>
          <w:rFonts w:eastAsia="Calibri"/>
        </w:rPr>
      </w:pPr>
    </w:p>
    <w:p w14:paraId="6977B902" w14:textId="5A724DA7" w:rsidR="00BA0E30" w:rsidRPr="00BD22C2" w:rsidRDefault="00A440BC" w:rsidP="009F65DD">
      <w:pPr>
        <w:pStyle w:val="Titre1"/>
        <w:rPr>
          <w:rFonts w:eastAsia="Calibri"/>
        </w:rPr>
      </w:pPr>
      <w:bookmarkStart w:id="158" w:name="_Toc165301042"/>
      <w:bookmarkStart w:id="159" w:name="_Toc165636125"/>
      <w:r w:rsidRPr="00BD22C2">
        <w:rPr>
          <w:rFonts w:eastAsia="Calibri"/>
        </w:rPr>
        <w:t>L</w:t>
      </w:r>
      <w:r w:rsidR="00BA0E30" w:rsidRPr="00BD22C2">
        <w:rPr>
          <w:rFonts w:eastAsia="Calibri"/>
        </w:rPr>
        <w:t>es droits des personnes trans et non binaires en contexte de non-mixité</w:t>
      </w:r>
      <w:bookmarkEnd w:id="158"/>
      <w:bookmarkEnd w:id="159"/>
    </w:p>
    <w:p w14:paraId="0A77893A" w14:textId="75E300E0" w:rsidR="00BA0E30" w:rsidRPr="00BD22C2" w:rsidDel="008664B8" w:rsidRDefault="00BA0E30" w:rsidP="00B0406B">
      <w:pPr>
        <w:pStyle w:val="Paragraphe"/>
        <w:rPr>
          <w:rFonts w:eastAsia="Calibri"/>
          <w:lang w:val="fr-CA"/>
        </w:rPr>
      </w:pPr>
      <w:r w:rsidRPr="00BD22C2">
        <w:rPr>
          <w:rFonts w:eastAsia="Calibri"/>
          <w:lang w:val="fr-CA"/>
        </w:rPr>
        <w:t>Parmi les enjeux face auxquels la Charte peut guider les travaux du Comité</w:t>
      </w:r>
      <w:r w:rsidR="00DC16F6" w:rsidRPr="00BD22C2">
        <w:rPr>
          <w:rFonts w:eastAsia="Calibri"/>
          <w:lang w:val="fr-CA"/>
        </w:rPr>
        <w:t xml:space="preserve"> de sages</w:t>
      </w:r>
      <w:r w:rsidRPr="00BD22C2">
        <w:rPr>
          <w:rFonts w:eastAsia="Calibri"/>
          <w:lang w:val="fr-CA"/>
        </w:rPr>
        <w:t>, la Commission souhaite s’attarder à ceux qui ont trait à l’accès des personnes trans ou non binaires à des lieux habituellement réservés aux hommes ou aux femmes. Plusieurs des controverses récentes en lien avec l’identité de genre ont d’ailleurs porté sur les toilettes et vestiaires</w:t>
      </w:r>
      <w:r w:rsidRPr="00BD22C2">
        <w:rPr>
          <w:rStyle w:val="Appeldenotedefin"/>
          <w:rFonts w:eastAsia="Calibri"/>
          <w:lang w:val="fr-CA"/>
        </w:rPr>
        <w:endnoteReference w:id="385"/>
      </w:r>
      <w:r w:rsidRPr="00BD22C2">
        <w:rPr>
          <w:rFonts w:eastAsia="Calibri"/>
          <w:lang w:val="fr-CA"/>
        </w:rPr>
        <w:t>, le sport compétitif</w:t>
      </w:r>
      <w:r w:rsidRPr="00BD22C2">
        <w:rPr>
          <w:rStyle w:val="Appeldenotedefin"/>
          <w:rFonts w:eastAsia="Calibri"/>
          <w:lang w:val="fr-CA"/>
        </w:rPr>
        <w:endnoteReference w:id="386"/>
      </w:r>
      <w:r w:rsidRPr="00BD22C2">
        <w:rPr>
          <w:rFonts w:eastAsia="Calibri"/>
          <w:lang w:val="fr-CA"/>
        </w:rPr>
        <w:t xml:space="preserve"> et les établissements carcéraux</w:t>
      </w:r>
      <w:bookmarkStart w:id="160" w:name="_Ref166857095"/>
      <w:r w:rsidRPr="00BD22C2">
        <w:rPr>
          <w:rStyle w:val="Appeldenotedefin"/>
          <w:rFonts w:eastAsia="Calibri"/>
          <w:lang w:val="fr-CA"/>
        </w:rPr>
        <w:endnoteReference w:id="387"/>
      </w:r>
      <w:bookmarkEnd w:id="160"/>
      <w:r w:rsidRPr="00BD22C2">
        <w:rPr>
          <w:rFonts w:eastAsia="Calibri"/>
          <w:lang w:val="fr-CA"/>
        </w:rPr>
        <w:t>. Les maisons d’hébergement pour femmes victimes de violence conjugale cherchent aussi</w:t>
      </w:r>
      <w:r w:rsidR="002E4637" w:rsidRPr="00BD22C2">
        <w:rPr>
          <w:rFonts w:eastAsia="Calibri"/>
          <w:lang w:val="fr-CA"/>
        </w:rPr>
        <w:t xml:space="preserve">, non sans </w:t>
      </w:r>
      <w:r w:rsidR="000D26F2" w:rsidRPr="00BD22C2">
        <w:rPr>
          <w:rFonts w:eastAsia="Calibri"/>
          <w:lang w:val="fr-CA"/>
        </w:rPr>
        <w:lastRenderedPageBreak/>
        <w:t>rencontr</w:t>
      </w:r>
      <w:r w:rsidR="00591827" w:rsidRPr="00BD22C2">
        <w:rPr>
          <w:rFonts w:eastAsia="Calibri"/>
          <w:lang w:val="fr-CA"/>
        </w:rPr>
        <w:t>er</w:t>
      </w:r>
      <w:r w:rsidR="000D26F2" w:rsidRPr="00BD22C2">
        <w:rPr>
          <w:rFonts w:eastAsia="Calibri"/>
          <w:lang w:val="fr-CA"/>
        </w:rPr>
        <w:t xml:space="preserve"> certaines </w:t>
      </w:r>
      <w:r w:rsidR="002E4637" w:rsidRPr="00BD22C2">
        <w:rPr>
          <w:rFonts w:eastAsia="Calibri"/>
          <w:lang w:val="fr-CA"/>
        </w:rPr>
        <w:t>résistance</w:t>
      </w:r>
      <w:r w:rsidR="000D26F2" w:rsidRPr="00BD22C2">
        <w:rPr>
          <w:rFonts w:eastAsia="Calibri"/>
          <w:lang w:val="fr-CA"/>
        </w:rPr>
        <w:t>s</w:t>
      </w:r>
      <w:r w:rsidR="00BF7616" w:rsidRPr="00BD22C2">
        <w:rPr>
          <w:rFonts w:eastAsia="Calibri"/>
          <w:lang w:val="fr-CA"/>
        </w:rPr>
        <w:t>,</w:t>
      </w:r>
      <w:r w:rsidRPr="00BD22C2">
        <w:rPr>
          <w:rFonts w:eastAsia="Calibri"/>
          <w:lang w:val="fr-CA"/>
        </w:rPr>
        <w:t xml:space="preserve"> à accueillir les femmes trans, voire les personnes non binaires</w:t>
      </w:r>
      <w:r w:rsidR="00790A36" w:rsidRPr="00BD22C2">
        <w:rPr>
          <w:rStyle w:val="Appeldenotedefin"/>
          <w:rFonts w:eastAsia="Calibri"/>
          <w:lang w:val="fr-CA"/>
        </w:rPr>
        <w:endnoteReference w:id="388"/>
      </w:r>
      <w:r w:rsidRPr="00BD22C2">
        <w:rPr>
          <w:rFonts w:eastAsia="Calibri"/>
          <w:lang w:val="fr-CA"/>
        </w:rPr>
        <w:t xml:space="preserve">. Le cadre de la Charte balise la démarche </w:t>
      </w:r>
      <w:r w:rsidR="008D1020" w:rsidRPr="00BD22C2">
        <w:rPr>
          <w:rFonts w:eastAsia="Calibri"/>
          <w:lang w:val="fr-CA"/>
        </w:rPr>
        <w:t>à</w:t>
      </w:r>
      <w:r w:rsidRPr="00BD22C2">
        <w:rPr>
          <w:rFonts w:eastAsia="Calibri"/>
          <w:lang w:val="fr-CA"/>
        </w:rPr>
        <w:t xml:space="preserve"> suivre pour favoriser l’inclusion des personnes trans et non binaires dans de</w:t>
      </w:r>
      <w:r w:rsidR="002253DE" w:rsidRPr="00BD22C2">
        <w:rPr>
          <w:rFonts w:eastAsia="Calibri"/>
          <w:lang w:val="fr-CA"/>
        </w:rPr>
        <w:t xml:space="preserve"> tels</w:t>
      </w:r>
      <w:r w:rsidR="00E11F32" w:rsidRPr="00BD22C2">
        <w:rPr>
          <w:rFonts w:eastAsia="Calibri"/>
          <w:lang w:val="fr-CA"/>
        </w:rPr>
        <w:t xml:space="preserve"> </w:t>
      </w:r>
      <w:r w:rsidRPr="00BD22C2">
        <w:rPr>
          <w:rFonts w:eastAsia="Calibri"/>
          <w:lang w:val="fr-CA"/>
        </w:rPr>
        <w:t>contextes non mixtes sur le plan du sexe ou du genre.</w:t>
      </w:r>
      <w:r w:rsidR="008664B8" w:rsidRPr="00BD22C2">
        <w:rPr>
          <w:rFonts w:eastAsia="Calibri"/>
          <w:lang w:val="fr-CA"/>
        </w:rPr>
        <w:t xml:space="preserve"> </w:t>
      </w:r>
      <w:r w:rsidR="00D31707" w:rsidRPr="00BD22C2">
        <w:rPr>
          <w:rFonts w:eastAsia="Calibri"/>
          <w:lang w:val="fr-CA"/>
        </w:rPr>
        <w:t xml:space="preserve">Il </w:t>
      </w:r>
      <w:r w:rsidR="00AB6558" w:rsidRPr="00BD22C2">
        <w:rPr>
          <w:rFonts w:eastAsia="Calibri"/>
          <w:lang w:val="fr-CA"/>
        </w:rPr>
        <w:t>invite aussi à la prudence lorsqu’il est question de vérification du sexe ou de l’identité de genre en raison du risque d</w:t>
      </w:r>
      <w:r w:rsidR="009E59A5" w:rsidRPr="00BD22C2">
        <w:rPr>
          <w:rFonts w:eastAsia="Calibri"/>
          <w:lang w:val="fr-CA"/>
        </w:rPr>
        <w:t>’atteintes aux droits</w:t>
      </w:r>
      <w:r w:rsidR="00B47E22" w:rsidRPr="00BD22C2">
        <w:rPr>
          <w:rFonts w:eastAsia="Calibri"/>
          <w:lang w:val="fr-CA"/>
        </w:rPr>
        <w:t xml:space="preserve"> </w:t>
      </w:r>
      <w:r w:rsidR="006C1B29" w:rsidRPr="00BD22C2">
        <w:rPr>
          <w:rFonts w:eastAsia="Calibri"/>
          <w:lang w:val="fr-CA"/>
        </w:rPr>
        <w:t>qu</w:t>
      </w:r>
      <w:r w:rsidR="009E59A5" w:rsidRPr="00BD22C2">
        <w:rPr>
          <w:rFonts w:eastAsia="Calibri"/>
          <w:lang w:val="fr-CA"/>
        </w:rPr>
        <w:t>i peut l’accompagner</w:t>
      </w:r>
      <w:r w:rsidR="00B47E22" w:rsidRPr="00BD22C2">
        <w:rPr>
          <w:rFonts w:eastAsia="Calibri"/>
          <w:lang w:val="fr-CA"/>
        </w:rPr>
        <w:t xml:space="preserve">, incluant le profilage discriminatoire. </w:t>
      </w:r>
      <w:r w:rsidR="00B15147" w:rsidRPr="00BD22C2">
        <w:rPr>
          <w:rFonts w:eastAsia="Calibri"/>
          <w:lang w:val="fr-CA"/>
        </w:rPr>
        <w:t xml:space="preserve">Deux </w:t>
      </w:r>
      <w:r w:rsidR="00AC784B" w:rsidRPr="00BD22C2">
        <w:rPr>
          <w:rFonts w:eastAsia="Calibri"/>
          <w:lang w:val="fr-CA"/>
        </w:rPr>
        <w:t xml:space="preserve">types de cas </w:t>
      </w:r>
      <w:r w:rsidR="001934A4" w:rsidRPr="00BD22C2">
        <w:rPr>
          <w:rFonts w:eastAsia="Calibri"/>
          <w:lang w:val="fr-CA"/>
        </w:rPr>
        <w:t>ont retenu</w:t>
      </w:r>
      <w:r w:rsidR="00F65925" w:rsidRPr="00BD22C2">
        <w:rPr>
          <w:rFonts w:eastAsia="Calibri"/>
          <w:lang w:val="fr-CA"/>
        </w:rPr>
        <w:t xml:space="preserve"> l’attention de la Commission et </w:t>
      </w:r>
      <w:r w:rsidR="00AC784B" w:rsidRPr="00BD22C2">
        <w:rPr>
          <w:rFonts w:eastAsia="Calibri"/>
          <w:lang w:val="fr-CA"/>
        </w:rPr>
        <w:t xml:space="preserve">serviront à illustrer comment </w:t>
      </w:r>
      <w:r w:rsidR="00E63D2A" w:rsidRPr="00BD22C2">
        <w:rPr>
          <w:rFonts w:eastAsia="Calibri"/>
          <w:lang w:val="fr-CA"/>
        </w:rPr>
        <w:t>l</w:t>
      </w:r>
      <w:r w:rsidR="004B3339" w:rsidRPr="00BD22C2">
        <w:rPr>
          <w:rFonts w:eastAsia="Calibri"/>
          <w:lang w:val="fr-CA"/>
        </w:rPr>
        <w:t>es</w:t>
      </w:r>
      <w:r w:rsidR="00AC784B" w:rsidRPr="00BD22C2">
        <w:rPr>
          <w:rFonts w:eastAsia="Calibri"/>
          <w:lang w:val="fr-CA"/>
        </w:rPr>
        <w:t xml:space="preserve"> paramètres </w:t>
      </w:r>
      <w:r w:rsidR="00E63D2A" w:rsidRPr="00BD22C2">
        <w:rPr>
          <w:rFonts w:eastAsia="Calibri"/>
          <w:lang w:val="fr-CA"/>
        </w:rPr>
        <w:t>de la Charte</w:t>
      </w:r>
      <w:r w:rsidR="00AC784B" w:rsidRPr="00BD22C2">
        <w:rPr>
          <w:rFonts w:eastAsia="Calibri"/>
          <w:lang w:val="fr-CA"/>
        </w:rPr>
        <w:t xml:space="preserve"> peuvent trouver application </w:t>
      </w:r>
      <w:r w:rsidR="00F125B4" w:rsidRPr="00BD22C2">
        <w:rPr>
          <w:rFonts w:eastAsia="Calibri"/>
          <w:lang w:val="fr-CA"/>
        </w:rPr>
        <w:t xml:space="preserve">en pratique. </w:t>
      </w:r>
      <w:r w:rsidR="00EA2044" w:rsidRPr="00BD22C2">
        <w:rPr>
          <w:rFonts w:eastAsia="Calibri"/>
          <w:lang w:val="fr-CA"/>
        </w:rPr>
        <w:t xml:space="preserve">Premièrement, </w:t>
      </w:r>
      <w:r w:rsidR="001806D0" w:rsidRPr="00BD22C2">
        <w:rPr>
          <w:rFonts w:eastAsia="Calibri"/>
          <w:lang w:val="fr-CA"/>
        </w:rPr>
        <w:t>la Commission a choisi de se pencher sur les toilettes et vestiaires</w:t>
      </w:r>
      <w:r w:rsidR="004E5697" w:rsidRPr="00BD22C2">
        <w:rPr>
          <w:rFonts w:eastAsia="Calibri"/>
          <w:lang w:val="fr-CA"/>
        </w:rPr>
        <w:t xml:space="preserve"> </w:t>
      </w:r>
      <w:r w:rsidR="000432B3" w:rsidRPr="00BD22C2">
        <w:rPr>
          <w:rFonts w:eastAsia="Calibri"/>
          <w:lang w:val="fr-CA"/>
        </w:rPr>
        <w:t>parce que ces lieux font partie du quotidien de toute personne</w:t>
      </w:r>
      <w:r w:rsidR="00BF2165" w:rsidRPr="00BD22C2">
        <w:rPr>
          <w:rFonts w:eastAsia="Calibri"/>
          <w:lang w:val="fr-CA"/>
        </w:rPr>
        <w:t xml:space="preserve"> et qu’</w:t>
      </w:r>
      <w:r w:rsidR="003F64F7" w:rsidRPr="00BD22C2">
        <w:rPr>
          <w:rFonts w:eastAsia="Calibri"/>
          <w:lang w:val="fr-CA"/>
        </w:rPr>
        <w:t>il</w:t>
      </w:r>
      <w:r w:rsidR="00BF2165" w:rsidRPr="00BD22C2">
        <w:rPr>
          <w:rFonts w:eastAsia="Calibri"/>
          <w:lang w:val="fr-CA"/>
        </w:rPr>
        <w:t xml:space="preserve">s ont fait l’objet de controverses publiques qui </w:t>
      </w:r>
      <w:r w:rsidR="00AE474D" w:rsidRPr="00BD22C2">
        <w:rPr>
          <w:rFonts w:eastAsia="Calibri"/>
          <w:lang w:val="fr-CA"/>
        </w:rPr>
        <w:t xml:space="preserve">ont </w:t>
      </w:r>
      <w:r w:rsidR="00BF2165" w:rsidRPr="00BD22C2">
        <w:rPr>
          <w:rFonts w:eastAsia="Calibri"/>
          <w:lang w:val="fr-CA"/>
        </w:rPr>
        <w:t>men</w:t>
      </w:r>
      <w:r w:rsidR="00AE474D" w:rsidRPr="00BD22C2">
        <w:rPr>
          <w:rFonts w:eastAsia="Calibri"/>
          <w:lang w:val="fr-CA"/>
        </w:rPr>
        <w:t>é</w:t>
      </w:r>
      <w:r w:rsidR="00BF2165" w:rsidRPr="00BD22C2">
        <w:rPr>
          <w:rFonts w:eastAsia="Calibri"/>
          <w:lang w:val="fr-CA"/>
        </w:rPr>
        <w:t xml:space="preserve"> à une action gouvernementale. </w:t>
      </w:r>
      <w:r w:rsidR="00D96E72" w:rsidRPr="00BD22C2">
        <w:rPr>
          <w:rFonts w:eastAsia="Calibri"/>
          <w:lang w:val="fr-CA"/>
        </w:rPr>
        <w:t>Deuxièmement,</w:t>
      </w:r>
      <w:r w:rsidR="002641D4" w:rsidRPr="00BD22C2">
        <w:rPr>
          <w:rFonts w:eastAsia="Calibri"/>
          <w:lang w:val="fr-CA"/>
        </w:rPr>
        <w:t xml:space="preserve"> la </w:t>
      </w:r>
      <w:r w:rsidR="002B673C" w:rsidRPr="00BD22C2">
        <w:rPr>
          <w:rFonts w:eastAsia="Calibri"/>
          <w:lang w:val="fr-CA"/>
        </w:rPr>
        <w:t>Commission</w:t>
      </w:r>
      <w:r w:rsidR="002641D4" w:rsidRPr="00BD22C2">
        <w:rPr>
          <w:rFonts w:eastAsia="Calibri"/>
          <w:lang w:val="fr-CA"/>
        </w:rPr>
        <w:t xml:space="preserve"> a souhaité </w:t>
      </w:r>
      <w:r w:rsidR="0058506E" w:rsidRPr="00BD22C2">
        <w:rPr>
          <w:rFonts w:eastAsia="Calibri"/>
          <w:lang w:val="fr-CA"/>
        </w:rPr>
        <w:t xml:space="preserve">aborder </w:t>
      </w:r>
      <w:r w:rsidR="00A61CE3" w:rsidRPr="00BD22C2">
        <w:rPr>
          <w:rFonts w:eastAsia="Calibri"/>
          <w:lang w:val="fr-CA"/>
        </w:rPr>
        <w:t>l</w:t>
      </w:r>
      <w:r w:rsidR="00793833" w:rsidRPr="00BD22C2">
        <w:rPr>
          <w:rFonts w:eastAsia="Calibri"/>
          <w:lang w:val="fr-CA"/>
        </w:rPr>
        <w:t>es établissements de détention</w:t>
      </w:r>
      <w:r w:rsidR="005562A7" w:rsidRPr="00BD22C2">
        <w:rPr>
          <w:rFonts w:eastAsia="Calibri"/>
          <w:lang w:val="fr-CA"/>
        </w:rPr>
        <w:t xml:space="preserve"> </w:t>
      </w:r>
      <w:r w:rsidR="008C130A" w:rsidRPr="00BD22C2">
        <w:rPr>
          <w:rFonts w:eastAsia="Calibri"/>
          <w:lang w:val="fr-CA"/>
        </w:rPr>
        <w:t xml:space="preserve">afin de faire le point sur </w:t>
      </w:r>
      <w:r w:rsidR="00F66CB9" w:rsidRPr="00BD22C2">
        <w:rPr>
          <w:rFonts w:eastAsia="Calibri"/>
          <w:lang w:val="fr-CA"/>
        </w:rPr>
        <w:t>s</w:t>
      </w:r>
      <w:r w:rsidR="00162BE7" w:rsidRPr="00BD22C2">
        <w:rPr>
          <w:rFonts w:eastAsia="Calibri"/>
          <w:lang w:val="fr-CA"/>
        </w:rPr>
        <w:t>es recommandations antérieures en lien avec</w:t>
      </w:r>
      <w:r w:rsidR="00D72C3B" w:rsidRPr="00BD22C2">
        <w:rPr>
          <w:rFonts w:eastAsia="Calibri"/>
          <w:lang w:val="fr-CA"/>
        </w:rPr>
        <w:t xml:space="preserve"> ce milieu</w:t>
      </w:r>
      <w:r w:rsidR="0058506E" w:rsidRPr="00BD22C2">
        <w:rPr>
          <w:rFonts w:eastAsia="Calibri"/>
          <w:lang w:val="fr-CA"/>
        </w:rPr>
        <w:t>.</w:t>
      </w:r>
    </w:p>
    <w:p w14:paraId="4895DA84" w14:textId="3CFD5F55" w:rsidR="00376EF8" w:rsidRPr="00BD22C2" w:rsidRDefault="00BA0E30" w:rsidP="00AC21DD">
      <w:pPr>
        <w:pStyle w:val="Corpsdetexte"/>
        <w:rPr>
          <w:rFonts w:eastAsia="Calibri"/>
        </w:rPr>
      </w:pPr>
      <w:r w:rsidRPr="00BD22C2" w:rsidDel="008664B8">
        <w:rPr>
          <w:rFonts w:eastAsia="Calibri"/>
        </w:rPr>
        <w:t>Cela dit, a</w:t>
      </w:r>
      <w:r w:rsidRPr="00BD22C2" w:rsidDel="00376EF8">
        <w:rPr>
          <w:rFonts w:eastAsia="Calibri"/>
        </w:rPr>
        <w:t xml:space="preserve">vant d’illustrer comment ces paramètres peuvent trouver application dans le cas des toilettes et vestiaires ainsi que des établissements carcéraux, un enjeu transversal à ce type de situations </w:t>
      </w:r>
      <w:r w:rsidRPr="00BD22C2" w:rsidDel="000B3C58">
        <w:rPr>
          <w:rFonts w:eastAsia="Calibri"/>
        </w:rPr>
        <w:t>doit être</w:t>
      </w:r>
      <w:r w:rsidRPr="00BD22C2" w:rsidDel="00376EF8">
        <w:rPr>
          <w:rFonts w:eastAsia="Calibri"/>
        </w:rPr>
        <w:t xml:space="preserve"> abordé, soit </w:t>
      </w:r>
      <w:r w:rsidRPr="00BD22C2" w:rsidDel="00BE495B">
        <w:rPr>
          <w:rFonts w:eastAsia="Calibri"/>
        </w:rPr>
        <w:t>l’identification du sexe ou du genre des personnes</w:t>
      </w:r>
      <w:r w:rsidRPr="00BD22C2" w:rsidDel="00376EF8">
        <w:rPr>
          <w:rFonts w:eastAsia="Calibri"/>
        </w:rPr>
        <w:t>.</w:t>
      </w:r>
    </w:p>
    <w:p w14:paraId="426704EF" w14:textId="121F4FCA" w:rsidR="00841C18" w:rsidRPr="00BD22C2" w:rsidRDefault="00841C18" w:rsidP="00EF1CB2">
      <w:pPr>
        <w:pStyle w:val="Titre2"/>
      </w:pPr>
      <w:bookmarkStart w:id="161" w:name="_Toc165301043"/>
      <w:bookmarkStart w:id="162" w:name="_Toc165636126"/>
      <w:r w:rsidRPr="00BD22C2">
        <w:t>Le cadre juridique applicable aux situations de non-mixité</w:t>
      </w:r>
      <w:bookmarkEnd w:id="161"/>
      <w:bookmarkEnd w:id="162"/>
    </w:p>
    <w:p w14:paraId="2A705EDA" w14:textId="4E7AB22A" w:rsidR="0087439D" w:rsidRPr="00BD22C2" w:rsidRDefault="00841C18" w:rsidP="00841C18">
      <w:pPr>
        <w:pStyle w:val="Paragraphe"/>
        <w:rPr>
          <w:rFonts w:eastAsia="Calibri"/>
          <w:lang w:val="fr-CA"/>
        </w:rPr>
      </w:pPr>
      <w:r w:rsidRPr="00BD22C2">
        <w:rPr>
          <w:rFonts w:eastAsia="Calibri"/>
          <w:lang w:val="fr-CA"/>
        </w:rPr>
        <w:t xml:space="preserve">Le refus de permettre l’accès à un service à une personne en lien avec son identité </w:t>
      </w:r>
      <w:r w:rsidR="00DC4667" w:rsidRPr="00BD22C2">
        <w:rPr>
          <w:rFonts w:eastAsia="Calibri"/>
          <w:lang w:val="fr-CA"/>
        </w:rPr>
        <w:t xml:space="preserve">ou expression </w:t>
      </w:r>
      <w:r w:rsidRPr="00BD22C2">
        <w:rPr>
          <w:rFonts w:eastAsia="Calibri"/>
          <w:lang w:val="fr-CA"/>
        </w:rPr>
        <w:t xml:space="preserve">de genre est susceptible de mettre en cause plusieurs droits de la Charte. </w:t>
      </w:r>
    </w:p>
    <w:p w14:paraId="05351C0B" w14:textId="11A2B7C3" w:rsidR="00841C18" w:rsidRPr="00BD22C2" w:rsidRDefault="00841C18" w:rsidP="00841C18">
      <w:pPr>
        <w:pStyle w:val="Paragraphe"/>
        <w:rPr>
          <w:rFonts w:eastAsia="Calibri"/>
          <w:lang w:val="fr-CA"/>
        </w:rPr>
      </w:pPr>
      <w:r w:rsidRPr="00BD22C2">
        <w:rPr>
          <w:rFonts w:eastAsia="Calibri"/>
          <w:lang w:val="fr-CA"/>
        </w:rPr>
        <w:t xml:space="preserve">En premier lieu, toute démarche visant la vérification de l’identité de genre « réelle » d’une personne et qui conditionnerait l’accès à un service au dévoilement d’informations personnelles relatives à la modalité de genre de la personne ou de ses caractéristiques sexuelles peut affecter l’exercice </w:t>
      </w:r>
      <w:r w:rsidR="00A37A2B" w:rsidRPr="00BD22C2">
        <w:rPr>
          <w:rFonts w:eastAsia="Calibri"/>
          <w:lang w:val="fr-CA"/>
        </w:rPr>
        <w:t xml:space="preserve">du </w:t>
      </w:r>
      <w:r w:rsidRPr="00BD22C2">
        <w:rPr>
          <w:rFonts w:eastAsia="Calibri"/>
          <w:lang w:val="fr-CA"/>
        </w:rPr>
        <w:t xml:space="preserve">droit à la sauvegarde de sa dignité (art. 4) et </w:t>
      </w:r>
      <w:r w:rsidR="00A37A2B" w:rsidRPr="00BD22C2">
        <w:rPr>
          <w:rFonts w:eastAsia="Calibri"/>
          <w:lang w:val="fr-CA"/>
        </w:rPr>
        <w:t xml:space="preserve">du </w:t>
      </w:r>
      <w:r w:rsidRPr="00BD22C2">
        <w:rPr>
          <w:rFonts w:eastAsia="Calibri"/>
          <w:lang w:val="fr-CA"/>
        </w:rPr>
        <w:t>droit au respect de sa vie privée (art. 5)</w:t>
      </w:r>
      <w:r w:rsidRPr="00BD22C2">
        <w:rPr>
          <w:rStyle w:val="Appeldenotedefin"/>
          <w:rFonts w:eastAsia="Calibri"/>
          <w:lang w:val="fr-CA"/>
        </w:rPr>
        <w:endnoteReference w:id="389"/>
      </w:r>
      <w:r w:rsidRPr="00BD22C2">
        <w:rPr>
          <w:rFonts w:eastAsia="Calibri"/>
          <w:lang w:val="fr-CA"/>
        </w:rPr>
        <w:t xml:space="preserve">. </w:t>
      </w:r>
    </w:p>
    <w:p w14:paraId="618195F4" w14:textId="40F2128A" w:rsidR="00841C18" w:rsidRPr="00BD22C2" w:rsidRDefault="00841C18" w:rsidP="00841C18">
      <w:pPr>
        <w:pStyle w:val="Paragraphe"/>
        <w:rPr>
          <w:rFonts w:eastAsia="Calibri"/>
          <w:lang w:val="fr-CA"/>
        </w:rPr>
      </w:pPr>
      <w:r w:rsidRPr="00BD22C2">
        <w:rPr>
          <w:rFonts w:eastAsia="Calibri"/>
          <w:lang w:val="fr-CA"/>
        </w:rPr>
        <w:t xml:space="preserve">En second lieu, refuser l’accès à des services ordinairement offerts au public ou la conclusion d’un acte juridique, en lien avec l’identité ou l’expression de genre, </w:t>
      </w:r>
      <w:r w:rsidR="0087439D" w:rsidRPr="00BD22C2">
        <w:rPr>
          <w:rFonts w:eastAsia="Calibri"/>
          <w:lang w:val="fr-CA"/>
        </w:rPr>
        <w:t>peut</w:t>
      </w:r>
      <w:r w:rsidRPr="00BD22C2">
        <w:rPr>
          <w:rFonts w:eastAsia="Calibri"/>
          <w:lang w:val="fr-CA"/>
        </w:rPr>
        <w:t xml:space="preserve"> constituer de la discrimination</w:t>
      </w:r>
      <w:r w:rsidR="00EF7E05" w:rsidRPr="00BD22C2">
        <w:rPr>
          <w:rFonts w:eastAsia="Calibri"/>
          <w:lang w:val="fr-CA"/>
        </w:rPr>
        <w:t xml:space="preserve"> (art.</w:t>
      </w:r>
      <w:r w:rsidR="0091080B">
        <w:rPr>
          <w:rFonts w:eastAsia="Calibri"/>
          <w:lang w:val="fr-CA"/>
        </w:rPr>
        <w:t> </w:t>
      </w:r>
      <w:r w:rsidR="00EF7E05" w:rsidRPr="00BD22C2">
        <w:rPr>
          <w:rFonts w:eastAsia="Calibri"/>
          <w:lang w:val="fr-CA"/>
        </w:rPr>
        <w:t>10 et 12)</w:t>
      </w:r>
      <w:r w:rsidRPr="00BD22C2">
        <w:rPr>
          <w:rFonts w:eastAsia="Calibri"/>
          <w:lang w:val="fr-CA"/>
        </w:rPr>
        <w:t xml:space="preserve">. </w:t>
      </w:r>
      <w:r w:rsidR="008B27F3" w:rsidRPr="00BD22C2">
        <w:rPr>
          <w:rFonts w:eastAsia="Calibri"/>
          <w:lang w:val="fr-CA"/>
        </w:rPr>
        <w:t>Il en serait de même</w:t>
      </w:r>
      <w:r w:rsidR="00040AA3" w:rsidRPr="00BD22C2">
        <w:rPr>
          <w:rFonts w:eastAsia="Calibri"/>
          <w:lang w:val="fr-CA"/>
        </w:rPr>
        <w:t xml:space="preserve"> d’un refus d’accès</w:t>
      </w:r>
      <w:r w:rsidRPr="00BD22C2">
        <w:rPr>
          <w:rFonts w:eastAsia="Calibri"/>
          <w:lang w:val="fr-CA"/>
        </w:rPr>
        <w:t xml:space="preserve"> </w:t>
      </w:r>
      <w:r w:rsidR="00232001" w:rsidRPr="00BD22C2">
        <w:rPr>
          <w:rFonts w:eastAsia="Calibri"/>
          <w:lang w:val="fr-CA"/>
        </w:rPr>
        <w:t>à certains lieux</w:t>
      </w:r>
      <w:r w:rsidRPr="00BD22C2">
        <w:rPr>
          <w:rFonts w:eastAsia="Calibri"/>
          <w:lang w:val="fr-CA"/>
        </w:rPr>
        <w:t xml:space="preserve"> </w:t>
      </w:r>
      <w:r w:rsidR="00F7426A" w:rsidRPr="00BD22C2">
        <w:rPr>
          <w:rFonts w:eastAsia="Calibri"/>
          <w:lang w:val="fr-CA"/>
        </w:rPr>
        <w:t>afin d’y obtenir les biens et services qui y sont disponibles (art.</w:t>
      </w:r>
      <w:r w:rsidR="0091080B">
        <w:rPr>
          <w:rFonts w:eastAsia="Calibri"/>
          <w:lang w:val="fr-CA"/>
        </w:rPr>
        <w:t> </w:t>
      </w:r>
      <w:r w:rsidR="00F7426A" w:rsidRPr="00BD22C2">
        <w:rPr>
          <w:rFonts w:eastAsia="Calibri"/>
          <w:lang w:val="fr-CA"/>
        </w:rPr>
        <w:t>10 et 15)</w:t>
      </w:r>
      <w:r w:rsidR="00A61320" w:rsidRPr="00BD22C2">
        <w:rPr>
          <w:rFonts w:eastAsia="Calibri"/>
          <w:lang w:val="fr-CA"/>
        </w:rPr>
        <w:t>.</w:t>
      </w:r>
      <w:r w:rsidRPr="00BD22C2">
        <w:rPr>
          <w:rFonts w:eastAsia="Calibri"/>
          <w:lang w:val="fr-CA"/>
        </w:rPr>
        <w:t xml:space="preserve"> Selon les circonstances, un tel refus pourrait également constituer du profilage discriminatoire, une forme particulière de discrimination mettant notamment en cause l’action d’une personne en situation d’autorité fondée sur des motifs de sûreté, de sécurité ou de protection du public.</w:t>
      </w:r>
    </w:p>
    <w:p w14:paraId="3ADAADD3" w14:textId="10EA2FFB" w:rsidR="00841C18" w:rsidRPr="00BD22C2" w:rsidRDefault="00841C18" w:rsidP="008C03D5">
      <w:pPr>
        <w:pStyle w:val="Paragraphe"/>
        <w:rPr>
          <w:rFonts w:eastAsia="Calibri"/>
          <w:lang w:val="fr-CA"/>
        </w:rPr>
      </w:pPr>
      <w:r w:rsidRPr="00BD22C2">
        <w:rPr>
          <w:rFonts w:eastAsia="Calibri"/>
          <w:lang w:val="fr-CA"/>
        </w:rPr>
        <w:lastRenderedPageBreak/>
        <w:t>Tel qu’expliqué précédemment, dans de tels cas, une fois établie la discrimination à première vue, le défendeur peut justifier sa conduite ou sa décision d’exclure la personne en invoquant les exemptions prévues par la Charte ou développées par la jurisprudence. S’il échoue, le tribunal conclura alors à l’existence de la discrimination</w:t>
      </w:r>
      <w:r w:rsidRPr="00BD22C2">
        <w:rPr>
          <w:rStyle w:val="Appeldenotedefin"/>
          <w:rFonts w:eastAsia="Calibri"/>
          <w:lang w:val="fr-CA"/>
        </w:rPr>
        <w:endnoteReference w:id="390"/>
      </w:r>
      <w:r w:rsidRPr="00BD22C2">
        <w:rPr>
          <w:rFonts w:eastAsia="Calibri"/>
          <w:lang w:val="fr-CA"/>
        </w:rPr>
        <w:t xml:space="preserve">. Le refus de permettre l’accès d’une personne trans ou non binaire à un service offert de manière non mixte </w:t>
      </w:r>
      <w:r w:rsidR="00A50819" w:rsidRPr="00BD22C2">
        <w:rPr>
          <w:rFonts w:eastAsia="Calibri"/>
          <w:lang w:val="fr-CA"/>
        </w:rPr>
        <w:t>appelle à fournir</w:t>
      </w:r>
      <w:r w:rsidRPr="00BD22C2">
        <w:rPr>
          <w:rFonts w:eastAsia="Calibri"/>
          <w:lang w:val="fr-CA"/>
        </w:rPr>
        <w:t xml:space="preserve"> </w:t>
      </w:r>
      <w:r w:rsidR="00901F13" w:rsidRPr="00BD22C2">
        <w:rPr>
          <w:rFonts w:eastAsia="Calibri"/>
          <w:lang w:val="fr-CA"/>
        </w:rPr>
        <w:t>des justifications sérieuses, telles qu’</w:t>
      </w:r>
      <w:r w:rsidRPr="00BD22C2">
        <w:rPr>
          <w:rFonts w:eastAsia="Calibri"/>
          <w:lang w:val="fr-CA"/>
        </w:rPr>
        <w:t xml:space="preserve">exposées dans </w:t>
      </w:r>
      <w:r w:rsidR="000B12F7" w:rsidRPr="00BD22C2">
        <w:rPr>
          <w:rFonts w:eastAsia="Calibri"/>
          <w:lang w:val="fr-CA"/>
        </w:rPr>
        <w:t>le cha</w:t>
      </w:r>
      <w:r w:rsidR="00733F00" w:rsidRPr="00BD22C2">
        <w:rPr>
          <w:rFonts w:eastAsia="Calibri"/>
          <w:lang w:val="fr-CA"/>
        </w:rPr>
        <w:t>pit</w:t>
      </w:r>
      <w:r w:rsidR="00241A2D" w:rsidRPr="00BD22C2">
        <w:rPr>
          <w:rFonts w:eastAsia="Calibri"/>
          <w:lang w:val="fr-CA"/>
        </w:rPr>
        <w:t>re</w:t>
      </w:r>
      <w:r w:rsidR="0091080B">
        <w:rPr>
          <w:rFonts w:eastAsia="Calibri"/>
          <w:lang w:val="fr-CA"/>
        </w:rPr>
        <w:t> </w:t>
      </w:r>
      <w:r w:rsidR="008B22B2" w:rsidRPr="00BD22C2">
        <w:rPr>
          <w:rFonts w:eastAsia="Calibri"/>
          <w:lang w:val="fr-CA"/>
        </w:rPr>
        <w:fldChar w:fldCharType="begin"/>
      </w:r>
      <w:r w:rsidR="008B22B2" w:rsidRPr="00BD22C2">
        <w:rPr>
          <w:rFonts w:eastAsia="Calibri"/>
          <w:lang w:val="fr-CA"/>
        </w:rPr>
        <w:instrText xml:space="preserve"> REF _Ref165037330 \r \h </w:instrText>
      </w:r>
      <w:r w:rsidR="008B22B2" w:rsidRPr="00BD22C2">
        <w:rPr>
          <w:rFonts w:eastAsia="Calibri"/>
          <w:lang w:val="fr-CA"/>
        </w:rPr>
      </w:r>
      <w:r w:rsidR="008B22B2" w:rsidRPr="00BD22C2">
        <w:rPr>
          <w:rFonts w:eastAsia="Calibri"/>
          <w:lang w:val="fr-CA"/>
        </w:rPr>
        <w:fldChar w:fldCharType="separate"/>
      </w:r>
      <w:r w:rsidR="00EB3C5E" w:rsidRPr="00BD22C2">
        <w:rPr>
          <w:rFonts w:eastAsia="Calibri"/>
          <w:lang w:val="fr-CA"/>
        </w:rPr>
        <w:t>4</w:t>
      </w:r>
      <w:r w:rsidR="008B22B2" w:rsidRPr="00BD22C2">
        <w:rPr>
          <w:rFonts w:eastAsia="Calibri"/>
          <w:lang w:val="fr-CA"/>
        </w:rPr>
        <w:fldChar w:fldCharType="end"/>
      </w:r>
      <w:r w:rsidRPr="00BD22C2">
        <w:rPr>
          <w:rFonts w:eastAsia="Calibri"/>
          <w:lang w:val="fr-CA"/>
        </w:rPr>
        <w:t xml:space="preserve"> du présent mémoire, soit la contrainte excessive dans le cas d’une demande d’accommodement raisonnable et les deux défenses prévues par l’article 20. S’ajoute à ces défenses </w:t>
      </w:r>
      <w:r w:rsidRPr="00FB10BF">
        <w:rPr>
          <w:rFonts w:eastAsia="Calibri"/>
          <w:lang w:val="fr-CA"/>
        </w:rPr>
        <w:t>un mécanisme</w:t>
      </w:r>
      <w:r w:rsidR="000D1F56" w:rsidRPr="00BD22C2">
        <w:rPr>
          <w:rFonts w:eastAsia="Calibri"/>
          <w:lang w:val="fr-CA"/>
        </w:rPr>
        <w:t xml:space="preserve"> de </w:t>
      </w:r>
      <w:r w:rsidRPr="00BD22C2">
        <w:rPr>
          <w:rFonts w:eastAsia="Calibri"/>
          <w:lang w:val="fr-CA"/>
        </w:rPr>
        <w:t xml:space="preserve">conciliation </w:t>
      </w:r>
      <w:r w:rsidRPr="00FB10BF">
        <w:rPr>
          <w:rFonts w:eastAsia="Calibri"/>
          <w:lang w:val="fr-CA"/>
        </w:rPr>
        <w:t>des</w:t>
      </w:r>
      <w:r w:rsidRPr="00BD22C2" w:rsidDel="00210BEC">
        <w:rPr>
          <w:rFonts w:eastAsia="Calibri"/>
          <w:lang w:val="fr-CA"/>
        </w:rPr>
        <w:t xml:space="preserve"> droits</w:t>
      </w:r>
      <w:r w:rsidR="00725E3D" w:rsidRPr="00BD22C2" w:rsidDel="000D1F56">
        <w:rPr>
          <w:rFonts w:eastAsia="Calibri"/>
          <w:lang w:val="fr-CA"/>
        </w:rPr>
        <w:t>,</w:t>
      </w:r>
      <w:r w:rsidRPr="00BD22C2" w:rsidDel="000D1F56">
        <w:rPr>
          <w:rFonts w:eastAsia="Calibri"/>
          <w:lang w:val="fr-CA"/>
        </w:rPr>
        <w:t xml:space="preserve"> découlant de l’article 9.1, qui pourrait être applicable</w:t>
      </w:r>
      <w:r w:rsidRPr="00BD22C2">
        <w:rPr>
          <w:rFonts w:eastAsia="Calibri"/>
          <w:lang w:val="fr-CA"/>
        </w:rPr>
        <w:t xml:space="preserve"> advenant un conflit entre le droit à l’égalité et un autre droit protégé par la Charte.</w:t>
      </w:r>
    </w:p>
    <w:p w14:paraId="50B8D015" w14:textId="19678C8F" w:rsidR="00BA0E30" w:rsidRPr="00BD22C2" w:rsidRDefault="00BA0E30" w:rsidP="00EF1CB2">
      <w:pPr>
        <w:pStyle w:val="Titre2"/>
        <w:rPr>
          <w:rFonts w:eastAsia="Calibri"/>
        </w:rPr>
      </w:pPr>
      <w:bookmarkStart w:id="163" w:name="_Toc165301044"/>
      <w:bookmarkStart w:id="164" w:name="_Toc165636127"/>
      <w:r w:rsidRPr="00BD22C2">
        <w:rPr>
          <w:rFonts w:eastAsia="Calibri"/>
        </w:rPr>
        <w:t>L’identification du sexe ou du genre et le risque de profilage discriminatoire</w:t>
      </w:r>
      <w:bookmarkEnd w:id="163"/>
      <w:bookmarkEnd w:id="164"/>
    </w:p>
    <w:p w14:paraId="7AB51780" w14:textId="25EBFB65" w:rsidR="00BA0E30" w:rsidRPr="00BD22C2" w:rsidRDefault="00BA0E30" w:rsidP="00126321">
      <w:pPr>
        <w:pStyle w:val="Paragraphe"/>
        <w:rPr>
          <w:lang w:val="fr-CA"/>
        </w:rPr>
      </w:pPr>
      <w:r w:rsidRPr="00BD22C2">
        <w:rPr>
          <w:lang w:val="fr-CA"/>
        </w:rPr>
        <w:t xml:space="preserve">Il arrive que les personnes en autorité responsables d’espaces non mixtes sur le plan du sexe ou </w:t>
      </w:r>
      <w:r w:rsidR="005336AD" w:rsidRPr="00BD22C2">
        <w:rPr>
          <w:lang w:val="fr-CA"/>
        </w:rPr>
        <w:t xml:space="preserve">du </w:t>
      </w:r>
      <w:r w:rsidRPr="00BD22C2">
        <w:rPr>
          <w:lang w:val="fr-CA"/>
        </w:rPr>
        <w:t>genre</w:t>
      </w:r>
      <w:r w:rsidR="004435B2" w:rsidRPr="00BD22C2">
        <w:rPr>
          <w:lang w:val="fr-CA"/>
        </w:rPr>
        <w:t>,</w:t>
      </w:r>
      <w:r w:rsidRPr="00BD22C2">
        <w:rPr>
          <w:lang w:val="fr-CA"/>
        </w:rPr>
        <w:t xml:space="preserve"> ou les autres personnes </w:t>
      </w:r>
      <w:r w:rsidR="004435B2" w:rsidRPr="00BD22C2">
        <w:rPr>
          <w:lang w:val="fr-CA"/>
        </w:rPr>
        <w:t xml:space="preserve">qui </w:t>
      </w:r>
      <w:r w:rsidRPr="00BD22C2">
        <w:rPr>
          <w:lang w:val="fr-CA"/>
        </w:rPr>
        <w:t>les fréquent</w:t>
      </w:r>
      <w:r w:rsidR="004435B2" w:rsidRPr="00BD22C2">
        <w:rPr>
          <w:lang w:val="fr-CA"/>
        </w:rPr>
        <w:t>e</w:t>
      </w:r>
      <w:r w:rsidRPr="00BD22C2">
        <w:rPr>
          <w:lang w:val="fr-CA"/>
        </w:rPr>
        <w:t>nt</w:t>
      </w:r>
      <w:r w:rsidR="004435B2" w:rsidRPr="00BD22C2">
        <w:rPr>
          <w:lang w:val="fr-CA"/>
        </w:rPr>
        <w:t>,</w:t>
      </w:r>
      <w:r w:rsidRPr="00BD22C2">
        <w:rPr>
          <w:lang w:val="fr-CA"/>
        </w:rPr>
        <w:t xml:space="preserve"> se posent des questions sur l’identité de genre d’une personne trans ou non binaire ou présumée l’être. Elles cherchent</w:t>
      </w:r>
      <w:r w:rsidRPr="00BD22C2" w:rsidDel="00617A2B">
        <w:rPr>
          <w:lang w:val="fr-CA"/>
        </w:rPr>
        <w:t xml:space="preserve"> </w:t>
      </w:r>
      <w:r w:rsidR="00617A2B" w:rsidRPr="00BD22C2">
        <w:rPr>
          <w:lang w:val="fr-CA"/>
        </w:rPr>
        <w:t>alors</w:t>
      </w:r>
      <w:r w:rsidRPr="00BD22C2">
        <w:rPr>
          <w:lang w:val="fr-CA"/>
        </w:rPr>
        <w:t xml:space="preserve"> à savoir si cette personne peut être présente dans un espace non mixte donné</w:t>
      </w:r>
      <w:r w:rsidR="00A26A57" w:rsidRPr="00BD22C2">
        <w:rPr>
          <w:lang w:val="fr-CA"/>
        </w:rPr>
        <w:t xml:space="preserve"> ou occup</w:t>
      </w:r>
      <w:r w:rsidR="0009276F" w:rsidRPr="00BD22C2">
        <w:rPr>
          <w:lang w:val="fr-CA"/>
        </w:rPr>
        <w:t>er</w:t>
      </w:r>
      <w:r w:rsidR="00A26A57" w:rsidRPr="00BD22C2">
        <w:rPr>
          <w:lang w:val="fr-CA"/>
        </w:rPr>
        <w:t xml:space="preserve"> un poste </w:t>
      </w:r>
      <w:r w:rsidR="002F59D7">
        <w:rPr>
          <w:lang w:val="fr-CA"/>
        </w:rPr>
        <w:t>donné</w:t>
      </w:r>
      <w:r w:rsidRPr="00BD22C2">
        <w:rPr>
          <w:lang w:val="fr-CA"/>
        </w:rPr>
        <w:t xml:space="preserve">. </w:t>
      </w:r>
    </w:p>
    <w:p w14:paraId="7C478347" w14:textId="28A01AD9" w:rsidR="00BA0E30" w:rsidRPr="00BD22C2" w:rsidRDefault="00BA0E30" w:rsidP="00126321">
      <w:pPr>
        <w:pStyle w:val="Paragraphe"/>
        <w:rPr>
          <w:rFonts w:eastAsia="Calibri"/>
          <w:lang w:val="fr-CA"/>
        </w:rPr>
      </w:pPr>
      <w:r w:rsidRPr="00BD22C2">
        <w:rPr>
          <w:lang w:val="fr-CA"/>
        </w:rPr>
        <w:t>Les femmes trans font l’objet d’une attention particulièrement soutenue, étant constamment soupçonnées de cacher un homme potentiellement prédateur. Cette crainte s’appuie sur le stéréotype selon lequel les femmes trans seraient en fait des « hommes » ou des « mâles » qui pourraient porter atteinte à la sécurité ou au sentiment de sécurité des femmes</w:t>
      </w:r>
      <w:r w:rsidRPr="00BD22C2">
        <w:rPr>
          <w:rStyle w:val="Appeldenotedefin"/>
          <w:lang w:val="fr-CA"/>
        </w:rPr>
        <w:endnoteReference w:id="391"/>
      </w:r>
      <w:r w:rsidRPr="00BD22C2">
        <w:rPr>
          <w:lang w:val="fr-CA"/>
        </w:rPr>
        <w:t>. Cette inquiétude n’est pas sans rappeler les stéréotypes qui ont associé les hommes homosexuels à des déviants sexuels</w:t>
      </w:r>
      <w:r w:rsidRPr="00BD22C2">
        <w:rPr>
          <w:rStyle w:val="Appeldenotedefin"/>
          <w:lang w:val="fr-CA"/>
        </w:rPr>
        <w:endnoteReference w:id="392"/>
      </w:r>
      <w:r w:rsidRPr="00BD22C2">
        <w:rPr>
          <w:lang w:val="fr-CA"/>
        </w:rPr>
        <w:t>.</w:t>
      </w:r>
    </w:p>
    <w:p w14:paraId="5B7D5582" w14:textId="4F58665E" w:rsidR="00BA0E30" w:rsidRPr="00BD22C2" w:rsidRDefault="00BA0E30" w:rsidP="00453E3C">
      <w:pPr>
        <w:pStyle w:val="Paragraphe"/>
        <w:rPr>
          <w:lang w:val="fr-CA"/>
        </w:rPr>
      </w:pPr>
      <w:r w:rsidRPr="00BD22C2">
        <w:rPr>
          <w:lang w:val="fr-CA"/>
        </w:rPr>
        <w:t>Cette interrogation constante conduit à se demander comment il serait possible de valider le sexe ou l’identité de genre d’une personne qui se présente dans un espace non mixte</w:t>
      </w:r>
      <w:r w:rsidR="00534116" w:rsidRPr="00BD22C2">
        <w:rPr>
          <w:lang w:val="fr-CA"/>
        </w:rPr>
        <w:t xml:space="preserve"> </w:t>
      </w:r>
      <w:r w:rsidR="00DC0EF0" w:rsidRPr="00BD22C2">
        <w:rPr>
          <w:lang w:val="fr-CA"/>
        </w:rPr>
        <w:t xml:space="preserve">ou </w:t>
      </w:r>
      <w:r w:rsidR="00AE480F" w:rsidRPr="00BD22C2">
        <w:rPr>
          <w:lang w:val="fr-CA"/>
        </w:rPr>
        <w:t>postule</w:t>
      </w:r>
      <w:r w:rsidR="00AE480F">
        <w:rPr>
          <w:lang w:val="fr-CA"/>
        </w:rPr>
        <w:t xml:space="preserve"> </w:t>
      </w:r>
      <w:r w:rsidR="00DC0EF0" w:rsidRPr="00BD22C2">
        <w:rPr>
          <w:lang w:val="fr-CA"/>
        </w:rPr>
        <w:t xml:space="preserve">un emploi </w:t>
      </w:r>
      <w:r w:rsidR="00E06427">
        <w:rPr>
          <w:lang w:val="fr-CA"/>
        </w:rPr>
        <w:t>qu</w:t>
      </w:r>
      <w:r w:rsidR="00EA7648">
        <w:rPr>
          <w:lang w:val="fr-CA"/>
        </w:rPr>
        <w:t>i serait</w:t>
      </w:r>
      <w:r w:rsidR="00DC0EF0">
        <w:rPr>
          <w:lang w:val="fr-CA"/>
        </w:rPr>
        <w:t xml:space="preserve"> </w:t>
      </w:r>
      <w:r w:rsidR="0063787B" w:rsidRPr="00BD22C2">
        <w:rPr>
          <w:lang w:val="fr-CA"/>
        </w:rPr>
        <w:t xml:space="preserve">réservé à un </w:t>
      </w:r>
      <w:r w:rsidR="00B428B2">
        <w:rPr>
          <w:lang w:val="fr-CA"/>
        </w:rPr>
        <w:t>homme ou une femme</w:t>
      </w:r>
      <w:r w:rsidR="00FB13B2">
        <w:rPr>
          <w:lang w:val="fr-CA"/>
        </w:rPr>
        <w:t xml:space="preserve"> par exemple</w:t>
      </w:r>
      <w:r w:rsidRPr="00FB10BF">
        <w:rPr>
          <w:lang w:val="fr-CA"/>
        </w:rPr>
        <w:t>.</w:t>
      </w:r>
      <w:r w:rsidRPr="00BD22C2">
        <w:rPr>
          <w:lang w:val="fr-CA"/>
        </w:rPr>
        <w:t xml:space="preserve"> Plusieurs moyens peuvent être considérés à cette fin.</w:t>
      </w:r>
    </w:p>
    <w:p w14:paraId="4A2FBDBC" w14:textId="05E76270" w:rsidR="00BA0E30" w:rsidRPr="00BD22C2" w:rsidRDefault="00BA0E30" w:rsidP="00960283">
      <w:pPr>
        <w:pStyle w:val="Paragraphe"/>
        <w:rPr>
          <w:lang w:val="fr-CA"/>
        </w:rPr>
      </w:pPr>
      <w:r w:rsidRPr="00BD22C2">
        <w:rPr>
          <w:lang w:val="fr-CA"/>
        </w:rPr>
        <w:t xml:space="preserve">Une première option serait de contrôler la mention du sexe </w:t>
      </w:r>
      <w:r w:rsidR="00EF7360" w:rsidRPr="00BD22C2">
        <w:rPr>
          <w:lang w:val="fr-CA"/>
        </w:rPr>
        <w:t xml:space="preserve">inscrite </w:t>
      </w:r>
      <w:r w:rsidRPr="00BD22C2">
        <w:rPr>
          <w:lang w:val="fr-CA"/>
        </w:rPr>
        <w:t>sur les documents d’identité d’une personne. Cette avenue apparaît</w:t>
      </w:r>
      <w:r w:rsidRPr="00BD22C2">
        <w:rPr>
          <w:rFonts w:eastAsia="Calibri"/>
          <w:lang w:val="fr-CA"/>
        </w:rPr>
        <w:t xml:space="preserve"> d’emblée </w:t>
      </w:r>
      <w:r w:rsidRPr="00BD22C2">
        <w:rPr>
          <w:lang w:val="fr-CA"/>
        </w:rPr>
        <w:t xml:space="preserve">impraticable, aucun contrôle n’étant réalisé ou envisageable à l’entrée de lieux comme des toilettes ou des vestiaires. De plus, la mention du sexe ne reflète pas nécessairement l’identité de genre actuelle de la personne ni même son </w:t>
      </w:r>
      <w:r w:rsidRPr="00BD22C2">
        <w:rPr>
          <w:lang w:val="fr-CA"/>
        </w:rPr>
        <w:lastRenderedPageBreak/>
        <w:t>expression de genre ou l’apparence de ses caractéristiques sexuelles. Or, ces deux derniers éléments sont généralement au cœur des craintes associées à la présence de personnes trans ou non binaires dans des espaces non mixtes.</w:t>
      </w:r>
    </w:p>
    <w:p w14:paraId="088F651B" w14:textId="313D3064" w:rsidR="00BA0E30" w:rsidRPr="00BD22C2" w:rsidRDefault="00BA0E30" w:rsidP="00453E3C">
      <w:pPr>
        <w:pStyle w:val="Paragraphe"/>
        <w:rPr>
          <w:lang w:val="fr-CA"/>
        </w:rPr>
      </w:pPr>
      <w:r w:rsidRPr="00BD22C2">
        <w:rPr>
          <w:lang w:val="fr-CA"/>
        </w:rPr>
        <w:t>Une autre possibilité serait de se fier à l’apparence de la personne, soit essentiellement à son expression de genre. Cependant, l’identification sur la base de l’expression de genre semble indissociable des stéréotypes de genre</w:t>
      </w:r>
      <w:r w:rsidRPr="00BD22C2">
        <w:rPr>
          <w:vertAlign w:val="superscript"/>
          <w:lang w:val="fr-CA"/>
        </w:rPr>
        <w:endnoteReference w:id="393"/>
      </w:r>
      <w:r w:rsidRPr="00BD22C2">
        <w:rPr>
          <w:lang w:val="fr-CA"/>
        </w:rPr>
        <w:t>, c’est-à-dire des idées préconçues sur ce à quoi devrait ressembler un homme, une femme ou une personne non binaire. Puisqu’</w:t>
      </w:r>
      <w:r w:rsidR="00A54D62" w:rsidRPr="00BD22C2">
        <w:rPr>
          <w:lang w:val="fr-CA"/>
        </w:rPr>
        <w:t>il</w:t>
      </w:r>
      <w:r w:rsidRPr="00BD22C2">
        <w:rPr>
          <w:lang w:val="fr-CA"/>
        </w:rPr>
        <w:t xml:space="preserve"> est susceptible d’alimenter des préjugés et de mener à des résultats discriminatoires, ce moyen ne devrait pas être utilisé.</w:t>
      </w:r>
    </w:p>
    <w:p w14:paraId="4C66B479" w14:textId="434FBE32" w:rsidR="00BA0E30" w:rsidRPr="00BD22C2" w:rsidRDefault="005252CD" w:rsidP="00453E3C">
      <w:pPr>
        <w:pStyle w:val="Paragraphe"/>
        <w:rPr>
          <w:lang w:val="fr-CA"/>
        </w:rPr>
      </w:pPr>
      <w:r w:rsidRPr="00BD22C2">
        <w:rPr>
          <w:lang w:val="fr-CA"/>
        </w:rPr>
        <w:t xml:space="preserve">D’autres méthodes </w:t>
      </w:r>
      <w:r w:rsidR="00F263A6" w:rsidRPr="00BD22C2">
        <w:rPr>
          <w:lang w:val="fr-CA"/>
        </w:rPr>
        <w:t>impliquant</w:t>
      </w:r>
      <w:r w:rsidR="00BA0E30" w:rsidRPr="00BD22C2">
        <w:rPr>
          <w:lang w:val="fr-CA"/>
        </w:rPr>
        <w:t xml:space="preserve"> des questions nécessairement invasives sur le processus de transition de la personne</w:t>
      </w:r>
      <w:r w:rsidR="00DC22CE" w:rsidRPr="00BD22C2">
        <w:rPr>
          <w:lang w:val="fr-CA"/>
        </w:rPr>
        <w:t xml:space="preserve"> </w:t>
      </w:r>
      <w:r w:rsidR="00DC22CE" w:rsidRPr="00BD22C2">
        <w:rPr>
          <w:rFonts w:cs="Arial"/>
          <w:lang w:val="fr-CA"/>
        </w:rPr>
        <w:t>—</w:t>
      </w:r>
      <w:r w:rsidR="00BA0E30" w:rsidRPr="00BD22C2">
        <w:rPr>
          <w:lang w:val="fr-CA"/>
        </w:rPr>
        <w:t xml:space="preserve"> et donc possiblement sur ses organes génitaux</w:t>
      </w:r>
      <w:r w:rsidR="00DC22CE" w:rsidRPr="00BD22C2">
        <w:rPr>
          <w:lang w:val="fr-CA"/>
        </w:rPr>
        <w:t xml:space="preserve"> </w:t>
      </w:r>
      <w:r w:rsidR="00DC22CE" w:rsidRPr="00BD22C2">
        <w:rPr>
          <w:rFonts w:cs="Arial"/>
          <w:lang w:val="fr-CA"/>
        </w:rPr>
        <w:t>—</w:t>
      </w:r>
      <w:r w:rsidR="00BA0E30" w:rsidRPr="00BD22C2">
        <w:rPr>
          <w:lang w:val="fr-CA"/>
        </w:rPr>
        <w:t xml:space="preserve"> ou encore une fouille à nue</w:t>
      </w:r>
      <w:r w:rsidR="00DC22CE" w:rsidRPr="00BD22C2">
        <w:rPr>
          <w:lang w:val="fr-CA"/>
        </w:rPr>
        <w:t xml:space="preserve"> sont toutes aussi inacceptables</w:t>
      </w:r>
      <w:r w:rsidR="00BA0E30" w:rsidRPr="00BD22C2">
        <w:rPr>
          <w:lang w:val="fr-CA"/>
        </w:rPr>
        <w:t>.</w:t>
      </w:r>
    </w:p>
    <w:p w14:paraId="1B26620C" w14:textId="68407302" w:rsidR="00BA0E30" w:rsidRPr="00BD22C2" w:rsidRDefault="00BA0E30" w:rsidP="00453E3C">
      <w:pPr>
        <w:pStyle w:val="Paragraphe"/>
        <w:rPr>
          <w:lang w:val="fr-CA"/>
        </w:rPr>
      </w:pPr>
      <w:r w:rsidRPr="00BD22C2">
        <w:rPr>
          <w:lang w:val="fr-CA"/>
        </w:rPr>
        <w:t>Dans tous ces cas, la suspicion initiale se base sur l’apparence de la personne. Une telle surveillance constitue en soi une atteinte discriminatoire</w:t>
      </w:r>
      <w:r w:rsidR="00DA75C3" w:rsidRPr="00BD22C2">
        <w:rPr>
          <w:lang w:val="fr-CA"/>
        </w:rPr>
        <w:t>, voire du profilage discriminatoire,</w:t>
      </w:r>
      <w:r w:rsidRPr="00BD22C2">
        <w:rPr>
          <w:lang w:val="fr-CA"/>
        </w:rPr>
        <w:t xml:space="preserve"> sur la base de l’identité ou l’expression de genre</w:t>
      </w:r>
      <w:r w:rsidR="00C35E7E" w:rsidRPr="00BD22C2">
        <w:rPr>
          <w:lang w:val="fr-CA"/>
        </w:rPr>
        <w:t xml:space="preserve">. </w:t>
      </w:r>
      <w:r w:rsidR="005431C8" w:rsidRPr="00BD22C2">
        <w:rPr>
          <w:lang w:val="fr-CA"/>
        </w:rPr>
        <w:t xml:space="preserve">Elle met en cause l’exercice en pleine égalité </w:t>
      </w:r>
      <w:r w:rsidR="009B75CB" w:rsidRPr="00BD22C2">
        <w:rPr>
          <w:lang w:val="fr-CA"/>
        </w:rPr>
        <w:t>des droits</w:t>
      </w:r>
      <w:r w:rsidRPr="00BD22C2">
        <w:rPr>
          <w:lang w:val="fr-CA"/>
        </w:rPr>
        <w:t xml:space="preserve"> à la sauvegarde de sa dignité, au respect de sa vie privée et à accéder à un </w:t>
      </w:r>
      <w:r w:rsidR="00DA75C3" w:rsidRPr="00BD22C2">
        <w:rPr>
          <w:lang w:val="fr-CA"/>
        </w:rPr>
        <w:t xml:space="preserve">lieu ou à un </w:t>
      </w:r>
      <w:r w:rsidRPr="00BD22C2">
        <w:rPr>
          <w:lang w:val="fr-CA"/>
        </w:rPr>
        <w:t>service.</w:t>
      </w:r>
    </w:p>
    <w:p w14:paraId="2A8C22E7" w14:textId="108D34BE" w:rsidR="00BA0E30" w:rsidRPr="00BD22C2" w:rsidRDefault="00BA0E30" w:rsidP="00453E3C">
      <w:pPr>
        <w:pStyle w:val="Paragraphe"/>
        <w:rPr>
          <w:lang w:val="fr-CA"/>
        </w:rPr>
      </w:pPr>
      <w:r w:rsidRPr="00BD22C2">
        <w:rPr>
          <w:lang w:val="fr-CA"/>
        </w:rPr>
        <w:t>Ces cas de figure exposent jusqu’où peut mener l’idée</w:t>
      </w:r>
      <w:r w:rsidR="00887D73" w:rsidRPr="00BD22C2">
        <w:rPr>
          <w:lang w:val="fr-CA"/>
        </w:rPr>
        <w:t xml:space="preserve"> d’encadrer l’accès à des espaces sur la base du sexe biologique.</w:t>
      </w:r>
      <w:r w:rsidRPr="00BD22C2">
        <w:rPr>
          <w:lang w:val="fr-CA"/>
        </w:rPr>
        <w:t xml:space="preserve"> </w:t>
      </w:r>
      <w:r w:rsidR="00181E24" w:rsidRPr="00BD22C2">
        <w:rPr>
          <w:lang w:val="fr-CA"/>
        </w:rPr>
        <w:t>Plusieurs États américains ont déjà adopté</w:t>
      </w:r>
      <w:r w:rsidR="0015151B" w:rsidRPr="00BD22C2">
        <w:rPr>
          <w:lang w:val="fr-CA"/>
        </w:rPr>
        <w:t xml:space="preserve"> d</w:t>
      </w:r>
      <w:r w:rsidR="00887D73" w:rsidRPr="00BD22C2">
        <w:rPr>
          <w:lang w:val="fr-CA"/>
        </w:rPr>
        <w:t>es mesures allant en ce sens</w:t>
      </w:r>
      <w:r w:rsidR="00887D73" w:rsidRPr="00BD22C2" w:rsidDel="002F0746">
        <w:rPr>
          <w:lang w:val="fr-CA"/>
        </w:rPr>
        <w:t xml:space="preserve"> </w:t>
      </w:r>
      <w:r w:rsidR="00021DC2" w:rsidRPr="00BD22C2">
        <w:rPr>
          <w:lang w:val="fr-CA"/>
        </w:rPr>
        <w:t>au cours des dernières années</w:t>
      </w:r>
      <w:r w:rsidRPr="00BD22C2">
        <w:rPr>
          <w:rStyle w:val="Appeldenotedefin"/>
          <w:lang w:val="fr-CA"/>
        </w:rPr>
        <w:endnoteReference w:id="394"/>
      </w:r>
      <w:r w:rsidRPr="00BD22C2">
        <w:rPr>
          <w:lang w:val="fr-CA"/>
        </w:rPr>
        <w:t xml:space="preserve">. </w:t>
      </w:r>
      <w:r w:rsidR="00CA77AA" w:rsidRPr="00BD22C2">
        <w:rPr>
          <w:lang w:val="fr-CA"/>
        </w:rPr>
        <w:t>À titre d’exemple</w:t>
      </w:r>
      <w:r w:rsidR="0064124C" w:rsidRPr="00BD22C2">
        <w:rPr>
          <w:lang w:val="fr-CA"/>
        </w:rPr>
        <w:t>, l</w:t>
      </w:r>
      <w:r w:rsidRPr="00BD22C2">
        <w:rPr>
          <w:lang w:val="fr-CA"/>
        </w:rPr>
        <w:t>’Utah a</w:t>
      </w:r>
      <w:r w:rsidRPr="00BD22C2" w:rsidDel="00C8133E">
        <w:rPr>
          <w:lang w:val="fr-CA"/>
        </w:rPr>
        <w:t xml:space="preserve"> </w:t>
      </w:r>
      <w:r w:rsidRPr="00BD22C2">
        <w:rPr>
          <w:lang w:val="fr-CA"/>
        </w:rPr>
        <w:t>adopté une loi</w:t>
      </w:r>
      <w:r w:rsidRPr="00BD22C2">
        <w:rPr>
          <w:rStyle w:val="Appeldenotedefin"/>
          <w:lang w:val="fr-CA"/>
        </w:rPr>
        <w:endnoteReference w:id="395"/>
      </w:r>
      <w:r w:rsidRPr="00BD22C2">
        <w:rPr>
          <w:lang w:val="fr-CA"/>
        </w:rPr>
        <w:t xml:space="preserve"> qui prévoit qu’un élève souhaitant utiliser une toilette ou un vestiaire ne correspondant pas à son «</w:t>
      </w:r>
      <w:r w:rsidR="00974BD5" w:rsidRPr="00BD22C2">
        <w:rPr>
          <w:lang w:val="fr-CA"/>
        </w:rPr>
        <w:t> </w:t>
      </w:r>
      <w:r w:rsidRPr="00BD22C2">
        <w:rPr>
          <w:lang w:val="fr-CA"/>
        </w:rPr>
        <w:t>sexe biologique</w:t>
      </w:r>
      <w:r w:rsidR="00974BD5" w:rsidRPr="00BD22C2">
        <w:rPr>
          <w:lang w:val="fr-CA"/>
        </w:rPr>
        <w:t> </w:t>
      </w:r>
      <w:r w:rsidRPr="00BD22C2">
        <w:rPr>
          <w:lang w:val="fr-CA"/>
        </w:rPr>
        <w:t>» doive faire une demande</w:t>
      </w:r>
      <w:r w:rsidR="00CF5192" w:rsidRPr="00BD22C2">
        <w:rPr>
          <w:lang w:val="fr-CA"/>
        </w:rPr>
        <w:t>. U</w:t>
      </w:r>
      <w:r w:rsidRPr="00BD22C2">
        <w:rPr>
          <w:lang w:val="fr-CA"/>
        </w:rPr>
        <w:t xml:space="preserve">n plan </w:t>
      </w:r>
      <w:r w:rsidR="00CF5192" w:rsidRPr="00BD22C2">
        <w:rPr>
          <w:lang w:val="fr-CA"/>
        </w:rPr>
        <w:t>doit alors être</w:t>
      </w:r>
      <w:r w:rsidRPr="00BD22C2">
        <w:rPr>
          <w:lang w:val="fr-CA"/>
        </w:rPr>
        <w:t xml:space="preserve"> élaboré par l’établissement, en concertation avec ses parents, pour permettre l’accès à un autre lieu, comme des toilettes unisexes. Une personne contrevenant à ces règles est passible de sanctions. </w:t>
      </w:r>
      <w:r w:rsidR="00C6088F" w:rsidRPr="00BD22C2">
        <w:rPr>
          <w:lang w:val="fr-CA"/>
        </w:rPr>
        <w:t>Toujours selon cette loi, u</w:t>
      </w:r>
      <w:r w:rsidRPr="00BD22C2">
        <w:rPr>
          <w:lang w:val="fr-CA"/>
        </w:rPr>
        <w:t>n élève qui serait soupçonné d’utiliser les toilettes ou vestiaires dédiés à un sexe ne correspondant pas à son sexe biologique pourrait</w:t>
      </w:r>
      <w:r w:rsidR="00037223" w:rsidRPr="00BD22C2">
        <w:rPr>
          <w:lang w:val="fr-CA"/>
        </w:rPr>
        <w:t xml:space="preserve"> </w:t>
      </w:r>
      <w:r w:rsidRPr="00BD22C2">
        <w:rPr>
          <w:lang w:val="fr-CA"/>
        </w:rPr>
        <w:t xml:space="preserve">utiliser comme preuve pour sa défense un acte d’état civil non amendé ou encore la documentation d’un traitement ou d’une procédure médicale visant la correspondance au genre auquel est réservé l’espace en question. Des mesures similaires s’appliquent aux toilettes et vestiaires dans les lieux publics. </w:t>
      </w:r>
      <w:r w:rsidR="00C71363" w:rsidRPr="00BD22C2">
        <w:rPr>
          <w:lang w:val="fr-CA"/>
        </w:rPr>
        <w:t>Des</w:t>
      </w:r>
      <w:r w:rsidRPr="00BD22C2">
        <w:rPr>
          <w:lang w:val="fr-CA"/>
        </w:rPr>
        <w:t xml:space="preserve"> mesures législatives </w:t>
      </w:r>
      <w:r w:rsidR="00C71363" w:rsidRPr="00BD22C2">
        <w:rPr>
          <w:lang w:val="fr-CA"/>
        </w:rPr>
        <w:t>comme celles-ci</w:t>
      </w:r>
      <w:r w:rsidRPr="00BD22C2">
        <w:rPr>
          <w:lang w:val="fr-CA"/>
        </w:rPr>
        <w:t xml:space="preserve"> font peser un fardeau important sur les personnes trans et non </w:t>
      </w:r>
      <w:r w:rsidRPr="00BD22C2">
        <w:rPr>
          <w:lang w:val="fr-CA"/>
        </w:rPr>
        <w:lastRenderedPageBreak/>
        <w:t xml:space="preserve">binaires, incluant les enfants, en plus d’inciter au contrôle de l’identité de genre des personnes dans leur vie quotidienne. </w:t>
      </w:r>
    </w:p>
    <w:p w14:paraId="5D23C8C4" w14:textId="607A68B0" w:rsidR="00BA0E30" w:rsidRPr="00BD22C2" w:rsidRDefault="00BA0E30" w:rsidP="00B0406B">
      <w:pPr>
        <w:pStyle w:val="Paragraphe"/>
        <w:rPr>
          <w:rFonts w:eastAsia="Calibri"/>
          <w:lang w:val="fr-CA"/>
        </w:rPr>
      </w:pPr>
      <w:r w:rsidRPr="00BD22C2">
        <w:rPr>
          <w:lang w:val="fr-CA"/>
        </w:rPr>
        <w:t>Devant de telles mesures</w:t>
      </w:r>
      <w:r w:rsidRPr="00BD22C2">
        <w:rPr>
          <w:rFonts w:eastAsia="Calibri"/>
          <w:lang w:val="fr-CA"/>
        </w:rPr>
        <w:t>, la Commission estime important de rappeler que l’identité de genre doit être définie par la personne concernée elle-même</w:t>
      </w:r>
      <w:r w:rsidRPr="00BD22C2">
        <w:rPr>
          <w:rStyle w:val="Appeldenotedefin"/>
          <w:rFonts w:eastAsia="Calibri"/>
          <w:lang w:val="fr-CA"/>
        </w:rPr>
        <w:endnoteReference w:id="396"/>
      </w:r>
      <w:r w:rsidRPr="00BD22C2">
        <w:rPr>
          <w:rFonts w:eastAsia="Calibri"/>
          <w:lang w:val="fr-CA"/>
        </w:rPr>
        <w:t>. En effet, cette approche est la plus susceptible d’être respectueuse des droits des personnes trans et des personnes non binaires</w:t>
      </w:r>
      <w:r w:rsidRPr="00BD22C2">
        <w:rPr>
          <w:rStyle w:val="Appeldenotedefin"/>
          <w:rFonts w:eastAsia="Calibri"/>
          <w:lang w:val="fr-CA"/>
        </w:rPr>
        <w:endnoteReference w:id="397"/>
      </w:r>
      <w:r w:rsidRPr="00BD22C2">
        <w:rPr>
          <w:rFonts w:eastAsia="Calibri"/>
          <w:lang w:val="fr-CA"/>
        </w:rPr>
        <w:t xml:space="preserve">. </w:t>
      </w:r>
      <w:r w:rsidRPr="00BD22C2">
        <w:rPr>
          <w:lang w:val="fr-CA"/>
        </w:rPr>
        <w:t>Le troisième des</w:t>
      </w:r>
      <w:r w:rsidR="00727880" w:rsidRPr="00BD22C2">
        <w:rPr>
          <w:lang w:val="fr-CA"/>
        </w:rPr>
        <w:t xml:space="preserve"> </w:t>
      </w:r>
      <w:r w:rsidR="00727880" w:rsidRPr="00BD22C2">
        <w:rPr>
          <w:i/>
          <w:lang w:val="fr-CA"/>
        </w:rPr>
        <w:t>Principes sur l’application de la législation internationale des droits humains en matière d’orientation sexuelle et d’identité de genre</w:t>
      </w:r>
      <w:r w:rsidR="00727880" w:rsidRPr="00BD22C2">
        <w:rPr>
          <w:i/>
          <w:iCs/>
          <w:lang w:val="fr-CA"/>
        </w:rPr>
        <w:t xml:space="preserve"> (Principes de Jogjakarta)</w:t>
      </w:r>
      <w:r w:rsidR="006710F7" w:rsidRPr="00BD22C2">
        <w:rPr>
          <w:rStyle w:val="Appeldenotedefin"/>
          <w:lang w:val="fr-CA"/>
        </w:rPr>
        <w:endnoteReference w:id="398"/>
      </w:r>
      <w:r w:rsidR="006710F7" w:rsidRPr="00BD22C2">
        <w:rPr>
          <w:lang w:val="fr-CA"/>
        </w:rPr>
        <w:t xml:space="preserve"> </w:t>
      </w:r>
      <w:r w:rsidRPr="00BD22C2">
        <w:rPr>
          <w:lang w:val="fr-CA"/>
        </w:rPr>
        <w:t>prévoit d’ailleurs l’obligation pour les États de «</w:t>
      </w:r>
      <w:r w:rsidR="00974BD5" w:rsidRPr="00BD22C2">
        <w:rPr>
          <w:lang w:val="fr-CA"/>
        </w:rPr>
        <w:t> </w:t>
      </w:r>
      <w:r w:rsidRPr="00BD22C2">
        <w:rPr>
          <w:lang w:val="fr-CA"/>
        </w:rPr>
        <w:t>[p]rendre toutes les dispositions législatives et administratives, ainsi que toute autre mesure, nécessaires pour respecter pleinement et reconnaître légalement l’identité de genre telle que chacun l’a définie pour soi-même</w:t>
      </w:r>
      <w:r w:rsidR="00974BD5" w:rsidRPr="00BD22C2">
        <w:rPr>
          <w:lang w:val="fr-CA"/>
        </w:rPr>
        <w:t> </w:t>
      </w:r>
      <w:r w:rsidRPr="00BD22C2">
        <w:rPr>
          <w:lang w:val="fr-CA"/>
        </w:rPr>
        <w:t>»</w:t>
      </w:r>
      <w:r w:rsidRPr="00BD22C2">
        <w:rPr>
          <w:rStyle w:val="Appeldenotedefin"/>
          <w:lang w:val="fr-CA"/>
        </w:rPr>
        <w:endnoteReference w:id="399"/>
      </w:r>
      <w:r w:rsidRPr="00BD22C2">
        <w:rPr>
          <w:lang w:val="fr-CA"/>
        </w:rPr>
        <w:t>.</w:t>
      </w:r>
    </w:p>
    <w:p w14:paraId="3DB96304" w14:textId="142D1346" w:rsidR="00F9719A" w:rsidRPr="00BD22C2" w:rsidRDefault="003421FF" w:rsidP="00F9719A">
      <w:pPr>
        <w:pStyle w:val="Paragraphe"/>
        <w:rPr>
          <w:lang w:val="fr-CA"/>
        </w:rPr>
      </w:pPr>
      <w:bookmarkStart w:id="165" w:name="_Toc42091625"/>
      <w:bookmarkStart w:id="166" w:name="_Toc98163892"/>
      <w:bookmarkStart w:id="167" w:name="_Hlk102745464"/>
      <w:bookmarkStart w:id="168" w:name="_Hlk102745495"/>
      <w:bookmarkStart w:id="169" w:name="_Hlk102745382"/>
      <w:r w:rsidRPr="00BD22C2">
        <w:rPr>
          <w:lang w:val="fr-CA"/>
        </w:rPr>
        <w:t>La Commission entend que</w:t>
      </w:r>
      <w:r w:rsidR="002A2A51" w:rsidRPr="00BD22C2">
        <w:rPr>
          <w:lang w:val="fr-CA"/>
        </w:rPr>
        <w:t xml:space="preserve"> </w:t>
      </w:r>
      <w:r w:rsidR="00B83EE1" w:rsidRPr="00BD22C2">
        <w:rPr>
          <w:lang w:val="fr-CA"/>
        </w:rPr>
        <w:t>c</w:t>
      </w:r>
      <w:r w:rsidR="00CF7E9A" w:rsidRPr="00BD22C2">
        <w:rPr>
          <w:lang w:val="fr-CA"/>
        </w:rPr>
        <w:t>e principe de l</w:t>
      </w:r>
      <w:r w:rsidR="00331554" w:rsidRPr="00BD22C2">
        <w:rPr>
          <w:lang w:val="fr-CA"/>
        </w:rPr>
        <w:t>’</w:t>
      </w:r>
      <w:proofErr w:type="spellStart"/>
      <w:r w:rsidR="00331554" w:rsidRPr="00BD22C2">
        <w:rPr>
          <w:lang w:val="fr-CA"/>
        </w:rPr>
        <w:t>auto</w:t>
      </w:r>
      <w:r w:rsidR="00121303" w:rsidRPr="00BD22C2">
        <w:rPr>
          <w:lang w:val="fr-CA"/>
        </w:rPr>
        <w:t>-</w:t>
      </w:r>
      <w:r w:rsidR="00331554" w:rsidRPr="00BD22C2">
        <w:rPr>
          <w:lang w:val="fr-CA"/>
        </w:rPr>
        <w:t>identification</w:t>
      </w:r>
      <w:proofErr w:type="spellEnd"/>
      <w:r w:rsidR="00331554" w:rsidRPr="00BD22C2">
        <w:rPr>
          <w:lang w:val="fr-CA"/>
        </w:rPr>
        <w:t xml:space="preserve"> </w:t>
      </w:r>
      <w:r w:rsidR="00B5390D" w:rsidRPr="00BD22C2">
        <w:rPr>
          <w:lang w:val="fr-CA"/>
        </w:rPr>
        <w:t>mène certaines personnes à</w:t>
      </w:r>
      <w:r w:rsidR="00596E6F" w:rsidRPr="00BD22C2">
        <w:rPr>
          <w:lang w:val="fr-CA"/>
        </w:rPr>
        <w:t xml:space="preserve"> craindre des </w:t>
      </w:r>
      <w:r w:rsidR="00515572" w:rsidRPr="00BD22C2">
        <w:rPr>
          <w:lang w:val="fr-CA"/>
        </w:rPr>
        <w:t>abus</w:t>
      </w:r>
      <w:r w:rsidR="00596E6F" w:rsidRPr="00BD22C2">
        <w:rPr>
          <w:lang w:val="fr-CA"/>
        </w:rPr>
        <w:t xml:space="preserve">. </w:t>
      </w:r>
      <w:r w:rsidR="009201BB" w:rsidRPr="00BD22C2">
        <w:rPr>
          <w:lang w:val="fr-CA"/>
        </w:rPr>
        <w:t xml:space="preserve">Or, </w:t>
      </w:r>
      <w:r w:rsidR="00FB2C52" w:rsidRPr="00BD22C2">
        <w:rPr>
          <w:lang w:val="fr-CA"/>
        </w:rPr>
        <w:t>il s’agit</w:t>
      </w:r>
      <w:r w:rsidR="00662429" w:rsidRPr="00BD22C2">
        <w:rPr>
          <w:lang w:val="fr-CA"/>
        </w:rPr>
        <w:t xml:space="preserve"> déjà</w:t>
      </w:r>
      <w:r w:rsidR="00FB2C52" w:rsidRPr="00BD22C2">
        <w:rPr>
          <w:lang w:val="fr-CA"/>
        </w:rPr>
        <w:t xml:space="preserve"> de la pratique la plus courante</w:t>
      </w:r>
      <w:r w:rsidR="00D436DB" w:rsidRPr="00BD22C2">
        <w:rPr>
          <w:lang w:val="fr-CA"/>
        </w:rPr>
        <w:t xml:space="preserve"> pour l’accès à plusieurs espaces non mixtes, à commencer par les toilettes et vestiaires.</w:t>
      </w:r>
      <w:r w:rsidR="00800758" w:rsidRPr="00BD22C2">
        <w:rPr>
          <w:lang w:val="fr-CA"/>
        </w:rPr>
        <w:t xml:space="preserve"> </w:t>
      </w:r>
      <w:r w:rsidR="00131F40" w:rsidRPr="00BD22C2">
        <w:rPr>
          <w:lang w:val="fr-CA"/>
        </w:rPr>
        <w:t xml:space="preserve">Les cas d’abus réellement constatés demeurent pourtant </w:t>
      </w:r>
      <w:r w:rsidR="006930A6" w:rsidRPr="00BD22C2">
        <w:rPr>
          <w:lang w:val="fr-CA"/>
        </w:rPr>
        <w:t>anecdotiques</w:t>
      </w:r>
      <w:r w:rsidR="00131F40" w:rsidRPr="00BD22C2">
        <w:rPr>
          <w:lang w:val="fr-CA"/>
        </w:rPr>
        <w:t>.</w:t>
      </w:r>
      <w:r w:rsidR="00800758" w:rsidRPr="00BD22C2">
        <w:rPr>
          <w:lang w:val="fr-CA"/>
        </w:rPr>
        <w:t xml:space="preserve"> L’</w:t>
      </w:r>
      <w:proofErr w:type="spellStart"/>
      <w:r w:rsidR="00800758" w:rsidRPr="00BD22C2">
        <w:rPr>
          <w:lang w:val="fr-CA"/>
        </w:rPr>
        <w:t>auto</w:t>
      </w:r>
      <w:r w:rsidR="00121303" w:rsidRPr="00BD22C2">
        <w:rPr>
          <w:lang w:val="fr-CA"/>
        </w:rPr>
        <w:t>-</w:t>
      </w:r>
      <w:r w:rsidR="00800758" w:rsidRPr="00BD22C2">
        <w:rPr>
          <w:lang w:val="fr-CA"/>
        </w:rPr>
        <w:t>identification</w:t>
      </w:r>
      <w:proofErr w:type="spellEnd"/>
      <w:r w:rsidR="00800758" w:rsidRPr="00BD22C2">
        <w:rPr>
          <w:lang w:val="fr-CA"/>
        </w:rPr>
        <w:t xml:space="preserve"> n’autorise par ailleurs pas le mensonge</w:t>
      </w:r>
      <w:r w:rsidR="0074232E" w:rsidRPr="00BD22C2">
        <w:rPr>
          <w:lang w:val="fr-CA"/>
        </w:rPr>
        <w:t xml:space="preserve">. </w:t>
      </w:r>
      <w:r w:rsidR="0035599A" w:rsidRPr="00BD22C2">
        <w:rPr>
          <w:lang w:val="fr-CA"/>
        </w:rPr>
        <w:t xml:space="preserve">Comme le souligne </w:t>
      </w:r>
      <w:r w:rsidR="00DA7758" w:rsidRPr="00BD22C2">
        <w:rPr>
          <w:lang w:val="fr-CA"/>
        </w:rPr>
        <w:t>un récent rapport en matière d’a</w:t>
      </w:r>
      <w:r w:rsidR="00F96732" w:rsidRPr="00BD22C2">
        <w:rPr>
          <w:lang w:val="fr-CA"/>
        </w:rPr>
        <w:t xml:space="preserve">ccès à l’égalité en emploi, </w:t>
      </w:r>
      <w:r w:rsidR="00BB6526" w:rsidRPr="00BD22C2">
        <w:rPr>
          <w:lang w:val="fr-CA"/>
        </w:rPr>
        <w:t xml:space="preserve">de fausses déclarations sur l’identité </w:t>
      </w:r>
      <w:r w:rsidR="00A90827" w:rsidRPr="00BD22C2">
        <w:rPr>
          <w:lang w:val="fr-CA"/>
        </w:rPr>
        <w:t xml:space="preserve">(notamment </w:t>
      </w:r>
      <w:r w:rsidR="00BB6526" w:rsidRPr="00BD22C2">
        <w:rPr>
          <w:lang w:val="fr-CA"/>
        </w:rPr>
        <w:t>de genre</w:t>
      </w:r>
      <w:r w:rsidR="00A90827" w:rsidRPr="00BD22C2">
        <w:rPr>
          <w:lang w:val="fr-CA"/>
        </w:rPr>
        <w:t>)</w:t>
      </w:r>
      <w:r w:rsidR="00BB6526" w:rsidRPr="00BD22C2">
        <w:rPr>
          <w:lang w:val="fr-CA"/>
        </w:rPr>
        <w:t xml:space="preserve"> dans un contexte d’emploi</w:t>
      </w:r>
      <w:r w:rsidR="00294777" w:rsidRPr="00BD22C2">
        <w:rPr>
          <w:lang w:val="fr-CA"/>
        </w:rPr>
        <w:t xml:space="preserve"> constituerai</w:t>
      </w:r>
      <w:r w:rsidR="00D77783" w:rsidRPr="00BD22C2">
        <w:rPr>
          <w:lang w:val="fr-CA"/>
        </w:rPr>
        <w:t>en</w:t>
      </w:r>
      <w:r w:rsidR="00294777" w:rsidRPr="00BD22C2">
        <w:rPr>
          <w:lang w:val="fr-CA"/>
        </w:rPr>
        <w:t xml:space="preserve">t de la malhonnêteté dans la relation de travail </w:t>
      </w:r>
      <w:r w:rsidR="00295AEC" w:rsidRPr="00BD22C2">
        <w:rPr>
          <w:lang w:val="fr-CA"/>
        </w:rPr>
        <w:t>et</w:t>
      </w:r>
      <w:r w:rsidR="00294777" w:rsidRPr="00BD22C2">
        <w:rPr>
          <w:lang w:val="fr-CA"/>
        </w:rPr>
        <w:t xml:space="preserve"> </w:t>
      </w:r>
      <w:r w:rsidR="003A1F46" w:rsidRPr="00BD22C2">
        <w:rPr>
          <w:lang w:val="fr-CA"/>
        </w:rPr>
        <w:t>la sanction appropriée</w:t>
      </w:r>
      <w:r w:rsidR="0063721C" w:rsidRPr="00BD22C2">
        <w:rPr>
          <w:lang w:val="fr-CA"/>
        </w:rPr>
        <w:t>, pouvant aller jusqu’au congédiement</w:t>
      </w:r>
      <w:r w:rsidR="00051CBA" w:rsidRPr="00BD22C2">
        <w:rPr>
          <w:lang w:val="fr-CA"/>
        </w:rPr>
        <w:t xml:space="preserve">, devrait être tributaire </w:t>
      </w:r>
      <w:r w:rsidR="00AA2761" w:rsidRPr="00BD22C2">
        <w:rPr>
          <w:lang w:val="fr-CA"/>
        </w:rPr>
        <w:t>des circonstan</w:t>
      </w:r>
      <w:r w:rsidR="00642020" w:rsidRPr="00BD22C2">
        <w:rPr>
          <w:lang w:val="fr-CA"/>
        </w:rPr>
        <w:t>ces</w:t>
      </w:r>
      <w:r w:rsidR="0063721C" w:rsidRPr="00BD22C2">
        <w:rPr>
          <w:rStyle w:val="Appeldenotedefin"/>
          <w:lang w:val="fr-CA"/>
        </w:rPr>
        <w:endnoteReference w:id="400"/>
      </w:r>
      <w:r w:rsidR="0063721C" w:rsidRPr="00BD22C2">
        <w:rPr>
          <w:lang w:val="fr-CA"/>
        </w:rPr>
        <w:t xml:space="preserve">. </w:t>
      </w:r>
    </w:p>
    <w:p w14:paraId="3CBC2E1E" w14:textId="32124F54" w:rsidR="00A31FCB" w:rsidRPr="00BD22C2" w:rsidRDefault="00605107" w:rsidP="00A31FCB">
      <w:pPr>
        <w:pStyle w:val="Paragraphe"/>
        <w:rPr>
          <w:lang w:val="fr-CA"/>
        </w:rPr>
      </w:pPr>
      <w:r w:rsidRPr="00BD22C2">
        <w:rPr>
          <w:lang w:val="fr-CA"/>
        </w:rPr>
        <w:t xml:space="preserve">Ainsi, </w:t>
      </w:r>
      <w:r w:rsidR="00D126FD" w:rsidRPr="00BD22C2">
        <w:rPr>
          <w:lang w:val="fr-CA"/>
        </w:rPr>
        <w:t>un éventuel encadrement législatif ou l’établissement</w:t>
      </w:r>
      <w:r w:rsidRPr="00BD22C2">
        <w:rPr>
          <w:lang w:val="fr-CA"/>
        </w:rPr>
        <w:t xml:space="preserve"> de règles encadrant l’identité de genre ne sont pas la voie à suivre p</w:t>
      </w:r>
      <w:r w:rsidR="00774C89" w:rsidRPr="00BD22C2">
        <w:rPr>
          <w:lang w:val="fr-CA"/>
        </w:rPr>
        <w:t xml:space="preserve">our aborder les enjeux de sécurité </w:t>
      </w:r>
      <w:r w:rsidR="00127DCB" w:rsidRPr="00BD22C2">
        <w:rPr>
          <w:lang w:val="fr-CA"/>
        </w:rPr>
        <w:t xml:space="preserve">potentiels </w:t>
      </w:r>
      <w:r w:rsidR="00774C89" w:rsidRPr="00BD22C2">
        <w:rPr>
          <w:lang w:val="fr-CA"/>
        </w:rPr>
        <w:t xml:space="preserve">dans </w:t>
      </w:r>
      <w:r w:rsidR="00127DCB" w:rsidRPr="00BD22C2">
        <w:rPr>
          <w:lang w:val="fr-CA"/>
        </w:rPr>
        <w:t>l</w:t>
      </w:r>
      <w:r w:rsidR="00774C89" w:rsidRPr="00BD22C2">
        <w:rPr>
          <w:lang w:val="fr-CA"/>
        </w:rPr>
        <w:t>es espaces</w:t>
      </w:r>
      <w:r w:rsidR="00127DCB" w:rsidRPr="00BD22C2">
        <w:rPr>
          <w:lang w:val="fr-CA"/>
        </w:rPr>
        <w:t xml:space="preserve"> non mixtes</w:t>
      </w:r>
      <w:r w:rsidR="00101648" w:rsidRPr="00BD22C2">
        <w:rPr>
          <w:lang w:val="fr-CA"/>
        </w:rPr>
        <w:t xml:space="preserve">. On risquerait alors </w:t>
      </w:r>
      <w:r w:rsidR="00127DCB" w:rsidRPr="00BD22C2">
        <w:rPr>
          <w:lang w:val="fr-CA"/>
        </w:rPr>
        <w:t xml:space="preserve">de reproduire des stéréotypes </w:t>
      </w:r>
      <w:r w:rsidR="000A3476" w:rsidRPr="00BD22C2">
        <w:rPr>
          <w:lang w:val="fr-CA"/>
        </w:rPr>
        <w:t>liés à l’apparence et à l’</w:t>
      </w:r>
      <w:r w:rsidR="00C122A7" w:rsidRPr="00BD22C2">
        <w:rPr>
          <w:lang w:val="fr-CA"/>
        </w:rPr>
        <w:t xml:space="preserve">association des </w:t>
      </w:r>
      <w:r w:rsidR="001D1DB0" w:rsidRPr="00BD22C2">
        <w:rPr>
          <w:lang w:val="fr-CA"/>
        </w:rPr>
        <w:t>personnes trans ou non binaires à des menaces</w:t>
      </w:r>
      <w:r w:rsidR="00186017" w:rsidRPr="00BD22C2">
        <w:rPr>
          <w:lang w:val="fr-CA"/>
        </w:rPr>
        <w:t xml:space="preserve"> et </w:t>
      </w:r>
      <w:r w:rsidR="0042074C" w:rsidRPr="00BD22C2">
        <w:rPr>
          <w:lang w:val="fr-CA"/>
        </w:rPr>
        <w:t>de porter atteinte aux droits protégés par la Charte</w:t>
      </w:r>
      <w:r w:rsidR="00ED41A4" w:rsidRPr="00BD22C2">
        <w:rPr>
          <w:lang w:val="fr-CA"/>
        </w:rPr>
        <w:t xml:space="preserve">. </w:t>
      </w:r>
      <w:r w:rsidR="00A31FCB" w:rsidRPr="00BD22C2">
        <w:rPr>
          <w:rStyle w:val="ui-provider"/>
          <w:lang w:val="fr-CA"/>
        </w:rPr>
        <w:t>La Commission invite fortement le Comité de sages, comme le gouvernement, à éviter cette avenue.</w:t>
      </w:r>
    </w:p>
    <w:p w14:paraId="2AB997EA" w14:textId="1806B371" w:rsidR="00B47A23" w:rsidRPr="00BD22C2" w:rsidRDefault="00ED41A4" w:rsidP="00453E3C">
      <w:pPr>
        <w:pStyle w:val="Paragraphe"/>
        <w:rPr>
          <w:lang w:val="fr-CA"/>
        </w:rPr>
      </w:pPr>
      <w:r w:rsidRPr="00BD22C2">
        <w:rPr>
          <w:lang w:val="fr-CA"/>
        </w:rPr>
        <w:t>Il convient plutôt</w:t>
      </w:r>
      <w:r w:rsidR="00FE18FE" w:rsidRPr="00BD22C2">
        <w:rPr>
          <w:lang w:val="fr-CA"/>
        </w:rPr>
        <w:t>,</w:t>
      </w:r>
      <w:r w:rsidRPr="00BD22C2">
        <w:rPr>
          <w:lang w:val="fr-CA"/>
        </w:rPr>
        <w:t xml:space="preserve"> </w:t>
      </w:r>
      <w:r w:rsidR="00FE18FE" w:rsidRPr="00BD22C2">
        <w:rPr>
          <w:lang w:val="fr-CA"/>
        </w:rPr>
        <w:t>d’une part,</w:t>
      </w:r>
      <w:r w:rsidRPr="00BD22C2">
        <w:rPr>
          <w:lang w:val="fr-CA"/>
        </w:rPr>
        <w:t xml:space="preserve"> d</w:t>
      </w:r>
      <w:r w:rsidR="004C3F22" w:rsidRPr="00BD22C2">
        <w:rPr>
          <w:lang w:val="fr-CA"/>
        </w:rPr>
        <w:t>e s’appuyer sur</w:t>
      </w:r>
      <w:r w:rsidRPr="00BD22C2">
        <w:rPr>
          <w:lang w:val="fr-CA"/>
        </w:rPr>
        <w:t xml:space="preserve"> </w:t>
      </w:r>
      <w:r w:rsidR="00BA79C9" w:rsidRPr="00BD22C2">
        <w:rPr>
          <w:lang w:val="fr-CA"/>
        </w:rPr>
        <w:t xml:space="preserve">les </w:t>
      </w:r>
      <w:r w:rsidR="00182A89" w:rsidRPr="00BD22C2">
        <w:rPr>
          <w:lang w:val="fr-CA"/>
        </w:rPr>
        <w:t>lois s’appliquant généralement aux interactions entre les personnes, à commencer par la Charte qui interdit notamment le harcèlement discriminatoire</w:t>
      </w:r>
      <w:r w:rsidR="00FE18FE" w:rsidRPr="00BD22C2">
        <w:rPr>
          <w:lang w:val="fr-CA"/>
        </w:rPr>
        <w:t xml:space="preserve">. </w:t>
      </w:r>
      <w:r w:rsidR="00C434D0" w:rsidRPr="00BD22C2">
        <w:rPr>
          <w:lang w:val="fr-CA"/>
        </w:rPr>
        <w:t>La Commission recommande</w:t>
      </w:r>
      <w:r w:rsidR="00C73B20" w:rsidRPr="00BD22C2">
        <w:rPr>
          <w:lang w:val="fr-CA"/>
        </w:rPr>
        <w:t xml:space="preserve">, d’autre part, </w:t>
      </w:r>
      <w:r w:rsidR="002D0569" w:rsidRPr="00BD22C2">
        <w:rPr>
          <w:lang w:val="fr-CA"/>
        </w:rPr>
        <w:t>de</w:t>
      </w:r>
      <w:r w:rsidR="00BE0D97" w:rsidRPr="00BD22C2">
        <w:rPr>
          <w:lang w:val="fr-CA"/>
        </w:rPr>
        <w:t xml:space="preserve"> f</w:t>
      </w:r>
      <w:r w:rsidR="002C7F71" w:rsidRPr="00BD22C2">
        <w:rPr>
          <w:lang w:val="fr-CA"/>
        </w:rPr>
        <w:t>avoriser l’éducation aux droits et libertés</w:t>
      </w:r>
      <w:r w:rsidR="00263864" w:rsidRPr="00BD22C2">
        <w:rPr>
          <w:lang w:val="fr-CA"/>
        </w:rPr>
        <w:t>,</w:t>
      </w:r>
      <w:r w:rsidR="002C7F71" w:rsidRPr="00BD22C2">
        <w:rPr>
          <w:lang w:val="fr-CA"/>
        </w:rPr>
        <w:t xml:space="preserve"> abordée dans la dernière partie du présent mémoire</w:t>
      </w:r>
      <w:r w:rsidR="00515572" w:rsidRPr="00BD22C2">
        <w:rPr>
          <w:lang w:val="fr-CA"/>
        </w:rPr>
        <w:t>.</w:t>
      </w:r>
    </w:p>
    <w:p w14:paraId="4615EFC3" w14:textId="337189F6" w:rsidR="00593158" w:rsidRPr="00BD22C2" w:rsidRDefault="00593158" w:rsidP="00822A16">
      <w:pPr>
        <w:pStyle w:val="TitreRecommandation"/>
        <w:keepNext/>
        <w:keepLines/>
      </w:pPr>
      <w:r w:rsidRPr="00BD22C2">
        <w:lastRenderedPageBreak/>
        <w:t>Recommandation</w:t>
      </w:r>
      <w:r w:rsidR="0091080B">
        <w:t> </w:t>
      </w:r>
      <w:r w:rsidR="00CD4BDD" w:rsidRPr="00BD22C2">
        <w:t>11</w:t>
      </w:r>
    </w:p>
    <w:p w14:paraId="7B0ED52B" w14:textId="77777777" w:rsidR="00230BF4" w:rsidRPr="00BD22C2" w:rsidRDefault="00230BF4" w:rsidP="00230BF4">
      <w:pPr>
        <w:pStyle w:val="Texterecommandation"/>
        <w:ind w:left="706" w:firstLine="3"/>
      </w:pPr>
      <w:r w:rsidRPr="00BD22C2">
        <w:t xml:space="preserve">La Commission recommande au Comité de sages sur l’identité de genre d’écarter l’idée de conditionner l’accès à certains lieux, espaces ou postes habituellement réservés aux hommes ou aux femmes à toute forme de vérification du sexe ou de l’identité de genre afin de ne pas alimenter le profilage discriminatoire et de respecter le droit des personnes trans ou non binaires d’y avoir accès en toute </w:t>
      </w:r>
      <w:proofErr w:type="spellStart"/>
      <w:r w:rsidRPr="00BD22C2">
        <w:t>égalité</w:t>
      </w:r>
      <w:proofErr w:type="spellEnd"/>
      <w:r w:rsidRPr="00BD22C2">
        <w:t>.</w:t>
      </w:r>
    </w:p>
    <w:p w14:paraId="2173AFFC" w14:textId="22D04EDF" w:rsidR="0089014D" w:rsidRPr="00BD22C2" w:rsidRDefault="00D52407" w:rsidP="00EF1CB2">
      <w:pPr>
        <w:pStyle w:val="Titre2"/>
      </w:pPr>
      <w:bookmarkStart w:id="170" w:name="_Toc165301045"/>
      <w:bookmarkStart w:id="171" w:name="_Toc165636128"/>
      <w:r w:rsidRPr="00BD22C2">
        <w:t>Les toilettes et vestiaires</w:t>
      </w:r>
      <w:bookmarkEnd w:id="170"/>
      <w:bookmarkEnd w:id="171"/>
    </w:p>
    <w:p w14:paraId="4F87C212" w14:textId="5D1D59D3" w:rsidR="004A2080" w:rsidRPr="00BD22C2" w:rsidRDefault="00E75A74" w:rsidP="0037087A">
      <w:pPr>
        <w:pStyle w:val="Paragraphe"/>
        <w:rPr>
          <w:rFonts w:eastAsia="Calibri"/>
          <w:lang w:val="fr-CA"/>
        </w:rPr>
      </w:pPr>
      <w:r w:rsidRPr="00BD22C2">
        <w:rPr>
          <w:rFonts w:eastAsia="Calibri"/>
          <w:lang w:val="fr-CA"/>
        </w:rPr>
        <w:t>Étant donné</w:t>
      </w:r>
      <w:r w:rsidR="007D7EFE" w:rsidRPr="00BD22C2">
        <w:rPr>
          <w:rFonts w:eastAsia="Calibri"/>
          <w:lang w:val="fr-CA"/>
        </w:rPr>
        <w:t xml:space="preserve"> </w:t>
      </w:r>
      <w:r w:rsidR="00021FEE" w:rsidRPr="00BD22C2">
        <w:rPr>
          <w:rFonts w:eastAsia="Calibri"/>
          <w:lang w:val="fr-CA"/>
        </w:rPr>
        <w:t>que l</w:t>
      </w:r>
      <w:r w:rsidR="00B92933" w:rsidRPr="00BD22C2">
        <w:rPr>
          <w:rFonts w:eastAsia="Calibri"/>
          <w:lang w:val="fr-CA"/>
        </w:rPr>
        <w:t>a construction de toilettes dites mixtes ou non genrées dans les écoles a fait les manchettes au cours de l’automne</w:t>
      </w:r>
      <w:r w:rsidR="00CC76DE" w:rsidRPr="00BD22C2">
        <w:rPr>
          <w:rFonts w:eastAsia="Calibri"/>
          <w:lang w:val="fr-CA"/>
        </w:rPr>
        <w:t> </w:t>
      </w:r>
      <w:r w:rsidR="00B92933" w:rsidRPr="00BD22C2">
        <w:rPr>
          <w:rFonts w:eastAsia="Calibri"/>
          <w:lang w:val="fr-CA"/>
        </w:rPr>
        <w:t>2023</w:t>
      </w:r>
      <w:r w:rsidR="00806592" w:rsidRPr="00BD22C2">
        <w:rPr>
          <w:rFonts w:eastAsia="Calibri"/>
          <w:lang w:val="fr-CA"/>
        </w:rPr>
        <w:t xml:space="preserve"> e</w:t>
      </w:r>
      <w:r w:rsidR="003B5709" w:rsidRPr="00BD22C2">
        <w:rPr>
          <w:rFonts w:eastAsia="Calibri"/>
          <w:lang w:val="fr-CA"/>
        </w:rPr>
        <w:t>t</w:t>
      </w:r>
      <w:r w:rsidR="009B3CE3" w:rsidRPr="00BD22C2">
        <w:rPr>
          <w:rFonts w:eastAsia="Calibri"/>
          <w:lang w:val="fr-CA"/>
        </w:rPr>
        <w:t xml:space="preserve"> considérant</w:t>
      </w:r>
      <w:r w:rsidR="003B5709" w:rsidRPr="00BD22C2">
        <w:rPr>
          <w:rFonts w:eastAsia="Calibri"/>
          <w:lang w:val="fr-CA"/>
        </w:rPr>
        <w:t xml:space="preserve"> la récente publication d’une directive du ministre de l’Éducation </w:t>
      </w:r>
      <w:r w:rsidR="00906071" w:rsidRPr="00BD22C2">
        <w:rPr>
          <w:rFonts w:eastAsia="Calibri"/>
          <w:lang w:val="fr-CA"/>
        </w:rPr>
        <w:t>sur le sujet</w:t>
      </w:r>
      <w:bookmarkStart w:id="172" w:name="_Ref166855090"/>
      <w:r w:rsidR="000F38D0" w:rsidRPr="00BD22C2">
        <w:rPr>
          <w:rStyle w:val="Appeldenotedefin"/>
          <w:rFonts w:eastAsia="Calibri"/>
          <w:lang w:val="fr-CA"/>
        </w:rPr>
        <w:endnoteReference w:id="401"/>
      </w:r>
      <w:bookmarkEnd w:id="172"/>
      <w:r w:rsidR="00594D96" w:rsidRPr="00BD22C2">
        <w:rPr>
          <w:rFonts w:eastAsia="Calibri"/>
          <w:lang w:val="fr-CA"/>
        </w:rPr>
        <w:t>, la Commission a estimé util</w:t>
      </w:r>
      <w:r w:rsidR="006D4830" w:rsidRPr="00BD22C2">
        <w:rPr>
          <w:rFonts w:eastAsia="Calibri"/>
          <w:lang w:val="fr-CA"/>
        </w:rPr>
        <w:t xml:space="preserve">e </w:t>
      </w:r>
      <w:r w:rsidR="00F1155C" w:rsidRPr="00BD22C2">
        <w:rPr>
          <w:rFonts w:eastAsia="Calibri"/>
          <w:lang w:val="fr-CA"/>
        </w:rPr>
        <w:t>d’illustrer comment le cadre de la Charte québécoise p</w:t>
      </w:r>
      <w:r w:rsidR="00417C9B" w:rsidRPr="00BD22C2">
        <w:rPr>
          <w:rFonts w:eastAsia="Calibri"/>
          <w:lang w:val="fr-CA"/>
        </w:rPr>
        <w:t>eut</w:t>
      </w:r>
      <w:r w:rsidR="00F1155C" w:rsidRPr="00BD22C2">
        <w:rPr>
          <w:rFonts w:eastAsia="Calibri"/>
          <w:lang w:val="fr-CA"/>
        </w:rPr>
        <w:t xml:space="preserve"> </w:t>
      </w:r>
      <w:r w:rsidR="00405860" w:rsidRPr="00BD22C2">
        <w:rPr>
          <w:rFonts w:eastAsia="Calibri"/>
          <w:lang w:val="fr-CA"/>
        </w:rPr>
        <w:t xml:space="preserve">baliser la réflexion </w:t>
      </w:r>
      <w:r w:rsidR="003B5709" w:rsidRPr="00BD22C2">
        <w:rPr>
          <w:rFonts w:eastAsia="Calibri"/>
          <w:lang w:val="fr-CA"/>
        </w:rPr>
        <w:t>sur de telles questions</w:t>
      </w:r>
      <w:r w:rsidR="00B92933" w:rsidRPr="00BD22C2">
        <w:rPr>
          <w:rFonts w:eastAsia="Calibri"/>
          <w:lang w:val="fr-CA"/>
        </w:rPr>
        <w:t xml:space="preserve">. </w:t>
      </w:r>
    </w:p>
    <w:p w14:paraId="4E0D8C7C" w14:textId="3ED2F285" w:rsidR="003E38AE" w:rsidRPr="00BD22C2" w:rsidRDefault="00B92933" w:rsidP="0037087A">
      <w:pPr>
        <w:pStyle w:val="Paragraphe"/>
        <w:rPr>
          <w:rFonts w:eastAsia="Calibri"/>
          <w:lang w:val="fr-CA"/>
        </w:rPr>
      </w:pPr>
      <w:r w:rsidRPr="00BD22C2">
        <w:rPr>
          <w:rFonts w:eastAsia="Calibri"/>
          <w:lang w:val="fr-CA"/>
        </w:rPr>
        <w:t xml:space="preserve">L’aménagement de toilettes </w:t>
      </w:r>
      <w:r w:rsidR="00B92B00" w:rsidRPr="00BD22C2">
        <w:rPr>
          <w:rFonts w:eastAsia="Calibri"/>
          <w:lang w:val="fr-CA"/>
        </w:rPr>
        <w:t>non genrées</w:t>
      </w:r>
      <w:r w:rsidRPr="00BD22C2">
        <w:rPr>
          <w:rFonts w:eastAsia="Calibri"/>
          <w:lang w:val="fr-CA"/>
        </w:rPr>
        <w:t xml:space="preserve"> par une école secondaire de l’Abitibi-Témiscamingue, pour des raisons allant au-delà de l’inclusion des personnes trans et non binaires, a notamment suscité la controverse</w:t>
      </w:r>
      <w:r w:rsidR="000271F3" w:rsidRPr="00BD22C2">
        <w:rPr>
          <w:rFonts w:eastAsia="Calibri"/>
          <w:vertAlign w:val="superscript"/>
          <w:lang w:val="fr-CA"/>
        </w:rPr>
        <w:endnoteReference w:id="402"/>
      </w:r>
      <w:r w:rsidR="000271F3" w:rsidRPr="00BD22C2">
        <w:rPr>
          <w:rFonts w:eastAsia="Calibri"/>
          <w:lang w:val="fr-CA"/>
        </w:rPr>
        <w:t>. La décision de l’école visait à rendre les toilettes plus «</w:t>
      </w:r>
      <w:r w:rsidR="00974BD5" w:rsidRPr="00BD22C2">
        <w:rPr>
          <w:rFonts w:eastAsia="Calibri"/>
          <w:lang w:val="fr-CA"/>
        </w:rPr>
        <w:t> </w:t>
      </w:r>
      <w:r w:rsidR="000271F3" w:rsidRPr="00BD22C2">
        <w:rPr>
          <w:rFonts w:eastAsia="Calibri"/>
          <w:lang w:val="fr-CA"/>
        </w:rPr>
        <w:t>accessibles</w:t>
      </w:r>
      <w:r w:rsidR="00974BD5" w:rsidRPr="00BD22C2">
        <w:rPr>
          <w:rFonts w:eastAsia="Calibri"/>
          <w:lang w:val="fr-CA"/>
        </w:rPr>
        <w:t> </w:t>
      </w:r>
      <w:r w:rsidR="000271F3" w:rsidRPr="00BD22C2">
        <w:rPr>
          <w:rFonts w:eastAsia="Calibri"/>
          <w:lang w:val="fr-CA"/>
        </w:rPr>
        <w:t>» et «</w:t>
      </w:r>
      <w:r w:rsidR="00974BD5" w:rsidRPr="00BD22C2">
        <w:rPr>
          <w:rFonts w:eastAsia="Calibri"/>
          <w:lang w:val="fr-CA"/>
        </w:rPr>
        <w:t> </w:t>
      </w:r>
      <w:r w:rsidR="000271F3" w:rsidRPr="00BD22C2">
        <w:rPr>
          <w:rFonts w:eastAsia="Calibri"/>
          <w:lang w:val="fr-CA"/>
        </w:rPr>
        <w:t>sécuritaires</w:t>
      </w:r>
      <w:r w:rsidR="00974BD5" w:rsidRPr="00BD22C2">
        <w:rPr>
          <w:rFonts w:eastAsia="Calibri"/>
          <w:lang w:val="fr-CA"/>
        </w:rPr>
        <w:t> </w:t>
      </w:r>
      <w:r w:rsidR="000271F3" w:rsidRPr="00BD22C2">
        <w:rPr>
          <w:rFonts w:eastAsia="Calibri"/>
          <w:lang w:val="fr-CA"/>
        </w:rPr>
        <w:t>»</w:t>
      </w:r>
      <w:r w:rsidR="000271F3" w:rsidRPr="00BD22C2">
        <w:rPr>
          <w:rFonts w:eastAsia="Calibri"/>
          <w:vertAlign w:val="superscript"/>
          <w:lang w:val="fr-CA"/>
        </w:rPr>
        <w:endnoteReference w:id="403"/>
      </w:r>
      <w:r w:rsidR="000271F3" w:rsidRPr="00BD22C2">
        <w:rPr>
          <w:rFonts w:eastAsia="Calibri"/>
          <w:lang w:val="fr-CA"/>
        </w:rPr>
        <w:t>. L’établissement prévoyait l’aménagement de cabines entièrement fermées, ainsi qu’un espace ouvert où se trouveraient les lavabos. Des écoles nouvellement construites incluent aussi de tels aménagements</w:t>
      </w:r>
      <w:r w:rsidR="000271F3" w:rsidRPr="00BD22C2">
        <w:rPr>
          <w:rStyle w:val="Appeldenotedefin"/>
          <w:rFonts w:eastAsia="Calibri"/>
          <w:iCs/>
          <w:lang w:val="fr-CA"/>
        </w:rPr>
        <w:endnoteReference w:id="404"/>
      </w:r>
      <w:r w:rsidR="000271F3" w:rsidRPr="00BD22C2">
        <w:rPr>
          <w:rFonts w:eastAsia="Calibri"/>
          <w:lang w:val="fr-CA"/>
        </w:rPr>
        <w:t xml:space="preserve">. </w:t>
      </w:r>
      <w:r w:rsidR="00F86F5D" w:rsidRPr="00BD22C2">
        <w:rPr>
          <w:rFonts w:eastAsia="Calibri"/>
          <w:lang w:val="fr-CA"/>
        </w:rPr>
        <w:t>U</w:t>
      </w:r>
      <w:r w:rsidR="000271F3" w:rsidRPr="00BD22C2">
        <w:rPr>
          <w:rFonts w:eastAsia="Calibri"/>
          <w:lang w:val="fr-CA"/>
        </w:rPr>
        <w:t>n guide du ministère de l’Éducation de 2021 sur la prise en compte de la diversité sexuelle et de genre dans les milieux scolaires identifie</w:t>
      </w:r>
      <w:r w:rsidR="00062861" w:rsidRPr="00BD22C2">
        <w:rPr>
          <w:rFonts w:eastAsia="Calibri"/>
          <w:lang w:val="fr-CA"/>
        </w:rPr>
        <w:t xml:space="preserve"> d’ailleurs</w:t>
      </w:r>
      <w:r w:rsidR="000271F3" w:rsidRPr="00BD22C2">
        <w:rPr>
          <w:rFonts w:eastAsia="Calibri"/>
          <w:lang w:val="fr-CA"/>
        </w:rPr>
        <w:t xml:space="preserve"> le fait de «</w:t>
      </w:r>
      <w:r w:rsidR="00974BD5" w:rsidRPr="00BD22C2">
        <w:rPr>
          <w:rFonts w:eastAsia="Calibri"/>
          <w:lang w:val="fr-CA"/>
        </w:rPr>
        <w:t> </w:t>
      </w:r>
      <w:r w:rsidR="000271F3" w:rsidRPr="00BD22C2">
        <w:rPr>
          <w:rFonts w:eastAsia="Calibri"/>
          <w:lang w:val="fr-CA"/>
        </w:rPr>
        <w:t>prévoir des lieux d’intimité neutres permettant le libre choix des élèves et du personnel</w:t>
      </w:r>
      <w:r w:rsidR="00974BD5" w:rsidRPr="00BD22C2">
        <w:rPr>
          <w:rFonts w:eastAsia="Calibri"/>
          <w:lang w:val="fr-CA"/>
        </w:rPr>
        <w:t> </w:t>
      </w:r>
      <w:r w:rsidR="000271F3" w:rsidRPr="00BD22C2">
        <w:rPr>
          <w:rFonts w:eastAsia="Calibri"/>
          <w:lang w:val="fr-CA"/>
        </w:rPr>
        <w:t>»</w:t>
      </w:r>
      <w:r w:rsidR="00113657" w:rsidRPr="00BD22C2">
        <w:rPr>
          <w:rFonts w:eastAsia="Calibri"/>
          <w:lang w:val="fr-CA"/>
        </w:rPr>
        <w:t xml:space="preserve"> à titre de « mesures administratives appropriées »</w:t>
      </w:r>
      <w:bookmarkStart w:id="173" w:name="_Ref166757371"/>
      <w:r w:rsidR="000271F3" w:rsidRPr="00BD22C2">
        <w:rPr>
          <w:rStyle w:val="Appeldenotedefin"/>
          <w:rFonts w:eastAsia="Calibri"/>
          <w:iCs/>
          <w:lang w:val="fr-CA"/>
        </w:rPr>
        <w:endnoteReference w:id="405"/>
      </w:r>
      <w:bookmarkEnd w:id="173"/>
      <w:r w:rsidR="000271F3" w:rsidRPr="00BD22C2">
        <w:rPr>
          <w:rFonts w:eastAsia="Calibri"/>
          <w:lang w:val="fr-CA"/>
        </w:rPr>
        <w:t xml:space="preserve">. </w:t>
      </w:r>
    </w:p>
    <w:p w14:paraId="1E7E3916" w14:textId="3C100211" w:rsidR="000271F3" w:rsidRPr="00BD22C2" w:rsidRDefault="003E2691" w:rsidP="0037087A">
      <w:pPr>
        <w:pStyle w:val="Paragraphe"/>
        <w:rPr>
          <w:rFonts w:eastAsia="Calibri"/>
          <w:lang w:val="fr-CA"/>
        </w:rPr>
      </w:pPr>
      <w:r w:rsidRPr="00BD22C2">
        <w:rPr>
          <w:rFonts w:eastAsia="Calibri"/>
          <w:lang w:val="fr-CA"/>
        </w:rPr>
        <w:t>Or, e</w:t>
      </w:r>
      <w:r w:rsidR="000271F3" w:rsidRPr="00BD22C2">
        <w:rPr>
          <w:rFonts w:eastAsia="Calibri"/>
          <w:lang w:val="fr-CA"/>
        </w:rPr>
        <w:t>n</w:t>
      </w:r>
      <w:r w:rsidR="002531BB" w:rsidRPr="00BD22C2">
        <w:rPr>
          <w:rFonts w:eastAsia="Calibri"/>
          <w:lang w:val="fr-CA"/>
        </w:rPr>
        <w:t xml:space="preserve"> septembre 2023, en</w:t>
      </w:r>
      <w:r w:rsidR="000271F3" w:rsidRPr="00BD22C2">
        <w:rPr>
          <w:rFonts w:eastAsia="Calibri"/>
          <w:lang w:val="fr-CA"/>
        </w:rPr>
        <w:t xml:space="preserve"> réaction à la controverse récente, le ministre de l’Éducation a annoncé</w:t>
      </w:r>
      <w:r w:rsidR="002531BB" w:rsidRPr="00BD22C2">
        <w:rPr>
          <w:rFonts w:eastAsia="Calibri"/>
          <w:lang w:val="fr-CA"/>
        </w:rPr>
        <w:t xml:space="preserve"> </w:t>
      </w:r>
      <w:r w:rsidR="000271F3" w:rsidRPr="00BD22C2">
        <w:rPr>
          <w:rFonts w:eastAsia="Calibri"/>
          <w:lang w:val="fr-CA"/>
        </w:rPr>
        <w:t xml:space="preserve">son intention d’interdire la conversion de toilettes </w:t>
      </w:r>
      <w:r w:rsidR="00FE02C9" w:rsidRPr="00BD22C2">
        <w:rPr>
          <w:rFonts w:eastAsia="Calibri"/>
          <w:lang w:val="fr-CA"/>
        </w:rPr>
        <w:t>genrées</w:t>
      </w:r>
      <w:r w:rsidR="000271F3" w:rsidRPr="00BD22C2">
        <w:rPr>
          <w:rFonts w:eastAsia="Calibri"/>
          <w:lang w:val="fr-CA"/>
        </w:rPr>
        <w:t xml:space="preserve"> en toilettes mixtes</w:t>
      </w:r>
      <w:r w:rsidR="00BB168B" w:rsidRPr="00BD22C2">
        <w:rPr>
          <w:rFonts w:eastAsia="Calibri"/>
          <w:lang w:val="fr-CA"/>
        </w:rPr>
        <w:t>. Il</w:t>
      </w:r>
      <w:r w:rsidR="003468FA" w:rsidRPr="00BD22C2">
        <w:rPr>
          <w:rFonts w:eastAsia="Calibri"/>
          <w:lang w:val="fr-CA"/>
        </w:rPr>
        <w:t xml:space="preserve"> propose </w:t>
      </w:r>
      <w:r w:rsidR="00602199" w:rsidRPr="00BD22C2">
        <w:rPr>
          <w:rFonts w:eastAsia="Calibri"/>
          <w:lang w:val="fr-CA"/>
        </w:rPr>
        <w:t>p</w:t>
      </w:r>
      <w:r w:rsidR="00433467" w:rsidRPr="00BD22C2">
        <w:rPr>
          <w:rFonts w:eastAsia="Calibri"/>
          <w:lang w:val="fr-CA"/>
        </w:rPr>
        <w:t>l</w:t>
      </w:r>
      <w:r w:rsidR="00602199" w:rsidRPr="00BD22C2">
        <w:rPr>
          <w:rFonts w:eastAsia="Calibri"/>
          <w:lang w:val="fr-CA"/>
        </w:rPr>
        <w:t>u</w:t>
      </w:r>
      <w:r w:rsidR="00433467" w:rsidRPr="00BD22C2">
        <w:rPr>
          <w:rFonts w:eastAsia="Calibri"/>
          <w:lang w:val="fr-CA"/>
        </w:rPr>
        <w:t>t</w:t>
      </w:r>
      <w:r w:rsidR="00602199" w:rsidRPr="00BD22C2">
        <w:rPr>
          <w:rFonts w:eastAsia="Calibri"/>
          <w:lang w:val="fr-CA"/>
        </w:rPr>
        <w:t xml:space="preserve">ôt </w:t>
      </w:r>
      <w:r w:rsidR="00EE748D" w:rsidRPr="00BD22C2">
        <w:rPr>
          <w:rFonts w:eastAsia="Calibri"/>
          <w:lang w:val="fr-CA"/>
        </w:rPr>
        <w:t>que</w:t>
      </w:r>
      <w:r w:rsidR="000271F3" w:rsidRPr="00BD22C2">
        <w:rPr>
          <w:rFonts w:eastAsia="Calibri"/>
          <w:lang w:val="fr-CA"/>
        </w:rPr>
        <w:t xml:space="preserve"> des toilettes individuelles et fermées </w:t>
      </w:r>
      <w:r w:rsidR="00976E10" w:rsidRPr="00BD22C2">
        <w:rPr>
          <w:rFonts w:eastAsia="Calibri"/>
          <w:lang w:val="fr-CA"/>
        </w:rPr>
        <w:t>soient</w:t>
      </w:r>
      <w:r w:rsidR="00E73DC5" w:rsidRPr="00BD22C2">
        <w:rPr>
          <w:rFonts w:eastAsia="Calibri"/>
          <w:lang w:val="fr-CA"/>
        </w:rPr>
        <w:t xml:space="preserve"> désignées</w:t>
      </w:r>
      <w:r w:rsidR="00F648A3" w:rsidRPr="00BD22C2">
        <w:rPr>
          <w:rFonts w:eastAsia="Calibri"/>
          <w:lang w:val="fr-CA"/>
        </w:rPr>
        <w:t xml:space="preserve"> pour </w:t>
      </w:r>
      <w:r w:rsidR="000271F3" w:rsidRPr="00BD22C2">
        <w:rPr>
          <w:rFonts w:eastAsia="Calibri"/>
          <w:lang w:val="fr-CA"/>
        </w:rPr>
        <w:t>toute personne</w:t>
      </w:r>
      <w:r w:rsidR="000271F3" w:rsidRPr="00BD22C2">
        <w:rPr>
          <w:rStyle w:val="Appeldenotedefin"/>
          <w:rFonts w:eastAsia="Calibri"/>
          <w:iCs/>
          <w:lang w:val="fr-CA"/>
        </w:rPr>
        <w:endnoteReference w:id="406"/>
      </w:r>
      <w:r w:rsidR="000271F3" w:rsidRPr="00BD22C2">
        <w:rPr>
          <w:rFonts w:eastAsia="Calibri"/>
          <w:lang w:val="fr-CA"/>
        </w:rPr>
        <w:t xml:space="preserve">. </w:t>
      </w:r>
      <w:r w:rsidR="002E7E63" w:rsidRPr="00BD22C2">
        <w:rPr>
          <w:rFonts w:eastAsia="Calibri"/>
          <w:lang w:val="fr-CA"/>
        </w:rPr>
        <w:t>Cette directive a été rendue publique le 1</w:t>
      </w:r>
      <w:r w:rsidR="002E7E63" w:rsidRPr="00BD22C2">
        <w:rPr>
          <w:rFonts w:eastAsia="Calibri"/>
          <w:vertAlign w:val="superscript"/>
          <w:lang w:val="fr-CA"/>
        </w:rPr>
        <w:t>er</w:t>
      </w:r>
      <w:r w:rsidR="00762FE8">
        <w:rPr>
          <w:rFonts w:eastAsia="Calibri"/>
          <w:lang w:val="fr-CA"/>
        </w:rPr>
        <w:t> </w:t>
      </w:r>
      <w:r w:rsidR="002E7E63" w:rsidRPr="00BD22C2">
        <w:rPr>
          <w:rFonts w:eastAsia="Calibri"/>
          <w:lang w:val="fr-CA"/>
        </w:rPr>
        <w:t>mai 2024</w:t>
      </w:r>
      <w:r w:rsidR="002C5DD4" w:rsidRPr="00BD22C2">
        <w:rPr>
          <w:rFonts w:eastAsia="Calibri"/>
          <w:lang w:val="fr-CA"/>
        </w:rPr>
        <w:t xml:space="preserve"> (c</w:t>
      </w:r>
      <w:r w:rsidR="00A7641F" w:rsidRPr="00BD22C2">
        <w:rPr>
          <w:rFonts w:eastAsia="Calibri"/>
          <w:lang w:val="fr-CA"/>
        </w:rPr>
        <w:t>i-après «</w:t>
      </w:r>
      <w:r w:rsidR="0051216B" w:rsidRPr="00BD22C2">
        <w:rPr>
          <w:rFonts w:eastAsia="Calibri"/>
          <w:lang w:val="fr-CA"/>
        </w:rPr>
        <w:t> </w:t>
      </w:r>
      <w:r w:rsidR="00A7641F" w:rsidRPr="00BD22C2">
        <w:rPr>
          <w:rFonts w:eastAsia="Calibri"/>
          <w:lang w:val="fr-CA"/>
        </w:rPr>
        <w:t>la directive</w:t>
      </w:r>
      <w:r w:rsidR="0051216B" w:rsidRPr="00BD22C2">
        <w:rPr>
          <w:rFonts w:eastAsia="Calibri"/>
          <w:lang w:val="fr-CA"/>
        </w:rPr>
        <w:t> </w:t>
      </w:r>
      <w:r w:rsidR="00A7641F" w:rsidRPr="00BD22C2">
        <w:rPr>
          <w:rFonts w:eastAsia="Calibri"/>
          <w:lang w:val="fr-CA"/>
        </w:rPr>
        <w:t>»)</w:t>
      </w:r>
      <w:r w:rsidR="002E7E63" w:rsidRPr="00BD22C2">
        <w:rPr>
          <w:rFonts w:eastAsia="Calibri"/>
          <w:lang w:val="fr-CA"/>
        </w:rPr>
        <w:t xml:space="preserve">. </w:t>
      </w:r>
      <w:r w:rsidR="000840E7" w:rsidRPr="00BD22C2">
        <w:rPr>
          <w:rFonts w:eastAsia="Calibri"/>
          <w:lang w:val="fr-CA"/>
        </w:rPr>
        <w:t xml:space="preserve">Elle prévoit </w:t>
      </w:r>
      <w:r w:rsidR="007A2BE6" w:rsidRPr="00BD22C2">
        <w:rPr>
          <w:rFonts w:eastAsia="Calibri"/>
          <w:lang w:val="fr-CA"/>
        </w:rPr>
        <w:t xml:space="preserve">que </w:t>
      </w:r>
      <w:r w:rsidR="00DE70C7" w:rsidRPr="00BD22C2">
        <w:rPr>
          <w:rFonts w:eastAsia="Calibri"/>
          <w:lang w:val="fr-CA"/>
        </w:rPr>
        <w:t xml:space="preserve">les centres de services scolaires </w:t>
      </w:r>
      <w:r w:rsidR="00F07220" w:rsidRPr="00BD22C2">
        <w:rPr>
          <w:rFonts w:eastAsia="Calibri"/>
          <w:lang w:val="fr-CA"/>
        </w:rPr>
        <w:t>«</w:t>
      </w:r>
      <w:r w:rsidR="0051216B" w:rsidRPr="00BD22C2">
        <w:rPr>
          <w:rFonts w:eastAsia="Calibri"/>
          <w:lang w:val="fr-CA"/>
        </w:rPr>
        <w:t> </w:t>
      </w:r>
      <w:r w:rsidR="00DE70C7" w:rsidRPr="00BD22C2">
        <w:rPr>
          <w:rFonts w:eastAsia="Calibri"/>
          <w:lang w:val="fr-CA"/>
        </w:rPr>
        <w:t>doivent</w:t>
      </w:r>
      <w:r w:rsidR="000F4AD0" w:rsidRPr="00BD22C2">
        <w:rPr>
          <w:rFonts w:eastAsia="Calibri"/>
          <w:lang w:val="fr-CA"/>
        </w:rPr>
        <w:t> </w:t>
      </w:r>
      <w:r w:rsidR="00DE70C7" w:rsidRPr="00BD22C2">
        <w:rPr>
          <w:rFonts w:eastAsia="Calibri"/>
          <w:lang w:val="fr-CA"/>
        </w:rPr>
        <w:t xml:space="preserve">s’assurer </w:t>
      </w:r>
      <w:r w:rsidR="000E17E2" w:rsidRPr="00BD22C2">
        <w:rPr>
          <w:rFonts w:eastAsia="Calibri"/>
          <w:lang w:val="fr-CA"/>
        </w:rPr>
        <w:t xml:space="preserve">de mettre en œuvre </w:t>
      </w:r>
      <w:r w:rsidR="001D3BAA" w:rsidRPr="00BD22C2">
        <w:rPr>
          <w:rFonts w:eastAsia="Calibri"/>
          <w:lang w:val="fr-CA"/>
        </w:rPr>
        <w:t>les moyens dont ils disposent pour que toutes les t</w:t>
      </w:r>
      <w:r w:rsidR="000F4AD0" w:rsidRPr="00BD22C2">
        <w:rPr>
          <w:rFonts w:eastAsia="Calibri"/>
          <w:lang w:val="fr-CA"/>
        </w:rPr>
        <w:t>oilettes et les vestiaires qui seront construits ou rénovés dans le futur</w:t>
      </w:r>
      <w:r w:rsidR="009F5A14" w:rsidRPr="00BD22C2">
        <w:rPr>
          <w:rFonts w:eastAsia="Calibri"/>
          <w:lang w:val="fr-CA"/>
        </w:rPr>
        <w:t xml:space="preserve"> ou dont l’avancement de la conception</w:t>
      </w:r>
      <w:r w:rsidR="008A56C8" w:rsidRPr="00BD22C2">
        <w:rPr>
          <w:rFonts w:eastAsia="Calibri"/>
          <w:lang w:val="fr-CA"/>
        </w:rPr>
        <w:t xml:space="preserve"> est inférieur à 30</w:t>
      </w:r>
      <w:r w:rsidR="0051216B" w:rsidRPr="00BD22C2">
        <w:rPr>
          <w:rFonts w:eastAsia="Calibri"/>
          <w:lang w:val="fr-CA"/>
        </w:rPr>
        <w:t> </w:t>
      </w:r>
      <w:r w:rsidR="008A56C8" w:rsidRPr="00BD22C2">
        <w:rPr>
          <w:rFonts w:eastAsia="Calibri"/>
          <w:lang w:val="fr-CA"/>
        </w:rPr>
        <w:t>% soient genrés (garçons/filles)</w:t>
      </w:r>
      <w:r w:rsidR="0051216B" w:rsidRPr="00BD22C2">
        <w:rPr>
          <w:rFonts w:eastAsia="Calibri"/>
          <w:lang w:val="fr-CA"/>
        </w:rPr>
        <w:t> </w:t>
      </w:r>
      <w:r w:rsidR="007853FF" w:rsidRPr="00BD22C2">
        <w:rPr>
          <w:rFonts w:eastAsia="Calibri"/>
          <w:lang w:val="fr-CA"/>
        </w:rPr>
        <w:t>»</w:t>
      </w:r>
      <w:r w:rsidR="007853FF" w:rsidRPr="00BD22C2">
        <w:rPr>
          <w:rStyle w:val="Appeldenotedefin"/>
          <w:rFonts w:eastAsia="Calibri"/>
          <w:lang w:val="fr-CA"/>
        </w:rPr>
        <w:endnoteReference w:id="407"/>
      </w:r>
      <w:r w:rsidR="007853FF" w:rsidRPr="00BD22C2">
        <w:rPr>
          <w:rFonts w:eastAsia="Calibri"/>
          <w:lang w:val="fr-CA"/>
        </w:rPr>
        <w:t xml:space="preserve">. </w:t>
      </w:r>
      <w:r w:rsidR="00216EFD" w:rsidRPr="00BD22C2">
        <w:rPr>
          <w:rFonts w:eastAsia="Calibri"/>
          <w:lang w:val="fr-CA"/>
        </w:rPr>
        <w:t>Aucune toilette et aucun vestiaire mixtes</w:t>
      </w:r>
      <w:r w:rsidR="009B713C" w:rsidRPr="00BD22C2">
        <w:rPr>
          <w:rFonts w:eastAsia="Calibri"/>
          <w:lang w:val="fr-CA"/>
        </w:rPr>
        <w:t>, sans distinction garçon</w:t>
      </w:r>
      <w:r w:rsidR="00CD2F4D" w:rsidRPr="00BD22C2">
        <w:rPr>
          <w:rFonts w:eastAsia="Calibri"/>
          <w:lang w:val="fr-CA"/>
        </w:rPr>
        <w:t>s</w:t>
      </w:r>
      <w:r w:rsidR="009B713C" w:rsidRPr="00BD22C2">
        <w:rPr>
          <w:rFonts w:eastAsia="Calibri"/>
          <w:lang w:val="fr-CA"/>
        </w:rPr>
        <w:t xml:space="preserve">/filles, ne </w:t>
      </w:r>
      <w:r w:rsidR="00361D7E" w:rsidRPr="00BD22C2">
        <w:rPr>
          <w:rFonts w:eastAsia="Calibri"/>
          <w:lang w:val="fr-CA"/>
        </w:rPr>
        <w:t>pourront</w:t>
      </w:r>
      <w:r w:rsidR="009B713C" w:rsidRPr="00BD22C2">
        <w:rPr>
          <w:rFonts w:eastAsia="Calibri"/>
          <w:lang w:val="fr-CA"/>
        </w:rPr>
        <w:t xml:space="preserve"> donc</w:t>
      </w:r>
      <w:r w:rsidR="006C29A9" w:rsidRPr="00BD22C2">
        <w:rPr>
          <w:rFonts w:eastAsia="Calibri"/>
          <w:lang w:val="fr-CA"/>
        </w:rPr>
        <w:t xml:space="preserve"> </w:t>
      </w:r>
      <w:r w:rsidR="009B713C" w:rsidRPr="00BD22C2">
        <w:rPr>
          <w:rFonts w:eastAsia="Calibri"/>
          <w:lang w:val="fr-CA"/>
        </w:rPr>
        <w:t>être con</w:t>
      </w:r>
      <w:r w:rsidR="00090DBB" w:rsidRPr="00BD22C2">
        <w:rPr>
          <w:rFonts w:eastAsia="Calibri"/>
          <w:lang w:val="fr-CA"/>
        </w:rPr>
        <w:t>çus</w:t>
      </w:r>
      <w:r w:rsidR="003F6C47" w:rsidRPr="00BD22C2">
        <w:rPr>
          <w:rFonts w:eastAsia="Calibri"/>
          <w:lang w:val="fr-CA"/>
        </w:rPr>
        <w:t xml:space="preserve"> </w:t>
      </w:r>
      <w:r w:rsidR="00057F39" w:rsidRPr="00BD22C2">
        <w:rPr>
          <w:rFonts w:eastAsia="Calibri"/>
          <w:lang w:val="fr-CA"/>
        </w:rPr>
        <w:t xml:space="preserve">lors de rénovations ou constructions de bâtiments scolaires. La directive ajoute que les centres de services scolaires </w:t>
      </w:r>
      <w:r w:rsidR="00F07220" w:rsidRPr="00BD22C2">
        <w:rPr>
          <w:rFonts w:eastAsia="Calibri"/>
          <w:lang w:val="fr-CA"/>
        </w:rPr>
        <w:t>«</w:t>
      </w:r>
      <w:r w:rsidR="0051216B" w:rsidRPr="00BD22C2">
        <w:rPr>
          <w:rFonts w:eastAsia="Calibri"/>
          <w:lang w:val="fr-CA"/>
        </w:rPr>
        <w:t> </w:t>
      </w:r>
      <w:r w:rsidR="00057F39" w:rsidRPr="00BD22C2">
        <w:rPr>
          <w:rFonts w:eastAsia="Calibri"/>
          <w:lang w:val="fr-CA"/>
        </w:rPr>
        <w:t xml:space="preserve">doivent s’assurer </w:t>
      </w:r>
      <w:r w:rsidR="00A979BB" w:rsidRPr="00BD22C2">
        <w:rPr>
          <w:rFonts w:eastAsia="Calibri"/>
          <w:lang w:val="fr-CA"/>
        </w:rPr>
        <w:t xml:space="preserve">de prévoir des toilettes individuelles, universelles et accessibles sans restriction pour les élèves qui en ont besoin ou qui souhaitent les utiliser. </w:t>
      </w:r>
      <w:r w:rsidR="00120E7E" w:rsidRPr="00BD22C2">
        <w:rPr>
          <w:rFonts w:eastAsia="Calibri"/>
          <w:lang w:val="fr-CA"/>
        </w:rPr>
        <w:t xml:space="preserve">Ces installations doivent être </w:t>
      </w:r>
      <w:r w:rsidR="00362D01" w:rsidRPr="00BD22C2">
        <w:rPr>
          <w:rFonts w:eastAsia="Calibri"/>
          <w:lang w:val="fr-CA"/>
        </w:rPr>
        <w:t xml:space="preserve">appropriées, sécuritaires et situées à </w:t>
      </w:r>
      <w:r w:rsidR="00362D01" w:rsidRPr="00BD22C2">
        <w:rPr>
          <w:rFonts w:eastAsia="Calibri"/>
          <w:lang w:val="fr-CA"/>
        </w:rPr>
        <w:lastRenderedPageBreak/>
        <w:t>des endroits stratégiques permettant une surveillance adéquate, comme dans une aire de circulation commune</w:t>
      </w:r>
      <w:r w:rsidR="0051216B" w:rsidRPr="00BD22C2">
        <w:rPr>
          <w:rFonts w:eastAsia="Calibri"/>
          <w:lang w:val="fr-CA"/>
        </w:rPr>
        <w:t> </w:t>
      </w:r>
      <w:r w:rsidR="00362D01" w:rsidRPr="00BD22C2">
        <w:rPr>
          <w:rFonts w:eastAsia="Calibri"/>
          <w:lang w:val="fr-CA"/>
        </w:rPr>
        <w:t>»</w:t>
      </w:r>
      <w:r w:rsidR="00155A50" w:rsidRPr="00BD22C2">
        <w:rPr>
          <w:rStyle w:val="Appeldenotedefin"/>
          <w:rFonts w:eastAsia="Calibri"/>
          <w:lang w:val="fr-CA"/>
        </w:rPr>
        <w:endnoteReference w:id="408"/>
      </w:r>
      <w:r w:rsidR="00362D01" w:rsidRPr="00BD22C2">
        <w:rPr>
          <w:rFonts w:eastAsia="Calibri"/>
          <w:lang w:val="fr-CA"/>
        </w:rPr>
        <w:t xml:space="preserve">. </w:t>
      </w:r>
    </w:p>
    <w:p w14:paraId="59A9CA9F" w14:textId="45C3B076" w:rsidR="00F66CB9" w:rsidRPr="00BD22C2" w:rsidRDefault="00AD077B" w:rsidP="000C4254">
      <w:pPr>
        <w:pStyle w:val="Paragraphe"/>
        <w:rPr>
          <w:rFonts w:eastAsia="Calibri"/>
          <w:lang w:val="fr-CA"/>
        </w:rPr>
      </w:pPr>
      <w:r w:rsidRPr="00BD22C2">
        <w:rPr>
          <w:rFonts w:eastAsia="Calibri"/>
          <w:lang w:val="fr-CA"/>
        </w:rPr>
        <w:t>D’entrée de jeu, l</w:t>
      </w:r>
      <w:r w:rsidR="000271F3" w:rsidRPr="00BD22C2">
        <w:rPr>
          <w:rFonts w:eastAsia="Calibri"/>
          <w:lang w:val="fr-CA"/>
        </w:rPr>
        <w:t xml:space="preserve">a Commission </w:t>
      </w:r>
      <w:r w:rsidR="00710146" w:rsidRPr="00BD22C2">
        <w:rPr>
          <w:rFonts w:eastAsia="Calibri"/>
          <w:lang w:val="fr-CA"/>
        </w:rPr>
        <w:t>tient à</w:t>
      </w:r>
      <w:r w:rsidR="000271F3" w:rsidRPr="00BD22C2">
        <w:rPr>
          <w:rFonts w:eastAsia="Calibri"/>
          <w:lang w:val="fr-CA"/>
        </w:rPr>
        <w:t xml:space="preserve"> </w:t>
      </w:r>
      <w:r w:rsidR="00710146" w:rsidRPr="00BD22C2">
        <w:rPr>
          <w:rFonts w:eastAsia="Calibri"/>
          <w:lang w:val="fr-CA"/>
        </w:rPr>
        <w:t>rappeler que</w:t>
      </w:r>
      <w:r w:rsidR="000271F3" w:rsidRPr="00BD22C2">
        <w:rPr>
          <w:rFonts w:eastAsia="Calibri"/>
          <w:lang w:val="fr-CA"/>
        </w:rPr>
        <w:t xml:space="preserve"> </w:t>
      </w:r>
      <w:r w:rsidR="003B6E9E" w:rsidRPr="00BD22C2">
        <w:rPr>
          <w:rFonts w:eastAsia="Calibri"/>
          <w:lang w:val="fr-CA"/>
        </w:rPr>
        <w:t>la discrimination, l’intimidation et la violence peuvent se produire</w:t>
      </w:r>
      <w:r w:rsidR="002D6734" w:rsidRPr="00BD22C2">
        <w:rPr>
          <w:rFonts w:eastAsia="Calibri"/>
          <w:lang w:val="fr-CA"/>
        </w:rPr>
        <w:t xml:space="preserve"> dans </w:t>
      </w:r>
      <w:r w:rsidR="000271F3" w:rsidRPr="00BD22C2">
        <w:rPr>
          <w:rFonts w:eastAsia="Calibri"/>
          <w:lang w:val="fr-CA"/>
        </w:rPr>
        <w:t xml:space="preserve">les toilettes et vestiaires, </w:t>
      </w:r>
      <w:r w:rsidR="002D6734" w:rsidRPr="00BD22C2">
        <w:rPr>
          <w:rFonts w:eastAsia="Calibri"/>
          <w:lang w:val="fr-CA"/>
        </w:rPr>
        <w:t>et ce</w:t>
      </w:r>
      <w:r w:rsidR="003E2691" w:rsidRPr="00BD22C2">
        <w:rPr>
          <w:rFonts w:eastAsia="Calibri"/>
          <w:lang w:val="fr-CA"/>
        </w:rPr>
        <w:t>,</w:t>
      </w:r>
      <w:r w:rsidR="002D6734" w:rsidRPr="00BD22C2">
        <w:rPr>
          <w:rFonts w:eastAsia="Calibri"/>
          <w:lang w:val="fr-CA"/>
        </w:rPr>
        <w:t xml:space="preserve"> même en</w:t>
      </w:r>
      <w:r w:rsidR="00BA019F" w:rsidRPr="00BD22C2">
        <w:rPr>
          <w:rFonts w:eastAsia="Calibri"/>
          <w:lang w:val="fr-CA"/>
        </w:rPr>
        <w:t xml:space="preserve"> contexte de non-mixité</w:t>
      </w:r>
      <w:r w:rsidR="007911F4" w:rsidRPr="00BD22C2">
        <w:rPr>
          <w:rFonts w:eastAsia="Calibri"/>
          <w:lang w:val="fr-CA"/>
        </w:rPr>
        <w:t>.</w:t>
      </w:r>
      <w:r w:rsidR="003B2778" w:rsidRPr="00BD22C2">
        <w:rPr>
          <w:rFonts w:eastAsia="Calibri"/>
          <w:lang w:val="fr-CA"/>
        </w:rPr>
        <w:t xml:space="preserve"> </w:t>
      </w:r>
      <w:r w:rsidR="0080546A" w:rsidRPr="00BD22C2">
        <w:rPr>
          <w:rFonts w:eastAsia="Calibri"/>
          <w:lang w:val="fr-CA"/>
        </w:rPr>
        <w:t xml:space="preserve">Alors que le sport constitue </w:t>
      </w:r>
      <w:r w:rsidR="00940121" w:rsidRPr="00BD22C2">
        <w:rPr>
          <w:rFonts w:eastAsia="Calibri"/>
          <w:lang w:val="fr-CA"/>
        </w:rPr>
        <w:t xml:space="preserve">un milieu </w:t>
      </w:r>
      <w:r w:rsidR="00504241" w:rsidRPr="00BD22C2">
        <w:rPr>
          <w:rFonts w:eastAsia="Calibri"/>
          <w:lang w:val="fr-CA"/>
        </w:rPr>
        <w:t>généralement</w:t>
      </w:r>
      <w:r w:rsidR="00940121" w:rsidRPr="00BD22C2">
        <w:rPr>
          <w:rFonts w:eastAsia="Calibri"/>
          <w:lang w:val="fr-CA"/>
        </w:rPr>
        <w:t xml:space="preserve"> très genré</w:t>
      </w:r>
      <w:r w:rsidR="0015244F" w:rsidRPr="00BD22C2">
        <w:rPr>
          <w:rFonts w:eastAsia="Calibri"/>
          <w:lang w:val="fr-CA"/>
        </w:rPr>
        <w:t>, l</w:t>
      </w:r>
      <w:r w:rsidR="001F0F41" w:rsidRPr="00BD22C2">
        <w:rPr>
          <w:rFonts w:eastAsia="Calibri"/>
          <w:lang w:val="fr-CA"/>
        </w:rPr>
        <w:t>es vestiaires et les douches sont des lieux où les athlètes sont</w:t>
      </w:r>
      <w:r w:rsidR="00707CEF" w:rsidRPr="00BD22C2">
        <w:rPr>
          <w:rFonts w:eastAsia="Calibri"/>
          <w:lang w:val="fr-CA"/>
        </w:rPr>
        <w:t xml:space="preserve"> néanmoins</w:t>
      </w:r>
      <w:r w:rsidR="001F0F41" w:rsidRPr="00BD22C2">
        <w:rPr>
          <w:rFonts w:eastAsia="Calibri"/>
          <w:lang w:val="fr-CA"/>
        </w:rPr>
        <w:t xml:space="preserve"> susceptibles de su</w:t>
      </w:r>
      <w:r w:rsidR="00C61207" w:rsidRPr="00BD22C2">
        <w:rPr>
          <w:rFonts w:eastAsia="Calibri"/>
          <w:lang w:val="fr-CA"/>
        </w:rPr>
        <w:t>bir de la violence de la part de leurs pairs et de leur entraîneur</w:t>
      </w:r>
      <w:r w:rsidR="00F66CB9" w:rsidRPr="00BD22C2">
        <w:rPr>
          <w:rStyle w:val="Appeldenotedefin"/>
          <w:rFonts w:eastAsia="Calibri"/>
          <w:lang w:val="fr-CA"/>
        </w:rPr>
        <w:endnoteReference w:id="409"/>
      </w:r>
      <w:r w:rsidR="00F66CB9" w:rsidRPr="00BD22C2">
        <w:rPr>
          <w:rFonts w:eastAsia="Calibri"/>
          <w:lang w:val="fr-CA"/>
        </w:rPr>
        <w:t>. Dans les écoles, les plus récentes données sur l’intimidation et la violence démontrent que ces phénomènes persistent dans les toilettes, bien qu’elles ne fassent pas partie des lieux où ils se produisent plus particulièrement. En effet, comme le soulignait l’INSPQ, «</w:t>
      </w:r>
      <w:r w:rsidR="0051216B" w:rsidRPr="00BD22C2">
        <w:rPr>
          <w:rFonts w:eastAsia="Calibri"/>
          <w:lang w:val="fr-CA"/>
        </w:rPr>
        <w:t> </w:t>
      </w:r>
      <w:r w:rsidR="00F66CB9" w:rsidRPr="00BD22C2">
        <w:rPr>
          <w:lang w:val="fr-CA"/>
        </w:rPr>
        <w:t>les agressions qui se produisent à l’enseignement primaire ont principalement lieu sur le terrain de l’école, dans le quartier, au gymnase ou sur le chemin de l’école, alors que celles qui se produisent à l’enseignement secondaire ont principalement lieu dans la salle des casiers, dans les corridors, sur le terrain de l’école ou dans le quartier</w:t>
      </w:r>
      <w:r w:rsidR="0051216B" w:rsidRPr="00BD22C2">
        <w:rPr>
          <w:lang w:val="fr-CA"/>
        </w:rPr>
        <w:t> </w:t>
      </w:r>
      <w:r w:rsidR="00F66CB9" w:rsidRPr="00BD22C2">
        <w:rPr>
          <w:lang w:val="fr-CA"/>
        </w:rPr>
        <w:t>»</w:t>
      </w:r>
      <w:r w:rsidR="00F66CB9" w:rsidRPr="00BD22C2">
        <w:rPr>
          <w:rStyle w:val="Appeldenotedefin"/>
          <w:lang w:val="fr-CA"/>
        </w:rPr>
        <w:endnoteReference w:id="410"/>
      </w:r>
      <w:r w:rsidR="00F66CB9" w:rsidRPr="00BD22C2">
        <w:rPr>
          <w:lang w:val="fr-CA"/>
        </w:rPr>
        <w:t>. Sans avoir disparu, la violence et l’intimidation dans les toilettes seraient en déclin</w:t>
      </w:r>
      <w:r w:rsidR="00F66CB9" w:rsidRPr="00BD22C2">
        <w:rPr>
          <w:rStyle w:val="Appeldenotedefin"/>
          <w:lang w:val="fr-CA"/>
        </w:rPr>
        <w:endnoteReference w:id="411"/>
      </w:r>
      <w:r w:rsidR="00F66CB9" w:rsidRPr="00BD22C2">
        <w:rPr>
          <w:lang w:val="fr-CA"/>
        </w:rPr>
        <w:t>.</w:t>
      </w:r>
    </w:p>
    <w:p w14:paraId="0BF69F52" w14:textId="5DE4549E" w:rsidR="00F66CB9" w:rsidRPr="00BD22C2" w:rsidRDefault="00F66CB9" w:rsidP="0037087A">
      <w:pPr>
        <w:pStyle w:val="Paragraphe"/>
        <w:rPr>
          <w:rFonts w:eastAsia="Calibri"/>
          <w:lang w:val="fr-CA"/>
        </w:rPr>
      </w:pPr>
      <w:r w:rsidRPr="00BD22C2">
        <w:rPr>
          <w:rFonts w:eastAsia="Calibri"/>
          <w:lang w:val="fr-CA"/>
        </w:rPr>
        <w:t>Par ailleurs, l</w:t>
      </w:r>
      <w:r w:rsidR="000271F3" w:rsidRPr="00BD22C2">
        <w:rPr>
          <w:rFonts w:eastAsia="Calibri"/>
          <w:lang w:val="fr-CA"/>
        </w:rPr>
        <w:t>es</w:t>
      </w:r>
      <w:r w:rsidRPr="00BD22C2">
        <w:rPr>
          <w:rFonts w:eastAsia="Calibri"/>
          <w:lang w:val="fr-CA"/>
        </w:rPr>
        <w:t xml:space="preserve"> toilettes et vestiaires non genrés ou dits universels peuvent </w:t>
      </w:r>
      <w:r w:rsidRPr="00BD22C2" w:rsidDel="00001E9B">
        <w:rPr>
          <w:rFonts w:eastAsia="Calibri"/>
          <w:lang w:val="fr-CA"/>
        </w:rPr>
        <w:t xml:space="preserve">être </w:t>
      </w:r>
      <w:r w:rsidRPr="00BD22C2">
        <w:rPr>
          <w:rFonts w:eastAsia="Calibri"/>
          <w:lang w:val="fr-CA"/>
        </w:rPr>
        <w:t xml:space="preserve">accueillis favorablement </w:t>
      </w:r>
      <w:r w:rsidRPr="00BD22C2" w:rsidDel="00001E9B">
        <w:rPr>
          <w:rFonts w:eastAsia="Calibri"/>
          <w:lang w:val="fr-CA"/>
        </w:rPr>
        <w:t xml:space="preserve">par </w:t>
      </w:r>
      <w:r w:rsidRPr="00BD22C2">
        <w:rPr>
          <w:rFonts w:eastAsia="Calibri"/>
          <w:lang w:val="fr-CA"/>
        </w:rPr>
        <w:t>différents groupes comme les familles, des jeunes victimes d’intimidation par des pairs, des personnes en situation de handicap ayant besoin d’accompagnement et les personnes dont l’identité ou l’expression de genre ne correspond pas aux stéréotypes masculins ou féminins</w:t>
      </w:r>
      <w:r w:rsidRPr="00BD22C2">
        <w:rPr>
          <w:rStyle w:val="Appeldenotedefin"/>
          <w:rFonts w:eastAsia="Calibri"/>
          <w:lang w:val="fr-CA"/>
        </w:rPr>
        <w:endnoteReference w:id="412"/>
      </w:r>
      <w:r w:rsidRPr="00BD22C2">
        <w:rPr>
          <w:rFonts w:eastAsia="Calibri"/>
          <w:lang w:val="fr-CA"/>
        </w:rPr>
        <w:t xml:space="preserve">. </w:t>
      </w:r>
    </w:p>
    <w:p w14:paraId="6ECCEB40" w14:textId="59724E0E" w:rsidR="00346911" w:rsidRPr="00BD22C2" w:rsidRDefault="00F66CB9" w:rsidP="0037087A">
      <w:pPr>
        <w:pStyle w:val="Paragraphe"/>
        <w:rPr>
          <w:rFonts w:eastAsia="Calibri"/>
          <w:lang w:val="fr-CA"/>
        </w:rPr>
      </w:pPr>
      <w:r w:rsidRPr="00BD22C2">
        <w:rPr>
          <w:rFonts w:eastAsia="Calibri"/>
          <w:lang w:val="fr-CA"/>
        </w:rPr>
        <w:t>Pour ces dernières, la fréquentation des lieux d’intimité genrés s’accompagne d’une insécurité constante. Dans de tels lieux, une identité ou une expression de genre minoritaire fait peser le risque de subir du harcèlement ou du profilage discriminatoire sur cette base. Les personnes concernées sont ainsi susceptibles de ressentir de l’angoisse à l’idée de les fréquenter, voire de les éviter</w:t>
      </w:r>
      <w:r w:rsidRPr="00BD22C2">
        <w:rPr>
          <w:rStyle w:val="Appeldenotedefin"/>
          <w:rFonts w:eastAsia="Calibri"/>
          <w:lang w:val="fr-CA"/>
        </w:rPr>
        <w:endnoteReference w:id="413"/>
      </w:r>
      <w:r w:rsidRPr="00BD22C2">
        <w:rPr>
          <w:rFonts w:eastAsia="Calibri"/>
          <w:lang w:val="fr-CA"/>
        </w:rPr>
        <w:t>, que ce soit en contexte scolaire</w:t>
      </w:r>
      <w:r w:rsidRPr="00BD22C2">
        <w:rPr>
          <w:rStyle w:val="Appeldenotedefin"/>
          <w:rFonts w:eastAsia="Calibri"/>
          <w:lang w:val="fr-CA"/>
        </w:rPr>
        <w:endnoteReference w:id="414"/>
      </w:r>
      <w:r w:rsidRPr="00BD22C2">
        <w:rPr>
          <w:rFonts w:eastAsia="Calibri"/>
          <w:lang w:val="fr-CA"/>
        </w:rPr>
        <w:t>,</w:t>
      </w:r>
      <w:r w:rsidR="00660AA0" w:rsidRPr="00BD22C2">
        <w:rPr>
          <w:rFonts w:eastAsia="Calibri"/>
          <w:lang w:val="fr-CA"/>
        </w:rPr>
        <w:t xml:space="preserve"> en milieu sportif ou dans le cadre de loisirs</w:t>
      </w:r>
      <w:r w:rsidR="000271F3" w:rsidRPr="00BD22C2">
        <w:rPr>
          <w:rStyle w:val="Appeldenotedefin"/>
          <w:rFonts w:eastAsia="Calibri"/>
          <w:lang w:val="fr-CA"/>
        </w:rPr>
        <w:endnoteReference w:id="415"/>
      </w:r>
      <w:r w:rsidR="000271F3" w:rsidRPr="00BD22C2">
        <w:rPr>
          <w:rFonts w:eastAsia="Calibri"/>
          <w:lang w:val="fr-CA"/>
        </w:rPr>
        <w:t>.</w:t>
      </w:r>
    </w:p>
    <w:p w14:paraId="39FB5FFE" w14:textId="19FEFA27" w:rsidR="00B92933" w:rsidRPr="00BD22C2" w:rsidRDefault="003D1BAB" w:rsidP="0037087A">
      <w:pPr>
        <w:pStyle w:val="Paragraphe"/>
        <w:rPr>
          <w:rFonts w:eastAsia="Calibri"/>
          <w:lang w:val="fr-CA"/>
        </w:rPr>
      </w:pPr>
      <w:r w:rsidRPr="00BD22C2">
        <w:rPr>
          <w:rFonts w:eastAsia="Calibri"/>
          <w:lang w:val="fr-CA"/>
        </w:rPr>
        <w:t>Comme le prévoit</w:t>
      </w:r>
      <w:r w:rsidR="00455F6D" w:rsidRPr="00BD22C2">
        <w:rPr>
          <w:rFonts w:eastAsia="Calibri"/>
          <w:lang w:val="fr-CA"/>
        </w:rPr>
        <w:t xml:space="preserve"> la Charte, l</w:t>
      </w:r>
      <w:r w:rsidR="00B92933" w:rsidRPr="00BD22C2">
        <w:rPr>
          <w:rFonts w:eastAsia="Calibri"/>
          <w:lang w:val="fr-CA"/>
        </w:rPr>
        <w:t xml:space="preserve">es toilettes et vestiaires, comme tout autre lieu, doivent être </w:t>
      </w:r>
      <w:r w:rsidR="00820691" w:rsidRPr="00BD22C2">
        <w:rPr>
          <w:rFonts w:eastAsia="Calibri"/>
          <w:lang w:val="fr-CA"/>
        </w:rPr>
        <w:t>a priori</w:t>
      </w:r>
      <w:r w:rsidR="00B92933" w:rsidRPr="00BD22C2">
        <w:rPr>
          <w:rFonts w:eastAsia="Calibri"/>
          <w:lang w:val="fr-CA"/>
        </w:rPr>
        <w:t xml:space="preserve"> conçus, aménagés et gérés de façon à garantir le respect des droits de toutes les personnes les utilisant. Ces espaces doivent notamment être exempt</w:t>
      </w:r>
      <w:r w:rsidR="00943F5F" w:rsidRPr="00BD22C2">
        <w:rPr>
          <w:rFonts w:eastAsia="Calibri"/>
          <w:lang w:val="fr-CA"/>
        </w:rPr>
        <w:t>s</w:t>
      </w:r>
      <w:r w:rsidR="00B92933" w:rsidRPr="00BD22C2">
        <w:rPr>
          <w:rFonts w:eastAsia="Calibri"/>
          <w:lang w:val="fr-CA"/>
        </w:rPr>
        <w:t xml:space="preserve"> de harcèlement discriminatoire et de violence. Comme tout service ordinairement offert au public,</w:t>
      </w:r>
      <w:r w:rsidR="005C7EC8" w:rsidRPr="00BD22C2">
        <w:rPr>
          <w:rFonts w:eastAsia="Calibri"/>
          <w:lang w:val="fr-CA"/>
        </w:rPr>
        <w:t xml:space="preserve"> la jurisprudence confirme que</w:t>
      </w:r>
      <w:r w:rsidR="00B92933" w:rsidRPr="00BD22C2">
        <w:rPr>
          <w:rFonts w:eastAsia="Calibri"/>
          <w:lang w:val="fr-CA"/>
        </w:rPr>
        <w:t xml:space="preserve"> les toilettes et vestiaires doivent aussi être accessibles sans discrimination</w:t>
      </w:r>
      <w:r w:rsidR="005C7EC8" w:rsidRPr="00BD22C2">
        <w:rPr>
          <w:rFonts w:eastAsia="Calibri"/>
          <w:lang w:val="fr-CA"/>
        </w:rPr>
        <w:t>, incluant pour les personnes L</w:t>
      </w:r>
      <w:r w:rsidR="00135421" w:rsidRPr="00BD22C2">
        <w:rPr>
          <w:rFonts w:eastAsia="Calibri"/>
          <w:lang w:val="fr-CA"/>
        </w:rPr>
        <w:t>GBTQ+</w:t>
      </w:r>
      <w:r w:rsidR="005B7DDD" w:rsidRPr="00BD22C2">
        <w:rPr>
          <w:rStyle w:val="Appeldenotedefin"/>
          <w:rFonts w:eastAsia="Calibri"/>
          <w:lang w:val="fr-CA"/>
        </w:rPr>
        <w:endnoteReference w:id="416"/>
      </w:r>
      <w:r w:rsidR="00B92933" w:rsidRPr="00BD22C2">
        <w:rPr>
          <w:rFonts w:eastAsia="Calibri"/>
          <w:lang w:val="fr-CA"/>
        </w:rPr>
        <w:t xml:space="preserve">. </w:t>
      </w:r>
    </w:p>
    <w:p w14:paraId="7B9E62D8" w14:textId="62289A96" w:rsidR="00B92933" w:rsidRPr="00BD22C2" w:rsidRDefault="00B92933" w:rsidP="00707395">
      <w:pPr>
        <w:pStyle w:val="Corpsdetexte"/>
        <w:jc w:val="left"/>
        <w:rPr>
          <w:rFonts w:eastAsia="Calibri"/>
        </w:rPr>
      </w:pPr>
      <w:r w:rsidRPr="00BD22C2">
        <w:rPr>
          <w:rFonts w:eastAsia="Calibri"/>
        </w:rPr>
        <w:lastRenderedPageBreak/>
        <w:t>Tel que souligné dans la section</w:t>
      </w:r>
      <w:r w:rsidR="00CC76DE" w:rsidRPr="00BD22C2">
        <w:rPr>
          <w:rFonts w:eastAsia="Calibri"/>
        </w:rPr>
        <w:t> </w:t>
      </w:r>
      <w:r w:rsidR="00683951" w:rsidRPr="00BD22C2">
        <w:rPr>
          <w:rFonts w:eastAsia="Calibri"/>
        </w:rPr>
        <w:fldChar w:fldCharType="begin"/>
      </w:r>
      <w:r w:rsidR="00683951" w:rsidRPr="00BD22C2">
        <w:rPr>
          <w:rFonts w:eastAsia="Calibri"/>
        </w:rPr>
        <w:instrText xml:space="preserve"> REF _Ref165039074 \r \h </w:instrText>
      </w:r>
      <w:r w:rsidR="00683951" w:rsidRPr="00BD22C2">
        <w:rPr>
          <w:rFonts w:eastAsia="Calibri"/>
        </w:rPr>
      </w:r>
      <w:r w:rsidR="00683951" w:rsidRPr="00BD22C2">
        <w:rPr>
          <w:rFonts w:eastAsia="Calibri"/>
        </w:rPr>
        <w:fldChar w:fldCharType="separate"/>
      </w:r>
      <w:r w:rsidR="00EB3C5E" w:rsidRPr="00BD22C2">
        <w:rPr>
          <w:rFonts w:eastAsia="Calibri"/>
        </w:rPr>
        <w:t>4.3.1</w:t>
      </w:r>
      <w:r w:rsidR="00683951" w:rsidRPr="00BD22C2">
        <w:rPr>
          <w:rFonts w:eastAsia="Calibri"/>
        </w:rPr>
        <w:fldChar w:fldCharType="end"/>
      </w:r>
      <w:r w:rsidRPr="00BD22C2">
        <w:rPr>
          <w:rFonts w:eastAsia="Calibri"/>
        </w:rPr>
        <w:t>, le respect du droit à l’égalité réelle exige que les différences entre les groupes soient prises en compte au moment de l’élaboration de normes et de pratiques. En matière de toilettes et de vestiaires, la satisfaction d’une telle obligation peut passer par plusieurs moyens</w:t>
      </w:r>
      <w:r w:rsidR="000A0A6D" w:rsidRPr="00BD22C2">
        <w:rPr>
          <w:rFonts w:eastAsia="Calibri"/>
        </w:rPr>
        <w:t>.</w:t>
      </w:r>
      <w:r w:rsidRPr="00BD22C2">
        <w:rPr>
          <w:rFonts w:eastAsia="Calibri"/>
        </w:rPr>
        <w:t xml:space="preserve"> </w:t>
      </w:r>
      <w:r w:rsidR="000A0A6D" w:rsidRPr="00BD22C2">
        <w:rPr>
          <w:rFonts w:eastAsia="Calibri"/>
        </w:rPr>
        <w:t>En d’autres termes, i</w:t>
      </w:r>
      <w:r w:rsidR="009B2BC3" w:rsidRPr="00BD22C2">
        <w:rPr>
          <w:rFonts w:eastAsia="Calibri"/>
        </w:rPr>
        <w:t xml:space="preserve">l n’existe pas de modèle unique d’aménagement des toilettes ou des vestiaires pouvant en permettre l’utilisation sans discrimination et dans le respect des droits à l’intégrité et la sécurité de toutes les personnes utilisatrices. </w:t>
      </w:r>
      <w:r w:rsidRPr="00BD22C2">
        <w:rPr>
          <w:rFonts w:eastAsia="Calibri"/>
        </w:rPr>
        <w:t>Selon les circonstances</w:t>
      </w:r>
      <w:r w:rsidR="009237DE" w:rsidRPr="00BD22C2">
        <w:rPr>
          <w:rFonts w:eastAsia="Calibri"/>
        </w:rPr>
        <w:t xml:space="preserve"> </w:t>
      </w:r>
      <w:r w:rsidR="000A0A6D" w:rsidRPr="00BD22C2">
        <w:rPr>
          <w:rFonts w:eastAsia="Calibri"/>
        </w:rPr>
        <w:t>(mission du lieu, personnes le fréquentant, état des infrastructures existantes, aménagements des lieux, etc.)</w:t>
      </w:r>
      <w:r w:rsidR="009237DE" w:rsidRPr="00BD22C2">
        <w:rPr>
          <w:rFonts w:eastAsia="Calibri"/>
        </w:rPr>
        <w:t>,</w:t>
      </w:r>
      <w:r w:rsidRPr="00BD22C2">
        <w:rPr>
          <w:rFonts w:eastAsia="Calibri"/>
        </w:rPr>
        <w:t xml:space="preserve"> des toilettes ou vestiaires mixtes pourraient satisfaire cette exigence s</w:t>
      </w:r>
      <w:r w:rsidR="009B72F6" w:rsidRPr="00BD22C2">
        <w:rPr>
          <w:rFonts w:eastAsia="Calibri"/>
        </w:rPr>
        <w:t>’il</w:t>
      </w:r>
      <w:r w:rsidRPr="00BD22C2">
        <w:rPr>
          <w:rFonts w:eastAsia="Calibri"/>
        </w:rPr>
        <w:t>s sont notamment conçus, aménagés et gérés de façon à assurer une intimité suffisante et un climat respectueux</w:t>
      </w:r>
      <w:r w:rsidR="00173638" w:rsidRPr="00BD22C2">
        <w:rPr>
          <w:rFonts w:eastAsia="Calibri"/>
        </w:rPr>
        <w:t xml:space="preserve">, </w:t>
      </w:r>
      <w:r w:rsidR="00C037A4" w:rsidRPr="00BD22C2">
        <w:rPr>
          <w:rFonts w:eastAsia="Calibri"/>
        </w:rPr>
        <w:t xml:space="preserve">mais l’existence </w:t>
      </w:r>
      <w:r w:rsidR="006C4C4F" w:rsidRPr="00BD22C2">
        <w:rPr>
          <w:rFonts w:eastAsia="Calibri"/>
        </w:rPr>
        <w:t xml:space="preserve">de </w:t>
      </w:r>
      <w:r w:rsidR="00724671" w:rsidRPr="00BD22C2">
        <w:rPr>
          <w:rFonts w:eastAsia="Calibri"/>
        </w:rPr>
        <w:t xml:space="preserve">toilettes </w:t>
      </w:r>
      <w:r w:rsidR="00DC30DA" w:rsidRPr="00BD22C2">
        <w:rPr>
          <w:rFonts w:eastAsia="Calibri"/>
        </w:rPr>
        <w:t>ou vestiaires individuels</w:t>
      </w:r>
      <w:r w:rsidR="00AF6607" w:rsidRPr="00BD22C2">
        <w:rPr>
          <w:rFonts w:eastAsia="Calibri"/>
        </w:rPr>
        <w:t xml:space="preserve"> ou la coexistence </w:t>
      </w:r>
      <w:r w:rsidR="003B774C" w:rsidRPr="00BD22C2">
        <w:rPr>
          <w:rFonts w:eastAsia="Calibri"/>
        </w:rPr>
        <w:t xml:space="preserve">des deux options </w:t>
      </w:r>
      <w:r w:rsidR="00D9190C" w:rsidRPr="00BD22C2">
        <w:rPr>
          <w:rFonts w:eastAsia="Calibri"/>
        </w:rPr>
        <w:t>pourraient aussi faire partie des configuration</w:t>
      </w:r>
      <w:r w:rsidR="00F93A07" w:rsidRPr="00BD22C2">
        <w:rPr>
          <w:rFonts w:eastAsia="Calibri"/>
        </w:rPr>
        <w:t>s</w:t>
      </w:r>
      <w:r w:rsidR="00D9190C" w:rsidRPr="00BD22C2">
        <w:rPr>
          <w:rFonts w:eastAsia="Calibri"/>
        </w:rPr>
        <w:t xml:space="preserve"> envisagées</w:t>
      </w:r>
      <w:r w:rsidR="00173638" w:rsidRPr="00BD22C2">
        <w:rPr>
          <w:rStyle w:val="Appeldenotedefin"/>
          <w:rFonts w:eastAsia="Calibri"/>
        </w:rPr>
        <w:endnoteReference w:id="417"/>
      </w:r>
      <w:r w:rsidR="006513EC" w:rsidRPr="00BD22C2">
        <w:rPr>
          <w:rFonts w:eastAsia="Calibri"/>
        </w:rPr>
        <w:t>.</w:t>
      </w:r>
      <w:r w:rsidRPr="00BD22C2">
        <w:rPr>
          <w:rFonts w:eastAsia="Calibri"/>
        </w:rPr>
        <w:t xml:space="preserve"> </w:t>
      </w:r>
      <w:r w:rsidR="003A0672" w:rsidRPr="00BD22C2">
        <w:rPr>
          <w:rFonts w:eastAsia="Calibri"/>
        </w:rPr>
        <w:t xml:space="preserve">Comme le </w:t>
      </w:r>
      <w:r w:rsidR="00C72C38" w:rsidRPr="00BD22C2">
        <w:rPr>
          <w:rFonts w:eastAsia="Calibri"/>
        </w:rPr>
        <w:t>note</w:t>
      </w:r>
      <w:r w:rsidR="003A0672" w:rsidRPr="00BD22C2">
        <w:rPr>
          <w:rFonts w:eastAsia="Calibri"/>
        </w:rPr>
        <w:t xml:space="preserve"> un guide récent</w:t>
      </w:r>
      <w:r w:rsidR="00AD50AD" w:rsidRPr="00BD22C2">
        <w:rPr>
          <w:rFonts w:eastAsia="Calibri"/>
        </w:rPr>
        <w:t xml:space="preserve"> du Conseil québécois LGBT</w:t>
      </w:r>
      <w:r w:rsidR="003A0672" w:rsidRPr="00BD22C2">
        <w:rPr>
          <w:rFonts w:eastAsia="Calibri"/>
        </w:rPr>
        <w:t xml:space="preserve"> sur l’inclusion </w:t>
      </w:r>
      <w:r w:rsidR="0059644F" w:rsidRPr="00BD22C2">
        <w:rPr>
          <w:rFonts w:eastAsia="Calibri"/>
        </w:rPr>
        <w:t>des personnes</w:t>
      </w:r>
      <w:r w:rsidR="003A0672" w:rsidRPr="00BD22C2">
        <w:rPr>
          <w:rFonts w:eastAsia="Calibri"/>
        </w:rPr>
        <w:t xml:space="preserve"> LGBTQ+ dans l’environnement bâti, </w:t>
      </w:r>
      <w:r w:rsidR="004C5F85" w:rsidRPr="00BD22C2">
        <w:rPr>
          <w:rFonts w:eastAsia="Calibri"/>
        </w:rPr>
        <w:t>différentes</w:t>
      </w:r>
      <w:r w:rsidR="003A0672" w:rsidRPr="00BD22C2">
        <w:rPr>
          <w:rFonts w:eastAsia="Calibri"/>
        </w:rPr>
        <w:t xml:space="preserve"> </w:t>
      </w:r>
      <w:r w:rsidR="004C5F85" w:rsidRPr="00BD22C2">
        <w:rPr>
          <w:rFonts w:eastAsia="Calibri"/>
        </w:rPr>
        <w:t>options</w:t>
      </w:r>
      <w:r w:rsidR="003A0672" w:rsidRPr="00BD22C2">
        <w:rPr>
          <w:rFonts w:eastAsia="Calibri"/>
        </w:rPr>
        <w:t xml:space="preserve"> sont possibles suivant le contexte de chaque projet et les solutions appropriées doivent être déterminées par un processus d’évaluation des besoins des personnes usagères des lieux. </w:t>
      </w:r>
      <w:r w:rsidR="00A82CAA" w:rsidRPr="00BD22C2">
        <w:rPr>
          <w:rFonts w:eastAsia="Calibri"/>
        </w:rPr>
        <w:t>Le</w:t>
      </w:r>
      <w:r w:rsidR="00AD50AD" w:rsidRPr="00BD22C2">
        <w:rPr>
          <w:rFonts w:eastAsia="Calibri"/>
        </w:rPr>
        <w:t xml:space="preserve"> Conseil</w:t>
      </w:r>
      <w:r w:rsidR="00A82CAA" w:rsidRPr="00BD22C2">
        <w:rPr>
          <w:rFonts w:eastAsia="Calibri"/>
        </w:rPr>
        <w:t xml:space="preserve"> explique qu’</w:t>
      </w:r>
      <w:r w:rsidR="00AD50AD" w:rsidRPr="00BD22C2">
        <w:rPr>
          <w:rFonts w:eastAsia="Calibri"/>
        </w:rPr>
        <w:t>il</w:t>
      </w:r>
      <w:r w:rsidR="003A0672" w:rsidRPr="00BD22C2">
        <w:rPr>
          <w:rFonts w:eastAsia="Calibri"/>
        </w:rPr>
        <w:t xml:space="preserve"> ne s’agit pas de «</w:t>
      </w:r>
      <w:r w:rsidR="00444FEB">
        <w:rPr>
          <w:rFonts w:eastAsia="Calibri"/>
        </w:rPr>
        <w:t> </w:t>
      </w:r>
      <w:r w:rsidR="003A0672" w:rsidRPr="00BD22C2">
        <w:rPr>
          <w:rFonts w:eastAsia="Calibri"/>
        </w:rPr>
        <w:t>coller une étiquette mixte ou neutre sur une salle de toilettes traditionnelle</w:t>
      </w:r>
      <w:r w:rsidR="00E30B76">
        <w:rPr>
          <w:rFonts w:eastAsia="Calibri"/>
        </w:rPr>
        <w:t> </w:t>
      </w:r>
      <w:r w:rsidR="003A0672" w:rsidRPr="00BD22C2">
        <w:rPr>
          <w:rFonts w:eastAsia="Calibri"/>
        </w:rPr>
        <w:t>; en réalité, il s’agit de repenser l’aménagement et le design de services pour répondre à des besoins diversifiés</w:t>
      </w:r>
      <w:r w:rsidR="00444FEB">
        <w:rPr>
          <w:rFonts w:eastAsia="Calibri"/>
        </w:rPr>
        <w:t> </w:t>
      </w:r>
      <w:r w:rsidR="003A0672" w:rsidRPr="00BD22C2">
        <w:rPr>
          <w:rFonts w:eastAsia="Calibri"/>
        </w:rPr>
        <w:t>»</w:t>
      </w:r>
      <w:r w:rsidR="00AD50AD" w:rsidRPr="00BD22C2">
        <w:rPr>
          <w:rStyle w:val="Appeldenotedefin"/>
          <w:rFonts w:eastAsia="Calibri"/>
        </w:rPr>
        <w:endnoteReference w:id="418"/>
      </w:r>
      <w:r w:rsidR="003A0672" w:rsidRPr="00BD22C2">
        <w:rPr>
          <w:rFonts w:eastAsia="Calibri"/>
        </w:rPr>
        <w:t xml:space="preserve">. </w:t>
      </w:r>
      <w:r w:rsidR="008B4A42" w:rsidRPr="00BD22C2">
        <w:rPr>
          <w:rFonts w:eastAsia="Calibri"/>
        </w:rPr>
        <w:t>En ce sens, la Commission</w:t>
      </w:r>
      <w:r w:rsidR="0061357B" w:rsidRPr="00BD22C2">
        <w:rPr>
          <w:rFonts w:eastAsia="Calibri"/>
        </w:rPr>
        <w:t xml:space="preserve"> </w:t>
      </w:r>
      <w:r w:rsidR="009B2FDE" w:rsidRPr="00BD22C2">
        <w:rPr>
          <w:rFonts w:eastAsia="Calibri"/>
        </w:rPr>
        <w:t>estime préoccupant que</w:t>
      </w:r>
      <w:r w:rsidR="0061357B" w:rsidRPr="00BD22C2">
        <w:rPr>
          <w:rFonts w:eastAsia="Calibri"/>
        </w:rPr>
        <w:t xml:space="preserve"> </w:t>
      </w:r>
      <w:r w:rsidR="00D5581A" w:rsidRPr="00BD22C2">
        <w:rPr>
          <w:rFonts w:eastAsia="Calibri"/>
        </w:rPr>
        <w:t xml:space="preserve">la </w:t>
      </w:r>
      <w:r w:rsidR="00A7641F" w:rsidRPr="00BD22C2">
        <w:rPr>
          <w:rFonts w:eastAsia="Calibri"/>
        </w:rPr>
        <w:t>d</w:t>
      </w:r>
      <w:r w:rsidR="00D5581A" w:rsidRPr="00BD22C2">
        <w:rPr>
          <w:rFonts w:eastAsia="Calibri"/>
        </w:rPr>
        <w:t>irective émise par le ministre de l’Éducation interdi</w:t>
      </w:r>
      <w:r w:rsidR="002A5430" w:rsidRPr="00BD22C2">
        <w:rPr>
          <w:rFonts w:eastAsia="Calibri"/>
        </w:rPr>
        <w:t>se</w:t>
      </w:r>
      <w:r w:rsidR="00D5581A" w:rsidRPr="00BD22C2">
        <w:rPr>
          <w:rFonts w:eastAsia="Calibri"/>
        </w:rPr>
        <w:t xml:space="preserve"> </w:t>
      </w:r>
      <w:r w:rsidR="00DF2B5D" w:rsidRPr="00BD22C2">
        <w:rPr>
          <w:rFonts w:eastAsia="Calibri"/>
        </w:rPr>
        <w:t xml:space="preserve">de retenir </w:t>
      </w:r>
      <w:r w:rsidR="003A7452" w:rsidRPr="00BD22C2">
        <w:rPr>
          <w:rFonts w:eastAsia="Calibri"/>
        </w:rPr>
        <w:t>des</w:t>
      </w:r>
      <w:r w:rsidR="00DF2B5D" w:rsidRPr="00BD22C2">
        <w:rPr>
          <w:rFonts w:eastAsia="Calibri"/>
        </w:rPr>
        <w:t xml:space="preserve"> options d’aménagement</w:t>
      </w:r>
      <w:r w:rsidR="003A7452" w:rsidRPr="00BD22C2">
        <w:rPr>
          <w:rFonts w:eastAsia="Calibri"/>
        </w:rPr>
        <w:t xml:space="preserve"> mixte</w:t>
      </w:r>
      <w:r w:rsidR="00340C40" w:rsidRPr="00BD22C2">
        <w:rPr>
          <w:rStyle w:val="Appeldenotedefin"/>
          <w:rFonts w:eastAsia="Calibri"/>
        </w:rPr>
        <w:endnoteReference w:id="419"/>
      </w:r>
      <w:r w:rsidR="001F5CE9" w:rsidRPr="00BD22C2">
        <w:rPr>
          <w:rFonts w:eastAsia="Calibri"/>
        </w:rPr>
        <w:t xml:space="preserve"> et </w:t>
      </w:r>
      <w:r w:rsidR="009B2FDE" w:rsidRPr="00BD22C2">
        <w:rPr>
          <w:rFonts w:eastAsia="Calibri"/>
        </w:rPr>
        <w:t>qu’</w:t>
      </w:r>
      <w:r w:rsidR="00A5534B" w:rsidRPr="00BD22C2">
        <w:rPr>
          <w:rFonts w:eastAsia="Calibri"/>
        </w:rPr>
        <w:t xml:space="preserve">on </w:t>
      </w:r>
      <w:r w:rsidR="00340C40" w:rsidRPr="00BD22C2">
        <w:rPr>
          <w:rFonts w:eastAsia="Calibri"/>
        </w:rPr>
        <w:t>n’ait</w:t>
      </w:r>
      <w:r w:rsidR="00A5534B" w:rsidRPr="00BD22C2">
        <w:rPr>
          <w:rFonts w:eastAsia="Calibri"/>
        </w:rPr>
        <w:t xml:space="preserve"> pas laissé aux différents milieux la possibilité d’évaluer quel modèle d’infrastructure </w:t>
      </w:r>
      <w:r w:rsidR="00D008BC" w:rsidRPr="00BD22C2">
        <w:rPr>
          <w:rFonts w:eastAsia="Calibri"/>
        </w:rPr>
        <w:t xml:space="preserve">convient le mieux </w:t>
      </w:r>
      <w:r w:rsidR="00E71C40" w:rsidRPr="00BD22C2">
        <w:rPr>
          <w:rFonts w:eastAsia="Calibri"/>
        </w:rPr>
        <w:t xml:space="preserve">à leur réalité. </w:t>
      </w:r>
    </w:p>
    <w:p w14:paraId="1C079C4A" w14:textId="1EAD81F3" w:rsidR="000C4254" w:rsidRPr="00BD22C2" w:rsidRDefault="00FF5F8D" w:rsidP="0037087A">
      <w:pPr>
        <w:pStyle w:val="Paragraphe"/>
        <w:rPr>
          <w:rFonts w:eastAsia="Calibri"/>
          <w:lang w:val="fr-CA"/>
        </w:rPr>
      </w:pPr>
      <w:r w:rsidRPr="00BD22C2">
        <w:rPr>
          <w:rFonts w:eastAsia="Calibri"/>
          <w:lang w:val="fr-CA"/>
        </w:rPr>
        <w:t>La directive destinée au</w:t>
      </w:r>
      <w:r w:rsidR="00441893" w:rsidRPr="00BD22C2">
        <w:rPr>
          <w:rFonts w:eastAsia="Calibri"/>
          <w:lang w:val="fr-CA"/>
        </w:rPr>
        <w:t xml:space="preserve"> milieu scolaire</w:t>
      </w:r>
      <w:r w:rsidR="00CB01B8" w:rsidRPr="00BD22C2">
        <w:rPr>
          <w:rFonts w:eastAsia="Calibri"/>
          <w:lang w:val="fr-CA"/>
        </w:rPr>
        <w:t xml:space="preserve"> </w:t>
      </w:r>
      <w:r w:rsidR="003035F7" w:rsidRPr="00BD22C2">
        <w:rPr>
          <w:rFonts w:eastAsia="Calibri"/>
          <w:lang w:val="fr-CA"/>
        </w:rPr>
        <w:t>prévoit uniquement la coexistence de toilettes universelles individuelles avec des toilettes et vestiaires genrés. Il importe de rappeler que d</w:t>
      </w:r>
      <w:r w:rsidR="00B92933" w:rsidRPr="00BD22C2">
        <w:rPr>
          <w:rFonts w:eastAsia="Calibri"/>
          <w:lang w:val="fr-CA"/>
        </w:rPr>
        <w:t xml:space="preserve">ans le cas de toilettes ou vestiaires genrés, une femme trans ou un homme trans a le droit d’utiliser les locaux correspondant le mieux à son identité de genre. Une personne non binaire devrait quant à elle être accommodée suivant le cadre exposé plus haut compte tenu de la situation de discrimination à première vue à laquelle elle fait face. </w:t>
      </w:r>
      <w:r w:rsidR="000B0B63" w:rsidRPr="00BD22C2">
        <w:rPr>
          <w:rFonts w:eastAsia="Calibri"/>
          <w:lang w:val="fr-CA"/>
        </w:rPr>
        <w:t xml:space="preserve">Elle devrait par exemple pouvoir utiliser </w:t>
      </w:r>
      <w:r w:rsidR="00B92933" w:rsidRPr="00BD22C2">
        <w:rPr>
          <w:rFonts w:eastAsia="Calibri"/>
          <w:lang w:val="fr-CA"/>
        </w:rPr>
        <w:t xml:space="preserve">l’une ou l’autre des toilettes genrées selon son niveau de confort ou encore </w:t>
      </w:r>
      <w:r w:rsidR="000B0B63" w:rsidRPr="00BD22C2">
        <w:rPr>
          <w:rFonts w:eastAsia="Calibri"/>
          <w:lang w:val="fr-CA"/>
        </w:rPr>
        <w:t>avoir</w:t>
      </w:r>
      <w:r w:rsidR="00B92933" w:rsidRPr="00BD22C2">
        <w:rPr>
          <w:rFonts w:eastAsia="Calibri"/>
          <w:lang w:val="fr-CA"/>
        </w:rPr>
        <w:t xml:space="preserve"> accès à une toilette individuelle.</w:t>
      </w:r>
      <w:r w:rsidR="008172F4" w:rsidRPr="00BD22C2">
        <w:rPr>
          <w:rFonts w:eastAsia="Calibri"/>
          <w:lang w:val="fr-CA"/>
        </w:rPr>
        <w:t xml:space="preserve"> </w:t>
      </w:r>
    </w:p>
    <w:p w14:paraId="0642F4EE" w14:textId="1E8FFFD8" w:rsidR="00B92933" w:rsidRPr="00BD22C2" w:rsidRDefault="00217401" w:rsidP="0037087A">
      <w:pPr>
        <w:pStyle w:val="Paragraphe"/>
        <w:rPr>
          <w:rFonts w:eastAsia="Calibri"/>
          <w:lang w:val="fr-CA"/>
        </w:rPr>
      </w:pPr>
      <w:r w:rsidRPr="00BD22C2">
        <w:rPr>
          <w:rFonts w:eastAsia="Calibri"/>
          <w:lang w:val="fr-CA"/>
        </w:rPr>
        <w:t xml:space="preserve">L’accès à </w:t>
      </w:r>
      <w:r w:rsidR="00572939" w:rsidRPr="00BD22C2">
        <w:rPr>
          <w:rFonts w:eastAsia="Calibri"/>
          <w:lang w:val="fr-CA"/>
        </w:rPr>
        <w:t>de tels lieux ne doit cependant pas être</w:t>
      </w:r>
      <w:r w:rsidRPr="00BD22C2">
        <w:rPr>
          <w:rFonts w:eastAsia="Calibri"/>
          <w:lang w:val="fr-CA"/>
        </w:rPr>
        <w:t xml:space="preserve"> </w:t>
      </w:r>
      <w:r w:rsidR="00AC64A6" w:rsidRPr="00BD22C2">
        <w:rPr>
          <w:rFonts w:eastAsia="Calibri"/>
          <w:lang w:val="fr-CA"/>
        </w:rPr>
        <w:t>excluant ou devenir un fardeau pour la personne</w:t>
      </w:r>
      <w:r w:rsidR="00D01A24" w:rsidRPr="00BD22C2">
        <w:rPr>
          <w:rStyle w:val="Appeldenotedefin"/>
          <w:rFonts w:eastAsia="Calibri"/>
          <w:lang w:val="fr-CA"/>
        </w:rPr>
        <w:endnoteReference w:id="420"/>
      </w:r>
      <w:r w:rsidR="00972233" w:rsidRPr="00BD22C2">
        <w:rPr>
          <w:rFonts w:eastAsia="Calibri"/>
          <w:lang w:val="fr-CA"/>
        </w:rPr>
        <w:t>.</w:t>
      </w:r>
      <w:r w:rsidR="008172F4" w:rsidRPr="00BD22C2">
        <w:rPr>
          <w:rFonts w:eastAsia="Calibri"/>
          <w:lang w:val="fr-CA"/>
        </w:rPr>
        <w:t xml:space="preserve"> </w:t>
      </w:r>
      <w:r w:rsidR="00972233" w:rsidRPr="00BD22C2">
        <w:rPr>
          <w:rFonts w:eastAsia="Calibri"/>
          <w:lang w:val="fr-CA"/>
        </w:rPr>
        <w:t>Dans le contexte scolaire, par exemple, cela signifie, c</w:t>
      </w:r>
      <w:r w:rsidR="002E0850" w:rsidRPr="00BD22C2">
        <w:rPr>
          <w:rFonts w:eastAsia="Calibri"/>
          <w:lang w:val="fr-CA"/>
        </w:rPr>
        <w:t>omme le souligne</w:t>
      </w:r>
      <w:r w:rsidR="00A13692" w:rsidRPr="00BD22C2">
        <w:rPr>
          <w:rFonts w:eastAsia="Calibri"/>
          <w:lang w:val="fr-CA"/>
        </w:rPr>
        <w:t xml:space="preserve">nt les lignes directrices relatives aux élèves transgenres de la Commission scolaire de Montréal, </w:t>
      </w:r>
      <w:r w:rsidR="00972233" w:rsidRPr="00BD22C2">
        <w:rPr>
          <w:rFonts w:eastAsia="Calibri"/>
          <w:lang w:val="fr-CA"/>
        </w:rPr>
        <w:t xml:space="preserve">que </w:t>
      </w:r>
      <w:r w:rsidR="0031454F" w:rsidRPr="00BD22C2">
        <w:rPr>
          <w:rFonts w:eastAsia="Calibri"/>
          <w:lang w:val="fr-CA"/>
        </w:rPr>
        <w:lastRenderedPageBreak/>
        <w:t xml:space="preserve">les toilettes neutres </w:t>
      </w:r>
      <w:r w:rsidR="00123699" w:rsidRPr="00BD22C2">
        <w:rPr>
          <w:rFonts w:eastAsia="Calibri"/>
          <w:lang w:val="fr-CA"/>
        </w:rPr>
        <w:t>qui pourraient</w:t>
      </w:r>
      <w:r w:rsidR="00A05C26" w:rsidRPr="00BD22C2">
        <w:rPr>
          <w:rFonts w:eastAsia="Calibri"/>
          <w:lang w:val="fr-CA"/>
        </w:rPr>
        <w:t xml:space="preserve"> être</w:t>
      </w:r>
      <w:r w:rsidR="0031454F" w:rsidRPr="00BD22C2">
        <w:rPr>
          <w:rFonts w:eastAsia="Calibri"/>
          <w:lang w:val="fr-CA"/>
        </w:rPr>
        <w:t xml:space="preserve"> offertes aux élèves qui souhaitent plus d’intimité, </w:t>
      </w:r>
      <w:r w:rsidR="007E6F4E" w:rsidRPr="00BD22C2">
        <w:rPr>
          <w:rFonts w:eastAsia="Calibri"/>
          <w:lang w:val="fr-CA"/>
        </w:rPr>
        <w:t>transgenres</w:t>
      </w:r>
      <w:r w:rsidR="006A3B3A" w:rsidRPr="00BD22C2">
        <w:rPr>
          <w:rFonts w:eastAsia="Calibri"/>
          <w:lang w:val="fr-CA"/>
        </w:rPr>
        <w:t xml:space="preserve"> ou non</w:t>
      </w:r>
      <w:r w:rsidR="007E6F4E" w:rsidRPr="00BD22C2">
        <w:rPr>
          <w:rFonts w:eastAsia="Calibri"/>
          <w:lang w:val="fr-CA"/>
        </w:rPr>
        <w:t xml:space="preserve">, doivent être </w:t>
      </w:r>
      <w:r w:rsidR="006A3B3A" w:rsidRPr="00BD22C2">
        <w:rPr>
          <w:rFonts w:eastAsia="Calibri"/>
          <w:lang w:val="fr-CA"/>
        </w:rPr>
        <w:t xml:space="preserve">situées dans un emplacement accessible et non stigmatisant dans l’établissement scolaire. </w:t>
      </w:r>
      <w:r w:rsidR="00773127" w:rsidRPr="00BD22C2">
        <w:rPr>
          <w:rFonts w:eastAsia="Calibri"/>
          <w:lang w:val="fr-CA"/>
        </w:rPr>
        <w:t>De surcroît, l</w:t>
      </w:r>
      <w:r w:rsidR="006A3B3A" w:rsidRPr="00BD22C2">
        <w:rPr>
          <w:rFonts w:eastAsia="Calibri"/>
          <w:lang w:val="fr-CA"/>
        </w:rPr>
        <w:t xml:space="preserve">es élèves </w:t>
      </w:r>
      <w:r w:rsidR="006E7F01" w:rsidRPr="00BD22C2">
        <w:rPr>
          <w:rFonts w:eastAsia="Calibri"/>
          <w:lang w:val="fr-CA"/>
        </w:rPr>
        <w:t>transgenres</w:t>
      </w:r>
      <w:r w:rsidR="004C5D96" w:rsidRPr="00BD22C2">
        <w:rPr>
          <w:rFonts w:eastAsia="Calibri"/>
          <w:lang w:val="fr-CA"/>
        </w:rPr>
        <w:t xml:space="preserve"> </w:t>
      </w:r>
      <w:r w:rsidR="00A35A1C" w:rsidRPr="00BD22C2">
        <w:rPr>
          <w:rFonts w:eastAsia="Calibri"/>
          <w:lang w:val="fr-CA"/>
        </w:rPr>
        <w:t xml:space="preserve">ou non binaires </w:t>
      </w:r>
      <w:r w:rsidR="00773127" w:rsidRPr="00BD22C2">
        <w:rPr>
          <w:rFonts w:eastAsia="Calibri"/>
          <w:lang w:val="fr-CA"/>
        </w:rPr>
        <w:t>ne doivent avoir</w:t>
      </w:r>
      <w:r w:rsidR="00CD6DEB" w:rsidRPr="00BD22C2">
        <w:rPr>
          <w:rFonts w:eastAsia="Calibri"/>
          <w:lang w:val="fr-CA"/>
        </w:rPr>
        <w:t xml:space="preserve"> aucune obligation de les fréquenter</w:t>
      </w:r>
      <w:r w:rsidR="00CD6DEB" w:rsidRPr="00BD22C2">
        <w:rPr>
          <w:rStyle w:val="Appeldenotedefin"/>
          <w:rFonts w:eastAsia="Calibri"/>
          <w:lang w:val="fr-CA"/>
        </w:rPr>
        <w:endnoteReference w:id="421"/>
      </w:r>
      <w:r w:rsidR="00CD6DEB" w:rsidRPr="00BD22C2">
        <w:rPr>
          <w:rFonts w:eastAsia="Calibri"/>
          <w:lang w:val="fr-CA"/>
        </w:rPr>
        <w:t xml:space="preserve">. </w:t>
      </w:r>
    </w:p>
    <w:p w14:paraId="16E536B7" w14:textId="6876E7CB" w:rsidR="00B92933" w:rsidRPr="00CD4047" w:rsidRDefault="09228A14" w:rsidP="68B52335">
      <w:pPr>
        <w:pStyle w:val="Paragraphe"/>
        <w:rPr>
          <w:rFonts w:eastAsia="Calibri"/>
          <w:lang w:val="fr-CA"/>
        </w:rPr>
      </w:pPr>
      <w:r w:rsidRPr="00CD4047">
        <w:rPr>
          <w:lang w:val="fr-CA"/>
        </w:rPr>
        <w:t>L</w:t>
      </w:r>
      <w:r w:rsidR="5065D369" w:rsidRPr="00CD4047">
        <w:rPr>
          <w:lang w:val="fr-CA"/>
        </w:rPr>
        <w:t>’accès aux toilettes, vestiaires ou autres lieux sur la base de l’</w:t>
      </w:r>
      <w:proofErr w:type="spellStart"/>
      <w:r w:rsidR="5065D369" w:rsidRPr="00CD4047">
        <w:rPr>
          <w:lang w:val="fr-CA"/>
        </w:rPr>
        <w:t>auto-identification</w:t>
      </w:r>
      <w:proofErr w:type="spellEnd"/>
      <w:r w:rsidR="5065D369" w:rsidRPr="00CD4047">
        <w:rPr>
          <w:lang w:val="fr-CA"/>
        </w:rPr>
        <w:t xml:space="preserve"> </w:t>
      </w:r>
      <w:r w:rsidR="0051216B" w:rsidRPr="00CD4047">
        <w:rPr>
          <w:lang w:val="fr-CA"/>
        </w:rPr>
        <w:t>—</w:t>
      </w:r>
      <w:r w:rsidRPr="00CD4047">
        <w:rPr>
          <w:lang w:val="fr-CA"/>
        </w:rPr>
        <w:t xml:space="preserve"> ce qui correspond à la pratique courante </w:t>
      </w:r>
      <w:r w:rsidR="0051216B" w:rsidRPr="00CD4047">
        <w:rPr>
          <w:lang w:val="fr-CA"/>
        </w:rPr>
        <w:t>—</w:t>
      </w:r>
      <w:r w:rsidRPr="00CD4047">
        <w:rPr>
          <w:lang w:val="fr-CA"/>
        </w:rPr>
        <w:t xml:space="preserve"> </w:t>
      </w:r>
      <w:r w:rsidR="5065D369" w:rsidRPr="00CD4047">
        <w:rPr>
          <w:lang w:val="fr-CA"/>
        </w:rPr>
        <w:t xml:space="preserve">n’entraîne </w:t>
      </w:r>
      <w:r w:rsidR="7087AD67" w:rsidRPr="00CD4047">
        <w:rPr>
          <w:lang w:val="fr-CA"/>
        </w:rPr>
        <w:t>d’ailleurs</w:t>
      </w:r>
      <w:r w:rsidR="5065D369" w:rsidRPr="00CD4047">
        <w:rPr>
          <w:lang w:val="fr-CA"/>
        </w:rPr>
        <w:t xml:space="preserve"> pas une augmentation de la violence. Sur la base d’une analyse comparative des dossiers criminels entre des villes ayant des politiques inclusives des personnes trans et d’autres n’en ayant pas, une recherche menée au Massachusetts sur les toilettes publiques, les vestiaires et les salles d’essayage conclut que les craintes </w:t>
      </w:r>
      <w:r w:rsidR="5ED0E643" w:rsidRPr="00CD4047">
        <w:rPr>
          <w:lang w:val="fr-CA"/>
        </w:rPr>
        <w:t>relatives à</w:t>
      </w:r>
      <w:r w:rsidR="3E54F558" w:rsidRPr="00CD4047">
        <w:rPr>
          <w:lang w:val="fr-CA"/>
        </w:rPr>
        <w:t xml:space="preserve"> des atteintes à la</w:t>
      </w:r>
      <w:r w:rsidR="5ED0E643" w:rsidRPr="00CD4047">
        <w:rPr>
          <w:lang w:val="fr-CA"/>
        </w:rPr>
        <w:t xml:space="preserve"> sécurité et à l</w:t>
      </w:r>
      <w:r w:rsidR="3E54F558" w:rsidRPr="00CD4047">
        <w:rPr>
          <w:lang w:val="fr-CA"/>
        </w:rPr>
        <w:t>’intimité</w:t>
      </w:r>
      <w:r w:rsidR="5065D369" w:rsidRPr="00CD4047">
        <w:rPr>
          <w:lang w:val="fr-CA"/>
        </w:rPr>
        <w:t xml:space="preserve"> ne sont pas fondées</w:t>
      </w:r>
      <w:r w:rsidR="00352877" w:rsidRPr="4BB1F094">
        <w:rPr>
          <w:rStyle w:val="Appeldenotedefin"/>
        </w:rPr>
        <w:endnoteReference w:id="422"/>
      </w:r>
      <w:r w:rsidR="5065D369" w:rsidRPr="00CD4047">
        <w:rPr>
          <w:lang w:val="fr-CA"/>
        </w:rPr>
        <w:t>. Un récent rapport d</w:t>
      </w:r>
      <w:r w:rsidR="005E0883" w:rsidRPr="00CD4047">
        <w:rPr>
          <w:lang w:val="fr-CA"/>
        </w:rPr>
        <w:t>e la</w:t>
      </w:r>
      <w:r w:rsidR="5065D369" w:rsidRPr="00CD4047">
        <w:rPr>
          <w:lang w:val="fr-CA"/>
        </w:rPr>
        <w:t xml:space="preserve"> Commissaire aux droits de l’homme du Conseil de l’Europe arrive au même constat en se fondant sur des données collectées dans quatre pays dont les politiques reposent sur l’</w:t>
      </w:r>
      <w:proofErr w:type="spellStart"/>
      <w:r w:rsidR="5065D369" w:rsidRPr="00CD4047">
        <w:rPr>
          <w:lang w:val="fr-CA"/>
        </w:rPr>
        <w:t>auto-identification</w:t>
      </w:r>
      <w:proofErr w:type="spellEnd"/>
      <w:r w:rsidR="00352877" w:rsidRPr="4BB1F094">
        <w:rPr>
          <w:rStyle w:val="Appeldenotedefin"/>
        </w:rPr>
        <w:endnoteReference w:id="423"/>
      </w:r>
      <w:r w:rsidR="5065D369" w:rsidRPr="00CD4047">
        <w:rPr>
          <w:lang w:val="fr-CA"/>
        </w:rPr>
        <w:t>.</w:t>
      </w:r>
      <w:r w:rsidR="004E10A9" w:rsidRPr="00CD4047">
        <w:rPr>
          <w:lang w:val="fr-CA"/>
        </w:rPr>
        <w:t xml:space="preserve"> </w:t>
      </w:r>
      <w:r w:rsidR="00B92933" w:rsidRPr="00CD4047">
        <w:rPr>
          <w:rFonts w:eastAsia="Calibri"/>
          <w:lang w:val="fr-CA"/>
        </w:rPr>
        <w:t xml:space="preserve">Dans l’éventualité où la présence d’une personne, qu’elle soit trans ou non, suscitait des interrogations, un malaise ou des craintes de la part des autres personnes usagères, la responsabilité première des </w:t>
      </w:r>
      <w:r w:rsidR="00E909E6" w:rsidRPr="00CD4047">
        <w:rPr>
          <w:rFonts w:eastAsia="Calibri"/>
          <w:lang w:val="fr-CA"/>
        </w:rPr>
        <w:t xml:space="preserve">gestionnaires </w:t>
      </w:r>
      <w:r w:rsidR="00B92933" w:rsidRPr="00CD4047">
        <w:rPr>
          <w:rFonts w:eastAsia="Calibri"/>
          <w:lang w:val="fr-CA"/>
        </w:rPr>
        <w:t>du lieu serait d’avoir un portrait clair et précis de la situation</w:t>
      </w:r>
      <w:r w:rsidR="00903889" w:rsidRPr="00CD4047">
        <w:rPr>
          <w:rFonts w:eastAsia="Calibri"/>
          <w:lang w:val="fr-CA"/>
        </w:rPr>
        <w:t xml:space="preserve"> </w:t>
      </w:r>
      <w:r w:rsidR="00903889" w:rsidRPr="00CD4047">
        <w:rPr>
          <w:lang w:val="fr-CA"/>
        </w:rPr>
        <w:t xml:space="preserve">afin </w:t>
      </w:r>
      <w:r w:rsidR="001855C9" w:rsidRPr="00CD4047">
        <w:rPr>
          <w:lang w:val="fr-CA"/>
        </w:rPr>
        <w:t>d</w:t>
      </w:r>
      <w:r w:rsidR="00903889" w:rsidRPr="00CD4047">
        <w:rPr>
          <w:lang w:val="fr-CA"/>
        </w:rPr>
        <w:t>’éviter toute prise de décision qui serait fondée sur des préjugés, stéréotypes, impressions ou craintes infondées</w:t>
      </w:r>
      <w:r w:rsidR="00BF1894" w:rsidRPr="00CD4047">
        <w:rPr>
          <w:lang w:val="fr-CA"/>
        </w:rPr>
        <w:t xml:space="preserve"> et de pouvoir envisager des solutions concrètes </w:t>
      </w:r>
      <w:r w:rsidR="001529D2" w:rsidRPr="00CD4047">
        <w:rPr>
          <w:lang w:val="fr-CA"/>
        </w:rPr>
        <w:t xml:space="preserve">adaptées à la </w:t>
      </w:r>
      <w:r w:rsidR="00721739" w:rsidRPr="00CD4047">
        <w:rPr>
          <w:lang w:val="fr-CA"/>
        </w:rPr>
        <w:t>sit</w:t>
      </w:r>
      <w:r w:rsidR="009017E8" w:rsidRPr="00CD4047">
        <w:rPr>
          <w:lang w:val="fr-CA"/>
        </w:rPr>
        <w:t>uation particulière en cause</w:t>
      </w:r>
      <w:r w:rsidR="00B92933" w:rsidRPr="00CD4047">
        <w:rPr>
          <w:rFonts w:eastAsia="Calibri"/>
          <w:lang w:val="fr-CA"/>
        </w:rPr>
        <w:t>.</w:t>
      </w:r>
      <w:r w:rsidR="00F543BE" w:rsidRPr="00CD4047">
        <w:rPr>
          <w:rFonts w:eastAsia="Calibri"/>
          <w:lang w:val="fr-CA"/>
        </w:rPr>
        <w:t xml:space="preserve"> </w:t>
      </w:r>
      <w:r w:rsidR="00EB14CC" w:rsidRPr="00CD4047">
        <w:rPr>
          <w:rFonts w:eastAsia="Calibri"/>
          <w:lang w:val="fr-CA"/>
        </w:rPr>
        <w:t>Advenant le cas</w:t>
      </w:r>
      <w:r w:rsidR="00C6045F" w:rsidRPr="00CD4047">
        <w:rPr>
          <w:rFonts w:eastAsia="Calibri"/>
          <w:lang w:val="fr-CA"/>
        </w:rPr>
        <w:t xml:space="preserve"> où d</w:t>
      </w:r>
      <w:r w:rsidR="00130068" w:rsidRPr="00CD4047">
        <w:rPr>
          <w:rFonts w:eastAsia="Calibri"/>
          <w:lang w:val="fr-CA"/>
        </w:rPr>
        <w:t>es faits concrets attestaient d’un risque</w:t>
      </w:r>
      <w:r w:rsidR="009C6347" w:rsidRPr="00CD4047">
        <w:rPr>
          <w:rFonts w:eastAsia="Calibri"/>
          <w:lang w:val="fr-CA"/>
        </w:rPr>
        <w:t xml:space="preserve"> réel</w:t>
      </w:r>
      <w:r w:rsidR="00DE267E" w:rsidRPr="00CD4047">
        <w:rPr>
          <w:rFonts w:eastAsia="Calibri"/>
          <w:lang w:val="fr-CA"/>
        </w:rPr>
        <w:t xml:space="preserve"> et</w:t>
      </w:r>
      <w:r w:rsidR="00130068" w:rsidRPr="00CD4047">
        <w:rPr>
          <w:rFonts w:eastAsia="Calibri"/>
          <w:lang w:val="fr-CA"/>
        </w:rPr>
        <w:t xml:space="preserve"> significatif </w:t>
      </w:r>
      <w:r w:rsidR="000F35AD" w:rsidRPr="00CD4047">
        <w:rPr>
          <w:rFonts w:eastAsia="Calibri"/>
          <w:lang w:val="fr-CA"/>
        </w:rPr>
        <w:t xml:space="preserve">à la sécurité ou à l’intégrité </w:t>
      </w:r>
      <w:r w:rsidR="007731E8" w:rsidRPr="00CD4047">
        <w:rPr>
          <w:rFonts w:eastAsia="Calibri"/>
          <w:lang w:val="fr-CA"/>
        </w:rPr>
        <w:t>d</w:t>
      </w:r>
      <w:r w:rsidR="00222FEB" w:rsidRPr="00CD4047">
        <w:rPr>
          <w:rFonts w:eastAsia="Calibri"/>
          <w:lang w:val="fr-CA"/>
        </w:rPr>
        <w:t>es femmes</w:t>
      </w:r>
      <w:r w:rsidR="00C454F0" w:rsidRPr="00CD4047">
        <w:rPr>
          <w:rFonts w:eastAsia="Calibri"/>
          <w:lang w:val="fr-CA"/>
        </w:rPr>
        <w:t xml:space="preserve"> utilisatrices, </w:t>
      </w:r>
      <w:r w:rsidR="00C6045F" w:rsidRPr="00CD4047">
        <w:rPr>
          <w:rFonts w:eastAsia="Calibri"/>
          <w:lang w:val="fr-CA"/>
        </w:rPr>
        <w:t xml:space="preserve">par exemple, la contrainte excessive </w:t>
      </w:r>
      <w:r w:rsidR="00955998" w:rsidRPr="00CD4047">
        <w:rPr>
          <w:rFonts w:eastAsia="Calibri"/>
          <w:lang w:val="fr-CA"/>
        </w:rPr>
        <w:t xml:space="preserve">pourrait éventuellement </w:t>
      </w:r>
      <w:r w:rsidR="00C6045F" w:rsidRPr="00CD4047">
        <w:rPr>
          <w:rFonts w:eastAsia="Calibri"/>
          <w:lang w:val="fr-CA"/>
        </w:rPr>
        <w:t>être invoquée et justifier</w:t>
      </w:r>
      <w:r w:rsidR="00AD1915" w:rsidRPr="00CD4047">
        <w:rPr>
          <w:rFonts w:eastAsia="Calibri"/>
          <w:lang w:val="fr-CA"/>
        </w:rPr>
        <w:t xml:space="preserve"> </w:t>
      </w:r>
      <w:r w:rsidR="00EB14CC" w:rsidRPr="00CD4047">
        <w:rPr>
          <w:rFonts w:eastAsia="Calibri"/>
          <w:lang w:val="fr-CA"/>
        </w:rPr>
        <w:t>un</w:t>
      </w:r>
      <w:r w:rsidR="00AD1915" w:rsidRPr="00CD4047">
        <w:rPr>
          <w:rFonts w:eastAsia="Calibri"/>
          <w:lang w:val="fr-CA"/>
        </w:rPr>
        <w:t xml:space="preserve"> refus </w:t>
      </w:r>
      <w:r w:rsidR="00C6045F" w:rsidRPr="00CD4047">
        <w:rPr>
          <w:rFonts w:eastAsia="Calibri"/>
          <w:lang w:val="fr-CA"/>
        </w:rPr>
        <w:t xml:space="preserve">d’accommodement. </w:t>
      </w:r>
      <w:r w:rsidR="00B10BD0" w:rsidRPr="00CD4047">
        <w:rPr>
          <w:rFonts w:eastAsia="Calibri"/>
          <w:lang w:val="fr-CA"/>
        </w:rPr>
        <w:t xml:space="preserve">Un éventuel conflit de droits pourrait en outre être arbitré suivant </w:t>
      </w:r>
      <w:r w:rsidR="00191092" w:rsidRPr="00CD4047">
        <w:rPr>
          <w:rFonts w:eastAsia="Calibri"/>
          <w:lang w:val="fr-CA"/>
        </w:rPr>
        <w:t>le cadre développé en vertu de l’article</w:t>
      </w:r>
      <w:r w:rsidR="0091080B">
        <w:rPr>
          <w:rFonts w:eastAsia="Calibri"/>
          <w:lang w:val="fr-CA"/>
        </w:rPr>
        <w:t> </w:t>
      </w:r>
      <w:r w:rsidR="00191092" w:rsidRPr="00CD4047">
        <w:rPr>
          <w:rFonts w:eastAsia="Calibri"/>
          <w:lang w:val="fr-CA"/>
        </w:rPr>
        <w:t xml:space="preserve">9.1 de la Charte et </w:t>
      </w:r>
      <w:r w:rsidR="00B10BD0" w:rsidRPr="00CD4047">
        <w:rPr>
          <w:rFonts w:eastAsia="Calibri"/>
          <w:lang w:val="fr-CA"/>
        </w:rPr>
        <w:t>exposé dans la section</w:t>
      </w:r>
      <w:r w:rsidR="0091080B">
        <w:rPr>
          <w:rFonts w:eastAsia="Calibri"/>
          <w:lang w:val="fr-CA"/>
        </w:rPr>
        <w:t> </w:t>
      </w:r>
      <w:r w:rsidR="00E1252F" w:rsidRPr="00BD22C2">
        <w:rPr>
          <w:rFonts w:eastAsia="Calibri"/>
          <w:lang w:val="fr-CA"/>
        </w:rPr>
        <w:fldChar w:fldCharType="begin"/>
      </w:r>
      <w:r w:rsidR="00E1252F" w:rsidRPr="00BD22C2">
        <w:rPr>
          <w:rFonts w:eastAsia="Calibri"/>
          <w:lang w:val="fr-CA"/>
        </w:rPr>
        <w:instrText xml:space="preserve"> REF _Ref165039804 \r \h </w:instrText>
      </w:r>
      <w:r w:rsidR="00AC21DD" w:rsidRPr="00BD22C2">
        <w:rPr>
          <w:rFonts w:eastAsia="Calibri"/>
          <w:lang w:val="fr-CA"/>
        </w:rPr>
        <w:instrText xml:space="preserve"> \* MERGEFORMAT </w:instrText>
      </w:r>
      <w:r w:rsidR="00E1252F" w:rsidRPr="00BD22C2">
        <w:rPr>
          <w:rFonts w:eastAsia="Calibri"/>
          <w:lang w:val="fr-CA"/>
        </w:rPr>
      </w:r>
      <w:r w:rsidR="00E1252F" w:rsidRPr="00BD22C2">
        <w:rPr>
          <w:rFonts w:eastAsia="Calibri"/>
          <w:lang w:val="fr-CA"/>
        </w:rPr>
        <w:fldChar w:fldCharType="separate"/>
      </w:r>
      <w:r w:rsidR="00EB3C5E" w:rsidRPr="00CD4047">
        <w:rPr>
          <w:rFonts w:eastAsia="Calibri"/>
          <w:lang w:val="fr-CA"/>
        </w:rPr>
        <w:t>4.3.2</w:t>
      </w:r>
      <w:r w:rsidR="00E1252F" w:rsidRPr="00BD22C2">
        <w:rPr>
          <w:rFonts w:eastAsia="Calibri"/>
          <w:lang w:val="fr-CA"/>
        </w:rPr>
        <w:fldChar w:fldCharType="end"/>
      </w:r>
      <w:r w:rsidR="00191092" w:rsidRPr="00CD4047">
        <w:rPr>
          <w:rFonts w:eastAsia="Calibri"/>
          <w:lang w:val="fr-CA"/>
        </w:rPr>
        <w:t xml:space="preserve">. Toutefois, il importe de rappeler, ici </w:t>
      </w:r>
      <w:r w:rsidR="00EB14CC" w:rsidRPr="00CD4047">
        <w:rPr>
          <w:rFonts w:eastAsia="Calibri"/>
          <w:lang w:val="fr-CA"/>
        </w:rPr>
        <w:t>encore</w:t>
      </w:r>
      <w:r w:rsidR="00191092" w:rsidRPr="00CD4047">
        <w:rPr>
          <w:rFonts w:eastAsia="Calibri"/>
          <w:lang w:val="fr-CA"/>
        </w:rPr>
        <w:t>,</w:t>
      </w:r>
      <w:r w:rsidR="00EB14CC" w:rsidRPr="00CD4047">
        <w:rPr>
          <w:rFonts w:eastAsia="Calibri"/>
          <w:lang w:val="fr-CA"/>
        </w:rPr>
        <w:t xml:space="preserve"> que ce sont avant tout les personnes trans et non binaires qui sont exposées à du harcèlement ou de la discrimination en lien avec l’accès à de tels lieux.</w:t>
      </w:r>
      <w:r w:rsidR="00E1252F" w:rsidRPr="00CD4047">
        <w:rPr>
          <w:rFonts w:eastAsia="Calibri"/>
          <w:lang w:val="fr-CA"/>
        </w:rPr>
        <w:t xml:space="preserve"> </w:t>
      </w:r>
      <w:r w:rsidR="23B2D96E" w:rsidRPr="00CD4047">
        <w:rPr>
          <w:rFonts w:eastAsia="Calibri"/>
          <w:lang w:val="fr-CA"/>
        </w:rPr>
        <w:t>La Commission estime que toute</w:t>
      </w:r>
      <w:r w:rsidR="007929D4" w:rsidRPr="00CD4047">
        <w:rPr>
          <w:rFonts w:eastAsia="Calibri"/>
          <w:lang w:val="fr-CA"/>
        </w:rPr>
        <w:t>s</w:t>
      </w:r>
      <w:r w:rsidR="23B2D96E" w:rsidRPr="00CD4047">
        <w:rPr>
          <w:rFonts w:eastAsia="Calibri"/>
          <w:lang w:val="fr-CA"/>
        </w:rPr>
        <w:t xml:space="preserve"> tension</w:t>
      </w:r>
      <w:r w:rsidR="004A6684" w:rsidRPr="00CD4047">
        <w:rPr>
          <w:rFonts w:eastAsia="Calibri"/>
          <w:lang w:val="fr-CA"/>
        </w:rPr>
        <w:t>s</w:t>
      </w:r>
      <w:r w:rsidR="23B2D96E" w:rsidRPr="00CD4047">
        <w:rPr>
          <w:rFonts w:eastAsia="Calibri"/>
          <w:lang w:val="fr-CA"/>
        </w:rPr>
        <w:t xml:space="preserve"> de valeurs ou craintes qui pourraient subsister </w:t>
      </w:r>
      <w:r w:rsidR="62D12174" w:rsidRPr="00CD4047">
        <w:rPr>
          <w:rFonts w:eastAsia="Calibri"/>
          <w:lang w:val="fr-CA"/>
        </w:rPr>
        <w:t>gagneraient</w:t>
      </w:r>
      <w:r w:rsidR="00E1252F" w:rsidRPr="00CD4047">
        <w:rPr>
          <w:rFonts w:eastAsia="Calibri"/>
          <w:lang w:val="fr-CA"/>
        </w:rPr>
        <w:t xml:space="preserve"> donc</w:t>
      </w:r>
      <w:r w:rsidR="62D12174" w:rsidRPr="00CD4047">
        <w:rPr>
          <w:rFonts w:eastAsia="Calibri"/>
          <w:lang w:val="fr-CA"/>
        </w:rPr>
        <w:t xml:space="preserve"> à</w:t>
      </w:r>
      <w:r w:rsidR="23B2D96E" w:rsidRPr="00CD4047">
        <w:rPr>
          <w:rFonts w:eastAsia="Calibri"/>
          <w:lang w:val="fr-CA"/>
        </w:rPr>
        <w:t xml:space="preserve"> être </w:t>
      </w:r>
      <w:r w:rsidR="3AF70955" w:rsidRPr="00CD4047">
        <w:rPr>
          <w:rFonts w:eastAsia="Calibri"/>
          <w:lang w:val="fr-CA"/>
        </w:rPr>
        <w:t xml:space="preserve">abordées par une approche </w:t>
      </w:r>
      <w:r w:rsidR="6D98213F" w:rsidRPr="00CD4047">
        <w:rPr>
          <w:lang w:val="fr-CA"/>
        </w:rPr>
        <w:t>axée</w:t>
      </w:r>
      <w:r w:rsidR="6D98213F" w:rsidRPr="00CD4047">
        <w:rPr>
          <w:rFonts w:eastAsia="Calibri"/>
          <w:lang w:val="fr-CA"/>
        </w:rPr>
        <w:t xml:space="preserve"> sur </w:t>
      </w:r>
      <w:r w:rsidR="6D98213F" w:rsidRPr="00CD4047">
        <w:rPr>
          <w:lang w:val="fr-CA"/>
        </w:rPr>
        <w:t>la prévention par la mise en place de conditions susceptibles de favoriser le respect</w:t>
      </w:r>
      <w:r w:rsidR="5E718FC6" w:rsidRPr="00CD4047">
        <w:rPr>
          <w:lang w:val="fr-CA"/>
        </w:rPr>
        <w:t xml:space="preserve"> des droits de toutes les personnes utilisatrices</w:t>
      </w:r>
      <w:r w:rsidR="6D98213F" w:rsidRPr="00CD4047">
        <w:rPr>
          <w:rFonts w:eastAsia="Calibri"/>
          <w:lang w:val="fr-CA"/>
        </w:rPr>
        <w:t xml:space="preserve">, que ce soit </w:t>
      </w:r>
      <w:r w:rsidR="2BA682A5" w:rsidRPr="00CD4047">
        <w:rPr>
          <w:rFonts w:eastAsia="Calibri"/>
          <w:lang w:val="fr-CA"/>
        </w:rPr>
        <w:t xml:space="preserve">par exemple </w:t>
      </w:r>
      <w:r w:rsidR="6D98213F" w:rsidRPr="00CD4047">
        <w:rPr>
          <w:rFonts w:eastAsia="Calibri"/>
          <w:lang w:val="fr-CA"/>
        </w:rPr>
        <w:t>par</w:t>
      </w:r>
      <w:r w:rsidR="4B7A3259" w:rsidRPr="00CD4047">
        <w:rPr>
          <w:rFonts w:eastAsia="Calibri"/>
          <w:lang w:val="fr-CA"/>
        </w:rPr>
        <w:t xml:space="preserve"> l’information</w:t>
      </w:r>
      <w:r w:rsidR="6D98213F" w:rsidRPr="00CD4047">
        <w:rPr>
          <w:rFonts w:eastAsia="Calibri"/>
          <w:lang w:val="fr-CA"/>
        </w:rPr>
        <w:t>,</w:t>
      </w:r>
      <w:r w:rsidR="54F0FBEE" w:rsidRPr="00CD4047">
        <w:rPr>
          <w:rFonts w:eastAsia="Calibri"/>
          <w:lang w:val="fr-CA"/>
        </w:rPr>
        <w:t xml:space="preserve"> l’éducation aux droits</w:t>
      </w:r>
      <w:r w:rsidR="6D98213F" w:rsidRPr="00CD4047">
        <w:rPr>
          <w:rFonts w:eastAsia="Calibri"/>
          <w:lang w:val="fr-CA"/>
        </w:rPr>
        <w:t>, des politique</w:t>
      </w:r>
      <w:r w:rsidR="7DEBD3A9" w:rsidRPr="00CD4047">
        <w:rPr>
          <w:rFonts w:eastAsia="Calibri"/>
          <w:lang w:val="fr-CA"/>
        </w:rPr>
        <w:t>s</w:t>
      </w:r>
      <w:r w:rsidR="57C28B81" w:rsidRPr="00CD4047">
        <w:rPr>
          <w:rFonts w:eastAsia="Calibri"/>
          <w:lang w:val="fr-CA"/>
        </w:rPr>
        <w:t xml:space="preserve"> contre le harcèlement et la violence</w:t>
      </w:r>
      <w:r w:rsidR="6D98213F" w:rsidRPr="00CD4047">
        <w:rPr>
          <w:rFonts w:eastAsia="Calibri"/>
          <w:lang w:val="fr-CA"/>
        </w:rPr>
        <w:t xml:space="preserve"> ou des choix d’aménagement</w:t>
      </w:r>
      <w:r w:rsidR="00FF731D" w:rsidRPr="4BB1F094">
        <w:rPr>
          <w:rStyle w:val="Appeldenotedefin"/>
          <w:rFonts w:eastAsia="Calibri"/>
        </w:rPr>
        <w:endnoteReference w:id="424"/>
      </w:r>
      <w:r w:rsidR="54F0FBEE" w:rsidRPr="00CD4047">
        <w:rPr>
          <w:rFonts w:eastAsia="Calibri"/>
          <w:lang w:val="fr-CA"/>
        </w:rPr>
        <w:t xml:space="preserve">. </w:t>
      </w:r>
      <w:r w:rsidR="2CF749C6" w:rsidRPr="00CD4047">
        <w:rPr>
          <w:rFonts w:eastAsia="Calibri"/>
          <w:lang w:val="fr-CA"/>
        </w:rPr>
        <w:t xml:space="preserve"> </w:t>
      </w:r>
    </w:p>
    <w:p w14:paraId="50CF06A4" w14:textId="12D958CA" w:rsidR="00935A25" w:rsidRPr="00BD22C2" w:rsidRDefault="00DF735F" w:rsidP="004031D8">
      <w:pPr>
        <w:pStyle w:val="TitreRecommandation"/>
        <w:keepNext/>
        <w:keepLines/>
      </w:pPr>
      <w:r w:rsidRPr="00BD22C2">
        <w:lastRenderedPageBreak/>
        <w:t>recommandation</w:t>
      </w:r>
      <w:r w:rsidR="0091080B">
        <w:t> </w:t>
      </w:r>
      <w:r w:rsidR="00E06101" w:rsidRPr="00BD22C2">
        <w:t>1</w:t>
      </w:r>
      <w:r w:rsidR="0014682B" w:rsidRPr="00BD22C2">
        <w:t>2</w:t>
      </w:r>
    </w:p>
    <w:p w14:paraId="5DF039F1" w14:textId="02E43B02" w:rsidR="00DF735F" w:rsidRPr="00BD22C2" w:rsidRDefault="00DF735F" w:rsidP="004031D8">
      <w:pPr>
        <w:pStyle w:val="Texterecommandation"/>
        <w:keepNext/>
        <w:keepLines/>
        <w:ind w:left="706" w:firstLine="3"/>
      </w:pPr>
      <w:r w:rsidRPr="00BD22C2">
        <w:t>La Commission recommande au Comité de sages sur l’identité de genre d</w:t>
      </w:r>
      <w:r w:rsidR="002F7031" w:rsidRPr="00BD22C2">
        <w:t xml:space="preserve">’aborder </w:t>
      </w:r>
      <w:r w:rsidR="0082039D" w:rsidRPr="00BD22C2">
        <w:t xml:space="preserve">l’enjeu de la sécurité dans les toilettes et vestiaires suivant une approche </w:t>
      </w:r>
      <w:r w:rsidR="00150D6D" w:rsidRPr="00BD22C2">
        <w:t>inclusive</w:t>
      </w:r>
      <w:r w:rsidR="0082039D" w:rsidRPr="00BD22C2">
        <w:t xml:space="preserve"> tenant compte </w:t>
      </w:r>
      <w:r w:rsidR="00E95017" w:rsidRPr="00BD22C2">
        <w:t>des</w:t>
      </w:r>
      <w:r w:rsidR="0082039D" w:rsidRPr="00BD22C2">
        <w:t xml:space="preserve"> droits de toutes les personnes utilisatrices</w:t>
      </w:r>
      <w:r w:rsidR="00C619C2" w:rsidRPr="00BD22C2">
        <w:t xml:space="preserve">, </w:t>
      </w:r>
      <w:r w:rsidR="00D640D0" w:rsidRPr="00BD22C2">
        <w:t>dont le</w:t>
      </w:r>
      <w:r w:rsidR="00150D6D" w:rsidRPr="00BD22C2">
        <w:t xml:space="preserve"> fait que</w:t>
      </w:r>
      <w:r w:rsidR="00C619C2" w:rsidRPr="00BD22C2">
        <w:t xml:space="preserve"> </w:t>
      </w:r>
      <w:r w:rsidR="00CD1838" w:rsidRPr="00BD22C2">
        <w:t xml:space="preserve">les personnes trans ou non binaires sont les plus susceptibles </w:t>
      </w:r>
      <w:r w:rsidR="004A0E82" w:rsidRPr="00BD22C2">
        <w:t xml:space="preserve">de voir leurs droits compromis dans l’accès à ces lieux. </w:t>
      </w:r>
      <w:r w:rsidR="00E61EDD" w:rsidRPr="00BD22C2">
        <w:t>Une telle approche devrait être</w:t>
      </w:r>
      <w:r w:rsidR="001C2273" w:rsidRPr="00BD22C2">
        <w:t xml:space="preserve"> </w:t>
      </w:r>
      <w:r w:rsidR="0054034A" w:rsidRPr="00BD22C2">
        <w:t xml:space="preserve">axée </w:t>
      </w:r>
      <w:r w:rsidR="001C2273" w:rsidRPr="00BD22C2">
        <w:t>sur la prévention</w:t>
      </w:r>
      <w:r w:rsidR="00F808D3" w:rsidRPr="00BD22C2">
        <w:t>,</w:t>
      </w:r>
      <w:r w:rsidR="001C2273" w:rsidRPr="00BD22C2">
        <w:t xml:space="preserve"> par la mise en place de conditions </w:t>
      </w:r>
      <w:r w:rsidR="008B2FD3" w:rsidRPr="00BD22C2">
        <w:t>susceptibles de favoriser le</w:t>
      </w:r>
      <w:r w:rsidR="00936F4A" w:rsidRPr="00BD22C2">
        <w:t xml:space="preserve"> </w:t>
      </w:r>
      <w:r w:rsidR="00C1617D" w:rsidRPr="00BD22C2">
        <w:t>respect</w:t>
      </w:r>
      <w:r w:rsidR="0057095B" w:rsidRPr="00BD22C2">
        <w:t xml:space="preserve"> des droits de </w:t>
      </w:r>
      <w:r w:rsidR="008D668A" w:rsidRPr="00BD22C2">
        <w:t>toutes les personnes</w:t>
      </w:r>
      <w:r w:rsidR="00720910" w:rsidRPr="00BD22C2">
        <w:t xml:space="preserve">, </w:t>
      </w:r>
      <w:r w:rsidR="00587742" w:rsidRPr="00BD22C2">
        <w:t>qu’il soit question d’espaces mixtes ou non mixtes sur le plan du sexe et du genre.</w:t>
      </w:r>
    </w:p>
    <w:p w14:paraId="2F367745" w14:textId="59ECA59F" w:rsidR="00D52407" w:rsidRPr="00BD22C2" w:rsidRDefault="00D52407" w:rsidP="00EF1CB2">
      <w:pPr>
        <w:pStyle w:val="Titre2"/>
      </w:pPr>
      <w:bookmarkStart w:id="174" w:name="_Toc165301046"/>
      <w:bookmarkStart w:id="175" w:name="_Toc165636129"/>
      <w:r w:rsidRPr="00BD22C2">
        <w:t xml:space="preserve">Les établissements </w:t>
      </w:r>
      <w:r w:rsidR="008A5934" w:rsidRPr="00BD22C2">
        <w:t>de détention</w:t>
      </w:r>
      <w:bookmarkEnd w:id="174"/>
      <w:bookmarkEnd w:id="175"/>
    </w:p>
    <w:p w14:paraId="6F5F1F22" w14:textId="7FBCD337" w:rsidR="00ED4B3F" w:rsidRPr="006E191C" w:rsidRDefault="654EC0EA" w:rsidP="200D37BA">
      <w:pPr>
        <w:pStyle w:val="Paragraphe"/>
        <w:rPr>
          <w:lang w:val="fr-CA"/>
        </w:rPr>
      </w:pPr>
      <w:r w:rsidRPr="006E191C">
        <w:rPr>
          <w:lang w:val="fr-CA"/>
        </w:rPr>
        <w:t>S’agissant toujours d</w:t>
      </w:r>
      <w:r w:rsidR="309F88DF" w:rsidRPr="006E191C">
        <w:rPr>
          <w:lang w:val="fr-CA"/>
        </w:rPr>
        <w:t xml:space="preserve">u respect </w:t>
      </w:r>
      <w:r w:rsidRPr="006E191C">
        <w:rPr>
          <w:lang w:val="fr-CA"/>
        </w:rPr>
        <w:t>des droits des personnes trans et non binaires en contexte non</w:t>
      </w:r>
      <w:r w:rsidR="711B62BA" w:rsidRPr="006E191C">
        <w:rPr>
          <w:lang w:val="fr-CA"/>
        </w:rPr>
        <w:t xml:space="preserve"> </w:t>
      </w:r>
      <w:r w:rsidRPr="006E191C">
        <w:rPr>
          <w:lang w:val="fr-CA"/>
        </w:rPr>
        <w:t xml:space="preserve">mixte, </w:t>
      </w:r>
      <w:r w:rsidR="2414EC6C" w:rsidRPr="006E191C">
        <w:rPr>
          <w:lang w:val="fr-CA"/>
        </w:rPr>
        <w:t xml:space="preserve">la Commission souhaite rappeler que </w:t>
      </w:r>
      <w:r w:rsidR="00863496" w:rsidRPr="006E191C">
        <w:rPr>
          <w:lang w:val="fr-CA"/>
        </w:rPr>
        <w:t>des</w:t>
      </w:r>
      <w:r w:rsidR="49B9E659" w:rsidRPr="006E191C">
        <w:rPr>
          <w:lang w:val="fr-CA"/>
        </w:rPr>
        <w:t xml:space="preserve"> enjeux perdurent à cet égard </w:t>
      </w:r>
      <w:r w:rsidR="614A7901" w:rsidRPr="006E191C">
        <w:rPr>
          <w:lang w:val="fr-CA"/>
        </w:rPr>
        <w:t>dans</w:t>
      </w:r>
      <w:r w:rsidR="5FEFE8CF" w:rsidRPr="006E191C">
        <w:rPr>
          <w:lang w:val="fr-CA"/>
        </w:rPr>
        <w:t xml:space="preserve"> les </w:t>
      </w:r>
      <w:r w:rsidR="79325190" w:rsidRPr="006E191C">
        <w:rPr>
          <w:lang w:val="fr-CA"/>
        </w:rPr>
        <w:t>établissements de détention québécois</w:t>
      </w:r>
      <w:r w:rsidR="614A7901" w:rsidRPr="006E191C">
        <w:rPr>
          <w:lang w:val="fr-CA"/>
        </w:rPr>
        <w:t xml:space="preserve">. </w:t>
      </w:r>
      <w:r w:rsidR="5FEFE8CF" w:rsidRPr="006E191C">
        <w:rPr>
          <w:lang w:val="fr-CA"/>
        </w:rPr>
        <w:t xml:space="preserve"> </w:t>
      </w:r>
    </w:p>
    <w:p w14:paraId="24E6D30A" w14:textId="1B916C8C" w:rsidR="00371601" w:rsidRPr="00BD22C2" w:rsidRDefault="00334665" w:rsidP="005A5B5A">
      <w:pPr>
        <w:pStyle w:val="Paragraphe"/>
        <w:rPr>
          <w:rFonts w:cs="Arial"/>
          <w:lang w:val="fr-CA"/>
        </w:rPr>
      </w:pPr>
      <w:r w:rsidRPr="00BD22C2">
        <w:rPr>
          <w:lang w:val="fr-CA"/>
        </w:rPr>
        <w:t xml:space="preserve">En 2007, </w:t>
      </w:r>
      <w:r w:rsidR="000804F8" w:rsidRPr="00BD22C2">
        <w:rPr>
          <w:lang w:val="fr-CA"/>
        </w:rPr>
        <w:t>le Groupe de travail mixte contre l’homophobie</w:t>
      </w:r>
      <w:r w:rsidR="004F14AE" w:rsidRPr="00BD22C2">
        <w:rPr>
          <w:lang w:val="fr-CA"/>
        </w:rPr>
        <w:t xml:space="preserve"> rapportait diverses situations problématiques</w:t>
      </w:r>
      <w:r w:rsidR="008E3C79" w:rsidRPr="00BD22C2">
        <w:rPr>
          <w:lang w:val="fr-CA"/>
        </w:rPr>
        <w:t xml:space="preserve"> ayant eu lieu dans des centres de détention</w:t>
      </w:r>
      <w:r w:rsidR="009B1FE4" w:rsidRPr="00BD22C2">
        <w:rPr>
          <w:lang w:val="fr-CA"/>
        </w:rPr>
        <w:t xml:space="preserve">, soulignant entre autres que </w:t>
      </w:r>
      <w:r w:rsidR="00E32F5C" w:rsidRPr="00BD22C2">
        <w:rPr>
          <w:lang w:val="fr-CA"/>
        </w:rPr>
        <w:t>des personnes trans</w:t>
      </w:r>
      <w:r w:rsidR="003956AA" w:rsidRPr="00BD22C2">
        <w:rPr>
          <w:rFonts w:cs="Arial"/>
          <w:lang w:val="fr-CA"/>
        </w:rPr>
        <w:t xml:space="preserve"> ont été potentiellement exposées à la violence homophobe au moment de leur incarcération</w:t>
      </w:r>
      <w:r w:rsidR="00BB4788" w:rsidRPr="00BD22C2">
        <w:rPr>
          <w:rFonts w:cs="Arial"/>
          <w:lang w:val="fr-CA"/>
        </w:rPr>
        <w:t>.</w:t>
      </w:r>
      <w:r w:rsidR="008E04F1" w:rsidRPr="00BD22C2">
        <w:rPr>
          <w:rFonts w:cs="Arial"/>
          <w:lang w:val="fr-CA"/>
        </w:rPr>
        <w:t xml:space="preserve"> Le Groupe de travail </w:t>
      </w:r>
      <w:r w:rsidR="00371601" w:rsidRPr="00BD22C2">
        <w:rPr>
          <w:rFonts w:cs="Arial"/>
          <w:lang w:val="fr-CA"/>
        </w:rPr>
        <w:t>ajoutait</w:t>
      </w:r>
      <w:r w:rsidR="008E04F1" w:rsidRPr="00BD22C2">
        <w:rPr>
          <w:rFonts w:cs="Arial"/>
          <w:lang w:val="fr-CA"/>
        </w:rPr>
        <w:t xml:space="preserve"> </w:t>
      </w:r>
      <w:r w:rsidR="00371601" w:rsidRPr="00BD22C2">
        <w:rPr>
          <w:rFonts w:cs="Arial"/>
          <w:lang w:val="fr-CA"/>
        </w:rPr>
        <w:t xml:space="preserve">ce qui suit : </w:t>
      </w:r>
    </w:p>
    <w:p w14:paraId="21806B22" w14:textId="4461EA3B" w:rsidR="00334665" w:rsidRPr="00BD22C2" w:rsidRDefault="008E04F1" w:rsidP="00E16C2D">
      <w:pPr>
        <w:pStyle w:val="Citation"/>
      </w:pPr>
      <w:r w:rsidRPr="00BD22C2">
        <w:rPr>
          <w:rFonts w:cs="Arial"/>
        </w:rPr>
        <w:t>«</w:t>
      </w:r>
      <w:r w:rsidR="00BE16E2" w:rsidRPr="00BD22C2">
        <w:rPr>
          <w:rFonts w:cs="Arial"/>
        </w:rPr>
        <w:t> </w:t>
      </w:r>
      <w:r w:rsidR="00371601" w:rsidRPr="00BD22C2">
        <w:rPr>
          <w:rFonts w:cs="Arial"/>
        </w:rPr>
        <w:t>C</w:t>
      </w:r>
      <w:r w:rsidR="00BB4788" w:rsidRPr="00BD22C2">
        <w:t xml:space="preserve">ertaines personnes ont été privées par le personnel en place de leur droit d’être incarcérées seules dans leur cellule alors qu’elles craignaient que les individus déjà incarcérés ne portent atteinte à leur sécurité. Ou encore, elles n’ont pas été informées des droits permettant d’assurer leur protection et leur sécurité. Des demandes provenant des personnes </w:t>
      </w:r>
      <w:r w:rsidR="00093B47" w:rsidRPr="00BD22C2">
        <w:t>[trans]</w:t>
      </w:r>
      <w:r w:rsidR="00BB4788" w:rsidRPr="00BD22C2">
        <w:t xml:space="preserve"> qui devaient poursuivre leur thérapie hormonale en prison et qui n’avaient pas leur médication avec elles, ont aussi été ignorées.</w:t>
      </w:r>
      <w:r w:rsidR="00BE16E2" w:rsidRPr="00BD22C2">
        <w:rPr>
          <w:rFonts w:cs="Arial"/>
        </w:rPr>
        <w:t> </w:t>
      </w:r>
      <w:r w:rsidR="003956AA" w:rsidRPr="00BD22C2">
        <w:rPr>
          <w:rFonts w:cs="Arial"/>
        </w:rPr>
        <w:t>»</w:t>
      </w:r>
      <w:r w:rsidR="00EE1CD6" w:rsidRPr="00BD22C2">
        <w:rPr>
          <w:rStyle w:val="Appeldenotedefin"/>
          <w:rFonts w:cs="Arial"/>
        </w:rPr>
        <w:endnoteReference w:id="425"/>
      </w:r>
    </w:p>
    <w:p w14:paraId="075B63A4" w14:textId="0D2470AA" w:rsidR="00EE1CD6" w:rsidRPr="00BD22C2" w:rsidRDefault="00EE1CD6" w:rsidP="005A5B5A">
      <w:pPr>
        <w:pStyle w:val="Paragraphe"/>
        <w:rPr>
          <w:lang w:val="fr-CA"/>
        </w:rPr>
      </w:pPr>
      <w:r w:rsidRPr="00BD22C2">
        <w:rPr>
          <w:lang w:val="fr-CA"/>
        </w:rPr>
        <w:t>Sur la base de ces constats, le Groupe de travail recommandait notamment que le ministère de la Sécurité publique</w:t>
      </w:r>
      <w:r w:rsidR="00011B25" w:rsidRPr="00BD22C2">
        <w:rPr>
          <w:lang w:val="fr-CA"/>
        </w:rPr>
        <w:t xml:space="preserve"> (ci-après </w:t>
      </w:r>
      <w:r w:rsidR="00457DDA" w:rsidRPr="00BD22C2">
        <w:rPr>
          <w:lang w:val="fr-CA"/>
        </w:rPr>
        <w:t>«</w:t>
      </w:r>
      <w:r w:rsidR="00444FEB">
        <w:rPr>
          <w:lang w:val="fr-CA"/>
        </w:rPr>
        <w:t> </w:t>
      </w:r>
      <w:r w:rsidR="00011B25" w:rsidRPr="00BD22C2">
        <w:rPr>
          <w:lang w:val="fr-CA"/>
        </w:rPr>
        <w:t>MSP</w:t>
      </w:r>
      <w:r w:rsidR="00444FEB">
        <w:rPr>
          <w:lang w:val="fr-CA"/>
        </w:rPr>
        <w:t> </w:t>
      </w:r>
      <w:r w:rsidR="00457DDA" w:rsidRPr="00BD22C2">
        <w:rPr>
          <w:lang w:val="fr-CA"/>
        </w:rPr>
        <w:t>»</w:t>
      </w:r>
      <w:r w:rsidR="00011B25" w:rsidRPr="00BD22C2">
        <w:rPr>
          <w:lang w:val="fr-CA"/>
        </w:rPr>
        <w:t>)</w:t>
      </w:r>
      <w:r w:rsidRPr="00BD22C2">
        <w:rPr>
          <w:lang w:val="fr-CA"/>
        </w:rPr>
        <w:t xml:space="preserve"> « s’assure que le personnel des services correctionnels soit formé à la problématique de l’homophobie et aux réalités des personnes de minorités sexuelles, ainsi qu’à l’application des règlements visant à garantir le respect des droits, la protection et la sécurité de toute personne »</w:t>
      </w:r>
      <w:r w:rsidRPr="00BD22C2">
        <w:rPr>
          <w:rStyle w:val="Appeldenotedefin"/>
          <w:lang w:val="fr-CA"/>
        </w:rPr>
        <w:endnoteReference w:id="426"/>
      </w:r>
      <w:r w:rsidRPr="00BD22C2">
        <w:rPr>
          <w:lang w:val="fr-CA"/>
        </w:rPr>
        <w:t>. Il recommandait en outre, d’une part, « que le MSP s’assure que le personnel des services correctionnels informe les personnes de minorités sexuelles, qui sont potentiellement exposées à la violence homophobe au moment de l’incarcération, des règlements relatifs au droit d’être incarcéré dans un lieu sécuritaire lorsqu’une personne craint pour sa sécurité »</w:t>
      </w:r>
      <w:r w:rsidRPr="00BD22C2">
        <w:rPr>
          <w:rStyle w:val="Appeldenotedefin"/>
          <w:lang w:val="fr-CA"/>
        </w:rPr>
        <w:endnoteReference w:id="427"/>
      </w:r>
      <w:r w:rsidRPr="00BD22C2">
        <w:rPr>
          <w:lang w:val="fr-CA"/>
        </w:rPr>
        <w:t>. Puis, d’autre part, « que le MSP s’assure que le personnel des services correctionnels et des services policiers assigné à la réception et au traitement des plaintes soit sensibilisé à la problématique de l’homophobie et aux réalités des personnes de minorités sexuelles »</w:t>
      </w:r>
      <w:r w:rsidRPr="00BD22C2">
        <w:rPr>
          <w:rStyle w:val="Appeldenotedefin"/>
          <w:lang w:val="fr-CA"/>
        </w:rPr>
        <w:endnoteReference w:id="428"/>
      </w:r>
      <w:r w:rsidRPr="00BD22C2">
        <w:rPr>
          <w:lang w:val="fr-CA"/>
        </w:rPr>
        <w:t>.</w:t>
      </w:r>
    </w:p>
    <w:p w14:paraId="580A42EC" w14:textId="23E3D227" w:rsidR="00EE1CD6" w:rsidRPr="00BD22C2" w:rsidRDefault="00EE1CD6" w:rsidP="005A5B5A">
      <w:pPr>
        <w:pStyle w:val="Paragraphe"/>
        <w:rPr>
          <w:lang w:val="fr-CA"/>
        </w:rPr>
      </w:pPr>
      <w:r w:rsidRPr="00BD22C2">
        <w:rPr>
          <w:lang w:val="fr-CA"/>
        </w:rPr>
        <w:lastRenderedPageBreak/>
        <w:t xml:space="preserve">À la lumière de divers échanges qu’elle a depuis 2016 avec des organismes de défense des droits de la personne et de défense des droits des femmes, la Commission est d’avis que ces enjeux perdurent. Ces organismes font, par exemple, état de difficultés d’accès aux traitements hormonaux pour les femmes trans. Une visite que la Commission a effectuée au centre de détention Leclerc en 2023 lui a </w:t>
      </w:r>
      <w:r w:rsidR="00BC2267" w:rsidRPr="00BD22C2">
        <w:rPr>
          <w:lang w:val="fr-CA"/>
        </w:rPr>
        <w:t>aussi</w:t>
      </w:r>
      <w:r w:rsidR="004B5A1A" w:rsidRPr="00BD22C2">
        <w:rPr>
          <w:lang w:val="fr-CA"/>
        </w:rPr>
        <w:t xml:space="preserve"> </w:t>
      </w:r>
      <w:r w:rsidRPr="00BD22C2">
        <w:rPr>
          <w:lang w:val="fr-CA"/>
        </w:rPr>
        <w:t xml:space="preserve">permis de constater que les membres du personnel en milieu carcéral demeurent peu formés pour répondre aux besoins des personnes trans incarcérées et que, plus généralement, des enjeux de droits de la personne demeuraient réels, notamment pour les personnes trans. </w:t>
      </w:r>
    </w:p>
    <w:p w14:paraId="21310BA1" w14:textId="3DFE1662" w:rsidR="00B325D6" w:rsidRPr="00BD22C2" w:rsidRDefault="00EE1CD6" w:rsidP="001E26FD">
      <w:pPr>
        <w:pStyle w:val="Paragraphe"/>
        <w:rPr>
          <w:lang w:val="fr-CA"/>
        </w:rPr>
      </w:pPr>
      <w:r w:rsidRPr="00BD22C2">
        <w:rPr>
          <w:lang w:val="fr-CA"/>
        </w:rPr>
        <w:t>Bien qu’elles ne soient pas représentatives de l’ampleur des enjeux touchant les droits et libertés de la personne</w:t>
      </w:r>
      <w:r w:rsidRPr="00BD22C2">
        <w:rPr>
          <w:rStyle w:val="Appeldenotedefin"/>
          <w:lang w:val="fr-CA"/>
        </w:rPr>
        <w:endnoteReference w:id="429"/>
      </w:r>
      <w:r w:rsidRPr="00BD22C2">
        <w:rPr>
          <w:lang w:val="fr-CA"/>
        </w:rPr>
        <w:t>,</w:t>
      </w:r>
      <w:r w:rsidR="00603310" w:rsidRPr="00BD22C2">
        <w:rPr>
          <w:lang w:val="fr-CA"/>
        </w:rPr>
        <w:t xml:space="preserve"> les</w:t>
      </w:r>
      <w:r w:rsidR="00146F64" w:rsidRPr="00BD22C2">
        <w:rPr>
          <w:lang w:val="fr-CA"/>
        </w:rPr>
        <w:t xml:space="preserve"> plaintes reçues</w:t>
      </w:r>
      <w:r w:rsidR="00AA7A67" w:rsidRPr="00BD22C2">
        <w:rPr>
          <w:lang w:val="fr-CA"/>
        </w:rPr>
        <w:t xml:space="preserve"> à la Commission et mettant en cause </w:t>
      </w:r>
      <w:r w:rsidR="00146F64" w:rsidRPr="00BD22C2">
        <w:rPr>
          <w:lang w:val="fr-CA"/>
        </w:rPr>
        <w:t>des établissements de détention québécois</w:t>
      </w:r>
      <w:r w:rsidR="00603310" w:rsidRPr="00BD22C2">
        <w:rPr>
          <w:lang w:val="fr-CA"/>
        </w:rPr>
        <w:t xml:space="preserve"> </w:t>
      </w:r>
      <w:r w:rsidR="001E1726" w:rsidRPr="00BD22C2">
        <w:rPr>
          <w:lang w:val="fr-CA"/>
        </w:rPr>
        <w:t xml:space="preserve">font </w:t>
      </w:r>
      <w:r w:rsidR="0062219E" w:rsidRPr="00BD22C2">
        <w:rPr>
          <w:lang w:val="fr-CA"/>
        </w:rPr>
        <w:t>également état</w:t>
      </w:r>
      <w:r w:rsidR="00603310" w:rsidRPr="00BD22C2">
        <w:rPr>
          <w:lang w:val="fr-CA"/>
        </w:rPr>
        <w:t xml:space="preserve"> </w:t>
      </w:r>
      <w:r w:rsidR="0016469D" w:rsidRPr="00BD22C2">
        <w:rPr>
          <w:lang w:val="fr-CA"/>
        </w:rPr>
        <w:t>de comportement</w:t>
      </w:r>
      <w:r w:rsidR="005201B5" w:rsidRPr="00BD22C2">
        <w:rPr>
          <w:lang w:val="fr-CA"/>
        </w:rPr>
        <w:t>s</w:t>
      </w:r>
      <w:r w:rsidR="0016469D" w:rsidRPr="00BD22C2">
        <w:rPr>
          <w:lang w:val="fr-CA"/>
        </w:rPr>
        <w:t xml:space="preserve"> ou de propos dénigrants, irrespectueux et discriminatoires de la part de membres du personnel carcéral</w:t>
      </w:r>
      <w:r w:rsidR="00956189" w:rsidRPr="00BD22C2">
        <w:rPr>
          <w:lang w:val="fr-CA"/>
        </w:rPr>
        <w:t xml:space="preserve">, </w:t>
      </w:r>
      <w:r w:rsidR="00054720" w:rsidRPr="00BD22C2">
        <w:rPr>
          <w:lang w:val="fr-CA"/>
        </w:rPr>
        <w:t xml:space="preserve">entre autres </w:t>
      </w:r>
      <w:r w:rsidR="00956189" w:rsidRPr="00BD22C2">
        <w:rPr>
          <w:lang w:val="fr-CA"/>
        </w:rPr>
        <w:t>eu égard aux personnes trans</w:t>
      </w:r>
      <w:r w:rsidR="003A0959" w:rsidRPr="00BD22C2">
        <w:rPr>
          <w:lang w:val="fr-CA"/>
        </w:rPr>
        <w:t xml:space="preserve"> incarcérées.</w:t>
      </w:r>
    </w:p>
    <w:p w14:paraId="3FCFBCC4" w14:textId="57E44220" w:rsidR="000F742E" w:rsidRPr="00BD22C2" w:rsidRDefault="003A06B7" w:rsidP="001E26FD">
      <w:pPr>
        <w:pStyle w:val="Paragraphe"/>
        <w:rPr>
          <w:lang w:val="fr-CA"/>
        </w:rPr>
      </w:pPr>
      <w:r w:rsidRPr="00BD22C2">
        <w:rPr>
          <w:lang w:val="fr-CA"/>
        </w:rPr>
        <w:t>S</w:t>
      </w:r>
      <w:r w:rsidR="00815EA3" w:rsidRPr="00BD22C2">
        <w:rPr>
          <w:lang w:val="fr-CA"/>
        </w:rPr>
        <w:t xml:space="preserve">uivant </w:t>
      </w:r>
      <w:r w:rsidR="00011B27" w:rsidRPr="00BD22C2">
        <w:rPr>
          <w:lang w:val="fr-CA"/>
        </w:rPr>
        <w:t>la recommandation du Groupe de travail précité, la Commission a donc la responsabilité de mettre en œuvre</w:t>
      </w:r>
      <w:r w:rsidR="000F742E" w:rsidRPr="00BD22C2">
        <w:rPr>
          <w:lang w:val="fr-CA"/>
        </w:rPr>
        <w:t xml:space="preserve"> </w:t>
      </w:r>
      <w:r w:rsidR="00E04616" w:rsidRPr="00BD22C2">
        <w:rPr>
          <w:lang w:val="fr-CA"/>
        </w:rPr>
        <w:t>la</w:t>
      </w:r>
      <w:r w:rsidR="000F742E" w:rsidRPr="00BD22C2">
        <w:rPr>
          <w:lang w:val="fr-CA"/>
        </w:rPr>
        <w:t xml:space="preserve"> mesure</w:t>
      </w:r>
      <w:r w:rsidR="0091080B">
        <w:rPr>
          <w:lang w:val="fr-CA"/>
        </w:rPr>
        <w:t> </w:t>
      </w:r>
      <w:r w:rsidR="00011B27" w:rsidRPr="00BD22C2">
        <w:rPr>
          <w:lang w:val="fr-CA"/>
        </w:rPr>
        <w:t>11</w:t>
      </w:r>
      <w:r w:rsidR="000F742E" w:rsidRPr="00BD22C2">
        <w:rPr>
          <w:lang w:val="fr-CA"/>
        </w:rPr>
        <w:t xml:space="preserve"> du Plan d’action gouvernemental</w:t>
      </w:r>
      <w:r w:rsidR="000A7739" w:rsidRPr="00BD22C2">
        <w:rPr>
          <w:lang w:val="fr-CA"/>
        </w:rPr>
        <w:t xml:space="preserve"> de lutte contre l’homophobie et </w:t>
      </w:r>
      <w:r w:rsidR="00DA61A4" w:rsidRPr="00BD22C2">
        <w:rPr>
          <w:lang w:val="fr-CA"/>
        </w:rPr>
        <w:t>la transphobie</w:t>
      </w:r>
      <w:r w:rsidR="0091080B">
        <w:rPr>
          <w:lang w:val="fr-CA"/>
        </w:rPr>
        <w:t> </w:t>
      </w:r>
      <w:r w:rsidR="000F742E" w:rsidRPr="00BD22C2">
        <w:rPr>
          <w:lang w:val="fr-CA"/>
        </w:rPr>
        <w:t>2023-2028</w:t>
      </w:r>
      <w:r w:rsidR="00E04616" w:rsidRPr="00BD22C2">
        <w:rPr>
          <w:lang w:val="fr-CA"/>
        </w:rPr>
        <w:t xml:space="preserve"> </w:t>
      </w:r>
      <w:r w:rsidR="00DF6536" w:rsidRPr="00BD22C2">
        <w:rPr>
          <w:lang w:val="fr-CA"/>
        </w:rPr>
        <w:t>en élaborant, en collaboration avec le MSP et le MSSS</w:t>
      </w:r>
      <w:r w:rsidR="00C2616C" w:rsidRPr="00BD22C2">
        <w:rPr>
          <w:lang w:val="fr-CA"/>
        </w:rPr>
        <w:t>,</w:t>
      </w:r>
      <w:r w:rsidR="000F742E" w:rsidRPr="00BD22C2">
        <w:rPr>
          <w:lang w:val="fr-CA"/>
        </w:rPr>
        <w:t xml:space="preserve"> deux outils d’information non numériques sur la question des droits des personnes de la diversité sexuelle et de genre dans les établissements de détention. </w:t>
      </w:r>
      <w:r w:rsidR="00965A12" w:rsidRPr="00BD22C2">
        <w:rPr>
          <w:lang w:val="fr-CA"/>
        </w:rPr>
        <w:t xml:space="preserve">Le </w:t>
      </w:r>
      <w:r w:rsidR="000F742E" w:rsidRPr="00BD22C2">
        <w:rPr>
          <w:lang w:val="fr-CA"/>
        </w:rPr>
        <w:t>«</w:t>
      </w:r>
      <w:r w:rsidR="00BE16E2" w:rsidRPr="00BD22C2">
        <w:rPr>
          <w:lang w:val="fr-CA"/>
        </w:rPr>
        <w:t> </w:t>
      </w:r>
      <w:r w:rsidR="000F742E" w:rsidRPr="00BD22C2">
        <w:rPr>
          <w:lang w:val="fr-CA"/>
        </w:rPr>
        <w:t>premier s’adressera aux gestionnaires et au personnel, et le second aux personnes en détention</w:t>
      </w:r>
      <w:r w:rsidR="00BE16E2" w:rsidRPr="00BD22C2">
        <w:rPr>
          <w:lang w:val="fr-CA"/>
        </w:rPr>
        <w:t> </w:t>
      </w:r>
      <w:r w:rsidR="000F742E" w:rsidRPr="00BD22C2">
        <w:rPr>
          <w:lang w:val="fr-CA"/>
        </w:rPr>
        <w:t xml:space="preserve">». </w:t>
      </w:r>
      <w:r w:rsidR="00420F52" w:rsidRPr="00BD22C2">
        <w:rPr>
          <w:lang w:val="fr-CA"/>
        </w:rPr>
        <w:t>De plus, i</w:t>
      </w:r>
      <w:r w:rsidR="000F742E" w:rsidRPr="00BD22C2">
        <w:rPr>
          <w:lang w:val="fr-CA"/>
        </w:rPr>
        <w:t>l est prévu que ces outils abordent «</w:t>
      </w:r>
      <w:r w:rsidR="00BE16E2" w:rsidRPr="00BD22C2">
        <w:rPr>
          <w:lang w:val="fr-CA"/>
        </w:rPr>
        <w:t> </w:t>
      </w:r>
      <w:r w:rsidR="000F742E" w:rsidRPr="00BD22C2">
        <w:rPr>
          <w:lang w:val="fr-CA"/>
        </w:rPr>
        <w:t>notamment le droit à l’égalité des personnes trans et des personnes non binaires que le personnel de ces milieux est amené à côtoyer de plus en plus</w:t>
      </w:r>
      <w:r w:rsidR="00BE16E2" w:rsidRPr="00BD22C2">
        <w:rPr>
          <w:lang w:val="fr-CA"/>
        </w:rPr>
        <w:t> </w:t>
      </w:r>
      <w:r w:rsidR="000F742E" w:rsidRPr="00BD22C2">
        <w:rPr>
          <w:lang w:val="fr-CA"/>
        </w:rPr>
        <w:t>»</w:t>
      </w:r>
      <w:r w:rsidR="000F742E" w:rsidRPr="00BD22C2">
        <w:rPr>
          <w:rStyle w:val="Appeldenotedefin"/>
          <w:lang w:val="fr-CA"/>
        </w:rPr>
        <w:endnoteReference w:id="430"/>
      </w:r>
      <w:r w:rsidR="000F742E" w:rsidRPr="00BD22C2">
        <w:rPr>
          <w:lang w:val="fr-CA"/>
        </w:rPr>
        <w:t>.</w:t>
      </w:r>
    </w:p>
    <w:p w14:paraId="2D91280B" w14:textId="764F14DC" w:rsidR="00A37AD1" w:rsidRPr="00BD22C2" w:rsidRDefault="00F914CB" w:rsidP="001E26FD">
      <w:pPr>
        <w:pStyle w:val="Paragraphe"/>
        <w:rPr>
          <w:lang w:val="fr-CA"/>
        </w:rPr>
      </w:pPr>
      <w:r w:rsidRPr="00BD22C2">
        <w:rPr>
          <w:lang w:val="fr-CA"/>
        </w:rPr>
        <w:t>Certains</w:t>
      </w:r>
      <w:r w:rsidR="005112F6" w:rsidRPr="00BD22C2">
        <w:rPr>
          <w:lang w:val="fr-CA"/>
        </w:rPr>
        <w:t xml:space="preserve"> jugements ont d’ailleurs </w:t>
      </w:r>
      <w:r w:rsidR="00E20188" w:rsidRPr="00BD22C2">
        <w:rPr>
          <w:lang w:val="fr-CA"/>
        </w:rPr>
        <w:t xml:space="preserve">formulé des ordonnances </w:t>
      </w:r>
      <w:r w:rsidR="00885D75" w:rsidRPr="00BD22C2">
        <w:rPr>
          <w:lang w:val="fr-CA"/>
        </w:rPr>
        <w:t>visant la formation des policiers et membres du personnel affectés à la détention de personne</w:t>
      </w:r>
      <w:r w:rsidR="00333782" w:rsidRPr="00BD22C2">
        <w:rPr>
          <w:lang w:val="fr-CA"/>
        </w:rPr>
        <w:t>s</w:t>
      </w:r>
      <w:r w:rsidR="00352527" w:rsidRPr="00BD22C2">
        <w:rPr>
          <w:lang w:val="fr-CA"/>
        </w:rPr>
        <w:t xml:space="preserve"> trans</w:t>
      </w:r>
      <w:r w:rsidR="00D63015" w:rsidRPr="00BD22C2">
        <w:rPr>
          <w:rStyle w:val="Appeldenotedefin"/>
          <w:lang w:val="fr-CA"/>
        </w:rPr>
        <w:endnoteReference w:id="431"/>
      </w:r>
      <w:r w:rsidR="00352527" w:rsidRPr="00BD22C2">
        <w:rPr>
          <w:lang w:val="fr-CA"/>
        </w:rPr>
        <w:t>.</w:t>
      </w:r>
      <w:r w:rsidR="003767AE" w:rsidRPr="00BD22C2">
        <w:rPr>
          <w:lang w:val="fr-CA"/>
        </w:rPr>
        <w:t xml:space="preserve"> </w:t>
      </w:r>
      <w:r w:rsidR="00586151" w:rsidRPr="00BD22C2">
        <w:rPr>
          <w:lang w:val="fr-CA"/>
        </w:rPr>
        <w:t xml:space="preserve">Sans en venir </w:t>
      </w:r>
      <w:r w:rsidR="0093324B" w:rsidRPr="00BD22C2">
        <w:rPr>
          <w:lang w:val="fr-CA"/>
        </w:rPr>
        <w:t xml:space="preserve">spécifiquement </w:t>
      </w:r>
      <w:r w:rsidR="00586151" w:rsidRPr="00BD22C2">
        <w:rPr>
          <w:lang w:val="fr-CA"/>
        </w:rPr>
        <w:t>à une telle conclusion, d’autres</w:t>
      </w:r>
      <w:r w:rsidR="004F7475" w:rsidRPr="00BD22C2">
        <w:rPr>
          <w:lang w:val="fr-CA"/>
        </w:rPr>
        <w:t xml:space="preserve"> décisions font également état des enjeux particuliers que </w:t>
      </w:r>
      <w:r w:rsidR="006C6C4B" w:rsidRPr="00BD22C2">
        <w:rPr>
          <w:lang w:val="fr-CA"/>
        </w:rPr>
        <w:t xml:space="preserve">vivent les personnes </w:t>
      </w:r>
      <w:r w:rsidR="00D47538" w:rsidRPr="00BD22C2">
        <w:rPr>
          <w:lang w:val="fr-CA"/>
        </w:rPr>
        <w:t>trans et non</w:t>
      </w:r>
      <w:r w:rsidR="00F61414" w:rsidRPr="00BD22C2">
        <w:rPr>
          <w:lang w:val="fr-CA"/>
        </w:rPr>
        <w:t xml:space="preserve"> </w:t>
      </w:r>
      <w:r w:rsidR="00D47538" w:rsidRPr="00BD22C2">
        <w:rPr>
          <w:lang w:val="fr-CA"/>
        </w:rPr>
        <w:t>binaire</w:t>
      </w:r>
      <w:r w:rsidR="00843B1F" w:rsidRPr="00BD22C2">
        <w:rPr>
          <w:lang w:val="fr-CA"/>
        </w:rPr>
        <w:t>s</w:t>
      </w:r>
      <w:r w:rsidR="00D47538" w:rsidRPr="00BD22C2">
        <w:rPr>
          <w:lang w:val="fr-CA"/>
        </w:rPr>
        <w:t xml:space="preserve"> en contexte</w:t>
      </w:r>
      <w:r w:rsidR="00426095" w:rsidRPr="00BD22C2">
        <w:rPr>
          <w:lang w:val="fr-CA"/>
        </w:rPr>
        <w:t xml:space="preserve"> de détention</w:t>
      </w:r>
      <w:r w:rsidR="00913136" w:rsidRPr="00BD22C2">
        <w:rPr>
          <w:lang w:val="fr-CA"/>
        </w:rPr>
        <w:t xml:space="preserve">, incluant quant </w:t>
      </w:r>
      <w:r w:rsidR="003B200B" w:rsidRPr="00BD22C2">
        <w:rPr>
          <w:lang w:val="fr-CA"/>
        </w:rPr>
        <w:t>à la non-mixité des lieux et aux demandes</w:t>
      </w:r>
      <w:r w:rsidR="00B84F4C" w:rsidRPr="00BD22C2">
        <w:rPr>
          <w:lang w:val="fr-CA"/>
        </w:rPr>
        <w:t xml:space="preserve"> de transferts d’établissement qui peuvent en découler</w:t>
      </w:r>
      <w:r w:rsidR="00426095" w:rsidRPr="00BD22C2">
        <w:rPr>
          <w:lang w:val="fr-CA"/>
        </w:rPr>
        <w:t xml:space="preserve">. </w:t>
      </w:r>
      <w:r w:rsidR="00A37AD1" w:rsidRPr="00BD22C2">
        <w:rPr>
          <w:lang w:val="fr-CA"/>
        </w:rPr>
        <w:t>Les trois jugements rendus dans l</w:t>
      </w:r>
      <w:r w:rsidR="00BF6DEE" w:rsidRPr="00BD22C2">
        <w:rPr>
          <w:lang w:val="fr-CA"/>
        </w:rPr>
        <w:t>’</w:t>
      </w:r>
      <w:r w:rsidR="00A37AD1" w:rsidRPr="00BD22C2">
        <w:rPr>
          <w:lang w:val="fr-CA"/>
        </w:rPr>
        <w:t xml:space="preserve">affaire </w:t>
      </w:r>
      <w:proofErr w:type="spellStart"/>
      <w:r w:rsidR="00A37AD1" w:rsidRPr="00BD22C2">
        <w:rPr>
          <w:i/>
          <w:lang w:val="fr-CA"/>
        </w:rPr>
        <w:t>Boulachanis</w:t>
      </w:r>
      <w:proofErr w:type="spellEnd"/>
      <w:r w:rsidR="00A37AD1" w:rsidRPr="00BD22C2">
        <w:rPr>
          <w:lang w:val="fr-CA"/>
        </w:rPr>
        <w:t xml:space="preserve"> ont</w:t>
      </w:r>
      <w:r w:rsidR="00892B53" w:rsidRPr="00BD22C2">
        <w:rPr>
          <w:lang w:val="fr-CA"/>
        </w:rPr>
        <w:t xml:space="preserve"> </w:t>
      </w:r>
      <w:r w:rsidR="00A37AD1" w:rsidRPr="00BD22C2">
        <w:rPr>
          <w:lang w:val="fr-CA"/>
        </w:rPr>
        <w:t>illustré les limites et défis que le système de service correctionnel canadien présente pour répondre aux besoins de</w:t>
      </w:r>
      <w:r w:rsidR="00B31314" w:rsidRPr="00BD22C2">
        <w:rPr>
          <w:lang w:val="fr-CA"/>
        </w:rPr>
        <w:t xml:space="preserve"> ces personnes</w:t>
      </w:r>
      <w:r w:rsidR="00A37AD1" w:rsidRPr="00BD22C2">
        <w:rPr>
          <w:lang w:val="fr-CA"/>
        </w:rPr>
        <w:t xml:space="preserve">, </w:t>
      </w:r>
      <w:r w:rsidR="00FF5F16" w:rsidRPr="00BD22C2">
        <w:rPr>
          <w:lang w:val="fr-CA"/>
        </w:rPr>
        <w:t>entre autres</w:t>
      </w:r>
      <w:r w:rsidR="00813439" w:rsidRPr="00BD22C2">
        <w:rPr>
          <w:lang w:val="fr-CA"/>
        </w:rPr>
        <w:t xml:space="preserve"> </w:t>
      </w:r>
      <w:r w:rsidR="00696287" w:rsidRPr="00BD22C2">
        <w:rPr>
          <w:lang w:val="fr-CA"/>
        </w:rPr>
        <w:t>en regard des</w:t>
      </w:r>
      <w:r w:rsidR="008B7D61" w:rsidRPr="00BD22C2">
        <w:rPr>
          <w:lang w:val="fr-CA"/>
        </w:rPr>
        <w:t xml:space="preserve"> moyens pris pour assurer leur sécurité</w:t>
      </w:r>
      <w:r w:rsidR="00A37AD1" w:rsidRPr="00BD22C2">
        <w:rPr>
          <w:lang w:val="fr-CA"/>
        </w:rPr>
        <w:t xml:space="preserve"> tout en garantissant</w:t>
      </w:r>
      <w:r w:rsidR="00B31314" w:rsidRPr="00BD22C2">
        <w:rPr>
          <w:lang w:val="fr-CA"/>
        </w:rPr>
        <w:t xml:space="preserve"> les droits et</w:t>
      </w:r>
      <w:r w:rsidR="00A37AD1" w:rsidRPr="00BD22C2">
        <w:rPr>
          <w:lang w:val="fr-CA"/>
        </w:rPr>
        <w:t xml:space="preserve"> la sécurité d’autrui</w:t>
      </w:r>
      <w:r w:rsidR="00A37AD1" w:rsidRPr="00BD22C2">
        <w:rPr>
          <w:rStyle w:val="Appeldenotedefin"/>
          <w:lang w:val="fr-CA"/>
        </w:rPr>
        <w:endnoteReference w:id="432"/>
      </w:r>
      <w:r w:rsidR="00A37AD1" w:rsidRPr="00BD22C2">
        <w:rPr>
          <w:lang w:val="fr-CA"/>
        </w:rPr>
        <w:t>.</w:t>
      </w:r>
    </w:p>
    <w:p w14:paraId="04917F8A" w14:textId="0EA2E82B" w:rsidR="001565E3" w:rsidRPr="00BD22C2" w:rsidRDefault="00B955EE" w:rsidP="001E26FD">
      <w:pPr>
        <w:pStyle w:val="Paragraphe"/>
        <w:rPr>
          <w:lang w:val="fr-CA"/>
        </w:rPr>
      </w:pPr>
      <w:r w:rsidRPr="00BD22C2">
        <w:rPr>
          <w:lang w:val="fr-CA"/>
        </w:rPr>
        <w:lastRenderedPageBreak/>
        <w:t xml:space="preserve">Dans l’affaire </w:t>
      </w:r>
      <w:r w:rsidRPr="00BD22C2">
        <w:rPr>
          <w:i/>
          <w:iCs/>
          <w:lang w:val="fr-CA"/>
        </w:rPr>
        <w:t xml:space="preserve">R. </w:t>
      </w:r>
      <w:r w:rsidRPr="00BD22C2">
        <w:rPr>
          <w:lang w:val="fr-CA"/>
        </w:rPr>
        <w:t>v.</w:t>
      </w:r>
      <w:r w:rsidRPr="00BD22C2">
        <w:rPr>
          <w:i/>
          <w:iCs/>
          <w:lang w:val="fr-CA"/>
        </w:rPr>
        <w:t xml:space="preserve"> HF</w:t>
      </w:r>
      <w:r w:rsidRPr="00BD22C2">
        <w:rPr>
          <w:lang w:val="fr-CA"/>
        </w:rPr>
        <w:t xml:space="preserve">, </w:t>
      </w:r>
      <w:r w:rsidR="00B83709" w:rsidRPr="00BD22C2">
        <w:rPr>
          <w:lang w:val="fr-CA"/>
        </w:rPr>
        <w:t xml:space="preserve">la Cour provinciale de l’Alberta </w:t>
      </w:r>
      <w:r w:rsidR="00892B53" w:rsidRPr="00BD22C2">
        <w:rPr>
          <w:lang w:val="fr-CA"/>
        </w:rPr>
        <w:t xml:space="preserve">a </w:t>
      </w:r>
      <w:r w:rsidR="00B836FA" w:rsidRPr="00BD22C2">
        <w:rPr>
          <w:lang w:val="fr-CA"/>
        </w:rPr>
        <w:t xml:space="preserve">aussi </w:t>
      </w:r>
      <w:r w:rsidR="00892B53" w:rsidRPr="00BD22C2">
        <w:rPr>
          <w:lang w:val="fr-CA"/>
        </w:rPr>
        <w:t>pris</w:t>
      </w:r>
      <w:r w:rsidR="003D0DDC" w:rsidRPr="00BD22C2">
        <w:rPr>
          <w:lang w:val="fr-CA"/>
        </w:rPr>
        <w:t xml:space="preserve"> en compte les difficultés plus grande</w:t>
      </w:r>
      <w:r w:rsidR="00EC2F2E" w:rsidRPr="00BD22C2">
        <w:rPr>
          <w:lang w:val="fr-CA"/>
        </w:rPr>
        <w:t>s</w:t>
      </w:r>
      <w:r w:rsidR="00164F59" w:rsidRPr="00BD22C2">
        <w:rPr>
          <w:lang w:val="fr-CA"/>
        </w:rPr>
        <w:t xml:space="preserve"> qui seraient </w:t>
      </w:r>
      <w:r w:rsidR="002961EE" w:rsidRPr="00BD22C2">
        <w:rPr>
          <w:lang w:val="fr-CA"/>
        </w:rPr>
        <w:t xml:space="preserve">infligées à HF </w:t>
      </w:r>
      <w:r w:rsidR="00164F59" w:rsidRPr="00BD22C2">
        <w:rPr>
          <w:lang w:val="fr-CA"/>
        </w:rPr>
        <w:t xml:space="preserve">en détention </w:t>
      </w:r>
      <w:r w:rsidR="002961EE" w:rsidRPr="00BD22C2">
        <w:rPr>
          <w:lang w:val="fr-CA"/>
        </w:rPr>
        <w:t>en raison de sa situation de genre</w:t>
      </w:r>
      <w:r w:rsidR="00164F59" w:rsidRPr="00BD22C2">
        <w:rPr>
          <w:lang w:val="fr-CA"/>
        </w:rPr>
        <w:t xml:space="preserve"> dans le cadre de la détermination de sa peine.</w:t>
      </w:r>
      <w:r w:rsidR="00F345F6" w:rsidRPr="00BD22C2">
        <w:rPr>
          <w:lang w:val="fr-CA"/>
        </w:rPr>
        <w:t xml:space="preserve"> </w:t>
      </w:r>
      <w:r w:rsidR="00751D39" w:rsidRPr="00BD22C2">
        <w:rPr>
          <w:lang w:val="fr-CA"/>
        </w:rPr>
        <w:t xml:space="preserve">Ce faisant, la Cour retient </w:t>
      </w:r>
      <w:r w:rsidR="001E586D" w:rsidRPr="00BD22C2">
        <w:rPr>
          <w:lang w:val="fr-CA"/>
        </w:rPr>
        <w:t>entre autres</w:t>
      </w:r>
      <w:r w:rsidR="00751D39" w:rsidRPr="00BD22C2">
        <w:rPr>
          <w:lang w:val="fr-CA"/>
        </w:rPr>
        <w:t xml:space="preserve"> ce qui suit de la preuve qui lui est présentée</w:t>
      </w:r>
      <w:r w:rsidR="00F345F6" w:rsidRPr="00BD22C2">
        <w:rPr>
          <w:lang w:val="fr-CA"/>
        </w:rPr>
        <w:t xml:space="preserve"> : </w:t>
      </w:r>
    </w:p>
    <w:p w14:paraId="4DD4D6F8" w14:textId="6128FAF9" w:rsidR="00F345F6" w:rsidRPr="00E16C03" w:rsidRDefault="000A7638" w:rsidP="0020482F">
      <w:pPr>
        <w:pStyle w:val="Citation"/>
        <w:rPr>
          <w:lang w:val="en-CA"/>
        </w:rPr>
      </w:pPr>
      <w:r w:rsidRPr="00E16C03">
        <w:rPr>
          <w:lang w:val="en-CA"/>
        </w:rPr>
        <w:t>«</w:t>
      </w:r>
      <w:r w:rsidR="00BE16E2" w:rsidRPr="00E16C03">
        <w:rPr>
          <w:lang w:val="en-CA"/>
        </w:rPr>
        <w:t> </w:t>
      </w:r>
      <w:r w:rsidR="003975F6" w:rsidRPr="00E16C03">
        <w:rPr>
          <w:lang w:val="en-CA"/>
        </w:rPr>
        <w:t>It is not the fact that she is</w:t>
      </w:r>
      <w:r w:rsidR="002F276B" w:rsidRPr="00E16C03">
        <w:rPr>
          <w:lang w:val="en-CA"/>
        </w:rPr>
        <w:t xml:space="preserve"> transgender</w:t>
      </w:r>
      <w:r w:rsidR="003975F6" w:rsidRPr="00E16C03">
        <w:rPr>
          <w:lang w:val="en-CA"/>
        </w:rPr>
        <w:t> that gives her some entitlement to special consideration in sentencing, it is the fact that her gender condition places her in administrative segregation and the consequences of that are to be considered with respect to sentencing. Neither is this a matter of choice. She cannot be required to choose entry into male or female general population that would force her to deny her circumstance and essentially say “too bad for you that you have to suffer greater penal hardship than if you were in general population”.</w:t>
      </w:r>
      <w:r w:rsidR="00BE16E2" w:rsidRPr="00E16C03">
        <w:rPr>
          <w:lang w:val="en-CA"/>
        </w:rPr>
        <w:t> </w:t>
      </w:r>
      <w:r w:rsidRPr="00E16C03">
        <w:rPr>
          <w:lang w:val="en-CA"/>
        </w:rPr>
        <w:t>»</w:t>
      </w:r>
      <w:r w:rsidRPr="00BD22C2">
        <w:rPr>
          <w:rStyle w:val="Appeldenotedefin"/>
        </w:rPr>
        <w:endnoteReference w:id="433"/>
      </w:r>
    </w:p>
    <w:p w14:paraId="6053DBF1" w14:textId="4DB61F61" w:rsidR="00AA7AB8" w:rsidRPr="00BD22C2" w:rsidRDefault="002E7438" w:rsidP="001E26FD">
      <w:pPr>
        <w:pStyle w:val="Paragraphe"/>
        <w:rPr>
          <w:lang w:val="fr-CA"/>
        </w:rPr>
      </w:pPr>
      <w:r w:rsidRPr="00BD22C2">
        <w:rPr>
          <w:lang w:val="fr-CA"/>
        </w:rPr>
        <w:t xml:space="preserve">Différentes modifications législatives </w:t>
      </w:r>
      <w:r w:rsidR="001E586D" w:rsidRPr="00BD22C2">
        <w:rPr>
          <w:lang w:val="fr-CA"/>
        </w:rPr>
        <w:t>ont été mises en œuvre</w:t>
      </w:r>
      <w:r w:rsidRPr="00BD22C2">
        <w:rPr>
          <w:lang w:val="fr-CA"/>
        </w:rPr>
        <w:t xml:space="preserve"> </w:t>
      </w:r>
      <w:r w:rsidR="00892B53" w:rsidRPr="00BD22C2">
        <w:rPr>
          <w:lang w:val="fr-CA"/>
        </w:rPr>
        <w:t>depuis</w:t>
      </w:r>
      <w:r w:rsidRPr="00BD22C2">
        <w:rPr>
          <w:lang w:val="fr-CA"/>
        </w:rPr>
        <w:t xml:space="preserve"> et un nombre croissant d’</w:t>
      </w:r>
      <w:r w:rsidR="0065490C" w:rsidRPr="00BD22C2">
        <w:rPr>
          <w:lang w:val="fr-CA"/>
        </w:rPr>
        <w:t xml:space="preserve">établissements correctionnels </w:t>
      </w:r>
      <w:r w:rsidR="003F1537" w:rsidRPr="00BD22C2">
        <w:rPr>
          <w:lang w:val="fr-CA"/>
        </w:rPr>
        <w:t xml:space="preserve">fédéraux </w:t>
      </w:r>
      <w:r w:rsidR="0065490C" w:rsidRPr="00BD22C2">
        <w:rPr>
          <w:lang w:val="fr-CA"/>
        </w:rPr>
        <w:t xml:space="preserve">ont </w:t>
      </w:r>
      <w:r w:rsidR="000C4E52" w:rsidRPr="00BD22C2">
        <w:rPr>
          <w:lang w:val="fr-CA"/>
        </w:rPr>
        <w:t>chang</w:t>
      </w:r>
      <w:r w:rsidR="00101EE1" w:rsidRPr="00BD22C2">
        <w:rPr>
          <w:lang w:val="fr-CA"/>
        </w:rPr>
        <w:t>é</w:t>
      </w:r>
      <w:r w:rsidR="0065490C" w:rsidRPr="00BD22C2">
        <w:rPr>
          <w:lang w:val="fr-CA"/>
        </w:rPr>
        <w:t xml:space="preserve"> leurs pratiques</w:t>
      </w:r>
      <w:r w:rsidR="0095470A" w:rsidRPr="00BD22C2">
        <w:rPr>
          <w:lang w:val="fr-CA"/>
        </w:rPr>
        <w:t xml:space="preserve"> à la suite de</w:t>
      </w:r>
      <w:r w:rsidR="00D81662" w:rsidRPr="00BD22C2">
        <w:rPr>
          <w:lang w:val="fr-CA"/>
        </w:rPr>
        <w:t xml:space="preserve"> modifications aux politiques de Service correctionnel Canada</w:t>
      </w:r>
      <w:bookmarkStart w:id="176" w:name="_Ref166856343"/>
      <w:r w:rsidR="00B348A2" w:rsidRPr="00BD22C2">
        <w:rPr>
          <w:rStyle w:val="Appeldenotedefin"/>
          <w:lang w:val="fr-CA"/>
        </w:rPr>
        <w:endnoteReference w:id="434"/>
      </w:r>
      <w:bookmarkEnd w:id="176"/>
      <w:r w:rsidR="00F35C52" w:rsidRPr="00BD22C2">
        <w:rPr>
          <w:lang w:val="fr-CA"/>
        </w:rPr>
        <w:t>, notamment avec la collaboration de la Commission canadienne des droits de la personne</w:t>
      </w:r>
      <w:r w:rsidR="00F35C52" w:rsidRPr="00BD22C2">
        <w:rPr>
          <w:rStyle w:val="Appeldenotedefin"/>
          <w:lang w:val="fr-CA"/>
        </w:rPr>
        <w:endnoteReference w:id="435"/>
      </w:r>
      <w:r w:rsidR="0065490C" w:rsidRPr="00BD22C2">
        <w:rPr>
          <w:lang w:val="fr-CA"/>
        </w:rPr>
        <w:t>.</w:t>
      </w:r>
      <w:r w:rsidR="0060204B" w:rsidRPr="00BD22C2">
        <w:rPr>
          <w:lang w:val="fr-CA"/>
        </w:rPr>
        <w:t xml:space="preserve"> La directive en vigueur depuis mai 2022 </w:t>
      </w:r>
      <w:r w:rsidR="00D146E2" w:rsidRPr="00BD22C2">
        <w:rPr>
          <w:lang w:val="fr-CA"/>
        </w:rPr>
        <w:t xml:space="preserve">vise </w:t>
      </w:r>
      <w:r w:rsidR="0036542B" w:rsidRPr="00BD22C2">
        <w:rPr>
          <w:lang w:val="fr-CA"/>
        </w:rPr>
        <w:t>«</w:t>
      </w:r>
      <w:r w:rsidR="00444FEB">
        <w:rPr>
          <w:lang w:val="fr-CA"/>
        </w:rPr>
        <w:t> </w:t>
      </w:r>
      <w:r w:rsidR="006C1CE9" w:rsidRPr="00BD22C2">
        <w:rPr>
          <w:lang w:val="fr-CA"/>
        </w:rPr>
        <w:t>à répondre aux besoins des délinquants de diverses identités de genre</w:t>
      </w:r>
      <w:r w:rsidR="00874EFC" w:rsidRPr="00BD22C2">
        <w:rPr>
          <w:lang w:val="fr-CA"/>
        </w:rPr>
        <w:t xml:space="preserve"> […]</w:t>
      </w:r>
      <w:r w:rsidR="0036542B" w:rsidRPr="00BD22C2">
        <w:rPr>
          <w:lang w:val="fr-CA"/>
        </w:rPr>
        <w:t>, en respectant</w:t>
      </w:r>
      <w:r w:rsidR="00D146E2" w:rsidRPr="00BD22C2" w:rsidDel="0036542B">
        <w:rPr>
          <w:lang w:val="fr-CA"/>
        </w:rPr>
        <w:t xml:space="preserve"> </w:t>
      </w:r>
      <w:r w:rsidR="00D146E2" w:rsidRPr="00BD22C2">
        <w:rPr>
          <w:lang w:val="fr-CA"/>
        </w:rPr>
        <w:t>leurs droits</w:t>
      </w:r>
      <w:r w:rsidR="00C44ACE" w:rsidRPr="00BD22C2">
        <w:rPr>
          <w:lang w:val="fr-CA"/>
        </w:rPr>
        <w:t xml:space="preserve"> de la personne, tout en assurant l</w:t>
      </w:r>
      <w:r w:rsidR="00295A46" w:rsidRPr="00BD22C2">
        <w:rPr>
          <w:lang w:val="fr-CA"/>
        </w:rPr>
        <w:t>eur</w:t>
      </w:r>
      <w:r w:rsidR="00C44ACE" w:rsidRPr="00BD22C2">
        <w:rPr>
          <w:lang w:val="fr-CA"/>
        </w:rPr>
        <w:t xml:space="preserve"> sécurité et leur dignité, mais aussi la sécurité d’autrui dans les établissements </w:t>
      </w:r>
      <w:r w:rsidR="00AF1BE8" w:rsidRPr="00BD22C2">
        <w:rPr>
          <w:lang w:val="fr-CA"/>
        </w:rPr>
        <w:t>et dans la collectivité</w:t>
      </w:r>
      <w:r w:rsidR="00444FEB">
        <w:rPr>
          <w:lang w:val="fr-CA"/>
        </w:rPr>
        <w:t> </w:t>
      </w:r>
      <w:r w:rsidR="00EC46A5" w:rsidRPr="00BD22C2">
        <w:rPr>
          <w:lang w:val="fr-CA"/>
        </w:rPr>
        <w:t>»</w:t>
      </w:r>
      <w:r w:rsidR="00AF1BE8" w:rsidRPr="00BD22C2">
        <w:rPr>
          <w:rStyle w:val="Appeldenotedefin"/>
          <w:lang w:val="fr-CA"/>
        </w:rPr>
        <w:endnoteReference w:id="436"/>
      </w:r>
      <w:r w:rsidR="00AF1BE8" w:rsidRPr="00BD22C2">
        <w:rPr>
          <w:lang w:val="fr-CA"/>
        </w:rPr>
        <w:t>.</w:t>
      </w:r>
      <w:r w:rsidR="00C72304" w:rsidRPr="00BD22C2">
        <w:rPr>
          <w:lang w:val="fr-CA"/>
        </w:rPr>
        <w:t xml:space="preserve"> </w:t>
      </w:r>
      <w:r w:rsidR="00C000AC" w:rsidRPr="00BD22C2">
        <w:rPr>
          <w:lang w:val="fr-CA"/>
        </w:rPr>
        <w:t>Cette directive traduit en outre</w:t>
      </w:r>
      <w:r w:rsidR="00C21849" w:rsidRPr="00BD22C2">
        <w:rPr>
          <w:lang w:val="fr-CA"/>
        </w:rPr>
        <w:t xml:space="preserve"> </w:t>
      </w:r>
      <w:r w:rsidR="00C000AC" w:rsidRPr="00BD22C2">
        <w:rPr>
          <w:lang w:val="fr-CA"/>
        </w:rPr>
        <w:t>l’importance d’adopter une approche</w:t>
      </w:r>
      <w:r w:rsidR="000D516E" w:rsidRPr="00BD22C2">
        <w:rPr>
          <w:lang w:val="fr-CA"/>
        </w:rPr>
        <w:t xml:space="preserve"> fondée sur des protocoles</w:t>
      </w:r>
      <w:r w:rsidR="00487451" w:rsidRPr="00BD22C2">
        <w:rPr>
          <w:lang w:val="fr-CA"/>
        </w:rPr>
        <w:t xml:space="preserve"> individualisé</w:t>
      </w:r>
      <w:r w:rsidR="000D516E" w:rsidRPr="00BD22C2">
        <w:rPr>
          <w:lang w:val="fr-CA"/>
        </w:rPr>
        <w:t>s</w:t>
      </w:r>
      <w:r w:rsidR="00487451" w:rsidRPr="00BD22C2">
        <w:rPr>
          <w:lang w:val="fr-CA"/>
        </w:rPr>
        <w:t>,</w:t>
      </w:r>
      <w:r w:rsidR="003503E5" w:rsidRPr="00BD22C2">
        <w:rPr>
          <w:lang w:val="fr-CA"/>
        </w:rPr>
        <w:t xml:space="preserve"> où les mesures sont définies</w:t>
      </w:r>
      <w:r w:rsidR="004A43ED" w:rsidRPr="00BD22C2">
        <w:rPr>
          <w:lang w:val="fr-CA"/>
        </w:rPr>
        <w:t xml:space="preserve"> et mises à jour</w:t>
      </w:r>
      <w:r w:rsidR="00C000AC" w:rsidRPr="00BD22C2">
        <w:rPr>
          <w:lang w:val="fr-CA"/>
        </w:rPr>
        <w:t xml:space="preserve"> </w:t>
      </w:r>
      <w:r w:rsidR="008705D2" w:rsidRPr="00BD22C2">
        <w:rPr>
          <w:lang w:val="fr-CA"/>
        </w:rPr>
        <w:t xml:space="preserve">en collaboration avec </w:t>
      </w:r>
      <w:r w:rsidR="000D52C8" w:rsidRPr="00BD22C2">
        <w:rPr>
          <w:lang w:val="fr-CA"/>
        </w:rPr>
        <w:t>la personne détenue qui en fait la demande</w:t>
      </w:r>
      <w:r w:rsidR="009132DF" w:rsidRPr="00BD22C2">
        <w:rPr>
          <w:lang w:val="fr-CA"/>
        </w:rPr>
        <w:t xml:space="preserve">, </w:t>
      </w:r>
      <w:r w:rsidR="00181BC0" w:rsidRPr="00BD22C2">
        <w:rPr>
          <w:lang w:val="fr-CA"/>
        </w:rPr>
        <w:t xml:space="preserve">incluant </w:t>
      </w:r>
      <w:r w:rsidR="00DB721C" w:rsidRPr="00BD22C2">
        <w:rPr>
          <w:lang w:val="fr-CA"/>
        </w:rPr>
        <w:t xml:space="preserve">en tenant compte </w:t>
      </w:r>
      <w:r w:rsidR="00101EE1" w:rsidRPr="00BD22C2">
        <w:rPr>
          <w:lang w:val="fr-CA"/>
        </w:rPr>
        <w:t>d</w:t>
      </w:r>
      <w:r w:rsidR="00DB721C" w:rsidRPr="00BD22C2">
        <w:rPr>
          <w:lang w:val="fr-CA"/>
        </w:rPr>
        <w:t xml:space="preserve">es besoins </w:t>
      </w:r>
      <w:r w:rsidR="009A4CAD" w:rsidRPr="00BD22C2">
        <w:rPr>
          <w:lang w:val="fr-CA"/>
        </w:rPr>
        <w:t>qu’elle identifie</w:t>
      </w:r>
      <w:r w:rsidR="009132DF" w:rsidRPr="00BD22C2">
        <w:rPr>
          <w:lang w:val="fr-CA"/>
        </w:rPr>
        <w:t xml:space="preserve">. Ces mesures dites d’adaptation </w:t>
      </w:r>
      <w:r w:rsidR="0084111E" w:rsidRPr="00BD22C2">
        <w:rPr>
          <w:lang w:val="fr-CA"/>
        </w:rPr>
        <w:t xml:space="preserve">visent, par exemple, </w:t>
      </w:r>
      <w:r w:rsidR="00F03E19" w:rsidRPr="00BD22C2">
        <w:rPr>
          <w:lang w:val="fr-CA"/>
        </w:rPr>
        <w:t xml:space="preserve">l’identité de la personne détenue et </w:t>
      </w:r>
      <w:r w:rsidR="00D764E5" w:rsidRPr="00BD22C2">
        <w:rPr>
          <w:lang w:val="fr-CA"/>
        </w:rPr>
        <w:t>l</w:t>
      </w:r>
      <w:r w:rsidR="00F9246B" w:rsidRPr="00BD22C2">
        <w:rPr>
          <w:lang w:val="fr-CA"/>
        </w:rPr>
        <w:t>es pronoms</w:t>
      </w:r>
      <w:r w:rsidR="00295A46" w:rsidRPr="00BD22C2">
        <w:rPr>
          <w:lang w:val="fr-CA"/>
        </w:rPr>
        <w:t xml:space="preserve"> choisis</w:t>
      </w:r>
      <w:r w:rsidR="00F9246B" w:rsidRPr="00BD22C2">
        <w:rPr>
          <w:lang w:val="fr-CA"/>
        </w:rPr>
        <w:t xml:space="preserve">, </w:t>
      </w:r>
      <w:r w:rsidR="00D764E5" w:rsidRPr="00BD22C2">
        <w:rPr>
          <w:lang w:val="fr-CA"/>
        </w:rPr>
        <w:t>l</w:t>
      </w:r>
      <w:r w:rsidR="00841DB9" w:rsidRPr="00BD22C2">
        <w:rPr>
          <w:lang w:val="fr-CA"/>
        </w:rPr>
        <w:t>es conditions de vie</w:t>
      </w:r>
      <w:r w:rsidR="00D764E5" w:rsidRPr="00BD22C2">
        <w:rPr>
          <w:lang w:val="fr-CA"/>
        </w:rPr>
        <w:t xml:space="preserve"> tel</w:t>
      </w:r>
      <w:r w:rsidR="000D2E60" w:rsidRPr="00BD22C2">
        <w:rPr>
          <w:lang w:val="fr-CA"/>
        </w:rPr>
        <w:t>le</w:t>
      </w:r>
      <w:r w:rsidR="00D764E5" w:rsidRPr="00BD22C2">
        <w:rPr>
          <w:lang w:val="fr-CA"/>
        </w:rPr>
        <w:t xml:space="preserve">s </w:t>
      </w:r>
      <w:r w:rsidR="00A15C68" w:rsidRPr="00BD22C2">
        <w:rPr>
          <w:lang w:val="fr-CA"/>
        </w:rPr>
        <w:t>que l’accès à des douches ou des toilettes privées</w:t>
      </w:r>
      <w:r w:rsidR="005258B4" w:rsidRPr="00BD22C2">
        <w:rPr>
          <w:lang w:val="fr-CA"/>
        </w:rPr>
        <w:t xml:space="preserve">, </w:t>
      </w:r>
      <w:r w:rsidR="00A15C68" w:rsidRPr="00BD22C2">
        <w:rPr>
          <w:lang w:val="fr-CA"/>
        </w:rPr>
        <w:t>l</w:t>
      </w:r>
      <w:r w:rsidR="005258B4" w:rsidRPr="00BD22C2">
        <w:rPr>
          <w:lang w:val="fr-CA"/>
        </w:rPr>
        <w:t>a participation aux programmes</w:t>
      </w:r>
      <w:r w:rsidR="006D32B0" w:rsidRPr="00BD22C2">
        <w:rPr>
          <w:lang w:val="fr-CA"/>
        </w:rPr>
        <w:t xml:space="preserve">, </w:t>
      </w:r>
      <w:r w:rsidR="00A15C68" w:rsidRPr="00BD22C2">
        <w:rPr>
          <w:lang w:val="fr-CA"/>
        </w:rPr>
        <w:t>l</w:t>
      </w:r>
      <w:r w:rsidR="006D32B0" w:rsidRPr="00BD22C2">
        <w:rPr>
          <w:lang w:val="fr-CA"/>
        </w:rPr>
        <w:t>a participation aux cérémoni</w:t>
      </w:r>
      <w:r w:rsidR="0021236E" w:rsidRPr="00BD22C2">
        <w:rPr>
          <w:lang w:val="fr-CA"/>
        </w:rPr>
        <w:t>es spirituelles en consultation avec un Aîné ou un conseillé spirituel, les demandes de transfèrement vers d’autres établissement</w:t>
      </w:r>
      <w:r w:rsidR="00A15C68" w:rsidRPr="00BD22C2">
        <w:rPr>
          <w:lang w:val="fr-CA"/>
        </w:rPr>
        <w:t>s</w:t>
      </w:r>
      <w:r w:rsidR="00F4118E" w:rsidRPr="00BD22C2">
        <w:rPr>
          <w:lang w:val="fr-CA"/>
        </w:rPr>
        <w:t>, la préférence con</w:t>
      </w:r>
      <w:r w:rsidR="00725667" w:rsidRPr="00BD22C2">
        <w:rPr>
          <w:lang w:val="fr-CA"/>
        </w:rPr>
        <w:t>cernant l’interaction avec les membres du personnel de sexe masculin ou féminin</w:t>
      </w:r>
      <w:r w:rsidR="001B2583" w:rsidRPr="00BD22C2">
        <w:rPr>
          <w:lang w:val="fr-CA"/>
        </w:rPr>
        <w:t xml:space="preserve"> par exemple lors de </w:t>
      </w:r>
      <w:r w:rsidR="00725667" w:rsidRPr="00BD22C2">
        <w:rPr>
          <w:lang w:val="fr-CA"/>
        </w:rPr>
        <w:t>fouilles</w:t>
      </w:r>
      <w:r w:rsidR="00C146C9" w:rsidRPr="00BD22C2">
        <w:rPr>
          <w:lang w:val="fr-CA"/>
        </w:rPr>
        <w:t>, etc.</w:t>
      </w:r>
      <w:r w:rsidR="0038344D" w:rsidRPr="00BD22C2">
        <w:rPr>
          <w:rStyle w:val="Appeldenotedefin"/>
          <w:lang w:val="fr-CA"/>
        </w:rPr>
        <w:endnoteReference w:id="437"/>
      </w:r>
      <w:r w:rsidR="00105485" w:rsidRPr="00BD22C2">
        <w:rPr>
          <w:lang w:val="fr-CA"/>
        </w:rPr>
        <w:t xml:space="preserve"> Notons qu</w:t>
      </w:r>
      <w:r w:rsidR="00BE23FF" w:rsidRPr="00BD22C2">
        <w:rPr>
          <w:lang w:val="fr-CA"/>
        </w:rPr>
        <w:t xml:space="preserve">’à l’instar de la limite relative à la </w:t>
      </w:r>
      <w:r w:rsidR="00BC3F96" w:rsidRPr="00BD22C2">
        <w:rPr>
          <w:lang w:val="fr-CA"/>
        </w:rPr>
        <w:t>contrainte excessive</w:t>
      </w:r>
      <w:r w:rsidR="00BE23FF" w:rsidRPr="00BD22C2">
        <w:rPr>
          <w:lang w:val="fr-CA"/>
        </w:rPr>
        <w:t xml:space="preserve"> </w:t>
      </w:r>
      <w:r w:rsidR="0078683C" w:rsidRPr="00BD22C2">
        <w:rPr>
          <w:lang w:val="fr-CA"/>
        </w:rPr>
        <w:t xml:space="preserve">présentée précédemment, de telles mesures d’adaptation </w:t>
      </w:r>
      <w:r w:rsidR="002E43D2" w:rsidRPr="00BD22C2">
        <w:rPr>
          <w:lang w:val="fr-CA"/>
        </w:rPr>
        <w:t xml:space="preserve">ne </w:t>
      </w:r>
      <w:r w:rsidR="00A170E8" w:rsidRPr="00BD22C2">
        <w:rPr>
          <w:lang w:val="fr-CA"/>
        </w:rPr>
        <w:t>pourront</w:t>
      </w:r>
      <w:r w:rsidR="00AA7AB8" w:rsidRPr="00BD22C2">
        <w:rPr>
          <w:lang w:val="fr-CA"/>
        </w:rPr>
        <w:t xml:space="preserve"> cependant</w:t>
      </w:r>
      <w:r w:rsidR="00A170E8" w:rsidRPr="00BD22C2">
        <w:rPr>
          <w:lang w:val="fr-CA"/>
        </w:rPr>
        <w:t xml:space="preserve"> être</w:t>
      </w:r>
      <w:r w:rsidR="002E43D2" w:rsidRPr="00BD22C2">
        <w:rPr>
          <w:lang w:val="fr-CA"/>
        </w:rPr>
        <w:t xml:space="preserve"> mises en œuvre si </w:t>
      </w:r>
      <w:r w:rsidR="008C6226" w:rsidRPr="00BD22C2">
        <w:rPr>
          <w:lang w:val="fr-CA"/>
        </w:rPr>
        <w:t xml:space="preserve">des </w:t>
      </w:r>
      <w:r w:rsidR="009F216C" w:rsidRPr="00BD22C2">
        <w:rPr>
          <w:lang w:val="fr-CA"/>
        </w:rPr>
        <w:t>«</w:t>
      </w:r>
      <w:r w:rsidR="0051216B" w:rsidRPr="00BD22C2">
        <w:rPr>
          <w:lang w:val="fr-CA"/>
        </w:rPr>
        <w:t> </w:t>
      </w:r>
      <w:r w:rsidR="00701209" w:rsidRPr="00BD22C2">
        <w:rPr>
          <w:lang w:val="fr-CA"/>
        </w:rPr>
        <w:t>préoccupations dominantes en matière de santé et de sécurité</w:t>
      </w:r>
      <w:r w:rsidR="0051216B" w:rsidRPr="00BD22C2">
        <w:rPr>
          <w:lang w:val="fr-CA"/>
        </w:rPr>
        <w:t> </w:t>
      </w:r>
      <w:r w:rsidR="009F216C" w:rsidRPr="00BD22C2">
        <w:rPr>
          <w:lang w:val="fr-CA"/>
        </w:rPr>
        <w:t>»</w:t>
      </w:r>
      <w:r w:rsidR="00492980" w:rsidRPr="00BD22C2">
        <w:rPr>
          <w:lang w:val="fr-CA"/>
        </w:rPr>
        <w:t xml:space="preserve"> </w:t>
      </w:r>
      <w:r w:rsidR="002E43D2" w:rsidRPr="00BD22C2">
        <w:rPr>
          <w:lang w:val="fr-CA"/>
        </w:rPr>
        <w:t>l’empêche</w:t>
      </w:r>
      <w:r w:rsidR="00CF7118" w:rsidRPr="00BD22C2">
        <w:rPr>
          <w:rStyle w:val="Appeldenotedefin"/>
          <w:lang w:val="fr-CA"/>
        </w:rPr>
        <w:endnoteReference w:id="438"/>
      </w:r>
      <w:r w:rsidR="00701209" w:rsidRPr="00BD22C2">
        <w:rPr>
          <w:lang w:val="fr-CA"/>
        </w:rPr>
        <w:t>.</w:t>
      </w:r>
      <w:r w:rsidR="00B45406" w:rsidRPr="00BD22C2">
        <w:rPr>
          <w:lang w:val="fr-CA"/>
        </w:rPr>
        <w:t xml:space="preserve"> </w:t>
      </w:r>
    </w:p>
    <w:p w14:paraId="2B9D2F4A" w14:textId="33D1987B" w:rsidR="00F25A2C" w:rsidRPr="00BD22C2" w:rsidRDefault="00B45406" w:rsidP="001E26FD">
      <w:pPr>
        <w:pStyle w:val="Paragraphe"/>
        <w:rPr>
          <w:lang w:val="fr-CA"/>
        </w:rPr>
      </w:pPr>
      <w:r w:rsidRPr="00BD22C2">
        <w:rPr>
          <w:lang w:val="fr-CA"/>
        </w:rPr>
        <w:t>Une telle évaluation au cas par cas</w:t>
      </w:r>
      <w:r w:rsidR="004B1464" w:rsidRPr="00BD22C2">
        <w:rPr>
          <w:lang w:val="fr-CA"/>
        </w:rPr>
        <w:t xml:space="preserve"> </w:t>
      </w:r>
      <w:r w:rsidR="00706BE9" w:rsidRPr="00BD22C2">
        <w:rPr>
          <w:lang w:val="fr-CA"/>
        </w:rPr>
        <w:t>portant sur</w:t>
      </w:r>
      <w:r w:rsidR="00354809" w:rsidRPr="00BD22C2">
        <w:rPr>
          <w:lang w:val="fr-CA"/>
        </w:rPr>
        <w:t xml:space="preserve"> les droits</w:t>
      </w:r>
      <w:r w:rsidR="00831BB8" w:rsidRPr="00BD22C2">
        <w:rPr>
          <w:lang w:val="fr-CA"/>
        </w:rPr>
        <w:t xml:space="preserve"> des personnes trans, mais aussi sur les droits d’autrui lorsque des</w:t>
      </w:r>
      <w:r w:rsidR="00706BE9" w:rsidRPr="00BD22C2">
        <w:rPr>
          <w:lang w:val="fr-CA"/>
        </w:rPr>
        <w:t xml:space="preserve"> préoccupations de </w:t>
      </w:r>
      <w:r w:rsidR="00F6151B" w:rsidRPr="00BD22C2">
        <w:rPr>
          <w:lang w:val="fr-CA"/>
        </w:rPr>
        <w:t xml:space="preserve">santé ou de </w:t>
      </w:r>
      <w:r w:rsidR="00706BE9" w:rsidRPr="00BD22C2">
        <w:rPr>
          <w:lang w:val="fr-CA"/>
        </w:rPr>
        <w:t>sécurité</w:t>
      </w:r>
      <w:r w:rsidR="00831BB8" w:rsidRPr="00BD22C2">
        <w:rPr>
          <w:lang w:val="fr-CA"/>
        </w:rPr>
        <w:t xml:space="preserve"> se posent</w:t>
      </w:r>
      <w:r w:rsidR="00565666" w:rsidRPr="00BD22C2">
        <w:rPr>
          <w:lang w:val="fr-CA"/>
        </w:rPr>
        <w:t>,</w:t>
      </w:r>
      <w:r w:rsidR="004777CE" w:rsidRPr="00BD22C2">
        <w:rPr>
          <w:lang w:val="fr-CA"/>
        </w:rPr>
        <w:t xml:space="preserve"> </w:t>
      </w:r>
      <w:r w:rsidR="00F93A07" w:rsidRPr="00BD22C2">
        <w:rPr>
          <w:lang w:val="fr-CA"/>
        </w:rPr>
        <w:t>apparaît</w:t>
      </w:r>
      <w:r w:rsidR="00A47099" w:rsidRPr="00BD22C2">
        <w:rPr>
          <w:lang w:val="fr-CA"/>
        </w:rPr>
        <w:t xml:space="preserve"> </w:t>
      </w:r>
      <w:r w:rsidR="004777CE" w:rsidRPr="00BD22C2">
        <w:rPr>
          <w:lang w:val="fr-CA"/>
        </w:rPr>
        <w:t>la plus susceptible d’être la plus respectu</w:t>
      </w:r>
      <w:r w:rsidR="0013112E" w:rsidRPr="00BD22C2">
        <w:rPr>
          <w:lang w:val="fr-CA"/>
        </w:rPr>
        <w:t>euse de l’ensemble des droits en jeu.</w:t>
      </w:r>
      <w:r w:rsidR="00AA7AB8" w:rsidRPr="00BD22C2">
        <w:rPr>
          <w:lang w:val="fr-CA"/>
        </w:rPr>
        <w:t xml:space="preserve"> </w:t>
      </w:r>
      <w:r w:rsidR="004E5BA3" w:rsidRPr="00BD22C2">
        <w:rPr>
          <w:lang w:val="fr-CA"/>
        </w:rPr>
        <w:t>D</w:t>
      </w:r>
      <w:r w:rsidR="00360E9D" w:rsidRPr="00BD22C2">
        <w:rPr>
          <w:lang w:val="fr-CA"/>
        </w:rPr>
        <w:t>’importants obstacles perdurent</w:t>
      </w:r>
      <w:r w:rsidR="005374D2" w:rsidRPr="00BD22C2">
        <w:rPr>
          <w:lang w:val="fr-CA"/>
        </w:rPr>
        <w:t xml:space="preserve"> pour les personnes trans et non</w:t>
      </w:r>
      <w:r w:rsidR="00F61414" w:rsidRPr="00BD22C2">
        <w:rPr>
          <w:lang w:val="fr-CA"/>
        </w:rPr>
        <w:t xml:space="preserve"> </w:t>
      </w:r>
      <w:r w:rsidR="005374D2" w:rsidRPr="00BD22C2">
        <w:rPr>
          <w:lang w:val="fr-CA"/>
        </w:rPr>
        <w:t>binaires dans l</w:t>
      </w:r>
      <w:r w:rsidR="00836F43" w:rsidRPr="00BD22C2">
        <w:rPr>
          <w:lang w:val="fr-CA"/>
        </w:rPr>
        <w:t>e système correctionnel</w:t>
      </w:r>
      <w:r w:rsidR="00360E9D" w:rsidRPr="00BD22C2">
        <w:rPr>
          <w:rStyle w:val="Appeldenotedefin"/>
          <w:lang w:val="fr-CA"/>
        </w:rPr>
        <w:endnoteReference w:id="439"/>
      </w:r>
      <w:r w:rsidR="002215A4" w:rsidRPr="00BD22C2">
        <w:rPr>
          <w:lang w:val="fr-CA"/>
        </w:rPr>
        <w:t xml:space="preserve"> et on ne peut passer sous silence </w:t>
      </w:r>
      <w:r w:rsidR="00E91016" w:rsidRPr="00BD22C2">
        <w:rPr>
          <w:lang w:val="fr-CA"/>
        </w:rPr>
        <w:t>certains cas controversés</w:t>
      </w:r>
      <w:r w:rsidR="00C8569E" w:rsidRPr="00BD22C2">
        <w:rPr>
          <w:lang w:val="fr-CA"/>
        </w:rPr>
        <w:t xml:space="preserve"> qui ont continu</w:t>
      </w:r>
      <w:r w:rsidR="00894681" w:rsidRPr="00BD22C2">
        <w:rPr>
          <w:lang w:val="fr-CA"/>
        </w:rPr>
        <w:t>é</w:t>
      </w:r>
      <w:r w:rsidR="00C8569E" w:rsidRPr="00BD22C2">
        <w:rPr>
          <w:lang w:val="fr-CA"/>
        </w:rPr>
        <w:t xml:space="preserve"> à faire les </w:t>
      </w:r>
      <w:r w:rsidR="00C8569E" w:rsidRPr="00BD22C2">
        <w:rPr>
          <w:lang w:val="fr-CA"/>
        </w:rPr>
        <w:lastRenderedPageBreak/>
        <w:t>manchettes</w:t>
      </w:r>
      <w:r w:rsidR="002913CD" w:rsidRPr="00BD22C2">
        <w:rPr>
          <w:rStyle w:val="Appeldenotedefin"/>
          <w:lang w:val="fr-CA"/>
        </w:rPr>
        <w:endnoteReference w:id="440"/>
      </w:r>
      <w:r w:rsidR="00732961" w:rsidRPr="00BD22C2">
        <w:rPr>
          <w:lang w:val="fr-CA"/>
        </w:rPr>
        <w:t xml:space="preserve">, mais il importe de </w:t>
      </w:r>
      <w:r w:rsidR="00AD703C" w:rsidRPr="00BD22C2">
        <w:rPr>
          <w:lang w:val="fr-CA"/>
        </w:rPr>
        <w:t>constater</w:t>
      </w:r>
      <w:r w:rsidR="00732961" w:rsidRPr="00BD22C2">
        <w:rPr>
          <w:lang w:val="fr-CA"/>
        </w:rPr>
        <w:t xml:space="preserve"> que </w:t>
      </w:r>
      <w:r w:rsidR="00953FAF" w:rsidRPr="00BD22C2">
        <w:rPr>
          <w:lang w:val="fr-CA"/>
        </w:rPr>
        <w:t xml:space="preserve">le cadre des droits de la personne </w:t>
      </w:r>
      <w:r w:rsidR="00D1711D" w:rsidRPr="00BD22C2">
        <w:rPr>
          <w:lang w:val="fr-CA"/>
        </w:rPr>
        <w:t xml:space="preserve">a </w:t>
      </w:r>
      <w:r w:rsidR="000726DD" w:rsidRPr="00BD22C2">
        <w:rPr>
          <w:lang w:val="fr-CA"/>
        </w:rPr>
        <w:t>per</w:t>
      </w:r>
      <w:r w:rsidR="004543B4" w:rsidRPr="00BD22C2">
        <w:rPr>
          <w:lang w:val="fr-CA"/>
        </w:rPr>
        <w:t>mi</w:t>
      </w:r>
      <w:r w:rsidR="00D1711D" w:rsidRPr="00BD22C2">
        <w:rPr>
          <w:lang w:val="fr-CA"/>
        </w:rPr>
        <w:t>s</w:t>
      </w:r>
      <w:r w:rsidR="004543B4" w:rsidRPr="00BD22C2">
        <w:rPr>
          <w:lang w:val="fr-CA"/>
        </w:rPr>
        <w:t xml:space="preserve"> </w:t>
      </w:r>
      <w:r w:rsidR="00DB33D4" w:rsidRPr="00BD22C2">
        <w:rPr>
          <w:lang w:val="fr-CA"/>
        </w:rPr>
        <w:t>au SCC</w:t>
      </w:r>
      <w:r w:rsidR="004543B4" w:rsidRPr="00BD22C2">
        <w:rPr>
          <w:lang w:val="fr-CA"/>
        </w:rPr>
        <w:t xml:space="preserve"> de confirmer</w:t>
      </w:r>
      <w:r w:rsidR="00DB33D4" w:rsidRPr="00BD22C2">
        <w:rPr>
          <w:lang w:val="fr-CA"/>
        </w:rPr>
        <w:t xml:space="preserve"> et mettre en œuvre</w:t>
      </w:r>
      <w:r w:rsidR="004543B4" w:rsidRPr="00BD22C2">
        <w:rPr>
          <w:lang w:val="fr-CA"/>
        </w:rPr>
        <w:t xml:space="preserve"> les </w:t>
      </w:r>
      <w:r w:rsidR="003B3311" w:rsidRPr="00BD22C2">
        <w:rPr>
          <w:lang w:val="fr-CA"/>
        </w:rPr>
        <w:t>orientations à prendre vers les changements souhaités</w:t>
      </w:r>
      <w:r w:rsidR="00360E9D" w:rsidRPr="00BD22C2">
        <w:rPr>
          <w:lang w:val="fr-CA"/>
        </w:rPr>
        <w:t>.</w:t>
      </w:r>
    </w:p>
    <w:p w14:paraId="7251E98A" w14:textId="1FD70A64" w:rsidR="002C13CC" w:rsidRPr="00BD22C2" w:rsidRDefault="00A76B23" w:rsidP="001E26FD">
      <w:pPr>
        <w:pStyle w:val="Paragraphe"/>
        <w:rPr>
          <w:lang w:val="fr-CA"/>
        </w:rPr>
      </w:pPr>
      <w:r w:rsidRPr="00BD22C2">
        <w:rPr>
          <w:lang w:val="fr-CA"/>
        </w:rPr>
        <w:t xml:space="preserve">Dans le même sens, le cadre juridique de la Charte québécoise exposé précédemment </w:t>
      </w:r>
      <w:r w:rsidR="00BE6945" w:rsidRPr="00BD22C2">
        <w:rPr>
          <w:lang w:val="fr-CA"/>
        </w:rPr>
        <w:t xml:space="preserve">s’impose dans le contexte des prisons </w:t>
      </w:r>
      <w:r w:rsidR="00270551" w:rsidRPr="00BD22C2">
        <w:rPr>
          <w:lang w:val="fr-CA"/>
        </w:rPr>
        <w:t>qui entrent dans le champ de compétences du Québec.</w:t>
      </w:r>
      <w:r w:rsidR="00E4661F" w:rsidRPr="00BD22C2">
        <w:rPr>
          <w:lang w:val="fr-CA"/>
        </w:rPr>
        <w:t xml:space="preserve"> Ce cadre </w:t>
      </w:r>
      <w:r w:rsidR="00755D4D" w:rsidRPr="00BD22C2">
        <w:rPr>
          <w:lang w:val="fr-CA"/>
        </w:rPr>
        <w:t>doit permettre d’assurer les droits des personnes trans et non</w:t>
      </w:r>
      <w:r w:rsidR="00F61414" w:rsidRPr="00BD22C2">
        <w:rPr>
          <w:lang w:val="fr-CA"/>
        </w:rPr>
        <w:t xml:space="preserve"> </w:t>
      </w:r>
      <w:r w:rsidR="00755D4D" w:rsidRPr="00BD22C2">
        <w:rPr>
          <w:lang w:val="fr-CA"/>
        </w:rPr>
        <w:t>binaires qui y sont détenues</w:t>
      </w:r>
      <w:r w:rsidR="00887799" w:rsidRPr="00BD22C2">
        <w:rPr>
          <w:lang w:val="fr-CA"/>
        </w:rPr>
        <w:t>, jusqu’à la limite de la contrainte ex</w:t>
      </w:r>
      <w:r w:rsidR="00B07FEA" w:rsidRPr="00BD22C2">
        <w:rPr>
          <w:lang w:val="fr-CA"/>
        </w:rPr>
        <w:t>cessive</w:t>
      </w:r>
      <w:r w:rsidR="00B67159" w:rsidRPr="00BD22C2">
        <w:rPr>
          <w:lang w:val="fr-CA"/>
        </w:rPr>
        <w:t>,</w:t>
      </w:r>
      <w:r w:rsidR="00757BFA" w:rsidRPr="00BD22C2">
        <w:rPr>
          <w:lang w:val="fr-CA"/>
        </w:rPr>
        <w:t xml:space="preserve"> notamment eu égard aux </w:t>
      </w:r>
      <w:r w:rsidR="00984B54" w:rsidRPr="00BD22C2">
        <w:rPr>
          <w:lang w:val="fr-CA"/>
        </w:rPr>
        <w:t>enjeux</w:t>
      </w:r>
      <w:r w:rsidR="00757BFA" w:rsidRPr="00BD22C2">
        <w:rPr>
          <w:lang w:val="fr-CA"/>
        </w:rPr>
        <w:t xml:space="preserve"> de sécurité qui s’imposent dans de tels contextes. </w:t>
      </w:r>
      <w:r w:rsidR="00AF442A" w:rsidRPr="00BD22C2">
        <w:rPr>
          <w:lang w:val="fr-CA"/>
        </w:rPr>
        <w:t xml:space="preserve">Comme </w:t>
      </w:r>
      <w:r w:rsidR="00652526" w:rsidRPr="00BD22C2">
        <w:rPr>
          <w:lang w:val="fr-CA"/>
        </w:rPr>
        <w:t xml:space="preserve">rappelé dans la </w:t>
      </w:r>
      <w:r w:rsidR="00321E6B" w:rsidRPr="00BD22C2">
        <w:rPr>
          <w:lang w:val="fr-CA"/>
        </w:rPr>
        <w:t>section</w:t>
      </w:r>
      <w:r w:rsidR="005505A6" w:rsidRPr="00BD22C2">
        <w:rPr>
          <w:lang w:val="fr-CA"/>
        </w:rPr>
        <w:t> </w:t>
      </w:r>
      <w:r w:rsidR="00321E6B" w:rsidRPr="00BD22C2">
        <w:rPr>
          <w:lang w:val="fr-CA"/>
        </w:rPr>
        <w:fldChar w:fldCharType="begin"/>
      </w:r>
      <w:r w:rsidR="00321E6B" w:rsidRPr="00BD22C2">
        <w:rPr>
          <w:lang w:val="fr-CA"/>
        </w:rPr>
        <w:instrText xml:space="preserve"> REF _Ref165281643 \r \h  \* MERGEFORMAT </w:instrText>
      </w:r>
      <w:r w:rsidR="00321E6B" w:rsidRPr="00BD22C2">
        <w:rPr>
          <w:lang w:val="fr-CA"/>
        </w:rPr>
      </w:r>
      <w:r w:rsidR="00321E6B" w:rsidRPr="00BD22C2">
        <w:rPr>
          <w:lang w:val="fr-CA"/>
        </w:rPr>
        <w:fldChar w:fldCharType="separate"/>
      </w:r>
      <w:r w:rsidR="00EB3C5E" w:rsidRPr="00BD22C2">
        <w:rPr>
          <w:lang w:val="fr-CA"/>
        </w:rPr>
        <w:t>4</w:t>
      </w:r>
      <w:r w:rsidR="00321E6B" w:rsidRPr="00BD22C2">
        <w:rPr>
          <w:lang w:val="fr-CA"/>
        </w:rPr>
        <w:fldChar w:fldCharType="end"/>
      </w:r>
      <w:r w:rsidR="00652526" w:rsidRPr="00BD22C2">
        <w:rPr>
          <w:lang w:val="fr-CA"/>
        </w:rPr>
        <w:t xml:space="preserve"> du présent mémoire, l’</w:t>
      </w:r>
      <w:r w:rsidR="009F094B" w:rsidRPr="00BD22C2">
        <w:rPr>
          <w:lang w:val="fr-CA"/>
        </w:rPr>
        <w:t xml:space="preserve">évaluation de cette contrainte doit être faite au cas par cas, </w:t>
      </w:r>
      <w:r w:rsidR="007B5737" w:rsidRPr="00BD22C2">
        <w:rPr>
          <w:lang w:val="fr-CA"/>
        </w:rPr>
        <w:t xml:space="preserve">non pas sur la base </w:t>
      </w:r>
      <w:r w:rsidR="00E7707A" w:rsidRPr="00BD22C2">
        <w:rPr>
          <w:lang w:val="fr-CA"/>
        </w:rPr>
        <w:t xml:space="preserve">de </w:t>
      </w:r>
      <w:r w:rsidR="00652183" w:rsidRPr="00BD22C2">
        <w:rPr>
          <w:lang w:val="fr-CA"/>
        </w:rPr>
        <w:t>stéréotypes</w:t>
      </w:r>
      <w:r w:rsidR="00E7707A" w:rsidRPr="00BD22C2">
        <w:rPr>
          <w:lang w:val="fr-CA"/>
        </w:rPr>
        <w:t xml:space="preserve"> ou </w:t>
      </w:r>
      <w:r w:rsidR="00652183" w:rsidRPr="00BD22C2">
        <w:rPr>
          <w:lang w:val="fr-CA"/>
        </w:rPr>
        <w:t>d</w:t>
      </w:r>
      <w:r w:rsidR="00E7707A" w:rsidRPr="00BD22C2">
        <w:rPr>
          <w:lang w:val="fr-CA"/>
        </w:rPr>
        <w:t>’appréhension</w:t>
      </w:r>
      <w:r w:rsidR="00652183" w:rsidRPr="00BD22C2">
        <w:rPr>
          <w:lang w:val="fr-CA"/>
        </w:rPr>
        <w:t>s</w:t>
      </w:r>
      <w:r w:rsidR="00E7707A" w:rsidRPr="00BD22C2">
        <w:rPr>
          <w:lang w:val="fr-CA"/>
        </w:rPr>
        <w:t>, mais</w:t>
      </w:r>
      <w:r w:rsidR="009F094B" w:rsidRPr="00BD22C2">
        <w:rPr>
          <w:lang w:val="fr-CA"/>
        </w:rPr>
        <w:t xml:space="preserve"> en regard des risques réels qu’il présente</w:t>
      </w:r>
      <w:r w:rsidR="00567E46" w:rsidRPr="00BD22C2">
        <w:rPr>
          <w:lang w:val="fr-CA"/>
        </w:rPr>
        <w:t>.</w:t>
      </w:r>
    </w:p>
    <w:p w14:paraId="08493493" w14:textId="578C60A5" w:rsidR="00B41C13" w:rsidRPr="00BD22C2" w:rsidRDefault="00B41C13" w:rsidP="00B41C13">
      <w:pPr>
        <w:pStyle w:val="TitreRecommandation"/>
      </w:pPr>
      <w:r w:rsidRPr="00BD22C2">
        <w:t>recommandation</w:t>
      </w:r>
      <w:r w:rsidR="0091080B">
        <w:t> </w:t>
      </w:r>
      <w:r w:rsidR="00E06101" w:rsidRPr="00BD22C2">
        <w:t>1</w:t>
      </w:r>
      <w:r w:rsidR="0014682B" w:rsidRPr="00BD22C2">
        <w:t>3</w:t>
      </w:r>
    </w:p>
    <w:p w14:paraId="7B729A9B" w14:textId="3B5A11F8" w:rsidR="00B41C13" w:rsidRPr="00BD22C2" w:rsidRDefault="00B41C13" w:rsidP="00B41C13">
      <w:pPr>
        <w:pStyle w:val="Texterecommandation"/>
        <w:ind w:left="706" w:firstLine="3"/>
      </w:pPr>
      <w:r w:rsidRPr="00BD22C2">
        <w:t xml:space="preserve">La Commission recommande au Comité de sages sur l’identité de genre d’aborder </w:t>
      </w:r>
      <w:r w:rsidR="00BE7200" w:rsidRPr="00BD22C2">
        <w:t>les enjeux liés aux conditions</w:t>
      </w:r>
      <w:r w:rsidR="00561C2D" w:rsidRPr="00BD22C2">
        <w:t xml:space="preserve"> de détention des </w:t>
      </w:r>
      <w:r w:rsidRPr="00BD22C2">
        <w:t>personnes trans et non</w:t>
      </w:r>
      <w:r w:rsidR="0073758E" w:rsidRPr="00BD22C2">
        <w:t xml:space="preserve"> </w:t>
      </w:r>
      <w:r w:rsidRPr="00BD22C2">
        <w:t>binaire</w:t>
      </w:r>
      <w:r w:rsidR="00C47701" w:rsidRPr="00BD22C2">
        <w:t>s</w:t>
      </w:r>
      <w:r w:rsidRPr="00BD22C2">
        <w:t xml:space="preserve"> dans les prisons québécoises suivant une approche</w:t>
      </w:r>
      <w:r w:rsidR="00AF6DFA" w:rsidRPr="00BD22C2">
        <w:t xml:space="preserve"> fondée sur</w:t>
      </w:r>
      <w:r w:rsidRPr="00BD22C2">
        <w:t xml:space="preserve"> </w:t>
      </w:r>
      <w:r w:rsidR="00AF6DFA" w:rsidRPr="00BD22C2">
        <w:t xml:space="preserve">le cadre de la </w:t>
      </w:r>
      <w:r w:rsidR="00AF6DFA" w:rsidRPr="00BD22C2">
        <w:rPr>
          <w:i/>
        </w:rPr>
        <w:t>Charte</w:t>
      </w:r>
      <w:r w:rsidR="004B4DD8" w:rsidRPr="00BD22C2">
        <w:rPr>
          <w:i/>
        </w:rPr>
        <w:t xml:space="preserve"> des droits et libert</w:t>
      </w:r>
      <w:r w:rsidR="004B4DD8" w:rsidRPr="00BD22C2">
        <w:rPr>
          <w:rFonts w:hint="eastAsia"/>
          <w:i/>
        </w:rPr>
        <w:t>é</w:t>
      </w:r>
      <w:r w:rsidR="004B4DD8" w:rsidRPr="00BD22C2">
        <w:rPr>
          <w:i/>
        </w:rPr>
        <w:t>s de la personne</w:t>
      </w:r>
      <w:r w:rsidR="00483B95" w:rsidRPr="00BD22C2">
        <w:t>,</w:t>
      </w:r>
      <w:r w:rsidR="00AF6DFA" w:rsidRPr="00BD22C2">
        <w:t xml:space="preserve"> </w:t>
      </w:r>
      <w:r w:rsidR="00FB3DC0" w:rsidRPr="00BD22C2">
        <w:t xml:space="preserve">permettant </w:t>
      </w:r>
      <w:r w:rsidR="00552180" w:rsidRPr="00BD22C2">
        <w:t>ainsi</w:t>
      </w:r>
      <w:r w:rsidR="00FB3DC0" w:rsidRPr="00BD22C2">
        <w:t xml:space="preserve"> </w:t>
      </w:r>
      <w:r w:rsidR="009E118C" w:rsidRPr="00BD22C2">
        <w:t>de protéger</w:t>
      </w:r>
      <w:r w:rsidR="00FB3DC0" w:rsidRPr="00BD22C2">
        <w:t xml:space="preserve"> leurs droits et libertés tout en assurant la sécurité </w:t>
      </w:r>
      <w:r w:rsidR="00EB3614" w:rsidRPr="00BD22C2">
        <w:t xml:space="preserve">des autres </w:t>
      </w:r>
      <w:r w:rsidR="00442A6B" w:rsidRPr="00BD22C2">
        <w:t xml:space="preserve">personnes </w:t>
      </w:r>
      <w:r w:rsidR="00EB3614" w:rsidRPr="00BD22C2">
        <w:t>détenu</w:t>
      </w:r>
      <w:r w:rsidR="00442A6B" w:rsidRPr="00BD22C2">
        <w:t>e</w:t>
      </w:r>
      <w:r w:rsidR="00EB3614" w:rsidRPr="00BD22C2">
        <w:t xml:space="preserve">s, des membres du personnel et </w:t>
      </w:r>
      <w:r w:rsidR="00900C0C" w:rsidRPr="00BD22C2">
        <w:t xml:space="preserve">des </w:t>
      </w:r>
      <w:r w:rsidR="00745747" w:rsidRPr="00BD22C2">
        <w:t>autres</w:t>
      </w:r>
      <w:r w:rsidR="00EB3614" w:rsidRPr="00BD22C2">
        <w:t xml:space="preserve"> personnes se trouvant d</w:t>
      </w:r>
      <w:r w:rsidR="00745747" w:rsidRPr="00BD22C2">
        <w:t>ans l’enceinte des établissements</w:t>
      </w:r>
      <w:r w:rsidR="009B3D89" w:rsidRPr="00BD22C2">
        <w:t xml:space="preserve"> ou en interaction avec les </w:t>
      </w:r>
      <w:r w:rsidR="00745747" w:rsidRPr="00BD22C2">
        <w:t xml:space="preserve">personnes </w:t>
      </w:r>
      <w:r w:rsidR="00943E8F" w:rsidRPr="00BD22C2">
        <w:t>détenues</w:t>
      </w:r>
      <w:r w:rsidR="009B3D89" w:rsidRPr="00BD22C2">
        <w:t xml:space="preserve"> visé</w:t>
      </w:r>
      <w:r w:rsidR="00943E8F" w:rsidRPr="00BD22C2">
        <w:t>e</w:t>
      </w:r>
      <w:r w:rsidR="009B3D89" w:rsidRPr="00BD22C2">
        <w:t>s et</w:t>
      </w:r>
      <w:r w:rsidR="00745747" w:rsidRPr="00BD22C2">
        <w:t xml:space="preserve"> dont les droits </w:t>
      </w:r>
      <w:r w:rsidR="00C47701" w:rsidRPr="00BD22C2">
        <w:t>pourraient être touchés</w:t>
      </w:r>
      <w:r w:rsidR="009B3D89" w:rsidRPr="00BD22C2">
        <w:t>.</w:t>
      </w:r>
      <w:r w:rsidRPr="00BD22C2">
        <w:t xml:space="preserve"> </w:t>
      </w:r>
    </w:p>
    <w:p w14:paraId="718B4BE1" w14:textId="77777777" w:rsidR="00291DE2" w:rsidRPr="00BD22C2" w:rsidRDefault="00291DE2" w:rsidP="005A5B5A">
      <w:pPr>
        <w:pStyle w:val="Paragraphe"/>
        <w:rPr>
          <w:lang w:val="fr-CA"/>
        </w:rPr>
      </w:pPr>
    </w:p>
    <w:p w14:paraId="07BE40BC" w14:textId="7CBDA587" w:rsidR="00683B12" w:rsidRPr="00BD22C2" w:rsidRDefault="00100038" w:rsidP="00C118D1">
      <w:pPr>
        <w:pStyle w:val="Titre1"/>
        <w:rPr>
          <w:rFonts w:eastAsia="Calibri"/>
          <w:lang w:eastAsia="en-US"/>
        </w:rPr>
      </w:pPr>
      <w:bookmarkStart w:id="177" w:name="_Toc165301047"/>
      <w:bookmarkStart w:id="178" w:name="_Toc165636130"/>
      <w:bookmarkStart w:id="179" w:name="_Hlk165298023"/>
      <w:r w:rsidRPr="00BD22C2">
        <w:rPr>
          <w:rFonts w:eastAsia="Calibri"/>
          <w:lang w:eastAsia="en-US"/>
        </w:rPr>
        <w:t>L</w:t>
      </w:r>
      <w:r w:rsidR="00C118D1" w:rsidRPr="00BD22C2">
        <w:rPr>
          <w:rFonts w:eastAsia="Calibri"/>
          <w:lang w:eastAsia="en-US"/>
        </w:rPr>
        <w:t>’éducation aux droits et libertés</w:t>
      </w:r>
      <w:r w:rsidR="002F4FE4" w:rsidRPr="00BD22C2">
        <w:rPr>
          <w:rFonts w:eastAsia="Calibri"/>
          <w:lang w:eastAsia="en-US"/>
        </w:rPr>
        <w:t xml:space="preserve"> </w:t>
      </w:r>
      <w:r w:rsidR="00D91C66" w:rsidRPr="00BD22C2">
        <w:rPr>
          <w:rFonts w:eastAsia="Calibri"/>
          <w:lang w:eastAsia="en-US"/>
        </w:rPr>
        <w:t>et l’inclusion dans les institutions communes</w:t>
      </w:r>
      <w:bookmarkEnd w:id="177"/>
      <w:bookmarkEnd w:id="178"/>
    </w:p>
    <w:bookmarkEnd w:id="179"/>
    <w:p w14:paraId="4D079B92" w14:textId="2BE636B7" w:rsidR="00045669" w:rsidRPr="00BD22C2" w:rsidRDefault="00233C6F" w:rsidP="00595195">
      <w:pPr>
        <w:pStyle w:val="Paragraphe"/>
        <w:rPr>
          <w:rFonts w:eastAsia="Calibri"/>
          <w:lang w:val="fr-CA" w:eastAsia="en-US"/>
        </w:rPr>
      </w:pPr>
      <w:r w:rsidRPr="00BD22C2">
        <w:rPr>
          <w:rFonts w:eastAsia="Calibri"/>
          <w:lang w:val="fr-CA" w:eastAsia="en-US"/>
        </w:rPr>
        <w:t>Comme mentionné précédemment, l</w:t>
      </w:r>
      <w:r w:rsidR="00982DE5" w:rsidRPr="00BD22C2">
        <w:rPr>
          <w:rFonts w:eastAsia="Calibri"/>
          <w:lang w:val="fr-CA" w:eastAsia="en-US"/>
        </w:rPr>
        <w:t>a</w:t>
      </w:r>
      <w:r w:rsidR="00796E7E" w:rsidRPr="00BD22C2">
        <w:rPr>
          <w:rFonts w:eastAsia="Calibri"/>
          <w:lang w:val="fr-CA" w:eastAsia="en-US"/>
        </w:rPr>
        <w:t xml:space="preserve"> visibilité </w:t>
      </w:r>
      <w:r w:rsidR="006F7A4A" w:rsidRPr="00BD22C2">
        <w:rPr>
          <w:rFonts w:eastAsia="Calibri"/>
          <w:lang w:val="fr-CA" w:eastAsia="en-US"/>
        </w:rPr>
        <w:t xml:space="preserve">et </w:t>
      </w:r>
      <w:r w:rsidR="00982DE5" w:rsidRPr="00BD22C2">
        <w:rPr>
          <w:rFonts w:eastAsia="Calibri"/>
          <w:lang w:val="fr-CA" w:eastAsia="en-US"/>
        </w:rPr>
        <w:t xml:space="preserve">la </w:t>
      </w:r>
      <w:r w:rsidR="006F7A4A" w:rsidRPr="00BD22C2">
        <w:rPr>
          <w:rFonts w:eastAsia="Calibri"/>
          <w:lang w:val="fr-CA" w:eastAsia="en-US"/>
        </w:rPr>
        <w:t>reconnaissance croissantes des personnes trans et non</w:t>
      </w:r>
      <w:r w:rsidR="0073758E" w:rsidRPr="00BD22C2">
        <w:rPr>
          <w:rFonts w:eastAsia="Calibri"/>
          <w:lang w:val="fr-CA" w:eastAsia="en-US"/>
        </w:rPr>
        <w:t xml:space="preserve"> </w:t>
      </w:r>
      <w:r w:rsidR="006F7A4A" w:rsidRPr="00BD22C2">
        <w:rPr>
          <w:rFonts w:eastAsia="Calibri"/>
          <w:lang w:val="fr-CA" w:eastAsia="en-US"/>
        </w:rPr>
        <w:t xml:space="preserve">binaires </w:t>
      </w:r>
      <w:r w:rsidR="00982DE5" w:rsidRPr="00BD22C2">
        <w:rPr>
          <w:rFonts w:eastAsia="Calibri"/>
          <w:lang w:val="fr-CA" w:eastAsia="en-US"/>
        </w:rPr>
        <w:t>s</w:t>
      </w:r>
      <w:r w:rsidR="00180907" w:rsidRPr="00BD22C2">
        <w:rPr>
          <w:rFonts w:eastAsia="Calibri"/>
          <w:lang w:val="fr-CA" w:eastAsia="en-US"/>
        </w:rPr>
        <w:t xml:space="preserve">e sont </w:t>
      </w:r>
      <w:r w:rsidR="00573DA3" w:rsidRPr="00BD22C2">
        <w:rPr>
          <w:rFonts w:eastAsia="Calibri"/>
          <w:lang w:val="fr-CA" w:eastAsia="en-US"/>
        </w:rPr>
        <w:t xml:space="preserve">à la fois </w:t>
      </w:r>
      <w:r w:rsidR="00180907" w:rsidRPr="00BD22C2">
        <w:rPr>
          <w:rFonts w:eastAsia="Calibri"/>
          <w:lang w:val="fr-CA" w:eastAsia="en-US"/>
        </w:rPr>
        <w:t>accompagnées d’interrogation</w:t>
      </w:r>
      <w:r w:rsidR="001B63AC" w:rsidRPr="00BD22C2">
        <w:rPr>
          <w:rFonts w:eastAsia="Calibri"/>
          <w:lang w:val="fr-CA" w:eastAsia="en-US"/>
        </w:rPr>
        <w:t>s légitimes sur les meilleur</w:t>
      </w:r>
      <w:r w:rsidR="009500DD" w:rsidRPr="00BD22C2">
        <w:rPr>
          <w:rFonts w:eastAsia="Calibri"/>
          <w:lang w:val="fr-CA" w:eastAsia="en-US"/>
        </w:rPr>
        <w:t>e</w:t>
      </w:r>
      <w:r w:rsidR="001B63AC" w:rsidRPr="00BD22C2">
        <w:rPr>
          <w:rFonts w:eastAsia="Calibri"/>
          <w:lang w:val="fr-CA" w:eastAsia="en-US"/>
        </w:rPr>
        <w:t xml:space="preserve">s façons de répondre à leurs besoins et de respecter leurs droits, </w:t>
      </w:r>
      <w:r w:rsidR="00C26178" w:rsidRPr="00BD22C2">
        <w:rPr>
          <w:rFonts w:eastAsia="Calibri"/>
          <w:lang w:val="fr-CA" w:eastAsia="en-US"/>
        </w:rPr>
        <w:t xml:space="preserve">ainsi que </w:t>
      </w:r>
      <w:r w:rsidR="001B63AC" w:rsidRPr="00BD22C2">
        <w:rPr>
          <w:rFonts w:eastAsia="Calibri"/>
          <w:lang w:val="fr-CA" w:eastAsia="en-US"/>
        </w:rPr>
        <w:t>d</w:t>
      </w:r>
      <w:r w:rsidR="00A07598" w:rsidRPr="00BD22C2">
        <w:rPr>
          <w:rFonts w:eastAsia="Calibri"/>
          <w:lang w:val="fr-CA" w:eastAsia="en-US"/>
        </w:rPr>
        <w:t xml:space="preserve">e </w:t>
      </w:r>
      <w:r w:rsidR="007624F0" w:rsidRPr="00BD22C2">
        <w:rPr>
          <w:rFonts w:eastAsia="Calibri"/>
          <w:lang w:val="fr-CA" w:eastAsia="en-US"/>
        </w:rPr>
        <w:t xml:space="preserve">discours et de </w:t>
      </w:r>
      <w:r w:rsidR="00A07598" w:rsidRPr="00BD22C2">
        <w:rPr>
          <w:rFonts w:eastAsia="Calibri"/>
          <w:lang w:val="fr-CA" w:eastAsia="en-US"/>
        </w:rPr>
        <w:t xml:space="preserve">remises en question </w:t>
      </w:r>
      <w:r w:rsidR="00A768A8" w:rsidRPr="00BD22C2">
        <w:rPr>
          <w:rFonts w:eastAsia="Calibri"/>
          <w:lang w:val="fr-CA" w:eastAsia="en-US"/>
        </w:rPr>
        <w:t>pouvant porter</w:t>
      </w:r>
      <w:r w:rsidR="00836DBF" w:rsidRPr="00BD22C2">
        <w:rPr>
          <w:rFonts w:eastAsia="Calibri"/>
          <w:lang w:val="fr-CA" w:eastAsia="en-US"/>
        </w:rPr>
        <w:t xml:space="preserve"> </w:t>
      </w:r>
      <w:r w:rsidR="00917743" w:rsidRPr="00BD22C2">
        <w:rPr>
          <w:rFonts w:eastAsia="Calibri"/>
          <w:lang w:val="fr-CA" w:eastAsia="en-US"/>
        </w:rPr>
        <w:t>directement</w:t>
      </w:r>
      <w:r w:rsidR="00836DBF" w:rsidRPr="00BD22C2">
        <w:rPr>
          <w:rFonts w:eastAsia="Calibri"/>
          <w:lang w:val="fr-CA" w:eastAsia="en-US"/>
        </w:rPr>
        <w:t xml:space="preserve"> atteinte</w:t>
      </w:r>
      <w:r w:rsidR="007624F0" w:rsidRPr="00BD22C2">
        <w:rPr>
          <w:rFonts w:eastAsia="Calibri"/>
          <w:lang w:val="fr-CA" w:eastAsia="en-US"/>
        </w:rPr>
        <w:t xml:space="preserve"> à </w:t>
      </w:r>
      <w:r w:rsidR="001A2C89" w:rsidRPr="00BD22C2">
        <w:rPr>
          <w:rFonts w:eastAsia="Calibri"/>
          <w:lang w:val="fr-CA" w:eastAsia="en-US"/>
        </w:rPr>
        <w:t>la mise en œuvre de</w:t>
      </w:r>
      <w:r w:rsidR="009D1EA8" w:rsidRPr="00BD22C2">
        <w:rPr>
          <w:rFonts w:eastAsia="Calibri"/>
          <w:lang w:val="fr-CA" w:eastAsia="en-US"/>
        </w:rPr>
        <w:t xml:space="preserve"> </w:t>
      </w:r>
      <w:r w:rsidR="001A2C89" w:rsidRPr="00BD22C2">
        <w:rPr>
          <w:rFonts w:eastAsia="Calibri"/>
          <w:lang w:val="fr-CA" w:eastAsia="en-US"/>
        </w:rPr>
        <w:t>ceux-ci</w:t>
      </w:r>
      <w:r w:rsidR="00836DBF" w:rsidRPr="00BD22C2">
        <w:rPr>
          <w:rFonts w:eastAsia="Calibri"/>
          <w:lang w:val="fr-CA" w:eastAsia="en-US"/>
        </w:rPr>
        <w:t xml:space="preserve">. </w:t>
      </w:r>
    </w:p>
    <w:p w14:paraId="2501470A" w14:textId="6453E399" w:rsidR="004D384D" w:rsidRPr="00BD22C2" w:rsidRDefault="005A5501" w:rsidP="00595195">
      <w:pPr>
        <w:pStyle w:val="Paragraphe"/>
        <w:rPr>
          <w:rStyle w:val="normaltextrun"/>
          <w:rFonts w:cs="Arial"/>
          <w:shd w:val="clear" w:color="auto" w:fill="FFFFFF"/>
          <w:lang w:val="fr-CA"/>
        </w:rPr>
      </w:pPr>
      <w:r w:rsidRPr="00BD22C2">
        <w:rPr>
          <w:rFonts w:eastAsia="Calibri"/>
          <w:lang w:val="fr-CA" w:eastAsia="en-US"/>
        </w:rPr>
        <w:t>Dans un tel cont</w:t>
      </w:r>
      <w:r w:rsidR="00AE5230" w:rsidRPr="00BD22C2">
        <w:rPr>
          <w:rFonts w:eastAsia="Calibri"/>
          <w:lang w:val="fr-CA" w:eastAsia="en-US"/>
        </w:rPr>
        <w:t>exte, l</w:t>
      </w:r>
      <w:r w:rsidR="004D384D" w:rsidRPr="00BD22C2">
        <w:rPr>
          <w:rFonts w:eastAsia="Calibri"/>
          <w:lang w:val="fr-CA" w:eastAsia="en-US"/>
        </w:rPr>
        <w:t>’éducation aux droits et libertés constitue un important moyen pour mieux garantir les droits des personnes trans et non</w:t>
      </w:r>
      <w:r w:rsidR="0073758E" w:rsidRPr="00BD22C2">
        <w:rPr>
          <w:rFonts w:eastAsia="Calibri"/>
          <w:lang w:val="fr-CA" w:eastAsia="en-US"/>
        </w:rPr>
        <w:t xml:space="preserve"> </w:t>
      </w:r>
      <w:r w:rsidR="004D384D" w:rsidRPr="00BD22C2">
        <w:rPr>
          <w:rFonts w:eastAsia="Calibri"/>
          <w:lang w:val="fr-CA" w:eastAsia="en-US"/>
        </w:rPr>
        <w:t xml:space="preserve">binaires à l’intérieur des institutions qu’elles fréquentent. </w:t>
      </w:r>
      <w:r w:rsidR="00D608B0" w:rsidRPr="00BD22C2">
        <w:rPr>
          <w:rFonts w:eastAsia="Calibri"/>
          <w:lang w:val="fr-CA" w:eastAsia="en-US"/>
        </w:rPr>
        <w:t>Elle</w:t>
      </w:r>
      <w:r w:rsidR="004D384D" w:rsidRPr="00BD22C2">
        <w:rPr>
          <w:rFonts w:eastAsia="Calibri"/>
          <w:lang w:val="fr-CA" w:eastAsia="en-US"/>
        </w:rPr>
        <w:t> </w:t>
      </w:r>
      <w:r w:rsidR="004D384D" w:rsidRPr="00BD22C2">
        <w:rPr>
          <w:rStyle w:val="normaltextrun"/>
          <w:rFonts w:cs="Arial"/>
          <w:lang w:val="fr-CA"/>
        </w:rPr>
        <w:t>englobe « un large éventail d’activités et de programmes éducatifs qui ont pour but de développer les connaissances et les compétences et les attitudes des apprenants, leur permettant d’exercer leurs droits humains, et faire respecter les droits des autres »</w:t>
      </w:r>
      <w:r w:rsidR="004D384D" w:rsidRPr="00BD22C2">
        <w:rPr>
          <w:rStyle w:val="Appeldenotedefin"/>
          <w:rFonts w:cs="Arial"/>
          <w:lang w:val="fr-CA"/>
        </w:rPr>
        <w:endnoteReference w:id="441"/>
      </w:r>
      <w:r w:rsidR="004D384D" w:rsidRPr="00BD22C2">
        <w:rPr>
          <w:rStyle w:val="normaltextrun"/>
          <w:rFonts w:cs="Arial"/>
          <w:lang w:val="fr-CA"/>
        </w:rPr>
        <w:t>.</w:t>
      </w:r>
      <w:r w:rsidR="004D384D" w:rsidRPr="00BD22C2">
        <w:rPr>
          <w:rStyle w:val="normaltextrun"/>
          <w:rFonts w:cs="Arial"/>
          <w:shd w:val="clear" w:color="auto" w:fill="FFFFFF"/>
          <w:lang w:val="fr-CA"/>
        </w:rPr>
        <w:t xml:space="preserve"> </w:t>
      </w:r>
      <w:r w:rsidR="00B12991" w:rsidRPr="00BD22C2">
        <w:rPr>
          <w:rStyle w:val="normaltextrun"/>
          <w:rFonts w:cs="Arial"/>
          <w:shd w:val="clear" w:color="auto" w:fill="FFFFFF"/>
          <w:lang w:val="fr-CA"/>
        </w:rPr>
        <w:t xml:space="preserve">Suivant </w:t>
      </w:r>
      <w:r w:rsidR="005B63FE" w:rsidRPr="00BD22C2">
        <w:rPr>
          <w:rStyle w:val="normaltextrun"/>
          <w:rFonts w:cs="Arial"/>
          <w:shd w:val="clear" w:color="auto" w:fill="FFFFFF"/>
          <w:lang w:val="fr-CA"/>
        </w:rPr>
        <w:t>l</w:t>
      </w:r>
      <w:r w:rsidR="000C2609" w:rsidRPr="00BD22C2">
        <w:rPr>
          <w:rStyle w:val="normaltextrun"/>
          <w:rFonts w:cs="Arial"/>
          <w:shd w:val="clear" w:color="auto" w:fill="FFFFFF"/>
          <w:lang w:val="fr-CA"/>
        </w:rPr>
        <w:t xml:space="preserve">es engagements auxquels nous enjoignent </w:t>
      </w:r>
      <w:r w:rsidR="00B12991" w:rsidRPr="00BD22C2">
        <w:rPr>
          <w:rStyle w:val="normaltextrun"/>
          <w:rFonts w:cs="Arial"/>
          <w:shd w:val="clear" w:color="auto" w:fill="FFFFFF"/>
          <w:lang w:val="fr-CA"/>
        </w:rPr>
        <w:t>la</w:t>
      </w:r>
      <w:r w:rsidR="000C2609" w:rsidRPr="00BD22C2">
        <w:rPr>
          <w:rStyle w:val="normaltextrun"/>
          <w:rFonts w:cs="Arial"/>
          <w:shd w:val="clear" w:color="auto" w:fill="FFFFFF"/>
          <w:lang w:val="fr-CA"/>
        </w:rPr>
        <w:t xml:space="preserve"> </w:t>
      </w:r>
      <w:r w:rsidR="00B12991" w:rsidRPr="00BD22C2">
        <w:rPr>
          <w:i/>
          <w:lang w:val="fr-CA"/>
        </w:rPr>
        <w:t>Déclaration universelle des droits de l’homme</w:t>
      </w:r>
      <w:r w:rsidR="00B12991" w:rsidRPr="00BD22C2">
        <w:rPr>
          <w:lang w:val="fr-CA"/>
        </w:rPr>
        <w:t xml:space="preserve">, le </w:t>
      </w:r>
      <w:r w:rsidR="000C0AA1" w:rsidRPr="00BD22C2">
        <w:rPr>
          <w:lang w:val="fr-CA"/>
        </w:rPr>
        <w:lastRenderedPageBreak/>
        <w:t>PIDESC</w:t>
      </w:r>
      <w:r w:rsidR="00B12991" w:rsidRPr="00BD22C2">
        <w:rPr>
          <w:lang w:val="fr-CA"/>
        </w:rPr>
        <w:t xml:space="preserve"> </w:t>
      </w:r>
      <w:r w:rsidR="00783C0B" w:rsidRPr="00BD22C2">
        <w:rPr>
          <w:lang w:val="fr-CA"/>
        </w:rPr>
        <w:t>et</w:t>
      </w:r>
      <w:r w:rsidR="00B12991" w:rsidRPr="00BD22C2">
        <w:rPr>
          <w:lang w:val="fr-CA"/>
        </w:rPr>
        <w:t xml:space="preserve"> d’autres instruments internationaux relatifs aux droits de </w:t>
      </w:r>
      <w:r w:rsidR="000C0AA1" w:rsidRPr="00BD22C2">
        <w:rPr>
          <w:lang w:val="fr-CA"/>
        </w:rPr>
        <w:t>la personne</w:t>
      </w:r>
      <w:r w:rsidR="00B12991" w:rsidRPr="00BD22C2">
        <w:rPr>
          <w:lang w:val="fr-CA"/>
        </w:rPr>
        <w:t xml:space="preserve">, </w:t>
      </w:r>
      <w:r w:rsidR="000C2609" w:rsidRPr="00BD22C2">
        <w:rPr>
          <w:rStyle w:val="normaltextrun"/>
          <w:rFonts w:cs="Arial"/>
          <w:shd w:val="clear" w:color="auto" w:fill="FFFFFF"/>
          <w:lang w:val="fr-CA"/>
        </w:rPr>
        <w:t>«</w:t>
      </w:r>
      <w:r w:rsidR="0051216B" w:rsidRPr="00BD22C2">
        <w:rPr>
          <w:rStyle w:val="normaltextrun"/>
          <w:rFonts w:cs="Arial"/>
          <w:shd w:val="clear" w:color="auto" w:fill="FFFFFF"/>
          <w:lang w:val="fr-CA"/>
        </w:rPr>
        <w:t> </w:t>
      </w:r>
      <w:r w:rsidR="000C2609" w:rsidRPr="00BD22C2">
        <w:rPr>
          <w:lang w:val="fr-CA"/>
        </w:rPr>
        <w:t>les États sont tenus de veiller à ce que l’éducation vise au renforcement des droits de l’homme et des libertés fondamentales</w:t>
      </w:r>
      <w:r w:rsidR="0051216B" w:rsidRPr="00BD22C2">
        <w:rPr>
          <w:lang w:val="fr-CA"/>
        </w:rPr>
        <w:t> </w:t>
      </w:r>
      <w:r w:rsidR="000C2609" w:rsidRPr="00BD22C2">
        <w:rPr>
          <w:lang w:val="fr-CA"/>
        </w:rPr>
        <w:t>»</w:t>
      </w:r>
      <w:bookmarkStart w:id="180" w:name="_Ref166752328"/>
      <w:r w:rsidR="00716AE2" w:rsidRPr="00BD22C2">
        <w:rPr>
          <w:rStyle w:val="Appeldenotedefin"/>
          <w:lang w:val="fr-CA"/>
        </w:rPr>
        <w:endnoteReference w:id="442"/>
      </w:r>
      <w:bookmarkEnd w:id="180"/>
      <w:r w:rsidR="000C2609" w:rsidRPr="00BD22C2">
        <w:rPr>
          <w:lang w:val="fr-CA"/>
        </w:rPr>
        <w:t xml:space="preserve">. </w:t>
      </w:r>
      <w:r w:rsidR="004D384D" w:rsidRPr="00BD22C2">
        <w:rPr>
          <w:lang w:val="fr-CA"/>
        </w:rPr>
        <w:t>La Déclaration et le Programme d’action de Vienne</w:t>
      </w:r>
      <w:r w:rsidR="00443E63" w:rsidRPr="00BD22C2">
        <w:rPr>
          <w:lang w:val="fr-CA"/>
        </w:rPr>
        <w:t>, une initiative</w:t>
      </w:r>
      <w:r w:rsidR="004D384D" w:rsidRPr="00BD22C2">
        <w:rPr>
          <w:lang w:val="fr-CA"/>
        </w:rPr>
        <w:t xml:space="preserve"> adoptée lors de la Conférence mondiale sur les droits de l’homme de juin 1993, </w:t>
      </w:r>
      <w:r w:rsidR="00200962" w:rsidRPr="00BD22C2">
        <w:rPr>
          <w:lang w:val="fr-CA"/>
        </w:rPr>
        <w:t>ont</w:t>
      </w:r>
      <w:r w:rsidR="0081267A" w:rsidRPr="00BD22C2">
        <w:rPr>
          <w:lang w:val="fr-CA"/>
        </w:rPr>
        <w:t xml:space="preserve"> </w:t>
      </w:r>
      <w:r w:rsidR="00C5341F" w:rsidRPr="00BD22C2">
        <w:rPr>
          <w:lang w:val="fr-CA"/>
        </w:rPr>
        <w:t>aussi</w:t>
      </w:r>
      <w:r w:rsidR="001E2E08" w:rsidRPr="00BD22C2">
        <w:rPr>
          <w:lang w:val="fr-CA"/>
        </w:rPr>
        <w:t xml:space="preserve"> apporté certaines précision</w:t>
      </w:r>
      <w:r w:rsidR="00F92E83" w:rsidRPr="00BD22C2">
        <w:rPr>
          <w:lang w:val="fr-CA"/>
        </w:rPr>
        <w:t>s</w:t>
      </w:r>
      <w:r w:rsidR="001E2E08" w:rsidRPr="00BD22C2">
        <w:rPr>
          <w:lang w:val="fr-CA"/>
        </w:rPr>
        <w:t xml:space="preserve"> </w:t>
      </w:r>
      <w:r w:rsidR="008876B3" w:rsidRPr="00BD22C2">
        <w:rPr>
          <w:lang w:val="fr-CA"/>
        </w:rPr>
        <w:t xml:space="preserve">eu égard aux </w:t>
      </w:r>
      <w:r w:rsidR="00964771" w:rsidRPr="00BD22C2">
        <w:rPr>
          <w:lang w:val="fr-CA"/>
        </w:rPr>
        <w:t xml:space="preserve">grands </w:t>
      </w:r>
      <w:r w:rsidR="004D384D" w:rsidRPr="00BD22C2">
        <w:rPr>
          <w:lang w:val="fr-CA"/>
        </w:rPr>
        <w:t xml:space="preserve">objectifs </w:t>
      </w:r>
      <w:r w:rsidR="008876B3" w:rsidRPr="00BD22C2">
        <w:rPr>
          <w:lang w:val="fr-CA"/>
        </w:rPr>
        <w:t>poursuivis par</w:t>
      </w:r>
      <w:r w:rsidR="004D384D" w:rsidRPr="00BD22C2">
        <w:rPr>
          <w:lang w:val="fr-CA"/>
        </w:rPr>
        <w:t xml:space="preserve"> l’éducation aux droits et liberté</w:t>
      </w:r>
      <w:r w:rsidR="002D6DB5" w:rsidRPr="00BD22C2">
        <w:rPr>
          <w:lang w:val="fr-CA"/>
        </w:rPr>
        <w:t>s</w:t>
      </w:r>
      <w:r w:rsidR="004D384D" w:rsidRPr="00BD22C2">
        <w:rPr>
          <w:lang w:val="fr-CA"/>
        </w:rPr>
        <w:t> qui est «</w:t>
      </w:r>
      <w:r w:rsidR="00974BD5" w:rsidRPr="00BD22C2">
        <w:rPr>
          <w:lang w:val="fr-CA"/>
        </w:rPr>
        <w:t> </w:t>
      </w:r>
      <w:r w:rsidR="004D384D" w:rsidRPr="00BD22C2">
        <w:rPr>
          <w:lang w:val="fr-CA"/>
        </w:rPr>
        <w:t>[indispensable] à l’instauration et à la promotion des relations intercommunautaires stables et harmonieuses, ainsi qu’à la promotion de la compréhension mutuelle, de la tolérance et de la paix</w:t>
      </w:r>
      <w:r w:rsidR="00974BD5" w:rsidRPr="00BD22C2">
        <w:rPr>
          <w:lang w:val="fr-CA"/>
        </w:rPr>
        <w:t> </w:t>
      </w:r>
      <w:r w:rsidR="004D384D" w:rsidRPr="00BD22C2">
        <w:rPr>
          <w:lang w:val="fr-CA"/>
        </w:rPr>
        <w:t>»</w:t>
      </w:r>
      <w:r w:rsidR="004D384D" w:rsidRPr="00BD22C2">
        <w:rPr>
          <w:rStyle w:val="Appeldenotedefin"/>
          <w:lang w:val="fr-CA"/>
        </w:rPr>
        <w:endnoteReference w:id="443"/>
      </w:r>
      <w:r w:rsidR="004D384D" w:rsidRPr="00BD22C2">
        <w:rPr>
          <w:lang w:val="fr-CA"/>
        </w:rPr>
        <w:t>.</w:t>
      </w:r>
      <w:r w:rsidR="004D384D" w:rsidRPr="00BD22C2">
        <w:rPr>
          <w:rStyle w:val="normaltextrun"/>
          <w:rFonts w:cs="Arial"/>
          <w:shd w:val="clear" w:color="auto" w:fill="FFFFFF"/>
          <w:lang w:val="fr-CA"/>
        </w:rPr>
        <w:t xml:space="preserve"> </w:t>
      </w:r>
    </w:p>
    <w:p w14:paraId="3D0F1A82" w14:textId="217BF699" w:rsidR="004D384D" w:rsidRPr="00BD22C2" w:rsidRDefault="004D384D" w:rsidP="00595195">
      <w:pPr>
        <w:pStyle w:val="Paragraphe"/>
        <w:rPr>
          <w:rStyle w:val="normaltextrun"/>
          <w:rFonts w:cs="Arial"/>
          <w:lang w:val="fr-CA"/>
        </w:rPr>
      </w:pPr>
      <w:r w:rsidRPr="00BD22C2">
        <w:rPr>
          <w:rStyle w:val="normaltextrun"/>
          <w:rFonts w:cs="Arial"/>
          <w:shd w:val="clear" w:color="auto" w:fill="FFFFFF"/>
          <w:lang w:val="fr-CA"/>
        </w:rPr>
        <w:t>L’éducation aux droits vise à «</w:t>
      </w:r>
      <w:r w:rsidR="00974BD5" w:rsidRPr="00BD22C2">
        <w:rPr>
          <w:rStyle w:val="normaltextrun"/>
          <w:rFonts w:cs="Arial"/>
          <w:shd w:val="clear" w:color="auto" w:fill="FFFFFF"/>
          <w:lang w:val="fr-CA"/>
        </w:rPr>
        <w:t> </w:t>
      </w:r>
      <w:r w:rsidRPr="00BD22C2">
        <w:rPr>
          <w:rStyle w:val="normaltextrun"/>
          <w:rFonts w:cs="Arial"/>
          <w:shd w:val="clear" w:color="auto" w:fill="FFFFFF"/>
          <w:lang w:val="fr-CA"/>
        </w:rPr>
        <w:t>forger une culture universelle des droits de l’homme</w:t>
      </w:r>
      <w:r w:rsidR="00974BD5" w:rsidRPr="00BD22C2">
        <w:rPr>
          <w:rStyle w:val="normaltextrun"/>
          <w:rFonts w:cs="Arial"/>
          <w:shd w:val="clear" w:color="auto" w:fill="FFFFFF"/>
          <w:lang w:val="fr-CA"/>
        </w:rPr>
        <w:t> </w:t>
      </w:r>
      <w:r w:rsidRPr="00BD22C2">
        <w:rPr>
          <w:rStyle w:val="normaltextrun"/>
          <w:rFonts w:cs="Arial"/>
          <w:shd w:val="clear" w:color="auto" w:fill="FFFFFF"/>
          <w:lang w:val="fr-CA"/>
        </w:rPr>
        <w:t>»</w:t>
      </w:r>
      <w:bookmarkStart w:id="181" w:name="_Ref166752816"/>
      <w:r w:rsidRPr="00BD22C2">
        <w:rPr>
          <w:rStyle w:val="Appeldenotedefin"/>
          <w:rFonts w:cs="Arial"/>
          <w:shd w:val="clear" w:color="auto" w:fill="FFFFFF"/>
          <w:lang w:val="fr-CA"/>
        </w:rPr>
        <w:endnoteReference w:id="444"/>
      </w:r>
      <w:bookmarkEnd w:id="181"/>
      <w:r w:rsidRPr="00BD22C2">
        <w:rPr>
          <w:rStyle w:val="normaltextrun"/>
          <w:rFonts w:cs="Arial"/>
          <w:shd w:val="clear" w:color="auto" w:fill="FFFFFF"/>
          <w:lang w:val="fr-CA"/>
        </w:rPr>
        <w:t>. De façon concrète, elle cherche à «</w:t>
      </w:r>
      <w:r w:rsidR="00974BD5" w:rsidRPr="00BD22C2">
        <w:rPr>
          <w:rStyle w:val="normaltextrun"/>
          <w:rFonts w:cs="Arial"/>
          <w:shd w:val="clear" w:color="auto" w:fill="FFFFFF"/>
          <w:lang w:val="fr-CA"/>
        </w:rPr>
        <w:t> </w:t>
      </w:r>
      <w:r w:rsidRPr="00BD22C2">
        <w:rPr>
          <w:rStyle w:val="normaltextrun"/>
          <w:rFonts w:cs="Arial"/>
          <w:shd w:val="clear" w:color="auto" w:fill="FFFFFF"/>
          <w:lang w:val="fr-CA"/>
        </w:rPr>
        <w:t>transmettre les compétences nécessaires pour promouvoir, défendre et mettre en œuvre les droits de l’homme</w:t>
      </w:r>
      <w:r w:rsidR="00974BD5" w:rsidRPr="00BD22C2">
        <w:rPr>
          <w:rStyle w:val="normaltextrun"/>
          <w:rFonts w:cs="Arial"/>
          <w:shd w:val="clear" w:color="auto" w:fill="FFFFFF"/>
          <w:lang w:val="fr-CA"/>
        </w:rPr>
        <w:t> </w:t>
      </w:r>
      <w:r w:rsidRPr="00BD22C2">
        <w:rPr>
          <w:rStyle w:val="normaltextrun"/>
          <w:rFonts w:cs="Arial"/>
          <w:shd w:val="clear" w:color="auto" w:fill="FFFFFF"/>
          <w:lang w:val="fr-CA"/>
        </w:rPr>
        <w:t>» et à «</w:t>
      </w:r>
      <w:r w:rsidR="00974BD5" w:rsidRPr="00BD22C2">
        <w:rPr>
          <w:rStyle w:val="normaltextrun"/>
          <w:rFonts w:cs="Arial"/>
          <w:shd w:val="clear" w:color="auto" w:fill="FFFFFF"/>
          <w:lang w:val="fr-CA"/>
        </w:rPr>
        <w:t> </w:t>
      </w:r>
      <w:r w:rsidRPr="00BD22C2">
        <w:rPr>
          <w:rStyle w:val="normaltextrun"/>
          <w:rFonts w:cs="Arial"/>
          <w:shd w:val="clear" w:color="auto" w:fill="FFFFFF"/>
          <w:lang w:val="fr-CA"/>
        </w:rPr>
        <w:t xml:space="preserve">[façonner] les attitudes et les comportements requis pour assurer le respect des droits fondamentaux de tous les membres </w:t>
      </w:r>
      <w:r w:rsidRPr="00BD22C2">
        <w:rPr>
          <w:lang w:val="fr-CA"/>
        </w:rPr>
        <w:t>de la société</w:t>
      </w:r>
      <w:r w:rsidR="00974BD5" w:rsidRPr="00BD22C2">
        <w:rPr>
          <w:lang w:val="fr-CA"/>
        </w:rPr>
        <w:t> </w:t>
      </w:r>
      <w:r w:rsidRPr="00BD22C2">
        <w:rPr>
          <w:lang w:val="fr-CA"/>
        </w:rPr>
        <w:t>»</w:t>
      </w:r>
      <w:r w:rsidRPr="00BD22C2">
        <w:rPr>
          <w:vertAlign w:val="superscript"/>
          <w:lang w:val="fr-CA"/>
        </w:rPr>
        <w:endnoteReference w:id="445"/>
      </w:r>
      <w:r w:rsidRPr="00BD22C2">
        <w:rPr>
          <w:lang w:val="fr-CA"/>
        </w:rPr>
        <w:t>. En effet, l’un des objectifs poursuivis par le Programme mondial en faveur de l’éducation aux droits de l’homme est de :</w:t>
      </w:r>
    </w:p>
    <w:p w14:paraId="0778B8D5" w14:textId="3E2C0DFE" w:rsidR="004D384D" w:rsidRPr="00BD22C2" w:rsidRDefault="004D384D" w:rsidP="001E26FD">
      <w:pPr>
        <w:pStyle w:val="Citation"/>
        <w:rPr>
          <w:rStyle w:val="normaltextrun"/>
          <w:rFonts w:cs="Arial"/>
          <w:color w:val="000000"/>
          <w:szCs w:val="20"/>
          <w:shd w:val="clear" w:color="auto" w:fill="FFFFFF"/>
        </w:rPr>
      </w:pPr>
      <w:r w:rsidRPr="00BD22C2">
        <w:rPr>
          <w:rStyle w:val="normaltextrun"/>
          <w:rFonts w:cs="Arial"/>
          <w:color w:val="000000"/>
          <w:szCs w:val="20"/>
        </w:rPr>
        <w:t>«</w:t>
      </w:r>
      <w:r w:rsidR="00974BD5" w:rsidRPr="00BD22C2">
        <w:rPr>
          <w:rStyle w:val="normaltextrun"/>
          <w:rFonts w:cs="Arial"/>
          <w:color w:val="000000"/>
          <w:szCs w:val="20"/>
        </w:rPr>
        <w:t> </w:t>
      </w:r>
      <w:r w:rsidRPr="00BD22C2">
        <w:rPr>
          <w:rStyle w:val="normaltextrun"/>
          <w:rFonts w:cs="Arial"/>
          <w:color w:val="000000"/>
          <w:szCs w:val="20"/>
        </w:rPr>
        <w:t xml:space="preserve">répondre </w:t>
      </w:r>
      <w:r w:rsidRPr="00BD22C2">
        <w:t>aux exigences de la vie quotidienne de tous ceux qui bénéficient de cette éducation, en les incitant à se concerter sur la manière de transformer les droits de l’homme pour que ceux-ci ne soient plus seulement des normes abstraites, mais s’intègrent à leur situation sociale, économique, culturelle et politique.</w:t>
      </w:r>
      <w:r w:rsidR="00974BD5" w:rsidRPr="00BD22C2">
        <w:t> </w:t>
      </w:r>
      <w:r w:rsidRPr="00BD22C2">
        <w:t>»</w:t>
      </w:r>
      <w:bookmarkStart w:id="182" w:name="_Ref166752094"/>
      <w:r w:rsidRPr="00BD22C2">
        <w:rPr>
          <w:rStyle w:val="Appeldenotedefin"/>
          <w:szCs w:val="20"/>
        </w:rPr>
        <w:endnoteReference w:id="446"/>
      </w:r>
      <w:bookmarkEnd w:id="182"/>
    </w:p>
    <w:p w14:paraId="21A2EA6E" w14:textId="5F017A23" w:rsidR="001A55E9" w:rsidRPr="00BD22C2" w:rsidRDefault="004D384D" w:rsidP="001E26FD">
      <w:pPr>
        <w:pStyle w:val="Paragraphe"/>
        <w:rPr>
          <w:rStyle w:val="normaltextrun"/>
          <w:lang w:val="fr-CA"/>
        </w:rPr>
      </w:pPr>
      <w:r w:rsidRPr="00BD22C2">
        <w:rPr>
          <w:rStyle w:val="normaltextrun"/>
          <w:lang w:val="fr-CA"/>
        </w:rPr>
        <w:t xml:space="preserve">Du point de vue de la Commission, l’éducation aux droits constitue un </w:t>
      </w:r>
      <w:r w:rsidR="008F794F" w:rsidRPr="00BD22C2">
        <w:rPr>
          <w:rStyle w:val="normaltextrun"/>
          <w:lang w:val="fr-CA"/>
        </w:rPr>
        <w:t>outil incontournable</w:t>
      </w:r>
      <w:r w:rsidRPr="00BD22C2">
        <w:rPr>
          <w:rStyle w:val="normaltextrun"/>
          <w:lang w:val="fr-CA"/>
        </w:rPr>
        <w:t xml:space="preserve"> </w:t>
      </w:r>
      <w:r w:rsidR="00477499" w:rsidRPr="00BD22C2">
        <w:rPr>
          <w:rStyle w:val="normaltextrun"/>
          <w:lang w:val="fr-CA"/>
        </w:rPr>
        <w:t xml:space="preserve">pour </w:t>
      </w:r>
      <w:r w:rsidRPr="00BD22C2">
        <w:rPr>
          <w:rStyle w:val="normaltextrun"/>
          <w:lang w:val="fr-CA"/>
        </w:rPr>
        <w:t xml:space="preserve">réaffirmer, mettre en œuvre et protéger l’ensemble des droits et libertés que contient la Charte québécoise, dont l’égale dignité de chacun, sans distinction </w:t>
      </w:r>
      <w:r w:rsidR="006B553D" w:rsidRPr="00BD22C2">
        <w:rPr>
          <w:rStyle w:val="normaltextrun"/>
          <w:lang w:val="fr-CA"/>
        </w:rPr>
        <w:t>fondée</w:t>
      </w:r>
      <w:r w:rsidRPr="00BD22C2">
        <w:rPr>
          <w:rStyle w:val="normaltextrun"/>
          <w:lang w:val="fr-CA"/>
        </w:rPr>
        <w:t xml:space="preserve"> par exemple </w:t>
      </w:r>
      <w:r w:rsidR="006B553D" w:rsidRPr="00BD22C2">
        <w:rPr>
          <w:rStyle w:val="normaltextrun"/>
          <w:lang w:val="fr-CA"/>
        </w:rPr>
        <w:t xml:space="preserve">sur </w:t>
      </w:r>
      <w:r w:rsidRPr="00BD22C2">
        <w:rPr>
          <w:rStyle w:val="normaltextrun"/>
          <w:lang w:val="fr-CA"/>
        </w:rPr>
        <w:t xml:space="preserve">l’identité ou l’expression de genre. </w:t>
      </w:r>
      <w:r w:rsidR="00DB2E4E" w:rsidRPr="00BD22C2">
        <w:rPr>
          <w:rStyle w:val="normaltextrun"/>
          <w:lang w:val="fr-CA"/>
        </w:rPr>
        <w:t xml:space="preserve">Plus largement, </w:t>
      </w:r>
      <w:r w:rsidR="00F54473" w:rsidRPr="00BD22C2">
        <w:rPr>
          <w:rStyle w:val="normaltextrun"/>
          <w:lang w:val="fr-CA"/>
        </w:rPr>
        <w:t>elle</w:t>
      </w:r>
      <w:r w:rsidR="00DB2E4E" w:rsidRPr="00BD22C2">
        <w:rPr>
          <w:rStyle w:val="normaltextrun"/>
          <w:lang w:val="fr-CA"/>
        </w:rPr>
        <w:t xml:space="preserve"> peut contribuer à</w:t>
      </w:r>
      <w:r w:rsidR="00B50298" w:rsidRPr="00BD22C2">
        <w:rPr>
          <w:rStyle w:val="normaltextrun"/>
          <w:lang w:val="fr-CA"/>
        </w:rPr>
        <w:t xml:space="preserve"> la</w:t>
      </w:r>
      <w:r w:rsidR="00AF02E1" w:rsidRPr="00BD22C2">
        <w:rPr>
          <w:rStyle w:val="normaltextrun"/>
          <w:lang w:val="fr-CA"/>
        </w:rPr>
        <w:t xml:space="preserve"> prévention et la</w:t>
      </w:r>
      <w:r w:rsidR="00B50298" w:rsidRPr="00BD22C2">
        <w:rPr>
          <w:rStyle w:val="normaltextrun"/>
          <w:lang w:val="fr-CA"/>
        </w:rPr>
        <w:t xml:space="preserve"> lutte </w:t>
      </w:r>
      <w:r w:rsidR="00463895" w:rsidRPr="00BD22C2">
        <w:rPr>
          <w:rStyle w:val="normaltextrun"/>
          <w:lang w:val="fr-CA"/>
        </w:rPr>
        <w:t>contre</w:t>
      </w:r>
      <w:r w:rsidR="00B50298" w:rsidRPr="00BD22C2">
        <w:rPr>
          <w:rStyle w:val="normaltextrun"/>
          <w:lang w:val="fr-CA"/>
        </w:rPr>
        <w:t xml:space="preserve"> la transphobie </w:t>
      </w:r>
      <w:r w:rsidR="00153DDD" w:rsidRPr="00BD22C2">
        <w:rPr>
          <w:rStyle w:val="normaltextrun"/>
          <w:lang w:val="fr-CA"/>
        </w:rPr>
        <w:t xml:space="preserve">de même </w:t>
      </w:r>
      <w:r w:rsidR="00164CBC" w:rsidRPr="00BD22C2">
        <w:rPr>
          <w:rStyle w:val="normaltextrun"/>
          <w:lang w:val="fr-CA"/>
        </w:rPr>
        <w:t>qu’</w:t>
      </w:r>
      <w:r w:rsidR="00872E90" w:rsidRPr="00BD22C2">
        <w:rPr>
          <w:rStyle w:val="normaltextrun"/>
          <w:lang w:val="fr-CA"/>
        </w:rPr>
        <w:t xml:space="preserve">au questionnement de la cisnormativité </w:t>
      </w:r>
      <w:r w:rsidR="001A55E9" w:rsidRPr="00BD22C2">
        <w:rPr>
          <w:rStyle w:val="normaltextrun"/>
          <w:lang w:val="fr-CA"/>
        </w:rPr>
        <w:t>que le Bureau de lutte contre l’homophobie et la transphobie définit comme étant :</w:t>
      </w:r>
    </w:p>
    <w:p w14:paraId="3D57816C" w14:textId="7226042B" w:rsidR="004D384D" w:rsidRPr="00BD22C2" w:rsidRDefault="001A55E9" w:rsidP="001E26FD">
      <w:pPr>
        <w:pStyle w:val="Citation"/>
        <w:rPr>
          <w:rStyle w:val="eop"/>
          <w:rFonts w:cs="Arial"/>
          <w:szCs w:val="20"/>
          <w:shd w:val="clear" w:color="auto" w:fill="FFFFFF"/>
        </w:rPr>
      </w:pPr>
      <w:r w:rsidRPr="00BD22C2">
        <w:rPr>
          <w:rStyle w:val="normaltextrun"/>
          <w:rFonts w:cs="Arial"/>
          <w:szCs w:val="20"/>
          <w:shd w:val="clear" w:color="auto" w:fill="FFFFFF"/>
        </w:rPr>
        <w:t>«</w:t>
      </w:r>
      <w:r w:rsidR="0051216B" w:rsidRPr="00BD22C2">
        <w:rPr>
          <w:rStyle w:val="normaltextrun"/>
          <w:rFonts w:cs="Arial"/>
          <w:szCs w:val="20"/>
          <w:shd w:val="clear" w:color="auto" w:fill="FFFFFF"/>
        </w:rPr>
        <w:t> </w:t>
      </w:r>
      <w:r w:rsidR="007F206A" w:rsidRPr="00BD22C2">
        <w:t xml:space="preserve">Système de normes et de croyances souvent implicites et inconscientes qui renforce l’imposition de l’identité cisgenre </w:t>
      </w:r>
      <w:r w:rsidR="00541F29" w:rsidRPr="00BD22C2">
        <w:t xml:space="preserve">[soit la correspondance entre l’identité de genre et </w:t>
      </w:r>
      <w:r w:rsidR="00616604" w:rsidRPr="00BD22C2">
        <w:t xml:space="preserve">le sexe assigné à la naissance] </w:t>
      </w:r>
      <w:r w:rsidR="007F206A" w:rsidRPr="00BD22C2">
        <w:t>comme seul mode de vie ou seule identité de genre légitime. La cisnormativité repose soit sur l’effacement des personnes trans, soit sur un préjugé favorable envers les personnes cisgenres, ou encore sur ces deux prémisses</w:t>
      </w:r>
      <w:r w:rsidR="007F206A" w:rsidRPr="00BD22C2">
        <w:rPr>
          <w:rStyle w:val="normaltextrun"/>
          <w:rFonts w:cs="Arial"/>
          <w:szCs w:val="20"/>
          <w:shd w:val="clear" w:color="auto" w:fill="FFFFFF"/>
        </w:rPr>
        <w:t>.</w:t>
      </w:r>
      <w:r w:rsidR="0051216B" w:rsidRPr="00BD22C2">
        <w:rPr>
          <w:rStyle w:val="normaltextrun"/>
          <w:rFonts w:cs="Arial"/>
          <w:szCs w:val="20"/>
          <w:shd w:val="clear" w:color="auto" w:fill="FFFFFF"/>
        </w:rPr>
        <w:t> </w:t>
      </w:r>
      <w:r w:rsidR="007F206A" w:rsidRPr="00BD22C2">
        <w:rPr>
          <w:rStyle w:val="normaltextrun"/>
          <w:rFonts w:cs="Arial"/>
          <w:szCs w:val="20"/>
          <w:shd w:val="clear" w:color="auto" w:fill="FFFFFF"/>
        </w:rPr>
        <w:t>»</w:t>
      </w:r>
      <w:r w:rsidR="00327199" w:rsidRPr="00BD22C2">
        <w:rPr>
          <w:rStyle w:val="Appeldenotedefin"/>
          <w:rFonts w:cs="Arial"/>
          <w:szCs w:val="20"/>
          <w:shd w:val="clear" w:color="auto" w:fill="FFFFFF"/>
        </w:rPr>
        <w:endnoteReference w:id="447"/>
      </w:r>
    </w:p>
    <w:p w14:paraId="610CCEFE" w14:textId="530E9ADD" w:rsidR="004D384D" w:rsidRPr="00BD22C2" w:rsidRDefault="004D384D" w:rsidP="00595195">
      <w:pPr>
        <w:pStyle w:val="Paragraphe"/>
        <w:rPr>
          <w:rStyle w:val="normaltextrun"/>
          <w:rFonts w:cs="Arial"/>
          <w:lang w:val="fr-CA"/>
        </w:rPr>
      </w:pPr>
      <w:r w:rsidRPr="00BD22C2">
        <w:rPr>
          <w:lang w:val="fr-CA"/>
        </w:rPr>
        <w:t xml:space="preserve">L’éducation aux droits et libertés concerne en outre divers secteurs complémentaires de la société, comme en témoigne le Programme mondial en faveur de l’éducation aux droits de l’homme. Au courant des vingt dernières années, celui-ci s’est déployé en s’intéressant </w:t>
      </w:r>
      <w:r w:rsidR="00567444" w:rsidRPr="00BD22C2">
        <w:rPr>
          <w:lang w:val="fr-CA"/>
        </w:rPr>
        <w:t xml:space="preserve">successivement </w:t>
      </w:r>
      <w:r w:rsidR="0071132A" w:rsidRPr="00BD22C2">
        <w:rPr>
          <w:lang w:val="fr-CA"/>
        </w:rPr>
        <w:t>au</w:t>
      </w:r>
      <w:r w:rsidRPr="00BD22C2">
        <w:rPr>
          <w:lang w:val="fr-CA"/>
        </w:rPr>
        <w:t xml:space="preserve"> milieu scolaire, à la fonction publique, aux services policiers, au système </w:t>
      </w:r>
      <w:r w:rsidRPr="00BD22C2">
        <w:rPr>
          <w:lang w:val="fr-CA"/>
        </w:rPr>
        <w:lastRenderedPageBreak/>
        <w:t>d’enseignement supérieur et aux membres des médias</w:t>
      </w:r>
      <w:r w:rsidR="00A7338C" w:rsidRPr="00BD22C2">
        <w:rPr>
          <w:lang w:val="fr-CA"/>
        </w:rPr>
        <w:t xml:space="preserve">. </w:t>
      </w:r>
      <w:r w:rsidR="009A1DCE" w:rsidRPr="00BD22C2">
        <w:rPr>
          <w:lang w:val="fr-CA"/>
        </w:rPr>
        <w:t>Dernièrement</w:t>
      </w:r>
      <w:r w:rsidR="00A7338C" w:rsidRPr="00BD22C2">
        <w:rPr>
          <w:lang w:val="fr-CA"/>
        </w:rPr>
        <w:t xml:space="preserve">, </w:t>
      </w:r>
      <w:r w:rsidR="0053199D" w:rsidRPr="00BD22C2">
        <w:rPr>
          <w:lang w:val="fr-CA"/>
        </w:rPr>
        <w:t xml:space="preserve">ce programme </w:t>
      </w:r>
      <w:r w:rsidR="00A7338C" w:rsidRPr="00BD22C2">
        <w:rPr>
          <w:lang w:val="fr-CA"/>
        </w:rPr>
        <w:t xml:space="preserve">a entrepris </w:t>
      </w:r>
      <w:r w:rsidR="004A303E" w:rsidRPr="00BD22C2">
        <w:rPr>
          <w:lang w:val="fr-CA"/>
        </w:rPr>
        <w:t xml:space="preserve">une </w:t>
      </w:r>
      <w:r w:rsidR="001C1606" w:rsidRPr="00BD22C2">
        <w:rPr>
          <w:lang w:val="fr-CA"/>
        </w:rPr>
        <w:t xml:space="preserve">quatrième </w:t>
      </w:r>
      <w:r w:rsidR="004A303E" w:rsidRPr="00BD22C2">
        <w:rPr>
          <w:lang w:val="fr-CA"/>
        </w:rPr>
        <w:t xml:space="preserve">phase </w:t>
      </w:r>
      <w:r w:rsidR="00F13D3F" w:rsidRPr="00BD22C2">
        <w:rPr>
          <w:lang w:val="fr-CA"/>
        </w:rPr>
        <w:t xml:space="preserve">se concentrant sur </w:t>
      </w:r>
      <w:r w:rsidR="00EE1176" w:rsidRPr="00BD22C2">
        <w:rPr>
          <w:lang w:val="fr-CA"/>
        </w:rPr>
        <w:t xml:space="preserve">l’apport de l’éducation aux droits </w:t>
      </w:r>
      <w:r w:rsidR="004B2A86" w:rsidRPr="00BD22C2">
        <w:rPr>
          <w:lang w:val="fr-CA"/>
        </w:rPr>
        <w:t xml:space="preserve">au regard de </w:t>
      </w:r>
      <w:r w:rsidR="00F13D3F" w:rsidRPr="00BD22C2">
        <w:rPr>
          <w:lang w:val="fr-CA"/>
        </w:rPr>
        <w:t>l’autonomisation des jeunes</w:t>
      </w:r>
      <w:r w:rsidR="00892FD0" w:rsidRPr="00BD22C2">
        <w:rPr>
          <w:rStyle w:val="Appeldenotedefin"/>
          <w:rFonts w:cs="Arial"/>
          <w:lang w:val="fr-CA"/>
        </w:rPr>
        <w:endnoteReference w:id="448"/>
      </w:r>
      <w:r w:rsidR="00C2522E" w:rsidRPr="00BD22C2">
        <w:rPr>
          <w:rStyle w:val="normaltextrun"/>
          <w:rFonts w:cs="Arial"/>
          <w:lang w:val="fr-CA"/>
        </w:rPr>
        <w:t>.</w:t>
      </w:r>
    </w:p>
    <w:p w14:paraId="19D438C2" w14:textId="1874BFDD" w:rsidR="00C75530" w:rsidRPr="006E191C" w:rsidRDefault="00CB4352" w:rsidP="200D37BA">
      <w:pPr>
        <w:pStyle w:val="Paragraphe"/>
        <w:rPr>
          <w:rStyle w:val="normaltextrun"/>
          <w:lang w:val="fr-CA"/>
        </w:rPr>
      </w:pPr>
      <w:r w:rsidRPr="00594204">
        <w:rPr>
          <w:rStyle w:val="normaltextrun"/>
          <w:lang w:val="fr-CA"/>
        </w:rPr>
        <w:t xml:space="preserve">Si </w:t>
      </w:r>
      <w:r w:rsidR="00CE7D1C" w:rsidRPr="00594204">
        <w:rPr>
          <w:rStyle w:val="normaltextrun"/>
          <w:lang w:val="fr-CA"/>
        </w:rPr>
        <w:t xml:space="preserve">l’éducation aux droits </w:t>
      </w:r>
      <w:r w:rsidR="0078418D" w:rsidRPr="00594204">
        <w:rPr>
          <w:rStyle w:val="normaltextrun"/>
          <w:lang w:val="fr-CA"/>
        </w:rPr>
        <w:t xml:space="preserve">appliquée à </w:t>
      </w:r>
      <w:r w:rsidRPr="00594204">
        <w:rPr>
          <w:rStyle w:val="normaltextrun"/>
          <w:lang w:val="fr-CA"/>
        </w:rPr>
        <w:t>l</w:t>
      </w:r>
      <w:r w:rsidR="007F6AEA" w:rsidRPr="00594204">
        <w:rPr>
          <w:rStyle w:val="normaltextrun"/>
          <w:lang w:val="fr-CA"/>
        </w:rPr>
        <w:t xml:space="preserve">’ensemble de ces secteurs </w:t>
      </w:r>
      <w:r w:rsidR="004A0CA0" w:rsidRPr="00594204">
        <w:rPr>
          <w:rStyle w:val="normaltextrun"/>
          <w:lang w:val="fr-CA"/>
        </w:rPr>
        <w:t xml:space="preserve">peut </w:t>
      </w:r>
      <w:r w:rsidR="0003131D" w:rsidRPr="00594204">
        <w:rPr>
          <w:rStyle w:val="normaltextrun"/>
          <w:lang w:val="fr-CA"/>
        </w:rPr>
        <w:t xml:space="preserve">contribuer à </w:t>
      </w:r>
      <w:r w:rsidR="001C3D57" w:rsidRPr="00594204">
        <w:rPr>
          <w:rStyle w:val="normaltextrun"/>
          <w:lang w:val="fr-CA"/>
        </w:rPr>
        <w:t xml:space="preserve">l’inclusion et </w:t>
      </w:r>
      <w:r w:rsidR="00321D15" w:rsidRPr="00594204">
        <w:rPr>
          <w:rStyle w:val="normaltextrun"/>
          <w:lang w:val="fr-CA"/>
        </w:rPr>
        <w:t>l’égalité réelle</w:t>
      </w:r>
      <w:r w:rsidR="001C3D57" w:rsidRPr="00594204">
        <w:rPr>
          <w:rStyle w:val="normaltextrun"/>
          <w:lang w:val="fr-CA"/>
        </w:rPr>
        <w:t xml:space="preserve"> des personnes trans et non binaires, n</w:t>
      </w:r>
      <w:r w:rsidR="004D384D" w:rsidRPr="00594204">
        <w:rPr>
          <w:rStyle w:val="normaltextrun"/>
          <w:lang w:val="fr-CA"/>
        </w:rPr>
        <w:t>otre propos</w:t>
      </w:r>
      <w:r w:rsidR="0078418D" w:rsidRPr="00594204">
        <w:rPr>
          <w:rStyle w:val="normaltextrun"/>
          <w:lang w:val="fr-CA"/>
        </w:rPr>
        <w:t xml:space="preserve"> dans le cadre de ce mémoire</w:t>
      </w:r>
      <w:r w:rsidR="004D384D" w:rsidRPr="00594204">
        <w:rPr>
          <w:rStyle w:val="normaltextrun"/>
          <w:lang w:val="fr-CA"/>
        </w:rPr>
        <w:t xml:space="preserve"> se concentre</w:t>
      </w:r>
      <w:r w:rsidR="00FA4E1A" w:rsidRPr="00594204">
        <w:rPr>
          <w:rStyle w:val="normaltextrun"/>
          <w:lang w:val="fr-CA"/>
        </w:rPr>
        <w:t xml:space="preserve"> </w:t>
      </w:r>
      <w:r w:rsidR="002A60E1" w:rsidRPr="00594204">
        <w:rPr>
          <w:rStyle w:val="normaltextrun"/>
          <w:lang w:val="fr-CA"/>
        </w:rPr>
        <w:t>plus spécifiquement</w:t>
      </w:r>
      <w:r w:rsidR="004D384D" w:rsidRPr="00594204">
        <w:rPr>
          <w:rStyle w:val="normaltextrun"/>
          <w:lang w:val="fr-CA"/>
        </w:rPr>
        <w:t xml:space="preserve"> sur l’espace </w:t>
      </w:r>
      <w:r w:rsidR="00E65D16" w:rsidRPr="00594204">
        <w:rPr>
          <w:rStyle w:val="normaltextrun"/>
          <w:lang w:val="fr-CA"/>
        </w:rPr>
        <w:t>qu’elle</w:t>
      </w:r>
      <w:r w:rsidR="004D384D" w:rsidRPr="00594204">
        <w:rPr>
          <w:rStyle w:val="normaltextrun"/>
          <w:lang w:val="fr-CA"/>
        </w:rPr>
        <w:t xml:space="preserve"> devrait occuper à l’intérieur des institutions publiques, pour s’</w:t>
      </w:r>
      <w:r w:rsidR="00B51D9A" w:rsidRPr="00594204">
        <w:rPr>
          <w:rStyle w:val="normaltextrun"/>
          <w:lang w:val="fr-CA"/>
        </w:rPr>
        <w:t>in</w:t>
      </w:r>
      <w:r w:rsidR="004D384D" w:rsidRPr="00594204">
        <w:rPr>
          <w:rStyle w:val="normaltextrun"/>
          <w:lang w:val="fr-CA"/>
        </w:rPr>
        <w:t xml:space="preserve">téresser ensuite </w:t>
      </w:r>
      <w:r w:rsidR="00E636FF" w:rsidRPr="00594204">
        <w:rPr>
          <w:rStyle w:val="normaltextrun"/>
          <w:lang w:val="fr-CA"/>
        </w:rPr>
        <w:t xml:space="preserve">à </w:t>
      </w:r>
      <w:r w:rsidR="00523583" w:rsidRPr="00594204">
        <w:rPr>
          <w:rStyle w:val="normaltextrun"/>
          <w:lang w:val="fr-CA"/>
        </w:rPr>
        <w:t>sa diffusion</w:t>
      </w:r>
      <w:r w:rsidR="00314A3E" w:rsidRPr="00594204">
        <w:rPr>
          <w:rStyle w:val="normaltextrun"/>
          <w:lang w:val="fr-CA"/>
        </w:rPr>
        <w:t xml:space="preserve"> </w:t>
      </w:r>
      <w:r w:rsidR="00ED623A" w:rsidRPr="00594204">
        <w:rPr>
          <w:rStyle w:val="normaltextrun"/>
          <w:lang w:val="fr-CA"/>
        </w:rPr>
        <w:t xml:space="preserve">et sa mise en œuvre </w:t>
      </w:r>
      <w:r w:rsidR="00523583" w:rsidRPr="00594204">
        <w:rPr>
          <w:rStyle w:val="normaltextrun"/>
          <w:lang w:val="fr-CA"/>
        </w:rPr>
        <w:t xml:space="preserve">à l’intérieur </w:t>
      </w:r>
      <w:r w:rsidR="004D384D" w:rsidRPr="00594204">
        <w:rPr>
          <w:rStyle w:val="normaltextrun"/>
          <w:lang w:val="fr-CA"/>
        </w:rPr>
        <w:t>système d’enseignement primaire et secondaire</w:t>
      </w:r>
      <w:r w:rsidR="00DC393C" w:rsidRPr="00594204">
        <w:rPr>
          <w:rStyle w:val="normaltextrun"/>
          <w:lang w:val="fr-CA"/>
        </w:rPr>
        <w:t xml:space="preserve">. </w:t>
      </w:r>
      <w:r w:rsidR="006559F6" w:rsidRPr="00594204">
        <w:rPr>
          <w:rStyle w:val="normaltextrun"/>
          <w:lang w:val="fr-CA"/>
        </w:rPr>
        <w:t xml:space="preserve"> </w:t>
      </w:r>
    </w:p>
    <w:p w14:paraId="436DE068" w14:textId="41344836" w:rsidR="004D384D" w:rsidRPr="00BD22C2" w:rsidRDefault="00E964C7" w:rsidP="00595195">
      <w:pPr>
        <w:pStyle w:val="Paragraphe"/>
        <w:rPr>
          <w:rStyle w:val="normaltextrun"/>
          <w:rFonts w:cs="Arial"/>
          <w:lang w:val="fr-CA"/>
        </w:rPr>
      </w:pPr>
      <w:r w:rsidRPr="00BD22C2">
        <w:rPr>
          <w:rStyle w:val="normaltextrun"/>
          <w:rFonts w:cs="Arial"/>
          <w:lang w:val="fr-CA"/>
        </w:rPr>
        <w:t>Concernant</w:t>
      </w:r>
      <w:r w:rsidR="009C695C" w:rsidRPr="00BD22C2">
        <w:rPr>
          <w:rStyle w:val="normaltextrun"/>
          <w:rFonts w:cs="Arial"/>
          <w:lang w:val="fr-CA"/>
        </w:rPr>
        <w:t xml:space="preserve"> le secteur de l’enseignement, nous faisons</w:t>
      </w:r>
      <w:r w:rsidR="002658FE" w:rsidRPr="00BD22C2">
        <w:rPr>
          <w:rStyle w:val="normaltextrun"/>
          <w:rFonts w:cs="Arial"/>
          <w:lang w:val="fr-CA"/>
        </w:rPr>
        <w:t xml:space="preserve"> ressortir </w:t>
      </w:r>
      <w:r w:rsidR="00E77F77" w:rsidRPr="00BD22C2">
        <w:rPr>
          <w:rStyle w:val="normaltextrun"/>
          <w:rFonts w:cs="Arial"/>
          <w:lang w:val="fr-CA"/>
        </w:rPr>
        <w:t xml:space="preserve">l’affinité entre </w:t>
      </w:r>
      <w:r w:rsidR="00F10DBA" w:rsidRPr="00BD22C2">
        <w:rPr>
          <w:rStyle w:val="normaltextrun"/>
          <w:rFonts w:cs="Arial"/>
          <w:lang w:val="fr-CA"/>
        </w:rPr>
        <w:t>l’</w:t>
      </w:r>
      <w:r w:rsidR="00E77F77" w:rsidRPr="00BD22C2">
        <w:rPr>
          <w:rStyle w:val="normaltextrun"/>
          <w:rFonts w:cs="Arial"/>
          <w:lang w:val="fr-CA"/>
        </w:rPr>
        <w:t xml:space="preserve">éducation aux droits </w:t>
      </w:r>
      <w:r w:rsidR="00F10DBA" w:rsidRPr="00BD22C2">
        <w:rPr>
          <w:rStyle w:val="normaltextrun"/>
          <w:rFonts w:cs="Arial"/>
          <w:lang w:val="fr-CA"/>
        </w:rPr>
        <w:t>et</w:t>
      </w:r>
      <w:r w:rsidR="00E77F77" w:rsidRPr="00BD22C2">
        <w:rPr>
          <w:rStyle w:val="normaltextrun"/>
          <w:rFonts w:cs="Arial"/>
          <w:lang w:val="fr-CA"/>
        </w:rPr>
        <w:t xml:space="preserve"> les </w:t>
      </w:r>
      <w:r w:rsidR="00E77F77" w:rsidRPr="00BD22C2">
        <w:rPr>
          <w:rStyle w:val="normaltextrun"/>
          <w:rFonts w:cs="Arial"/>
          <w:i/>
          <w:iCs/>
          <w:lang w:val="fr-CA"/>
        </w:rPr>
        <w:t>Principes directeurs internationa</w:t>
      </w:r>
      <w:r w:rsidR="00F10DBA" w:rsidRPr="00BD22C2">
        <w:rPr>
          <w:rStyle w:val="normaltextrun"/>
          <w:rFonts w:cs="Arial"/>
          <w:i/>
          <w:iCs/>
          <w:lang w:val="fr-CA"/>
        </w:rPr>
        <w:t>ux sur l’éducation sexuelle</w:t>
      </w:r>
      <w:r w:rsidR="005C55B6" w:rsidRPr="00BD22C2">
        <w:rPr>
          <w:rStyle w:val="normaltextrun"/>
          <w:rFonts w:cs="Arial"/>
          <w:lang w:val="fr-CA"/>
        </w:rPr>
        <w:t xml:space="preserve"> de l’UNESCO</w:t>
      </w:r>
      <w:r w:rsidR="00906D73" w:rsidRPr="00BD22C2">
        <w:rPr>
          <w:rStyle w:val="normaltextrun"/>
          <w:rFonts w:cs="Arial"/>
          <w:lang w:val="fr-CA"/>
        </w:rPr>
        <w:t>, des principes</w:t>
      </w:r>
      <w:r w:rsidR="001D7016" w:rsidRPr="00BD22C2">
        <w:rPr>
          <w:rStyle w:val="normaltextrun"/>
          <w:rFonts w:cs="Arial"/>
          <w:lang w:val="fr-CA"/>
        </w:rPr>
        <w:t> </w:t>
      </w:r>
      <w:r w:rsidR="00FB024D" w:rsidRPr="00BD22C2">
        <w:rPr>
          <w:rStyle w:val="normaltextrun"/>
          <w:rFonts w:cs="Arial"/>
          <w:lang w:val="fr-CA"/>
        </w:rPr>
        <w:t>élaborés</w:t>
      </w:r>
      <w:r w:rsidR="001D7016" w:rsidRPr="00BD22C2">
        <w:rPr>
          <w:rStyle w:val="normaltextrun"/>
          <w:rFonts w:cs="Arial"/>
          <w:lang w:val="fr-CA"/>
        </w:rPr>
        <w:t xml:space="preserve"> de </w:t>
      </w:r>
      <w:r w:rsidR="00356EA0" w:rsidRPr="00BD22C2">
        <w:rPr>
          <w:rStyle w:val="normaltextrun"/>
          <w:rFonts w:cs="Arial"/>
          <w:lang w:val="fr-CA"/>
        </w:rPr>
        <w:t>façon</w:t>
      </w:r>
      <w:r w:rsidR="001D7016" w:rsidRPr="00BD22C2">
        <w:rPr>
          <w:rStyle w:val="normaltextrun"/>
          <w:rFonts w:cs="Arial"/>
          <w:lang w:val="fr-CA"/>
        </w:rPr>
        <w:t xml:space="preserve"> indépendante sur la base </w:t>
      </w:r>
      <w:r w:rsidR="00BE502A" w:rsidRPr="00BD22C2">
        <w:rPr>
          <w:rStyle w:val="normaltextrun"/>
          <w:rFonts w:cs="Arial"/>
          <w:lang w:val="fr-CA"/>
        </w:rPr>
        <w:t>de</w:t>
      </w:r>
      <w:r w:rsidR="00356EA0" w:rsidRPr="00BD22C2">
        <w:rPr>
          <w:rStyle w:val="normaltextrun"/>
          <w:rFonts w:cs="Arial"/>
          <w:lang w:val="fr-CA"/>
        </w:rPr>
        <w:t xml:space="preserve"> </w:t>
      </w:r>
      <w:r w:rsidR="00FB024D" w:rsidRPr="00BD22C2">
        <w:rPr>
          <w:rStyle w:val="normaltextrun"/>
          <w:rFonts w:cs="Arial"/>
          <w:lang w:val="fr-CA"/>
        </w:rPr>
        <w:t>données factuelles</w:t>
      </w:r>
      <w:r w:rsidR="00BE502A" w:rsidRPr="00BD22C2">
        <w:rPr>
          <w:rStyle w:val="normaltextrun"/>
          <w:rFonts w:cs="Arial"/>
          <w:lang w:val="fr-CA"/>
        </w:rPr>
        <w:t xml:space="preserve">, </w:t>
      </w:r>
      <w:r w:rsidR="004021F5" w:rsidRPr="00BD22C2">
        <w:rPr>
          <w:rStyle w:val="normaltextrun"/>
          <w:rFonts w:cs="Arial"/>
          <w:lang w:val="fr-CA"/>
        </w:rPr>
        <w:t xml:space="preserve">et </w:t>
      </w:r>
      <w:r w:rsidRPr="00BD22C2">
        <w:rPr>
          <w:rStyle w:val="normaltextrun"/>
          <w:rFonts w:cs="Arial"/>
          <w:lang w:val="fr-CA"/>
        </w:rPr>
        <w:t>démontr</w:t>
      </w:r>
      <w:r w:rsidR="00FB024D" w:rsidRPr="00BD22C2">
        <w:rPr>
          <w:rStyle w:val="normaltextrun"/>
          <w:rFonts w:cs="Arial"/>
          <w:lang w:val="fr-CA"/>
        </w:rPr>
        <w:t>a</w:t>
      </w:r>
      <w:r w:rsidR="00906D73" w:rsidRPr="00BD22C2">
        <w:rPr>
          <w:rStyle w:val="normaltextrun"/>
          <w:rFonts w:cs="Arial"/>
          <w:lang w:val="fr-CA"/>
        </w:rPr>
        <w:t>nt</w:t>
      </w:r>
      <w:r w:rsidRPr="00BD22C2">
        <w:rPr>
          <w:rStyle w:val="normaltextrun"/>
          <w:rFonts w:cs="Arial"/>
          <w:lang w:val="fr-CA"/>
        </w:rPr>
        <w:t xml:space="preserve"> qu</w:t>
      </w:r>
      <w:proofErr w:type="gramStart"/>
      <w:r w:rsidRPr="00BD22C2">
        <w:rPr>
          <w:rStyle w:val="normaltextrun"/>
          <w:rFonts w:cs="Arial"/>
          <w:lang w:val="fr-CA"/>
        </w:rPr>
        <w:t>’«</w:t>
      </w:r>
      <w:proofErr w:type="gramEnd"/>
      <w:r w:rsidR="0051216B" w:rsidRPr="00BD22C2">
        <w:rPr>
          <w:rStyle w:val="normaltextrun"/>
          <w:rFonts w:cs="Arial"/>
          <w:lang w:val="fr-CA"/>
        </w:rPr>
        <w:t> </w:t>
      </w:r>
      <w:r w:rsidRPr="00BD22C2">
        <w:rPr>
          <w:rStyle w:val="normaltextrun"/>
          <w:rFonts w:cs="Arial"/>
          <w:lang w:val="fr-CA"/>
        </w:rPr>
        <w:t>éducation de qualité, bonne santé, bien-être, égalité des genres et droits humains sont étroitement liés</w:t>
      </w:r>
      <w:r w:rsidR="0051216B" w:rsidRPr="00BD22C2">
        <w:rPr>
          <w:rStyle w:val="normaltextrun"/>
          <w:rFonts w:cs="Arial"/>
          <w:lang w:val="fr-CA"/>
        </w:rPr>
        <w:t> </w:t>
      </w:r>
      <w:r w:rsidRPr="00BD22C2">
        <w:rPr>
          <w:rStyle w:val="normaltextrun"/>
          <w:rFonts w:cs="Arial"/>
          <w:lang w:val="fr-CA"/>
        </w:rPr>
        <w:t>»</w:t>
      </w:r>
      <w:bookmarkStart w:id="183" w:name="_Ref166748974"/>
      <w:r w:rsidRPr="00BD22C2">
        <w:rPr>
          <w:rStyle w:val="Appeldenotedefin"/>
          <w:rFonts w:cs="Arial"/>
          <w:lang w:val="fr-CA"/>
        </w:rPr>
        <w:endnoteReference w:id="449"/>
      </w:r>
      <w:bookmarkEnd w:id="183"/>
      <w:r w:rsidRPr="00BD22C2">
        <w:rPr>
          <w:rStyle w:val="normaltextrun"/>
          <w:rFonts w:cs="Arial"/>
          <w:lang w:val="fr-CA"/>
        </w:rPr>
        <w:t xml:space="preserve">. </w:t>
      </w:r>
    </w:p>
    <w:p w14:paraId="6946D277" w14:textId="77777777" w:rsidR="004D384D" w:rsidRPr="00BD22C2" w:rsidRDefault="004D384D" w:rsidP="00EF1CB2">
      <w:pPr>
        <w:pStyle w:val="Titre2"/>
        <w:rPr>
          <w:rFonts w:eastAsia="Calibri"/>
          <w:lang w:eastAsia="en-US"/>
        </w:rPr>
      </w:pPr>
      <w:bookmarkStart w:id="184" w:name="_Toc165301048"/>
      <w:bookmarkStart w:id="185" w:name="_Toc165636131"/>
      <w:r w:rsidRPr="00BD22C2">
        <w:rPr>
          <w:rStyle w:val="normaltextrun"/>
          <w:rFonts w:cs="Arial"/>
          <w:bCs/>
          <w:color w:val="000000"/>
        </w:rPr>
        <w:t>La diffusion de l’éducation aux droits et libertés dans les institutions publiques</w:t>
      </w:r>
      <w:bookmarkEnd w:id="184"/>
      <w:bookmarkEnd w:id="185"/>
      <w:r w:rsidRPr="00BD22C2">
        <w:rPr>
          <w:rStyle w:val="normaltextrun"/>
          <w:rFonts w:cs="Arial"/>
          <w:bCs/>
          <w:color w:val="000000"/>
        </w:rPr>
        <w:t xml:space="preserve"> </w:t>
      </w:r>
    </w:p>
    <w:p w14:paraId="5D051385" w14:textId="77777777" w:rsidR="004D384D" w:rsidRPr="00BD22C2" w:rsidRDefault="004D384D" w:rsidP="00595195">
      <w:pPr>
        <w:pStyle w:val="Paragraphe"/>
        <w:rPr>
          <w:rFonts w:eastAsia="Calibri"/>
          <w:lang w:val="fr-CA" w:eastAsia="en-US"/>
        </w:rPr>
      </w:pPr>
      <w:r w:rsidRPr="00BD22C2">
        <w:rPr>
          <w:rFonts w:eastAsia="Calibri"/>
          <w:lang w:val="fr-CA" w:eastAsia="en-US"/>
        </w:rPr>
        <w:t>La formation de l’ensemble du personnel des institutions publiques aux questions relatives aux droits et libertés ainsi qu’aux mécanismes de protection existants demeure fondamentale pour s’assurer du caractère inclusif de ces milieux et pour combattre la discrimination possiblement à l’œuvre dans leur environnement interne</w:t>
      </w:r>
      <w:bookmarkStart w:id="186" w:name="_Ref166749061"/>
      <w:r w:rsidRPr="00BD22C2">
        <w:rPr>
          <w:rStyle w:val="Appeldenotedefin"/>
          <w:rFonts w:eastAsia="Calibri"/>
          <w:lang w:val="fr-CA" w:eastAsia="en-US"/>
        </w:rPr>
        <w:endnoteReference w:id="450"/>
      </w:r>
      <w:bookmarkEnd w:id="186"/>
      <w:r w:rsidRPr="00BD22C2">
        <w:rPr>
          <w:rFonts w:eastAsia="Calibri"/>
          <w:lang w:val="fr-CA" w:eastAsia="en-US"/>
        </w:rPr>
        <w:t xml:space="preserve">. </w:t>
      </w:r>
    </w:p>
    <w:p w14:paraId="26CAAB90" w14:textId="12B0D7EC" w:rsidR="004D384D" w:rsidRPr="00BD22C2" w:rsidRDefault="000267BC" w:rsidP="00595195">
      <w:pPr>
        <w:pStyle w:val="Paragraphe"/>
        <w:rPr>
          <w:rFonts w:eastAsia="Calibri"/>
          <w:lang w:val="fr-CA" w:eastAsia="en-US"/>
        </w:rPr>
      </w:pPr>
      <w:r w:rsidRPr="00BD22C2">
        <w:rPr>
          <w:rFonts w:eastAsia="Calibri"/>
          <w:lang w:val="fr-CA" w:eastAsia="en-US"/>
        </w:rPr>
        <w:t>Selon la Commission,</w:t>
      </w:r>
      <w:r w:rsidR="00E72DDB" w:rsidRPr="00BD22C2">
        <w:rPr>
          <w:rFonts w:eastAsia="Calibri"/>
          <w:lang w:val="fr-CA" w:eastAsia="en-US"/>
        </w:rPr>
        <w:t xml:space="preserve"> </w:t>
      </w:r>
      <w:r w:rsidRPr="00BD22C2">
        <w:rPr>
          <w:rFonts w:eastAsia="Calibri"/>
          <w:lang w:val="fr-CA" w:eastAsia="en-US"/>
        </w:rPr>
        <w:t xml:space="preserve">ces </w:t>
      </w:r>
      <w:r w:rsidR="004D384D" w:rsidRPr="00BD22C2">
        <w:rPr>
          <w:rFonts w:eastAsia="Calibri"/>
          <w:lang w:val="fr-CA" w:eastAsia="en-US"/>
        </w:rPr>
        <w:t>formations devraient véhiculer une conception réelle de l’égalité, et ce, afin de s’assurer que l’ensemble des membres de leur clientèle puissent bénéficier concrètement des services auxquels ils ont droit. Ces formations devraient nécessairement comprendre un volet qui traite de l’identité et de l’expression de genre et de la transphobie.</w:t>
      </w:r>
    </w:p>
    <w:p w14:paraId="48246969" w14:textId="0B640012" w:rsidR="004D384D" w:rsidRPr="00BD22C2" w:rsidRDefault="004D384D" w:rsidP="00595195">
      <w:pPr>
        <w:pStyle w:val="Paragraphe"/>
        <w:rPr>
          <w:rFonts w:eastAsia="Calibri"/>
          <w:lang w:val="fr-CA" w:eastAsia="en-US"/>
        </w:rPr>
      </w:pPr>
      <w:r w:rsidRPr="00BD22C2">
        <w:rPr>
          <w:rFonts w:eastAsia="Calibri"/>
          <w:lang w:val="fr-CA" w:eastAsia="en-US"/>
        </w:rPr>
        <w:t xml:space="preserve">Parallèlement, </w:t>
      </w:r>
      <w:r w:rsidR="008303CA" w:rsidRPr="00BD22C2">
        <w:rPr>
          <w:rFonts w:eastAsia="Calibri"/>
          <w:lang w:val="fr-CA" w:eastAsia="en-US"/>
        </w:rPr>
        <w:t>ces formations devraient inviter à</w:t>
      </w:r>
      <w:r w:rsidRPr="00BD22C2">
        <w:rPr>
          <w:rFonts w:eastAsia="Calibri"/>
          <w:lang w:val="fr-CA" w:eastAsia="en-US"/>
        </w:rPr>
        <w:t xml:space="preserve"> porter une attention particulière </w:t>
      </w:r>
      <w:r w:rsidR="00E02E87" w:rsidRPr="00BD22C2">
        <w:rPr>
          <w:rFonts w:eastAsia="Calibri"/>
          <w:lang w:val="fr-CA" w:eastAsia="en-US"/>
        </w:rPr>
        <w:t>à la reconnaissance et à l’identification</w:t>
      </w:r>
      <w:r w:rsidRPr="00BD22C2">
        <w:rPr>
          <w:rFonts w:eastAsia="Calibri"/>
          <w:lang w:val="fr-CA" w:eastAsia="en-US"/>
        </w:rPr>
        <w:t xml:space="preserve"> </w:t>
      </w:r>
      <w:r w:rsidR="00E02E87" w:rsidRPr="00BD22C2">
        <w:rPr>
          <w:rFonts w:eastAsia="Calibri"/>
          <w:lang w:val="fr-CA" w:eastAsia="en-US"/>
        </w:rPr>
        <w:t>d</w:t>
      </w:r>
      <w:r w:rsidRPr="00BD22C2">
        <w:rPr>
          <w:rFonts w:eastAsia="Calibri"/>
          <w:lang w:val="fr-CA" w:eastAsia="en-US"/>
        </w:rPr>
        <w:t>es effets préjudiciables découlant de règles ou pratiques en apparence</w:t>
      </w:r>
      <w:r w:rsidR="0048330D" w:rsidRPr="00BD22C2">
        <w:rPr>
          <w:rFonts w:eastAsia="Calibri"/>
          <w:lang w:val="fr-CA" w:eastAsia="en-US"/>
        </w:rPr>
        <w:t xml:space="preserve"> neutre</w:t>
      </w:r>
      <w:r w:rsidR="007D09CF" w:rsidRPr="00BD22C2">
        <w:rPr>
          <w:rFonts w:eastAsia="Calibri"/>
          <w:lang w:val="fr-CA" w:eastAsia="en-US"/>
        </w:rPr>
        <w:t>s</w:t>
      </w:r>
      <w:r w:rsidR="0048330D" w:rsidRPr="00BD22C2">
        <w:rPr>
          <w:rFonts w:eastAsia="Calibri"/>
          <w:lang w:val="fr-CA" w:eastAsia="en-US"/>
        </w:rPr>
        <w:t xml:space="preserve"> </w:t>
      </w:r>
      <w:r w:rsidRPr="00BD22C2">
        <w:rPr>
          <w:rFonts w:eastAsia="Calibri"/>
          <w:lang w:val="fr-CA" w:eastAsia="en-US"/>
        </w:rPr>
        <w:t xml:space="preserve">qui, appliquées de manière identique, produisent néanmoins diverses discriminations auprès de certaines catégories de personnes. L’objectif devrait être de corriger ces règles, voire de les transformer. </w:t>
      </w:r>
    </w:p>
    <w:p w14:paraId="37ECC087" w14:textId="4E3DDF00" w:rsidR="004D384D" w:rsidRPr="00BD22C2" w:rsidRDefault="005F090B" w:rsidP="00595195">
      <w:pPr>
        <w:pStyle w:val="Paragraphe"/>
        <w:rPr>
          <w:rFonts w:eastAsia="Calibri"/>
          <w:lang w:val="fr-CA" w:eastAsia="en-US"/>
        </w:rPr>
      </w:pPr>
      <w:r w:rsidRPr="00BD22C2">
        <w:rPr>
          <w:rFonts w:eastAsia="Calibri"/>
          <w:lang w:val="fr-CA" w:eastAsia="en-US"/>
        </w:rPr>
        <w:t>C</w:t>
      </w:r>
      <w:r w:rsidR="004D384D" w:rsidRPr="00BD22C2">
        <w:rPr>
          <w:rFonts w:eastAsia="Calibri"/>
          <w:lang w:val="fr-CA" w:eastAsia="en-US"/>
        </w:rPr>
        <w:t xml:space="preserve">es formations </w:t>
      </w:r>
      <w:r w:rsidR="006D5B51" w:rsidRPr="00BD22C2">
        <w:rPr>
          <w:rFonts w:eastAsia="Calibri"/>
          <w:lang w:val="fr-CA" w:eastAsia="en-US"/>
        </w:rPr>
        <w:t xml:space="preserve">aux droits et libertés </w:t>
      </w:r>
      <w:r w:rsidR="004D384D" w:rsidRPr="00BD22C2">
        <w:rPr>
          <w:rFonts w:eastAsia="Calibri"/>
          <w:lang w:val="fr-CA" w:eastAsia="en-US"/>
        </w:rPr>
        <w:t xml:space="preserve">à l’intention du personnel des institutions publiques devraient </w:t>
      </w:r>
      <w:r w:rsidRPr="00BD22C2">
        <w:rPr>
          <w:rFonts w:eastAsia="Calibri"/>
          <w:lang w:val="fr-CA" w:eastAsia="en-US"/>
        </w:rPr>
        <w:t>donc</w:t>
      </w:r>
      <w:r w:rsidR="004D384D" w:rsidRPr="00BD22C2">
        <w:rPr>
          <w:rFonts w:eastAsia="Calibri"/>
          <w:lang w:val="fr-CA" w:eastAsia="en-US"/>
        </w:rPr>
        <w:t xml:space="preserve"> prévoir une présentation de l’obligation d’accommodement raisonnable</w:t>
      </w:r>
      <w:r w:rsidR="00B9279E" w:rsidRPr="00BD22C2">
        <w:rPr>
          <w:rFonts w:eastAsia="Calibri"/>
          <w:lang w:val="fr-CA" w:eastAsia="en-US"/>
        </w:rPr>
        <w:t xml:space="preserve"> </w:t>
      </w:r>
      <w:r w:rsidR="00B9279E" w:rsidRPr="00BD22C2">
        <w:rPr>
          <w:rFonts w:eastAsia="Calibri"/>
          <w:lang w:val="fr-CA" w:eastAsia="en-US"/>
        </w:rPr>
        <w:lastRenderedPageBreak/>
        <w:t>précédemment expliquée</w:t>
      </w:r>
      <w:r w:rsidR="004D384D" w:rsidRPr="00BD22C2">
        <w:rPr>
          <w:rFonts w:eastAsia="Calibri"/>
          <w:lang w:val="fr-CA" w:eastAsia="en-US"/>
        </w:rPr>
        <w:t xml:space="preserve">, fondée entre autres sur l’identité et l’expression de genre, et sur les responsabilités qui incombent d’abord </w:t>
      </w:r>
      <w:r w:rsidR="000D6131" w:rsidRPr="00BD22C2">
        <w:rPr>
          <w:rFonts w:eastAsia="Calibri"/>
          <w:lang w:val="fr-CA" w:eastAsia="en-US"/>
        </w:rPr>
        <w:t xml:space="preserve">à ces </w:t>
      </w:r>
      <w:r w:rsidR="004D384D" w:rsidRPr="00BD22C2">
        <w:rPr>
          <w:rFonts w:eastAsia="Calibri"/>
          <w:lang w:val="fr-CA" w:eastAsia="en-US"/>
        </w:rPr>
        <w:t xml:space="preserve">institutions et à leurs dirigeants. La Commission tient à </w:t>
      </w:r>
      <w:r w:rsidR="00CC4C06" w:rsidRPr="00BD22C2">
        <w:rPr>
          <w:rFonts w:eastAsia="Calibri"/>
          <w:lang w:val="fr-CA" w:eastAsia="en-US"/>
        </w:rPr>
        <w:t>insister ici sur l’idée</w:t>
      </w:r>
      <w:r w:rsidR="00A86592" w:rsidRPr="00BD22C2" w:rsidDel="00CC4C06">
        <w:rPr>
          <w:rFonts w:eastAsia="Calibri"/>
          <w:lang w:val="fr-CA" w:eastAsia="en-US"/>
        </w:rPr>
        <w:t xml:space="preserve"> </w:t>
      </w:r>
      <w:r w:rsidR="00AA6469" w:rsidRPr="00BD22C2">
        <w:rPr>
          <w:rFonts w:eastAsia="Calibri"/>
          <w:lang w:val="fr-CA" w:eastAsia="en-US"/>
        </w:rPr>
        <w:t xml:space="preserve">selon laquelle </w:t>
      </w:r>
      <w:r w:rsidR="004D384D" w:rsidRPr="00BD22C2">
        <w:rPr>
          <w:rFonts w:eastAsia="Calibri"/>
          <w:lang w:val="fr-CA" w:eastAsia="en-US"/>
        </w:rPr>
        <w:t>l</w:t>
      </w:r>
      <w:r w:rsidR="004D384D" w:rsidRPr="00BD22C2">
        <w:rPr>
          <w:lang w:val="fr-CA"/>
        </w:rPr>
        <w:t>’obligation d’accommodement raisonnable répond au fait que «</w:t>
      </w:r>
      <w:r w:rsidR="00974BD5" w:rsidRPr="00BD22C2">
        <w:rPr>
          <w:lang w:val="fr-CA"/>
        </w:rPr>
        <w:t> </w:t>
      </w:r>
      <w:r w:rsidR="004D384D" w:rsidRPr="00BD22C2">
        <w:rPr>
          <w:lang w:val="fr-CA"/>
        </w:rPr>
        <w:t>[</w:t>
      </w:r>
      <w:r w:rsidR="003B361F" w:rsidRPr="00BD22C2">
        <w:rPr>
          <w:lang w:val="fr-CA"/>
        </w:rPr>
        <w:t>…</w:t>
      </w:r>
      <w:r w:rsidR="004D384D" w:rsidRPr="00BD22C2">
        <w:rPr>
          <w:lang w:val="fr-CA"/>
        </w:rPr>
        <w:t>] des normes peu sensibles aux particularismes peuvent avoir un effet d’exclusion sur les membres de certains groupes et compromettre ainsi leurs chances d’intégration à l’ensemble de la société</w:t>
      </w:r>
      <w:r w:rsidR="00974BD5" w:rsidRPr="00BD22C2">
        <w:rPr>
          <w:lang w:val="fr-CA"/>
        </w:rPr>
        <w:t> </w:t>
      </w:r>
      <w:r w:rsidR="004D384D" w:rsidRPr="00BD22C2">
        <w:rPr>
          <w:lang w:val="fr-CA"/>
        </w:rPr>
        <w:t>»</w:t>
      </w:r>
      <w:r w:rsidR="004D384D" w:rsidRPr="00BD22C2">
        <w:rPr>
          <w:rStyle w:val="Appeldenotedefin"/>
          <w:lang w:val="fr-CA"/>
        </w:rPr>
        <w:endnoteReference w:id="451"/>
      </w:r>
      <w:r w:rsidR="004D384D" w:rsidRPr="00BD22C2">
        <w:rPr>
          <w:lang w:val="fr-CA"/>
        </w:rPr>
        <w:t xml:space="preserve">. </w:t>
      </w:r>
      <w:r w:rsidR="0086325C" w:rsidRPr="00BD22C2">
        <w:rPr>
          <w:lang w:val="fr-CA"/>
        </w:rPr>
        <w:t xml:space="preserve">Précisons de même </w:t>
      </w:r>
      <w:r w:rsidR="0031113E" w:rsidRPr="00BD22C2">
        <w:rPr>
          <w:lang w:val="fr-CA"/>
        </w:rPr>
        <w:t>une fois de plus</w:t>
      </w:r>
      <w:r w:rsidR="0086325C" w:rsidRPr="00BD22C2">
        <w:rPr>
          <w:lang w:val="fr-CA"/>
        </w:rPr>
        <w:t xml:space="preserve"> : </w:t>
      </w:r>
      <w:r w:rsidR="004D384D" w:rsidRPr="00BD22C2">
        <w:rPr>
          <w:lang w:val="fr-CA"/>
        </w:rPr>
        <w:t xml:space="preserve">pour limiter la possibilité d’un accommodement, la mesure choisie </w:t>
      </w:r>
      <w:r w:rsidR="00CF3992" w:rsidRPr="00BD22C2">
        <w:rPr>
          <w:lang w:val="fr-CA"/>
        </w:rPr>
        <w:t xml:space="preserve">doit </w:t>
      </w:r>
      <w:r w:rsidR="004D384D" w:rsidRPr="00BD22C2">
        <w:rPr>
          <w:lang w:val="fr-CA"/>
        </w:rPr>
        <w:t>cause</w:t>
      </w:r>
      <w:r w:rsidR="00CF3992" w:rsidRPr="00BD22C2">
        <w:rPr>
          <w:lang w:val="fr-CA"/>
        </w:rPr>
        <w:t>r</w:t>
      </w:r>
      <w:r w:rsidR="004D384D" w:rsidRPr="00BD22C2">
        <w:rPr>
          <w:lang w:val="fr-CA"/>
        </w:rPr>
        <w:t xml:space="preserve"> une contrainte qui soit excessive, et non un simple désagrément.</w:t>
      </w:r>
    </w:p>
    <w:p w14:paraId="6618320D" w14:textId="0E319218" w:rsidR="001776B1" w:rsidRPr="00BD22C2" w:rsidRDefault="004D384D" w:rsidP="00595195">
      <w:pPr>
        <w:pStyle w:val="Paragraphe"/>
        <w:rPr>
          <w:lang w:val="fr-CA"/>
        </w:rPr>
      </w:pPr>
      <w:r w:rsidRPr="00BD22C2">
        <w:rPr>
          <w:rFonts w:eastAsia="Calibri"/>
          <w:lang w:val="fr-CA" w:eastAsia="en-US"/>
        </w:rPr>
        <w:t>Plus largement, ces formations</w:t>
      </w:r>
      <w:r w:rsidR="00FA3972" w:rsidRPr="00BD22C2">
        <w:rPr>
          <w:rFonts w:eastAsia="Calibri"/>
          <w:lang w:val="fr-CA" w:eastAsia="en-US"/>
        </w:rPr>
        <w:t xml:space="preserve"> aux droits et libertés à l’intention du personnel des institutions publiques</w:t>
      </w:r>
      <w:r w:rsidRPr="00BD22C2">
        <w:rPr>
          <w:rFonts w:eastAsia="Calibri"/>
          <w:lang w:val="fr-CA" w:eastAsia="en-US"/>
        </w:rPr>
        <w:t xml:space="preserve"> </w:t>
      </w:r>
      <w:r w:rsidR="00A86592" w:rsidRPr="00BD22C2">
        <w:rPr>
          <w:rFonts w:eastAsia="Calibri"/>
          <w:lang w:val="fr-CA" w:eastAsia="en-US"/>
        </w:rPr>
        <w:t xml:space="preserve">devraient </w:t>
      </w:r>
      <w:r w:rsidRPr="00BD22C2">
        <w:rPr>
          <w:rFonts w:eastAsia="Calibri"/>
          <w:lang w:val="fr-CA" w:eastAsia="en-US"/>
        </w:rPr>
        <w:t xml:space="preserve">permettre de reconnaître que les normes institutionnelles </w:t>
      </w:r>
      <w:r w:rsidRPr="00BD22C2">
        <w:rPr>
          <w:lang w:val="fr-CA"/>
        </w:rPr>
        <w:t>«</w:t>
      </w:r>
      <w:r w:rsidR="00974BD5" w:rsidRPr="00BD22C2">
        <w:rPr>
          <w:lang w:val="fr-CA"/>
        </w:rPr>
        <w:t> </w:t>
      </w:r>
      <w:r w:rsidRPr="00BD22C2">
        <w:rPr>
          <w:lang w:val="fr-CA"/>
        </w:rPr>
        <w:t>ne sont jamais neutres puisqu’elles tendent à épouser les discours, les sous-cultures et les intérêts des groupes politiquement et historiquement dominants (ex.</w:t>
      </w:r>
      <w:r w:rsidR="00E8063A" w:rsidRPr="00BD22C2">
        <w:rPr>
          <w:lang w:val="fr-CA"/>
        </w:rPr>
        <w:t> </w:t>
      </w:r>
      <w:r w:rsidRPr="00BD22C2">
        <w:rPr>
          <w:lang w:val="fr-CA"/>
        </w:rPr>
        <w:t>: les catholiques, les hommes, les Blancs, la classe moyenne, les non-handicapés, les hétérosexuels, etc.)</w:t>
      </w:r>
      <w:r w:rsidR="00974BD5" w:rsidRPr="00BD22C2">
        <w:rPr>
          <w:lang w:val="fr-CA"/>
        </w:rPr>
        <w:t> </w:t>
      </w:r>
      <w:r w:rsidRPr="00BD22C2">
        <w:rPr>
          <w:lang w:val="fr-CA"/>
        </w:rPr>
        <w:t>»</w:t>
      </w:r>
      <w:r w:rsidRPr="00BD22C2">
        <w:rPr>
          <w:rStyle w:val="Appeldenotedefin"/>
          <w:lang w:val="fr-CA"/>
        </w:rPr>
        <w:endnoteReference w:id="452"/>
      </w:r>
      <w:r w:rsidRPr="00BD22C2">
        <w:rPr>
          <w:lang w:val="fr-CA"/>
        </w:rPr>
        <w:t>. Ainsi que les personnes cisgenres, doit-on ajouter. En effet, la dimension cisnormative des règles et pratiques qui ont façonné les institutions au fil du temps n’est pas à négliger au moment de mettre en lumière les obstacles particuliers qui se posent aux personnes trans et non</w:t>
      </w:r>
      <w:r w:rsidR="0073758E" w:rsidRPr="00BD22C2">
        <w:rPr>
          <w:lang w:val="fr-CA"/>
        </w:rPr>
        <w:t xml:space="preserve"> </w:t>
      </w:r>
      <w:r w:rsidRPr="00BD22C2">
        <w:rPr>
          <w:lang w:val="fr-CA"/>
        </w:rPr>
        <w:t xml:space="preserve">binaires dans </w:t>
      </w:r>
      <w:r w:rsidR="0081710B" w:rsidRPr="00BD22C2">
        <w:rPr>
          <w:lang w:val="fr-CA"/>
        </w:rPr>
        <w:t xml:space="preserve">l’accès </w:t>
      </w:r>
      <w:r w:rsidR="00913C85" w:rsidRPr="00BD22C2">
        <w:rPr>
          <w:lang w:val="fr-CA"/>
        </w:rPr>
        <w:t>aux différents</w:t>
      </w:r>
      <w:r w:rsidRPr="00BD22C2">
        <w:rPr>
          <w:lang w:val="fr-CA"/>
        </w:rPr>
        <w:t xml:space="preserve"> services publics.</w:t>
      </w:r>
    </w:p>
    <w:p w14:paraId="66A1F487" w14:textId="5AC61961" w:rsidR="00C14833" w:rsidRPr="00BD22C2" w:rsidRDefault="00AF7CC4" w:rsidP="00595195">
      <w:pPr>
        <w:pStyle w:val="Paragraphe"/>
        <w:rPr>
          <w:lang w:val="fr-CA"/>
        </w:rPr>
      </w:pPr>
      <w:r w:rsidRPr="00BD22C2">
        <w:rPr>
          <w:lang w:val="fr-CA"/>
        </w:rPr>
        <w:t xml:space="preserve">Cela dit, </w:t>
      </w:r>
      <w:r w:rsidR="00C14833" w:rsidRPr="00BD22C2">
        <w:rPr>
          <w:lang w:val="fr-CA"/>
        </w:rPr>
        <w:t>l</w:t>
      </w:r>
      <w:r w:rsidR="0051216B" w:rsidRPr="00BD22C2">
        <w:rPr>
          <w:lang w:val="fr-CA"/>
        </w:rPr>
        <w:t>’</w:t>
      </w:r>
      <w:r w:rsidR="00C14833" w:rsidRPr="00BD22C2">
        <w:rPr>
          <w:lang w:val="fr-CA"/>
        </w:rPr>
        <w:t xml:space="preserve">éducation aux droits ne pourra toujours suffire en elle-même et devra être accompagnée </w:t>
      </w:r>
      <w:r w:rsidR="00762FD8" w:rsidRPr="00BD22C2">
        <w:rPr>
          <w:lang w:val="fr-CA"/>
        </w:rPr>
        <w:t xml:space="preserve">de mesures supplémentaires, comme </w:t>
      </w:r>
      <w:r w:rsidR="00090587" w:rsidRPr="00BD22C2">
        <w:rPr>
          <w:lang w:val="fr-CA"/>
        </w:rPr>
        <w:t>l’examen systématique par les institutions publiques de leurs pratiques et de leurs normes organisationnelles</w:t>
      </w:r>
      <w:r w:rsidR="000C30F4" w:rsidRPr="00BD22C2">
        <w:rPr>
          <w:lang w:val="fr-CA"/>
        </w:rPr>
        <w:t xml:space="preserve"> afin de s’assurer qu’elles sont exemptes de tout biais discriminatoire, comme l’a déjà recommandé la Commission</w:t>
      </w:r>
      <w:bookmarkStart w:id="187" w:name="_Ref166749903"/>
      <w:r w:rsidR="000C30F4" w:rsidRPr="00BD22C2">
        <w:rPr>
          <w:rStyle w:val="Appeldenotedefin"/>
          <w:lang w:val="fr-CA"/>
        </w:rPr>
        <w:endnoteReference w:id="453"/>
      </w:r>
      <w:bookmarkEnd w:id="187"/>
      <w:r w:rsidR="000C30F4" w:rsidRPr="00BD22C2">
        <w:rPr>
          <w:lang w:val="fr-CA"/>
        </w:rPr>
        <w:t>.</w:t>
      </w:r>
    </w:p>
    <w:p w14:paraId="10A2DDA7" w14:textId="54BA67EB" w:rsidR="004D384D" w:rsidRPr="00CD4047" w:rsidRDefault="00F43859" w:rsidP="00595195">
      <w:pPr>
        <w:pStyle w:val="Paragraphe"/>
        <w:rPr>
          <w:rFonts w:eastAsia="Calibri"/>
          <w:lang w:val="fr-CA" w:eastAsia="en-US"/>
        </w:rPr>
      </w:pPr>
      <w:r w:rsidRPr="00CD4047">
        <w:rPr>
          <w:lang w:val="fr-CA"/>
        </w:rPr>
        <w:t>D’autres</w:t>
      </w:r>
      <w:r w:rsidR="00BD4EF9" w:rsidRPr="00CD4047">
        <w:rPr>
          <w:lang w:val="fr-CA"/>
        </w:rPr>
        <w:t xml:space="preserve"> </w:t>
      </w:r>
      <w:r w:rsidR="001C216F" w:rsidRPr="00CD4047">
        <w:rPr>
          <w:lang w:val="fr-CA"/>
        </w:rPr>
        <w:t>mesures</w:t>
      </w:r>
      <w:r w:rsidRPr="00CD4047">
        <w:rPr>
          <w:lang w:val="fr-CA"/>
        </w:rPr>
        <w:t xml:space="preserve"> </w:t>
      </w:r>
      <w:r w:rsidR="00710DB2" w:rsidRPr="00CD4047">
        <w:rPr>
          <w:lang w:val="fr-CA"/>
        </w:rPr>
        <w:t>peuvent</w:t>
      </w:r>
      <w:r w:rsidR="008B7F6A" w:rsidRPr="00CD4047">
        <w:rPr>
          <w:lang w:val="fr-CA"/>
        </w:rPr>
        <w:t xml:space="preserve"> </w:t>
      </w:r>
      <w:r w:rsidR="005B0182" w:rsidRPr="00CD4047">
        <w:rPr>
          <w:lang w:val="fr-CA"/>
        </w:rPr>
        <w:t xml:space="preserve">aussi </w:t>
      </w:r>
      <w:r w:rsidR="008B7F6A" w:rsidRPr="00CD4047">
        <w:rPr>
          <w:lang w:val="fr-CA"/>
        </w:rPr>
        <w:t xml:space="preserve">accroître le caractère </w:t>
      </w:r>
      <w:r w:rsidR="003163A5" w:rsidRPr="00CD4047">
        <w:rPr>
          <w:lang w:val="fr-CA"/>
        </w:rPr>
        <w:t>inclusif des institutions communes</w:t>
      </w:r>
      <w:r w:rsidRPr="00CD4047">
        <w:rPr>
          <w:lang w:val="fr-CA"/>
        </w:rPr>
        <w:t>, à condition qu’elle</w:t>
      </w:r>
      <w:r w:rsidR="003901B8" w:rsidRPr="00CD4047">
        <w:rPr>
          <w:lang w:val="fr-CA"/>
        </w:rPr>
        <w:t>s</w:t>
      </w:r>
      <w:r w:rsidRPr="00CD4047">
        <w:rPr>
          <w:lang w:val="fr-CA"/>
        </w:rPr>
        <w:t xml:space="preserve"> soi</w:t>
      </w:r>
      <w:r w:rsidR="003901B8" w:rsidRPr="00CD4047">
        <w:rPr>
          <w:lang w:val="fr-CA"/>
        </w:rPr>
        <w:t>en</w:t>
      </w:r>
      <w:r w:rsidRPr="00CD4047">
        <w:rPr>
          <w:lang w:val="fr-CA"/>
        </w:rPr>
        <w:t>t bien implantée</w:t>
      </w:r>
      <w:r w:rsidR="003901B8" w:rsidRPr="00CD4047">
        <w:rPr>
          <w:lang w:val="fr-CA"/>
        </w:rPr>
        <w:t>s</w:t>
      </w:r>
      <w:r w:rsidRPr="00CD4047">
        <w:rPr>
          <w:lang w:val="fr-CA"/>
        </w:rPr>
        <w:t xml:space="preserve"> et largement diffusée</w:t>
      </w:r>
      <w:r w:rsidR="003901B8" w:rsidRPr="00CD4047">
        <w:rPr>
          <w:lang w:val="fr-CA"/>
        </w:rPr>
        <w:t>s</w:t>
      </w:r>
      <w:r w:rsidR="00DB4ACA" w:rsidRPr="00CD4047">
        <w:rPr>
          <w:lang w:val="fr-CA"/>
        </w:rPr>
        <w:t>. C’est le cas</w:t>
      </w:r>
      <w:r w:rsidR="0006244D" w:rsidRPr="00CD4047">
        <w:rPr>
          <w:lang w:val="fr-CA"/>
        </w:rPr>
        <w:t xml:space="preserve"> par exemple</w:t>
      </w:r>
      <w:r w:rsidR="00DB4ACA" w:rsidRPr="00CD4047">
        <w:rPr>
          <w:lang w:val="fr-CA"/>
        </w:rPr>
        <w:t xml:space="preserve"> d</w:t>
      </w:r>
      <w:r w:rsidR="00854ECC" w:rsidRPr="00CD4047">
        <w:rPr>
          <w:lang w:val="fr-CA"/>
        </w:rPr>
        <w:t>u</w:t>
      </w:r>
      <w:r w:rsidR="00BB67AE" w:rsidRPr="00CD4047">
        <w:rPr>
          <w:lang w:val="fr-CA"/>
        </w:rPr>
        <w:t xml:space="preserve"> </w:t>
      </w:r>
      <w:r w:rsidR="00430584" w:rsidRPr="00CD4047">
        <w:rPr>
          <w:lang w:val="fr-CA"/>
        </w:rPr>
        <w:t xml:space="preserve">répertoire des ressources et </w:t>
      </w:r>
      <w:r w:rsidR="00854ECC" w:rsidRPr="00CD4047">
        <w:rPr>
          <w:lang w:val="fr-CA"/>
        </w:rPr>
        <w:t xml:space="preserve">des </w:t>
      </w:r>
      <w:r w:rsidR="00430584" w:rsidRPr="00CD4047">
        <w:rPr>
          <w:lang w:val="fr-CA"/>
        </w:rPr>
        <w:t>outils développés dans le cad</w:t>
      </w:r>
      <w:r w:rsidR="00AF7CC4" w:rsidRPr="00CD4047">
        <w:rPr>
          <w:lang w:val="fr-CA"/>
        </w:rPr>
        <w:t>r</w:t>
      </w:r>
      <w:r w:rsidR="002445BB" w:rsidRPr="00CD4047">
        <w:rPr>
          <w:lang w:val="fr-CA"/>
        </w:rPr>
        <w:t xml:space="preserve">e du programme Lutte </w:t>
      </w:r>
      <w:r w:rsidR="00D52DE9" w:rsidRPr="00CD4047">
        <w:rPr>
          <w:lang w:val="fr-CA"/>
        </w:rPr>
        <w:t xml:space="preserve">contre l’homophobie et </w:t>
      </w:r>
      <w:r w:rsidR="008D6E83" w:rsidRPr="00CD4047">
        <w:rPr>
          <w:lang w:val="fr-CA"/>
        </w:rPr>
        <w:t xml:space="preserve">la </w:t>
      </w:r>
      <w:r w:rsidR="00D52DE9" w:rsidRPr="00CD4047">
        <w:rPr>
          <w:lang w:val="fr-CA"/>
        </w:rPr>
        <w:t>transphobie</w:t>
      </w:r>
      <w:r w:rsidR="00BE34DE" w:rsidRPr="00CD4047">
        <w:rPr>
          <w:lang w:val="fr-CA"/>
        </w:rPr>
        <w:t>, et dont l’objectif est d</w:t>
      </w:r>
      <w:proofErr w:type="gramStart"/>
      <w:r w:rsidR="00BE34DE" w:rsidRPr="00CD4047">
        <w:rPr>
          <w:lang w:val="fr-CA"/>
        </w:rPr>
        <w:t>’</w:t>
      </w:r>
      <w:r w:rsidR="00474CC0" w:rsidRPr="00CD4047">
        <w:rPr>
          <w:lang w:val="fr-CA"/>
        </w:rPr>
        <w:t>«</w:t>
      </w:r>
      <w:proofErr w:type="gramEnd"/>
      <w:r w:rsidR="0051216B" w:rsidRPr="00CD4047">
        <w:rPr>
          <w:lang w:val="fr-CA"/>
        </w:rPr>
        <w:t> </w:t>
      </w:r>
      <w:r w:rsidR="00474CC0" w:rsidRPr="00CD4047">
        <w:rPr>
          <w:lang w:val="fr-CA"/>
        </w:rPr>
        <w:t>améliorer le service offert</w:t>
      </w:r>
      <w:r w:rsidR="001776B1" w:rsidRPr="00CD4047">
        <w:rPr>
          <w:lang w:val="fr-CA"/>
        </w:rPr>
        <w:t xml:space="preserve"> </w:t>
      </w:r>
      <w:r w:rsidR="00612834" w:rsidRPr="00CD4047">
        <w:rPr>
          <w:lang w:val="fr-CA"/>
        </w:rPr>
        <w:t>aux populations LGBTQ+</w:t>
      </w:r>
      <w:r w:rsidR="0051216B" w:rsidRPr="00CD4047">
        <w:rPr>
          <w:lang w:val="fr-CA"/>
        </w:rPr>
        <w:t> </w:t>
      </w:r>
      <w:r w:rsidR="00612834" w:rsidRPr="00CD4047">
        <w:rPr>
          <w:lang w:val="fr-CA"/>
        </w:rPr>
        <w:t>»</w:t>
      </w:r>
      <w:r w:rsidR="00957194" w:rsidRPr="4BB1F094">
        <w:rPr>
          <w:rStyle w:val="Appeldenotedefin"/>
        </w:rPr>
        <w:endnoteReference w:id="454"/>
      </w:r>
      <w:r w:rsidR="002A3CB0" w:rsidRPr="00CD4047">
        <w:rPr>
          <w:lang w:val="fr-CA"/>
        </w:rPr>
        <w:t>,</w:t>
      </w:r>
      <w:r w:rsidR="00DB2BBB" w:rsidRPr="00CD4047">
        <w:rPr>
          <w:lang w:val="fr-CA"/>
        </w:rPr>
        <w:t xml:space="preserve"> notamment </w:t>
      </w:r>
      <w:r w:rsidR="00957194" w:rsidRPr="00CD4047">
        <w:rPr>
          <w:lang w:val="fr-CA"/>
        </w:rPr>
        <w:t>de la part du</w:t>
      </w:r>
      <w:r w:rsidR="00DB2BBB" w:rsidRPr="00CD4047">
        <w:rPr>
          <w:lang w:val="fr-CA"/>
        </w:rPr>
        <w:t xml:space="preserve"> secteur public</w:t>
      </w:r>
      <w:r w:rsidR="00612834" w:rsidRPr="00CD4047">
        <w:rPr>
          <w:lang w:val="fr-CA"/>
        </w:rPr>
        <w:t>.</w:t>
      </w:r>
    </w:p>
    <w:p w14:paraId="75EFAA10" w14:textId="1EBE4F87" w:rsidR="008C5731" w:rsidRPr="00BD22C2" w:rsidRDefault="007E7777" w:rsidP="00595195">
      <w:pPr>
        <w:pStyle w:val="Paragraphe"/>
        <w:rPr>
          <w:rFonts w:eastAsia="Calibri"/>
          <w:lang w:val="fr-CA" w:eastAsia="en-US"/>
        </w:rPr>
      </w:pPr>
      <w:r w:rsidRPr="00BD22C2">
        <w:rPr>
          <w:rFonts w:eastAsia="Calibri"/>
          <w:lang w:val="fr-CA" w:eastAsia="en-US"/>
        </w:rPr>
        <w:t>Si l’on revient à</w:t>
      </w:r>
      <w:r w:rsidR="004D384D" w:rsidRPr="00BD22C2">
        <w:rPr>
          <w:rFonts w:eastAsia="Calibri"/>
          <w:lang w:val="fr-CA" w:eastAsia="en-US"/>
        </w:rPr>
        <w:t xml:space="preserve"> l’éducation aux droits</w:t>
      </w:r>
      <w:r w:rsidRPr="00BD22C2">
        <w:rPr>
          <w:rFonts w:eastAsia="Calibri"/>
          <w:lang w:val="fr-CA" w:eastAsia="en-US"/>
        </w:rPr>
        <w:t xml:space="preserve"> et à son déploiement</w:t>
      </w:r>
      <w:r w:rsidR="004D384D" w:rsidRPr="00BD22C2">
        <w:rPr>
          <w:rFonts w:eastAsia="Calibri"/>
          <w:lang w:val="fr-CA" w:eastAsia="en-US"/>
        </w:rPr>
        <w:t>, la Commission a insisté à diverses reprises sur l’importance qu</w:t>
      </w:r>
      <w:r w:rsidR="00CE7AB6" w:rsidRPr="00BD22C2">
        <w:rPr>
          <w:rFonts w:eastAsia="Calibri"/>
          <w:lang w:val="fr-CA" w:eastAsia="en-US"/>
        </w:rPr>
        <w:t xml:space="preserve">e </w:t>
      </w:r>
      <w:r w:rsidR="004D384D" w:rsidRPr="00BD22C2">
        <w:rPr>
          <w:rFonts w:eastAsia="Calibri"/>
          <w:lang w:val="fr-CA" w:eastAsia="en-US"/>
        </w:rPr>
        <w:t>ce type de formation soit offerte «</w:t>
      </w:r>
      <w:r w:rsidR="00974BD5" w:rsidRPr="00BD22C2">
        <w:rPr>
          <w:rFonts w:eastAsia="Calibri"/>
          <w:lang w:val="fr-CA" w:eastAsia="en-US"/>
        </w:rPr>
        <w:t> </w:t>
      </w:r>
      <w:r w:rsidR="004D384D" w:rsidRPr="00BD22C2">
        <w:rPr>
          <w:rFonts w:eastAsia="Calibri"/>
          <w:u w:val="single"/>
          <w:lang w:val="fr-CA" w:eastAsia="en-US"/>
        </w:rPr>
        <w:t>en priorité</w:t>
      </w:r>
      <w:r w:rsidR="004D384D" w:rsidRPr="00BD22C2">
        <w:rPr>
          <w:rFonts w:eastAsia="Calibri"/>
          <w:lang w:val="fr-CA" w:eastAsia="en-US"/>
        </w:rPr>
        <w:t xml:space="preserve"> aux hauts fonctionnaires de l’État dont les décisions influencent nécessairement la teneur des normes et pratiques institutionnelles, et donc, leur caractère discriminatoire ou non</w:t>
      </w:r>
      <w:r w:rsidR="00974BD5" w:rsidRPr="00BD22C2">
        <w:rPr>
          <w:rFonts w:eastAsia="Calibri"/>
          <w:lang w:val="fr-CA" w:eastAsia="en-US"/>
        </w:rPr>
        <w:t> </w:t>
      </w:r>
      <w:r w:rsidR="004D384D" w:rsidRPr="00BD22C2">
        <w:rPr>
          <w:rFonts w:eastAsia="Calibri"/>
          <w:lang w:val="fr-CA" w:eastAsia="en-US"/>
        </w:rPr>
        <w:t>»</w:t>
      </w:r>
      <w:r w:rsidR="004D384D" w:rsidRPr="00BD22C2">
        <w:rPr>
          <w:rStyle w:val="Appeldenotedefin"/>
          <w:rFonts w:eastAsia="Calibri"/>
          <w:lang w:val="fr-CA" w:eastAsia="en-US"/>
        </w:rPr>
        <w:endnoteReference w:id="455"/>
      </w:r>
      <w:r w:rsidR="00B969B1" w:rsidRPr="00BD22C2">
        <w:rPr>
          <w:rFonts w:eastAsia="Calibri"/>
          <w:lang w:val="fr-CA" w:eastAsia="en-US"/>
        </w:rPr>
        <w:t>.</w:t>
      </w:r>
      <w:r w:rsidR="004D384D" w:rsidRPr="00BD22C2">
        <w:rPr>
          <w:rStyle w:val="Appelnotedebasdep"/>
          <w:rFonts w:eastAsia="Calibri"/>
          <w:lang w:val="fr-CA" w:eastAsia="en-US"/>
        </w:rPr>
        <w:t xml:space="preserve"> </w:t>
      </w:r>
      <w:r w:rsidR="004D384D" w:rsidRPr="00BD22C2">
        <w:rPr>
          <w:rFonts w:eastAsia="Calibri"/>
          <w:lang w:val="fr-CA" w:eastAsia="en-US"/>
        </w:rPr>
        <w:t xml:space="preserve">De même, ces </w:t>
      </w:r>
      <w:r w:rsidR="004D384D" w:rsidRPr="00BD22C2">
        <w:rPr>
          <w:rFonts w:eastAsia="Calibri"/>
          <w:lang w:val="fr-CA" w:eastAsia="en-US"/>
        </w:rPr>
        <w:lastRenderedPageBreak/>
        <w:t>formations devraient</w:t>
      </w:r>
      <w:r w:rsidR="001F0810" w:rsidRPr="00BD22C2">
        <w:rPr>
          <w:rFonts w:eastAsia="Calibri"/>
          <w:lang w:val="fr-CA" w:eastAsia="en-US"/>
        </w:rPr>
        <w:t xml:space="preserve"> aussi</w:t>
      </w:r>
      <w:r w:rsidR="004D384D" w:rsidRPr="00BD22C2">
        <w:rPr>
          <w:rFonts w:eastAsia="Calibri"/>
          <w:lang w:val="fr-CA" w:eastAsia="en-US"/>
        </w:rPr>
        <w:t xml:space="preserve"> être données en premier lieu aux personnes en situation d’autorité, par exemple celles responsables de l’application des mesures disciplinaires en milieu scolaire, </w:t>
      </w:r>
      <w:r w:rsidR="000172B9" w:rsidRPr="00BD22C2">
        <w:rPr>
          <w:rFonts w:eastAsia="Calibri"/>
          <w:lang w:val="fr-CA" w:eastAsia="en-US"/>
        </w:rPr>
        <w:t xml:space="preserve">celles </w:t>
      </w:r>
      <w:r w:rsidR="004D384D" w:rsidRPr="00BD22C2">
        <w:rPr>
          <w:rFonts w:eastAsia="Calibri"/>
          <w:lang w:val="fr-CA" w:eastAsia="en-US"/>
        </w:rPr>
        <w:t>œuvrant dans le secteur de la protection de la jeunesse, etc.</w:t>
      </w:r>
    </w:p>
    <w:p w14:paraId="531E04A4" w14:textId="05FDB95A" w:rsidR="004D384D" w:rsidRPr="00BD22C2" w:rsidRDefault="004D384D" w:rsidP="00595195">
      <w:pPr>
        <w:pStyle w:val="Paragraphe"/>
        <w:rPr>
          <w:rFonts w:eastAsia="Calibri"/>
          <w:lang w:val="fr-CA" w:eastAsia="en-US"/>
        </w:rPr>
      </w:pPr>
      <w:r w:rsidRPr="00BD22C2">
        <w:rPr>
          <w:rFonts w:eastAsia="Calibri"/>
          <w:lang w:val="fr-CA" w:eastAsia="en-US"/>
        </w:rPr>
        <w:t xml:space="preserve">En ce qui concerne la formation aux droits et libertés </w:t>
      </w:r>
      <w:r w:rsidR="008C5731" w:rsidRPr="00BD22C2">
        <w:rPr>
          <w:rFonts w:eastAsia="Calibri"/>
          <w:lang w:val="fr-CA" w:eastAsia="en-US"/>
        </w:rPr>
        <w:t>offerte à</w:t>
      </w:r>
      <w:r w:rsidRPr="00BD22C2">
        <w:rPr>
          <w:rFonts w:eastAsia="Calibri"/>
          <w:lang w:val="fr-CA" w:eastAsia="en-US"/>
        </w:rPr>
        <w:t xml:space="preserve"> l’ensemble du personnel, </w:t>
      </w:r>
      <w:r w:rsidR="000172B9" w:rsidRPr="00BD22C2">
        <w:rPr>
          <w:rFonts w:eastAsia="Calibri"/>
          <w:lang w:val="fr-CA" w:eastAsia="en-US"/>
        </w:rPr>
        <w:t xml:space="preserve">son </w:t>
      </w:r>
      <w:r w:rsidRPr="00BD22C2">
        <w:rPr>
          <w:rFonts w:eastAsia="Calibri"/>
          <w:lang w:val="fr-CA" w:eastAsia="en-US"/>
        </w:rPr>
        <w:t>contenu gagnerait, dans la mesure du possible, à être adapté aux fonctions exercées.</w:t>
      </w:r>
    </w:p>
    <w:p w14:paraId="41A4F187" w14:textId="4A8F5E5D" w:rsidR="004D384D" w:rsidRPr="00BD22C2" w:rsidRDefault="004D0AE6" w:rsidP="00595195">
      <w:pPr>
        <w:pStyle w:val="Paragraphe"/>
        <w:rPr>
          <w:rFonts w:eastAsia="Calibri"/>
          <w:lang w:val="fr-CA" w:eastAsia="en-US"/>
        </w:rPr>
      </w:pPr>
      <w:r w:rsidRPr="00BD22C2">
        <w:rPr>
          <w:rFonts w:eastAsia="Calibri"/>
          <w:lang w:val="fr-CA" w:eastAsia="en-US"/>
        </w:rPr>
        <w:t>De plus, c</w:t>
      </w:r>
      <w:r w:rsidR="004D384D" w:rsidRPr="00BD22C2">
        <w:rPr>
          <w:rFonts w:eastAsia="Calibri"/>
          <w:lang w:val="fr-CA" w:eastAsia="en-US"/>
        </w:rPr>
        <w:t>ette formation devrait avoir un caractère obligatoire et faire l’objet de rappels</w:t>
      </w:r>
      <w:r w:rsidR="0044193C" w:rsidRPr="00BD22C2">
        <w:rPr>
          <w:rFonts w:eastAsia="Calibri"/>
          <w:lang w:val="fr-CA" w:eastAsia="en-US"/>
        </w:rPr>
        <w:t xml:space="preserve"> réguliers</w:t>
      </w:r>
      <w:r w:rsidR="004D384D" w:rsidRPr="00BD22C2">
        <w:rPr>
          <w:rFonts w:eastAsia="Calibri"/>
          <w:lang w:val="fr-CA" w:eastAsia="en-US"/>
        </w:rPr>
        <w:t xml:space="preserve"> en cours d’emploi à travers un programme de formation continu. L’évaluation ponctuelle des acquis constitue en outre une bonne pratique permettant </w:t>
      </w:r>
      <w:r w:rsidR="005F39BB" w:rsidRPr="00BD22C2">
        <w:rPr>
          <w:rFonts w:eastAsia="Calibri"/>
          <w:lang w:val="fr-CA" w:eastAsia="en-US"/>
        </w:rPr>
        <w:t xml:space="preserve">de mesurer </w:t>
      </w:r>
      <w:r w:rsidR="004D384D" w:rsidRPr="00BD22C2">
        <w:rPr>
          <w:rFonts w:eastAsia="Calibri"/>
          <w:lang w:val="fr-CA" w:eastAsia="en-US"/>
        </w:rPr>
        <w:t>l’intégration de ces compétences, sans compter qu’elle octroie davantage de sérieux à cette démarche de formation en cours d’emploi. Il en va de même de l’évaluation de ces compétences lors des processus d’embauche.</w:t>
      </w:r>
    </w:p>
    <w:p w14:paraId="6FD29BBC" w14:textId="71BC53DC" w:rsidR="004D384D" w:rsidRPr="00BD22C2" w:rsidRDefault="004D384D" w:rsidP="00595195">
      <w:pPr>
        <w:pStyle w:val="Paragraphe"/>
        <w:rPr>
          <w:rFonts w:eastAsia="Calibri"/>
          <w:lang w:val="fr-CA" w:eastAsia="en-US"/>
        </w:rPr>
      </w:pPr>
      <w:r w:rsidRPr="00BD22C2">
        <w:rPr>
          <w:rFonts w:eastAsia="Calibri"/>
          <w:lang w:val="fr-CA" w:eastAsia="en-US"/>
        </w:rPr>
        <w:t>Les mécanismes de sanction en cas de non-respect des droits et libertés devraient également être connus de tous et appliqués lorsque la situation le requiert.</w:t>
      </w:r>
    </w:p>
    <w:p w14:paraId="6243DCC9" w14:textId="4C685CAC" w:rsidR="00105C37" w:rsidRPr="00BD22C2" w:rsidRDefault="004D384D" w:rsidP="0008396F">
      <w:pPr>
        <w:pStyle w:val="Paragraphe"/>
        <w:rPr>
          <w:rFonts w:eastAsia="Calibri"/>
          <w:lang w:val="fr-CA" w:eastAsia="en-US"/>
        </w:rPr>
      </w:pPr>
      <w:r w:rsidRPr="00BD22C2">
        <w:rPr>
          <w:rFonts w:eastAsia="Calibri"/>
          <w:lang w:val="fr-CA" w:eastAsia="en-US"/>
        </w:rPr>
        <w:t>Par ailleurs, les personnes trans et non</w:t>
      </w:r>
      <w:r w:rsidR="0073758E" w:rsidRPr="00BD22C2">
        <w:rPr>
          <w:rFonts w:eastAsia="Calibri"/>
          <w:lang w:val="fr-CA" w:eastAsia="en-US"/>
        </w:rPr>
        <w:t xml:space="preserve"> </w:t>
      </w:r>
      <w:r w:rsidRPr="00BD22C2">
        <w:rPr>
          <w:rFonts w:eastAsia="Calibri"/>
          <w:lang w:val="fr-CA" w:eastAsia="en-US"/>
        </w:rPr>
        <w:t xml:space="preserve">binaires ainsi que les organismes communautaires et de défense des droits les représentant </w:t>
      </w:r>
      <w:r w:rsidR="00684D3F" w:rsidRPr="00BD22C2">
        <w:rPr>
          <w:rFonts w:eastAsia="Calibri"/>
          <w:lang w:val="fr-CA" w:eastAsia="en-US"/>
        </w:rPr>
        <w:t>devraient</w:t>
      </w:r>
      <w:r w:rsidRPr="00BD22C2">
        <w:rPr>
          <w:rFonts w:eastAsia="Calibri"/>
          <w:lang w:val="fr-CA" w:eastAsia="en-US"/>
        </w:rPr>
        <w:t xml:space="preserve"> </w:t>
      </w:r>
      <w:r w:rsidR="002C544A" w:rsidRPr="00BD22C2">
        <w:rPr>
          <w:rFonts w:eastAsia="Calibri"/>
          <w:lang w:val="fr-CA" w:eastAsia="en-US"/>
        </w:rPr>
        <w:t>être sollicité</w:t>
      </w:r>
      <w:r w:rsidR="003D3B96" w:rsidRPr="00BD22C2">
        <w:rPr>
          <w:rFonts w:eastAsia="Calibri"/>
          <w:lang w:val="fr-CA" w:eastAsia="en-US"/>
        </w:rPr>
        <w:t>s</w:t>
      </w:r>
      <w:r w:rsidR="007170C5" w:rsidRPr="00BD22C2">
        <w:rPr>
          <w:rFonts w:eastAsia="Calibri"/>
          <w:lang w:val="fr-CA" w:eastAsia="en-US"/>
        </w:rPr>
        <w:t xml:space="preserve"> à </w:t>
      </w:r>
      <w:r w:rsidRPr="00BD22C2">
        <w:rPr>
          <w:rFonts w:eastAsia="Calibri"/>
          <w:lang w:val="fr-CA" w:eastAsia="en-US"/>
        </w:rPr>
        <w:t>contribuer à l’élaboration du contenu de ces formations</w:t>
      </w:r>
      <w:r w:rsidR="00276D0E" w:rsidRPr="00BD22C2">
        <w:rPr>
          <w:rFonts w:eastAsia="Calibri"/>
          <w:lang w:val="fr-CA" w:eastAsia="en-US"/>
        </w:rPr>
        <w:t>, dont celles</w:t>
      </w:r>
      <w:r w:rsidRPr="00BD22C2">
        <w:rPr>
          <w:rFonts w:eastAsia="Calibri"/>
          <w:lang w:val="fr-CA" w:eastAsia="en-US"/>
        </w:rPr>
        <w:t xml:space="preserve"> destinées au personnel des institutions publiques</w:t>
      </w:r>
      <w:r w:rsidR="00C96FC9" w:rsidRPr="00BD22C2">
        <w:rPr>
          <w:rStyle w:val="Appeldenotedefin"/>
          <w:rFonts w:eastAsia="Calibri"/>
          <w:lang w:val="fr-CA" w:eastAsia="en-US"/>
        </w:rPr>
        <w:endnoteReference w:id="456"/>
      </w:r>
      <w:r w:rsidRPr="00BD22C2">
        <w:rPr>
          <w:rFonts w:eastAsia="Calibri"/>
          <w:lang w:val="fr-CA" w:eastAsia="en-US"/>
        </w:rPr>
        <w:t>.</w:t>
      </w:r>
      <w:r w:rsidR="00E73028" w:rsidRPr="00BD22C2">
        <w:rPr>
          <w:rFonts w:eastAsia="Calibri"/>
          <w:lang w:val="fr-CA" w:eastAsia="en-US"/>
        </w:rPr>
        <w:t xml:space="preserve"> </w:t>
      </w:r>
    </w:p>
    <w:p w14:paraId="686AF44C" w14:textId="0FE2217B" w:rsidR="0008396F" w:rsidRPr="00BD22C2" w:rsidRDefault="00AB2DF3" w:rsidP="0008396F">
      <w:pPr>
        <w:pStyle w:val="Paragraphe"/>
        <w:rPr>
          <w:rFonts w:eastAsia="Calibri"/>
          <w:lang w:val="fr-CA" w:eastAsia="en-US"/>
        </w:rPr>
      </w:pPr>
      <w:r w:rsidRPr="00BD22C2">
        <w:rPr>
          <w:rFonts w:eastAsia="Calibri"/>
          <w:lang w:val="fr-CA" w:eastAsia="en-US"/>
        </w:rPr>
        <w:t xml:space="preserve">Le Plan d’action </w:t>
      </w:r>
      <w:r w:rsidR="009E59E9" w:rsidRPr="00BD22C2">
        <w:rPr>
          <w:rFonts w:eastAsia="Calibri"/>
          <w:lang w:val="fr-CA" w:eastAsia="en-US"/>
        </w:rPr>
        <w:t>gouvernemental de lutte contre l’homophobie et la transphobie</w:t>
      </w:r>
      <w:r w:rsidR="0091080B">
        <w:rPr>
          <w:rFonts w:eastAsia="Calibri"/>
          <w:lang w:val="fr-CA" w:eastAsia="en-US"/>
        </w:rPr>
        <w:t> </w:t>
      </w:r>
      <w:r w:rsidR="009E59E9" w:rsidRPr="00BD22C2">
        <w:rPr>
          <w:rFonts w:eastAsia="Calibri"/>
          <w:lang w:val="fr-CA" w:eastAsia="en-US"/>
        </w:rPr>
        <w:t xml:space="preserve">2023-2028 </w:t>
      </w:r>
      <w:r w:rsidR="003F213D" w:rsidRPr="00BD22C2">
        <w:rPr>
          <w:rFonts w:eastAsia="Calibri"/>
          <w:lang w:val="fr-CA" w:eastAsia="en-US"/>
        </w:rPr>
        <w:t>reconnaît</w:t>
      </w:r>
      <w:r w:rsidR="009E59E9" w:rsidRPr="00BD22C2">
        <w:rPr>
          <w:rFonts w:eastAsia="Calibri"/>
          <w:lang w:val="fr-CA" w:eastAsia="en-US"/>
        </w:rPr>
        <w:t xml:space="preserve"> </w:t>
      </w:r>
      <w:r w:rsidR="00F67EE8" w:rsidRPr="00BD22C2">
        <w:rPr>
          <w:rFonts w:eastAsia="Calibri"/>
          <w:lang w:val="fr-CA" w:eastAsia="en-US"/>
        </w:rPr>
        <w:t xml:space="preserve">d’ailleurs </w:t>
      </w:r>
      <w:r w:rsidR="00AB40BC" w:rsidRPr="00BD22C2">
        <w:rPr>
          <w:rFonts w:eastAsia="Calibri"/>
          <w:lang w:val="fr-CA" w:eastAsia="en-US"/>
        </w:rPr>
        <w:t xml:space="preserve">à juste titre </w:t>
      </w:r>
      <w:r w:rsidR="009E59E9" w:rsidRPr="00BD22C2">
        <w:rPr>
          <w:rFonts w:eastAsia="Calibri"/>
          <w:lang w:val="fr-CA" w:eastAsia="en-US"/>
        </w:rPr>
        <w:t xml:space="preserve">le rôle </w:t>
      </w:r>
      <w:r w:rsidR="003F213D" w:rsidRPr="00BD22C2">
        <w:rPr>
          <w:rFonts w:eastAsia="Calibri"/>
          <w:lang w:val="fr-CA" w:eastAsia="en-US"/>
        </w:rPr>
        <w:t xml:space="preserve">clé </w:t>
      </w:r>
      <w:r w:rsidR="009E59E9" w:rsidRPr="00BD22C2">
        <w:rPr>
          <w:rFonts w:eastAsia="Calibri"/>
          <w:lang w:val="fr-CA" w:eastAsia="en-US"/>
        </w:rPr>
        <w:t>des organismes communautaires</w:t>
      </w:r>
      <w:r w:rsidR="003F213D" w:rsidRPr="00BD22C2">
        <w:rPr>
          <w:rFonts w:eastAsia="Calibri"/>
          <w:lang w:val="fr-CA" w:eastAsia="en-US"/>
        </w:rPr>
        <w:t xml:space="preserve"> engagés dans la lutte </w:t>
      </w:r>
      <w:r w:rsidR="00F75451" w:rsidRPr="00BD22C2">
        <w:rPr>
          <w:rFonts w:eastAsia="Calibri"/>
          <w:lang w:val="fr-CA" w:eastAsia="en-US"/>
        </w:rPr>
        <w:t>contre l</w:t>
      </w:r>
      <w:r w:rsidR="00AB40BC" w:rsidRPr="00BD22C2">
        <w:rPr>
          <w:rFonts w:eastAsia="Calibri"/>
          <w:lang w:val="fr-CA" w:eastAsia="en-US"/>
        </w:rPr>
        <w:t>’homophobie et la transphobie</w:t>
      </w:r>
      <w:r w:rsidR="00D70668" w:rsidRPr="00BD22C2">
        <w:rPr>
          <w:rFonts w:eastAsia="Calibri"/>
          <w:lang w:val="fr-CA" w:eastAsia="en-US"/>
        </w:rPr>
        <w:t xml:space="preserve"> et </w:t>
      </w:r>
      <w:r w:rsidR="00F67EE8" w:rsidRPr="00BD22C2">
        <w:rPr>
          <w:rFonts w:eastAsia="Calibri"/>
          <w:lang w:val="fr-CA" w:eastAsia="en-US"/>
        </w:rPr>
        <w:t xml:space="preserve">souhaite </w:t>
      </w:r>
      <w:r w:rsidR="00876B32" w:rsidRPr="00BD22C2">
        <w:rPr>
          <w:rFonts w:eastAsia="Calibri"/>
          <w:lang w:val="fr-CA" w:eastAsia="en-US"/>
        </w:rPr>
        <w:t>assurer la stabilité et la cont</w:t>
      </w:r>
      <w:r w:rsidR="009E135A" w:rsidRPr="00BD22C2">
        <w:rPr>
          <w:rFonts w:eastAsia="Calibri"/>
          <w:lang w:val="fr-CA" w:eastAsia="en-US"/>
        </w:rPr>
        <w:t>inuité de l’intervention communautaire LGBTQ+</w:t>
      </w:r>
      <w:r w:rsidR="00F67EE8" w:rsidRPr="00BD22C2">
        <w:rPr>
          <w:rFonts w:eastAsia="Calibri"/>
          <w:lang w:val="fr-CA" w:eastAsia="en-US"/>
        </w:rPr>
        <w:t xml:space="preserve">, </w:t>
      </w:r>
      <w:r w:rsidR="00597861" w:rsidRPr="00BD22C2">
        <w:rPr>
          <w:rFonts w:eastAsia="Calibri"/>
          <w:lang w:val="fr-CA" w:eastAsia="en-US"/>
        </w:rPr>
        <w:t>comme l’indique le</w:t>
      </w:r>
      <w:r w:rsidR="00F67EE8" w:rsidRPr="00BD22C2">
        <w:rPr>
          <w:rFonts w:eastAsia="Calibri"/>
          <w:lang w:val="fr-CA" w:eastAsia="en-US"/>
        </w:rPr>
        <w:t xml:space="preserve"> premier objectif général </w:t>
      </w:r>
      <w:r w:rsidR="00597861" w:rsidRPr="00BD22C2">
        <w:rPr>
          <w:rFonts w:eastAsia="Calibri"/>
          <w:lang w:val="fr-CA" w:eastAsia="en-US"/>
        </w:rPr>
        <w:t>de ce plan</w:t>
      </w:r>
      <w:r w:rsidR="000A4330" w:rsidRPr="00BD22C2">
        <w:rPr>
          <w:rStyle w:val="Appeldenotedefin"/>
          <w:rFonts w:eastAsia="Calibri"/>
          <w:lang w:val="fr-CA" w:eastAsia="en-US"/>
        </w:rPr>
        <w:endnoteReference w:id="457"/>
      </w:r>
      <w:r w:rsidR="009E135A" w:rsidRPr="00BD22C2">
        <w:rPr>
          <w:rFonts w:eastAsia="Calibri"/>
          <w:lang w:val="fr-CA" w:eastAsia="en-US"/>
        </w:rPr>
        <w:t xml:space="preserve">. </w:t>
      </w:r>
      <w:r w:rsidR="005B4DE2" w:rsidRPr="00BD22C2">
        <w:rPr>
          <w:rFonts w:eastAsia="Calibri"/>
          <w:lang w:val="fr-CA" w:eastAsia="en-US"/>
        </w:rPr>
        <w:t xml:space="preserve">L’un des </w:t>
      </w:r>
      <w:r w:rsidR="009C6086" w:rsidRPr="00BD22C2">
        <w:rPr>
          <w:rFonts w:eastAsia="Calibri"/>
          <w:lang w:val="fr-CA" w:eastAsia="en-US"/>
        </w:rPr>
        <w:t xml:space="preserve">dispositifs de </w:t>
      </w:r>
      <w:r w:rsidR="00661C5D" w:rsidRPr="00BD22C2">
        <w:rPr>
          <w:rFonts w:eastAsia="Calibri"/>
          <w:lang w:val="fr-CA" w:eastAsia="en-US"/>
        </w:rPr>
        <w:t xml:space="preserve">soutien à l’action communautaire </w:t>
      </w:r>
      <w:r w:rsidR="005714D6" w:rsidRPr="00BD22C2">
        <w:rPr>
          <w:rFonts w:eastAsia="Calibri"/>
          <w:lang w:val="fr-CA" w:eastAsia="en-US"/>
        </w:rPr>
        <w:t>a</w:t>
      </w:r>
      <w:r w:rsidR="008F3033" w:rsidRPr="00BD22C2">
        <w:rPr>
          <w:rFonts w:eastAsia="Calibri"/>
          <w:lang w:val="fr-CA" w:eastAsia="en-US"/>
        </w:rPr>
        <w:t xml:space="preserve"> </w:t>
      </w:r>
      <w:r w:rsidR="00105C37" w:rsidRPr="00BD22C2">
        <w:rPr>
          <w:rFonts w:eastAsia="Calibri"/>
          <w:lang w:val="fr-CA" w:eastAsia="en-US"/>
        </w:rPr>
        <w:t xml:space="preserve">par exemple </w:t>
      </w:r>
      <w:r w:rsidR="005714D6" w:rsidRPr="00BD22C2">
        <w:rPr>
          <w:rFonts w:eastAsia="Calibri"/>
          <w:lang w:val="fr-CA" w:eastAsia="en-US"/>
        </w:rPr>
        <w:t xml:space="preserve">pour but de </w:t>
      </w:r>
      <w:r w:rsidR="006F2D64" w:rsidRPr="00BD22C2">
        <w:rPr>
          <w:rFonts w:eastAsia="Calibri"/>
          <w:lang w:val="fr-CA" w:eastAsia="en-US"/>
        </w:rPr>
        <w:t xml:space="preserve">permettre le financement </w:t>
      </w:r>
      <w:r w:rsidR="008F76EA" w:rsidRPr="00BD22C2">
        <w:rPr>
          <w:rFonts w:eastAsia="Calibri"/>
          <w:lang w:val="fr-CA" w:eastAsia="en-US"/>
        </w:rPr>
        <w:t>de projets spécifiques</w:t>
      </w:r>
      <w:r w:rsidR="00A8284B" w:rsidRPr="00BD22C2">
        <w:rPr>
          <w:rFonts w:eastAsia="Calibri"/>
          <w:lang w:val="fr-CA" w:eastAsia="en-US"/>
        </w:rPr>
        <w:t xml:space="preserve"> </w:t>
      </w:r>
      <w:r w:rsidR="005714D6" w:rsidRPr="00BD22C2">
        <w:rPr>
          <w:rFonts w:eastAsia="Calibri"/>
          <w:lang w:val="fr-CA" w:eastAsia="en-US"/>
        </w:rPr>
        <w:t>pouvant</w:t>
      </w:r>
      <w:r w:rsidR="009B5B64" w:rsidRPr="00BD22C2">
        <w:rPr>
          <w:rFonts w:eastAsia="Calibri"/>
          <w:lang w:val="fr-CA" w:eastAsia="en-US"/>
        </w:rPr>
        <w:t xml:space="preserve"> «</w:t>
      </w:r>
      <w:r w:rsidR="0051216B" w:rsidRPr="00BD22C2">
        <w:rPr>
          <w:rFonts w:eastAsia="Calibri"/>
          <w:lang w:val="fr-CA" w:eastAsia="en-US"/>
        </w:rPr>
        <w:t> </w:t>
      </w:r>
      <w:r w:rsidR="009B5B64" w:rsidRPr="00BD22C2">
        <w:rPr>
          <w:rFonts w:eastAsia="Calibri"/>
          <w:lang w:val="fr-CA" w:eastAsia="en-US"/>
        </w:rPr>
        <w:t xml:space="preserve">informer divers milieux des problématiques vécues par les groupes vulnérables à l’homophobie et à la transphobie, ou </w:t>
      </w:r>
      <w:r w:rsidR="0080384C" w:rsidRPr="00BD22C2">
        <w:rPr>
          <w:rFonts w:eastAsia="Calibri"/>
          <w:lang w:val="fr-CA" w:eastAsia="en-US"/>
        </w:rPr>
        <w:t>répondre à des besoins émergents, et les sensibiliser à ce sujet</w:t>
      </w:r>
      <w:r w:rsidR="0051216B" w:rsidRPr="00BD22C2">
        <w:rPr>
          <w:rFonts w:eastAsia="Calibri"/>
          <w:lang w:val="fr-CA" w:eastAsia="en-US"/>
        </w:rPr>
        <w:t> </w:t>
      </w:r>
      <w:r w:rsidR="0080384C" w:rsidRPr="00BD22C2">
        <w:rPr>
          <w:rFonts w:eastAsia="Calibri"/>
          <w:lang w:val="fr-CA" w:eastAsia="en-US"/>
        </w:rPr>
        <w:t>»</w:t>
      </w:r>
      <w:r w:rsidR="00143AEF" w:rsidRPr="00BD22C2">
        <w:rPr>
          <w:rStyle w:val="Appeldenotedefin"/>
          <w:rFonts w:eastAsia="Calibri"/>
          <w:lang w:val="fr-CA" w:eastAsia="en-US"/>
        </w:rPr>
        <w:endnoteReference w:id="458"/>
      </w:r>
      <w:r w:rsidR="0080384C" w:rsidRPr="00BD22C2">
        <w:rPr>
          <w:rFonts w:eastAsia="Calibri"/>
          <w:lang w:val="fr-CA" w:eastAsia="en-US"/>
        </w:rPr>
        <w:t xml:space="preserve">. </w:t>
      </w:r>
      <w:r w:rsidR="005714D6" w:rsidRPr="00BD22C2">
        <w:rPr>
          <w:rFonts w:eastAsia="Calibri"/>
          <w:lang w:val="fr-CA" w:eastAsia="en-US"/>
        </w:rPr>
        <w:t>Ces organismes communautaires</w:t>
      </w:r>
      <w:r w:rsidR="002E4C0B" w:rsidRPr="00BD22C2">
        <w:rPr>
          <w:rFonts w:eastAsia="Calibri"/>
          <w:lang w:val="fr-CA" w:eastAsia="en-US"/>
        </w:rPr>
        <w:t xml:space="preserve"> </w:t>
      </w:r>
      <w:r w:rsidR="002477B5" w:rsidRPr="00BD22C2">
        <w:rPr>
          <w:rFonts w:eastAsia="Calibri"/>
          <w:lang w:val="fr-CA" w:eastAsia="en-US"/>
        </w:rPr>
        <w:t>devraient</w:t>
      </w:r>
      <w:r w:rsidR="002E4C0B" w:rsidRPr="00BD22C2">
        <w:rPr>
          <w:rFonts w:eastAsia="Calibri"/>
          <w:lang w:val="fr-CA" w:eastAsia="en-US"/>
        </w:rPr>
        <w:t xml:space="preserve"> </w:t>
      </w:r>
      <w:r w:rsidR="008267A2" w:rsidRPr="00BD22C2">
        <w:rPr>
          <w:rFonts w:eastAsia="Calibri"/>
          <w:lang w:val="fr-CA" w:eastAsia="en-US"/>
        </w:rPr>
        <w:t>très certainement</w:t>
      </w:r>
      <w:r w:rsidR="002E4C0B" w:rsidRPr="00BD22C2">
        <w:rPr>
          <w:rFonts w:eastAsia="Calibri"/>
          <w:lang w:val="fr-CA" w:eastAsia="en-US"/>
        </w:rPr>
        <w:t xml:space="preserve"> être sollicités par </w:t>
      </w:r>
      <w:r w:rsidR="009762A0" w:rsidRPr="00BD22C2">
        <w:rPr>
          <w:rFonts w:eastAsia="Calibri"/>
          <w:lang w:val="fr-CA" w:eastAsia="en-US"/>
        </w:rPr>
        <w:t>les institutions publiques</w:t>
      </w:r>
      <w:r w:rsidR="008267A2" w:rsidRPr="00BD22C2">
        <w:rPr>
          <w:rFonts w:eastAsia="Calibri"/>
          <w:lang w:val="fr-CA" w:eastAsia="en-US"/>
        </w:rPr>
        <w:t xml:space="preserve"> pour y offrir des formations </w:t>
      </w:r>
      <w:r w:rsidR="00152E79" w:rsidRPr="00BD22C2">
        <w:rPr>
          <w:rFonts w:eastAsia="Calibri"/>
          <w:lang w:val="fr-CA" w:eastAsia="en-US"/>
        </w:rPr>
        <w:t>aux membres de leur personnel</w:t>
      </w:r>
      <w:r w:rsidR="003F3032" w:rsidRPr="00BD22C2">
        <w:rPr>
          <w:rFonts w:eastAsia="Calibri"/>
          <w:lang w:val="fr-CA" w:eastAsia="en-US"/>
        </w:rPr>
        <w:t>,</w:t>
      </w:r>
      <w:r w:rsidR="0008396F" w:rsidRPr="00BD22C2">
        <w:rPr>
          <w:rFonts w:eastAsia="Calibri"/>
          <w:lang w:val="fr-CA" w:eastAsia="en-US"/>
        </w:rPr>
        <w:t xml:space="preserve"> sachant que </w:t>
      </w:r>
      <w:r w:rsidR="00010AA7" w:rsidRPr="00BD22C2">
        <w:rPr>
          <w:rFonts w:eastAsia="Calibri"/>
          <w:lang w:val="fr-CA" w:eastAsia="en-US"/>
        </w:rPr>
        <w:t>le septième objectif</w:t>
      </w:r>
      <w:r w:rsidR="0008396F" w:rsidRPr="00BD22C2">
        <w:rPr>
          <w:rFonts w:eastAsia="Calibri"/>
          <w:lang w:val="fr-CA" w:eastAsia="en-US"/>
        </w:rPr>
        <w:t xml:space="preserve"> du</w:t>
      </w:r>
      <w:r w:rsidR="00BA2E6B" w:rsidRPr="00BD22C2">
        <w:rPr>
          <w:rFonts w:eastAsia="Calibri"/>
          <w:lang w:val="fr-CA" w:eastAsia="en-US"/>
        </w:rPr>
        <w:t xml:space="preserve"> </w:t>
      </w:r>
      <w:r w:rsidR="0008396F" w:rsidRPr="00BD22C2">
        <w:rPr>
          <w:rFonts w:eastAsia="Calibri"/>
          <w:lang w:val="fr-CA" w:eastAsia="en-US"/>
        </w:rPr>
        <w:t xml:space="preserve">Plan d’action gouvernemental </w:t>
      </w:r>
      <w:r w:rsidR="001B3CC2" w:rsidRPr="00BD22C2">
        <w:rPr>
          <w:rFonts w:eastAsia="Calibri"/>
          <w:lang w:val="fr-CA" w:eastAsia="en-US"/>
        </w:rPr>
        <w:t>précité</w:t>
      </w:r>
      <w:r w:rsidR="0008396F" w:rsidRPr="00BD22C2">
        <w:rPr>
          <w:rFonts w:eastAsia="Calibri"/>
          <w:lang w:val="fr-CA" w:eastAsia="en-US"/>
        </w:rPr>
        <w:t xml:space="preserve"> vise </w:t>
      </w:r>
      <w:r w:rsidR="00282EAA" w:rsidRPr="00BD22C2">
        <w:rPr>
          <w:rFonts w:eastAsia="Calibri"/>
          <w:lang w:val="fr-CA" w:eastAsia="en-US"/>
        </w:rPr>
        <w:t>d’ailleurs</w:t>
      </w:r>
      <w:r w:rsidR="0008396F" w:rsidRPr="00BD22C2">
        <w:rPr>
          <w:rFonts w:eastAsia="Calibri"/>
          <w:lang w:val="fr-CA" w:eastAsia="en-US"/>
        </w:rPr>
        <w:t xml:space="preserve"> à «</w:t>
      </w:r>
      <w:r w:rsidR="0051216B" w:rsidRPr="00BD22C2">
        <w:rPr>
          <w:rFonts w:eastAsia="Calibri"/>
          <w:lang w:val="fr-CA" w:eastAsia="en-US"/>
        </w:rPr>
        <w:t> </w:t>
      </w:r>
      <w:r w:rsidR="0008396F" w:rsidRPr="00BD22C2">
        <w:rPr>
          <w:rFonts w:eastAsia="Calibri"/>
          <w:lang w:val="fr-CA" w:eastAsia="en-US"/>
        </w:rPr>
        <w:t>accélérer la formation du personnel des services publics</w:t>
      </w:r>
      <w:r w:rsidR="0051216B" w:rsidRPr="00BD22C2">
        <w:rPr>
          <w:rFonts w:eastAsia="Calibri"/>
          <w:lang w:val="fr-CA" w:eastAsia="en-US"/>
        </w:rPr>
        <w:t> </w:t>
      </w:r>
      <w:r w:rsidR="0008396F" w:rsidRPr="00BD22C2">
        <w:rPr>
          <w:rFonts w:eastAsia="Calibri"/>
          <w:lang w:val="fr-CA" w:eastAsia="en-US"/>
        </w:rPr>
        <w:t>»</w:t>
      </w:r>
      <w:r w:rsidR="00BA2E6B" w:rsidRPr="00BD22C2">
        <w:rPr>
          <w:rStyle w:val="Appeldenotedefin"/>
          <w:rFonts w:eastAsia="Calibri"/>
          <w:lang w:val="fr-CA" w:eastAsia="en-US"/>
        </w:rPr>
        <w:endnoteReference w:id="459"/>
      </w:r>
      <w:r w:rsidR="0008396F" w:rsidRPr="00BD22C2">
        <w:rPr>
          <w:rFonts w:eastAsia="Calibri"/>
          <w:lang w:val="fr-CA" w:eastAsia="en-US"/>
        </w:rPr>
        <w:t xml:space="preserve">. </w:t>
      </w:r>
    </w:p>
    <w:p w14:paraId="5BCCD412" w14:textId="096B59BC" w:rsidR="0051031C" w:rsidRPr="00BD22C2" w:rsidRDefault="00353B67" w:rsidP="001E26FD">
      <w:pPr>
        <w:pStyle w:val="Paragraphe"/>
        <w:rPr>
          <w:rFonts w:eastAsia="Calibri"/>
          <w:lang w:val="fr-CA" w:eastAsia="en-US"/>
        </w:rPr>
      </w:pPr>
      <w:r w:rsidRPr="00BD22C2">
        <w:rPr>
          <w:rFonts w:eastAsia="Calibri"/>
          <w:lang w:val="fr-CA" w:eastAsia="en-US"/>
        </w:rPr>
        <w:lastRenderedPageBreak/>
        <w:t>De plus, s</w:t>
      </w:r>
      <w:r w:rsidR="00C84EB7" w:rsidRPr="00BD22C2">
        <w:rPr>
          <w:rFonts w:eastAsia="Calibri"/>
          <w:lang w:val="fr-CA" w:eastAsia="en-US"/>
        </w:rPr>
        <w:t>’appuyant sur les données de la recherche</w:t>
      </w:r>
      <w:r w:rsidR="004B50CD" w:rsidRPr="00BD22C2">
        <w:rPr>
          <w:rFonts w:eastAsia="Calibri"/>
          <w:lang w:val="fr-CA" w:eastAsia="en-US"/>
        </w:rPr>
        <w:t>, l</w:t>
      </w:r>
      <w:r w:rsidR="00B60E2E" w:rsidRPr="00BD22C2">
        <w:rPr>
          <w:rFonts w:eastAsia="Calibri"/>
          <w:lang w:val="fr-CA" w:eastAsia="en-US"/>
        </w:rPr>
        <w:t xml:space="preserve">e plan d’action rappelle comment </w:t>
      </w:r>
      <w:r w:rsidR="00B25BD7" w:rsidRPr="00BD22C2">
        <w:rPr>
          <w:rFonts w:eastAsia="Calibri"/>
          <w:lang w:val="fr-CA" w:eastAsia="en-US"/>
        </w:rPr>
        <w:t xml:space="preserve">la formation </w:t>
      </w:r>
      <w:r w:rsidR="00491A72" w:rsidRPr="00BD22C2">
        <w:rPr>
          <w:rFonts w:eastAsia="Calibri"/>
          <w:lang w:val="fr-CA" w:eastAsia="en-US"/>
        </w:rPr>
        <w:t xml:space="preserve">du personnel </w:t>
      </w:r>
      <w:r w:rsidR="008440A2" w:rsidRPr="00BD22C2">
        <w:rPr>
          <w:rFonts w:eastAsia="Calibri"/>
          <w:lang w:val="fr-CA" w:eastAsia="en-US"/>
        </w:rPr>
        <w:t xml:space="preserve">représente un aspect </w:t>
      </w:r>
      <w:r w:rsidR="004B50CD" w:rsidRPr="00BD22C2">
        <w:rPr>
          <w:rFonts w:eastAsia="Calibri"/>
          <w:lang w:val="fr-CA" w:eastAsia="en-US"/>
        </w:rPr>
        <w:t>central de l’accès des personnes L</w:t>
      </w:r>
      <w:r w:rsidR="00C943A8" w:rsidRPr="00BD22C2">
        <w:rPr>
          <w:rFonts w:eastAsia="Calibri"/>
          <w:lang w:val="fr-CA" w:eastAsia="en-US"/>
        </w:rPr>
        <w:t>GBTQ+ aux services publics</w:t>
      </w:r>
      <w:r w:rsidR="00CE3973" w:rsidRPr="00BD22C2">
        <w:rPr>
          <w:rFonts w:eastAsia="Calibri"/>
          <w:lang w:val="fr-CA" w:eastAsia="en-US"/>
        </w:rPr>
        <w:t xml:space="preserve"> qui</w:t>
      </w:r>
      <w:r w:rsidR="00B7545F" w:rsidRPr="00BD22C2">
        <w:rPr>
          <w:rFonts w:eastAsia="Calibri"/>
          <w:lang w:val="fr-CA" w:eastAsia="en-US"/>
        </w:rPr>
        <w:t>, parallèlement,</w:t>
      </w:r>
      <w:r w:rsidR="00CE3973" w:rsidRPr="00BD22C2">
        <w:rPr>
          <w:rFonts w:eastAsia="Calibri"/>
          <w:lang w:val="fr-CA" w:eastAsia="en-US"/>
        </w:rPr>
        <w:t xml:space="preserve"> peuvent s’en trouv</w:t>
      </w:r>
      <w:r w:rsidR="00085033" w:rsidRPr="00BD22C2">
        <w:rPr>
          <w:rFonts w:eastAsia="Calibri"/>
          <w:lang w:val="fr-CA" w:eastAsia="en-US"/>
        </w:rPr>
        <w:t>er</w:t>
      </w:r>
      <w:r w:rsidR="00CE3973" w:rsidRPr="00BD22C2">
        <w:rPr>
          <w:rFonts w:eastAsia="Calibri"/>
          <w:lang w:val="fr-CA" w:eastAsia="en-US"/>
        </w:rPr>
        <w:t xml:space="preserve"> transformés :</w:t>
      </w:r>
      <w:r w:rsidR="00C943A8" w:rsidRPr="00BD22C2">
        <w:rPr>
          <w:rFonts w:eastAsia="Calibri"/>
          <w:lang w:val="fr-CA" w:eastAsia="en-US"/>
        </w:rPr>
        <w:t xml:space="preserve"> </w:t>
      </w:r>
    </w:p>
    <w:p w14:paraId="7DAD7760" w14:textId="30C5F5EB" w:rsidR="004D384D" w:rsidRPr="00BD22C2" w:rsidRDefault="001F65A0" w:rsidP="001E26FD">
      <w:pPr>
        <w:pStyle w:val="Citation"/>
        <w:rPr>
          <w:rFonts w:eastAsia="Calibri"/>
        </w:rPr>
      </w:pPr>
      <w:r w:rsidRPr="00BD22C2">
        <w:t>«</w:t>
      </w:r>
      <w:r w:rsidR="0051216B" w:rsidRPr="00BD22C2">
        <w:t> </w:t>
      </w:r>
      <w:r w:rsidRPr="00BD22C2">
        <w:t>meilleure connaissance des réalités des personnes LGBTQ+ par les personnes intervenantes, attitudes</w:t>
      </w:r>
      <w:r w:rsidR="00180449" w:rsidRPr="00BD22C2">
        <w:t xml:space="preserve"> </w:t>
      </w:r>
      <w:r w:rsidRPr="00BD22C2">
        <w:t>positives et respectueuses envers les personnes de la diversité sexuelle et de genre ou mise à niveau des</w:t>
      </w:r>
      <w:r w:rsidR="00180449" w:rsidRPr="00BD22C2">
        <w:t xml:space="preserve"> </w:t>
      </w:r>
      <w:r w:rsidRPr="00BD22C2">
        <w:t>méthodes d’intervention. L’adaptation des services publics, que ce soit dans les domaines de la santé, de</w:t>
      </w:r>
      <w:r w:rsidR="00180449" w:rsidRPr="00BD22C2">
        <w:t xml:space="preserve"> </w:t>
      </w:r>
      <w:r w:rsidRPr="00BD22C2">
        <w:t>l’éducation, de la justice, des services policiers ou autres, peut entraîner des effets positifs sur tous les aspects</w:t>
      </w:r>
      <w:r w:rsidR="00180449" w:rsidRPr="00BD22C2">
        <w:t xml:space="preserve"> </w:t>
      </w:r>
      <w:r w:rsidRPr="00BD22C2">
        <w:t>de la vie des personnes LGBTQ+</w:t>
      </w:r>
      <w:r w:rsidR="00180449" w:rsidRPr="00BD22C2">
        <w:t>.</w:t>
      </w:r>
      <w:r w:rsidR="0051216B" w:rsidRPr="00BD22C2">
        <w:t> </w:t>
      </w:r>
      <w:r w:rsidR="00180449" w:rsidRPr="00BD22C2">
        <w:t>»</w:t>
      </w:r>
      <w:r w:rsidR="00512FB0" w:rsidRPr="00BD22C2">
        <w:rPr>
          <w:rStyle w:val="Appeldenotedefin"/>
          <w:rFonts w:cs="Arial"/>
          <w:color w:val="363636"/>
          <w:szCs w:val="20"/>
        </w:rPr>
        <w:endnoteReference w:id="460"/>
      </w:r>
    </w:p>
    <w:p w14:paraId="3B39613B" w14:textId="60B64715" w:rsidR="003C0B2F" w:rsidRPr="00CD4047" w:rsidRDefault="004D384D" w:rsidP="00595195">
      <w:pPr>
        <w:pStyle w:val="Paragraphe"/>
        <w:rPr>
          <w:lang w:val="fr-CA"/>
        </w:rPr>
      </w:pPr>
      <w:r w:rsidRPr="00CD4047">
        <w:rPr>
          <w:lang w:val="fr-CA"/>
        </w:rPr>
        <w:t xml:space="preserve">L’État </w:t>
      </w:r>
      <w:r w:rsidR="00F93A07" w:rsidRPr="00CD4047">
        <w:rPr>
          <w:lang w:val="fr-CA"/>
        </w:rPr>
        <w:t>reconnaît</w:t>
      </w:r>
      <w:r w:rsidR="006C439D" w:rsidRPr="00CD4047">
        <w:rPr>
          <w:lang w:val="fr-CA"/>
        </w:rPr>
        <w:t xml:space="preserve"> ainsi qu’il </w:t>
      </w:r>
      <w:proofErr w:type="gramStart"/>
      <w:r w:rsidRPr="00CD4047">
        <w:rPr>
          <w:lang w:val="fr-CA"/>
        </w:rPr>
        <w:t>a</w:t>
      </w:r>
      <w:proofErr w:type="gramEnd"/>
      <w:r w:rsidRPr="00CD4047">
        <w:rPr>
          <w:lang w:val="fr-CA"/>
        </w:rPr>
        <w:t xml:space="preserve"> un rôle de premier plan</w:t>
      </w:r>
      <w:r w:rsidR="00805E4A" w:rsidRPr="00CD4047">
        <w:rPr>
          <w:lang w:val="fr-CA"/>
        </w:rPr>
        <w:t xml:space="preserve">, </w:t>
      </w:r>
      <w:r w:rsidR="002C3D1A" w:rsidRPr="00CD4047">
        <w:rPr>
          <w:lang w:val="fr-CA"/>
        </w:rPr>
        <w:t xml:space="preserve">en collaboration </w:t>
      </w:r>
      <w:r w:rsidR="00805E4A" w:rsidRPr="00CD4047">
        <w:rPr>
          <w:lang w:val="fr-CA"/>
        </w:rPr>
        <w:t>avec les partenaires du milieu communautaire,</w:t>
      </w:r>
      <w:r w:rsidRPr="00CD4047">
        <w:rPr>
          <w:lang w:val="fr-CA"/>
        </w:rPr>
        <w:t xml:space="preserve"> dans la </w:t>
      </w:r>
      <w:r w:rsidR="00805E4A" w:rsidRPr="00CD4047">
        <w:rPr>
          <w:lang w:val="fr-CA"/>
        </w:rPr>
        <w:t xml:space="preserve">formation, puis dans la </w:t>
      </w:r>
      <w:r w:rsidR="002C3D1A" w:rsidRPr="00CD4047">
        <w:rPr>
          <w:lang w:val="fr-CA"/>
        </w:rPr>
        <w:t xml:space="preserve">correction </w:t>
      </w:r>
      <w:r w:rsidRPr="00CD4047">
        <w:rPr>
          <w:lang w:val="fr-CA"/>
        </w:rPr>
        <w:t>des normes et pratiques de ses institutions</w:t>
      </w:r>
      <w:r w:rsidR="00B05FC4" w:rsidRPr="00CD4047">
        <w:rPr>
          <w:lang w:val="fr-CA"/>
        </w:rPr>
        <w:t>,</w:t>
      </w:r>
      <w:r w:rsidRPr="00CD4047">
        <w:rPr>
          <w:lang w:val="fr-CA"/>
        </w:rPr>
        <w:t xml:space="preserve"> de manière à les rendre pleinement inclusives pour les personnes issues des groupes minoritaires, dont les personnes trans et non</w:t>
      </w:r>
      <w:r w:rsidR="0073758E" w:rsidRPr="00CD4047">
        <w:rPr>
          <w:lang w:val="fr-CA"/>
        </w:rPr>
        <w:t xml:space="preserve"> </w:t>
      </w:r>
      <w:r w:rsidRPr="00CD4047">
        <w:rPr>
          <w:lang w:val="fr-CA"/>
        </w:rPr>
        <w:t>binaires</w:t>
      </w:r>
      <w:r w:rsidRPr="4BB1F094">
        <w:rPr>
          <w:rStyle w:val="Appeldenotedefin"/>
        </w:rPr>
        <w:endnoteReference w:id="461"/>
      </w:r>
      <w:r w:rsidRPr="00CD4047">
        <w:rPr>
          <w:lang w:val="fr-CA"/>
        </w:rPr>
        <w:t>. La Commission invite</w:t>
      </w:r>
      <w:r w:rsidR="00934660" w:rsidRPr="00CD4047">
        <w:rPr>
          <w:lang w:val="fr-CA"/>
        </w:rPr>
        <w:t xml:space="preserve"> </w:t>
      </w:r>
      <w:r w:rsidR="007D09CF" w:rsidRPr="00CD4047">
        <w:rPr>
          <w:lang w:val="fr-CA"/>
        </w:rPr>
        <w:t>le G</w:t>
      </w:r>
      <w:r w:rsidRPr="00CD4047">
        <w:rPr>
          <w:lang w:val="fr-CA"/>
        </w:rPr>
        <w:t xml:space="preserve">ouvernement du Québec </w:t>
      </w:r>
      <w:r w:rsidR="002C4C9E" w:rsidRPr="00CD4047">
        <w:rPr>
          <w:lang w:val="fr-CA"/>
        </w:rPr>
        <w:t>à poursuivre ses efforts à cet égard</w:t>
      </w:r>
      <w:r w:rsidR="00A075D4" w:rsidRPr="00CD4047">
        <w:rPr>
          <w:lang w:val="fr-CA"/>
        </w:rPr>
        <w:t xml:space="preserve"> et à </w:t>
      </w:r>
      <w:r w:rsidR="00C41D40" w:rsidRPr="00CD4047">
        <w:rPr>
          <w:lang w:val="fr-CA"/>
        </w:rPr>
        <w:t xml:space="preserve">s’assurer </w:t>
      </w:r>
      <w:r w:rsidR="007A6033" w:rsidRPr="00CD4047">
        <w:rPr>
          <w:lang w:val="fr-CA"/>
        </w:rPr>
        <w:t xml:space="preserve">que le cadre des droits et libertés </w:t>
      </w:r>
      <w:r w:rsidR="00035E43" w:rsidRPr="00CD4047">
        <w:rPr>
          <w:lang w:val="fr-CA"/>
        </w:rPr>
        <w:t>soit au cœur de</w:t>
      </w:r>
      <w:r w:rsidR="001774A2" w:rsidRPr="00CD4047">
        <w:rPr>
          <w:lang w:val="fr-CA"/>
        </w:rPr>
        <w:t>s formations offertes aux membres de son personnel</w:t>
      </w:r>
      <w:r w:rsidR="006E2FD1" w:rsidRPr="00CD4047">
        <w:rPr>
          <w:lang w:val="fr-CA"/>
        </w:rPr>
        <w:t>,</w:t>
      </w:r>
      <w:r w:rsidR="00934660" w:rsidRPr="00CD4047">
        <w:rPr>
          <w:lang w:val="fr-CA"/>
        </w:rPr>
        <w:t xml:space="preserve"> ce qui lui permettra de</w:t>
      </w:r>
      <w:r w:rsidRPr="00CD4047">
        <w:rPr>
          <w:lang w:val="fr-CA"/>
        </w:rPr>
        <w:t xml:space="preserve"> se positionner </w:t>
      </w:r>
      <w:r w:rsidR="007F4FA0" w:rsidRPr="00CD4047">
        <w:rPr>
          <w:lang w:val="fr-CA"/>
        </w:rPr>
        <w:t xml:space="preserve">véritablement </w:t>
      </w:r>
      <w:r w:rsidRPr="00CD4047">
        <w:rPr>
          <w:lang w:val="fr-CA"/>
        </w:rPr>
        <w:t>comme un modèle en la matière</w:t>
      </w:r>
      <w:r w:rsidR="007F4FA0" w:rsidRPr="00CD4047">
        <w:rPr>
          <w:lang w:val="fr-CA"/>
        </w:rPr>
        <w:t xml:space="preserve"> pour l’ensemble de la société</w:t>
      </w:r>
      <w:r w:rsidRPr="4BB1F094">
        <w:rPr>
          <w:rStyle w:val="Appeldenotedefin"/>
        </w:rPr>
        <w:endnoteReference w:id="462"/>
      </w:r>
      <w:r w:rsidRPr="00CD4047">
        <w:rPr>
          <w:lang w:val="fr-CA"/>
        </w:rPr>
        <w:t>.</w:t>
      </w:r>
      <w:r w:rsidR="00351295" w:rsidRPr="00CD4047">
        <w:rPr>
          <w:lang w:val="fr-CA"/>
        </w:rPr>
        <w:t xml:space="preserve"> </w:t>
      </w:r>
      <w:r w:rsidR="00E46265" w:rsidRPr="00CD4047">
        <w:rPr>
          <w:lang w:val="fr-CA"/>
        </w:rPr>
        <w:t xml:space="preserve"> </w:t>
      </w:r>
    </w:p>
    <w:p w14:paraId="7121D40A" w14:textId="4B5AB83D" w:rsidR="00380396" w:rsidRPr="00CD4047" w:rsidRDefault="00BC0203" w:rsidP="00595195">
      <w:pPr>
        <w:pStyle w:val="Paragraphe"/>
        <w:rPr>
          <w:rFonts w:eastAsia="Calibri"/>
          <w:lang w:val="fr-CA"/>
        </w:rPr>
      </w:pPr>
      <w:r w:rsidRPr="00CD4047">
        <w:rPr>
          <w:lang w:val="fr-CA"/>
        </w:rPr>
        <w:t>C’est en ce sens qu</w:t>
      </w:r>
      <w:r w:rsidR="009F4BC5" w:rsidRPr="00CD4047">
        <w:rPr>
          <w:lang w:val="fr-CA"/>
        </w:rPr>
        <w:t>e la Commission</w:t>
      </w:r>
      <w:r w:rsidRPr="00CD4047">
        <w:rPr>
          <w:lang w:val="fr-CA"/>
        </w:rPr>
        <w:t xml:space="preserve"> </w:t>
      </w:r>
      <w:r w:rsidR="00004463" w:rsidRPr="00CD4047">
        <w:rPr>
          <w:lang w:val="fr-CA"/>
        </w:rPr>
        <w:t xml:space="preserve">juge important de porter </w:t>
      </w:r>
      <w:r w:rsidR="00D230E8" w:rsidRPr="00CD4047">
        <w:rPr>
          <w:lang w:val="fr-CA"/>
        </w:rPr>
        <w:t xml:space="preserve">cette recommandation </w:t>
      </w:r>
      <w:r w:rsidR="00004463" w:rsidRPr="00CD4047">
        <w:rPr>
          <w:lang w:val="fr-CA"/>
        </w:rPr>
        <w:t>à l’</w:t>
      </w:r>
      <w:r w:rsidR="00380396" w:rsidRPr="00CD4047">
        <w:rPr>
          <w:lang w:val="fr-CA"/>
        </w:rPr>
        <w:t>attention du Comité de sages</w:t>
      </w:r>
      <w:r w:rsidR="003E4C19" w:rsidRPr="4BB1F094">
        <w:rPr>
          <w:rStyle w:val="Appeldenotedefin"/>
        </w:rPr>
        <w:endnoteReference w:id="463"/>
      </w:r>
      <w:r w:rsidR="00796DBA" w:rsidRPr="00CD4047">
        <w:rPr>
          <w:lang w:val="fr-CA"/>
        </w:rPr>
        <w:t xml:space="preserve"> : </w:t>
      </w:r>
    </w:p>
    <w:p w14:paraId="2F5E167F" w14:textId="2F1E1BD4" w:rsidR="009F4BC5" w:rsidRPr="00BD22C2" w:rsidRDefault="00FA57E3" w:rsidP="00595195">
      <w:pPr>
        <w:pStyle w:val="TitreRecommandation"/>
      </w:pPr>
      <w:r w:rsidRPr="00BD22C2">
        <w:t>Recommandation</w:t>
      </w:r>
      <w:r w:rsidR="00CC76DE" w:rsidRPr="00BD22C2">
        <w:t> </w:t>
      </w:r>
      <w:r w:rsidR="0014682B" w:rsidRPr="00BD22C2">
        <w:t>14</w:t>
      </w:r>
    </w:p>
    <w:p w14:paraId="258FF1EE" w14:textId="44B35790" w:rsidR="00E001BE" w:rsidRPr="00BD22C2" w:rsidRDefault="00380396" w:rsidP="00595195">
      <w:pPr>
        <w:pStyle w:val="Texterecommandation"/>
        <w:ind w:left="706" w:firstLine="3"/>
        <w:rPr>
          <w:bCs/>
        </w:rPr>
      </w:pPr>
      <w:r w:rsidRPr="00BD22C2">
        <w:t>La Commission recommande que le Comité de sages sur l’identité de genre invite le gouvernement à</w:t>
      </w:r>
      <w:r w:rsidR="00FA57E3" w:rsidRPr="00BD22C2">
        <w:t xml:space="preserve"> </w:t>
      </w:r>
      <w:r w:rsidR="006E2FD1" w:rsidRPr="00BD22C2">
        <w:t>s’assurer que les formations</w:t>
      </w:r>
      <w:r w:rsidR="00F06749" w:rsidRPr="00BD22C2">
        <w:t xml:space="preserve"> offertes à son personnel soi</w:t>
      </w:r>
      <w:r w:rsidR="0073026D" w:rsidRPr="00BD22C2">
        <w:t>en</w:t>
      </w:r>
      <w:r w:rsidR="00F06749" w:rsidRPr="00BD22C2">
        <w:t>t arrimées au cadre des</w:t>
      </w:r>
      <w:r w:rsidR="00007A68" w:rsidRPr="00BD22C2" w:rsidDel="00F06749">
        <w:t xml:space="preserve"> </w:t>
      </w:r>
      <w:r w:rsidR="00007A68" w:rsidRPr="00BD22C2">
        <w:t>droits et libertés</w:t>
      </w:r>
      <w:r w:rsidR="00E001BE" w:rsidRPr="00BD22C2">
        <w:rPr>
          <w:bCs/>
        </w:rPr>
        <w:t> :</w:t>
      </w:r>
    </w:p>
    <w:p w14:paraId="3A193006" w14:textId="0CE5229C" w:rsidR="00E001BE" w:rsidRPr="00BD22C2" w:rsidRDefault="00392D77" w:rsidP="00595195">
      <w:pPr>
        <w:pStyle w:val="Texterecommandation"/>
        <w:numPr>
          <w:ilvl w:val="0"/>
          <w:numId w:val="13"/>
        </w:numPr>
        <w:rPr>
          <w:bCs/>
          <w:lang w:eastAsia="en-US"/>
        </w:rPr>
      </w:pPr>
      <w:r w:rsidRPr="00BD22C2">
        <w:rPr>
          <w:bCs/>
        </w:rPr>
        <w:t>avec un volet spécifique portant sur les réalités des personnes trans et non</w:t>
      </w:r>
      <w:r w:rsidR="0073758E" w:rsidRPr="00BD22C2">
        <w:rPr>
          <w:bCs/>
        </w:rPr>
        <w:t xml:space="preserve"> </w:t>
      </w:r>
      <w:r w:rsidRPr="00BD22C2">
        <w:rPr>
          <w:bCs/>
        </w:rPr>
        <w:t xml:space="preserve">binaires, dont la </w:t>
      </w:r>
      <w:r w:rsidR="00143725" w:rsidRPr="00BD22C2">
        <w:rPr>
          <w:bCs/>
        </w:rPr>
        <w:t>discrimination</w:t>
      </w:r>
      <w:r w:rsidR="00E27684" w:rsidRPr="00BD22C2">
        <w:rPr>
          <w:bCs/>
        </w:rPr>
        <w:t>, incluant</w:t>
      </w:r>
      <w:r w:rsidR="00143725" w:rsidRPr="00BD22C2">
        <w:rPr>
          <w:bCs/>
        </w:rPr>
        <w:t xml:space="preserve"> la </w:t>
      </w:r>
      <w:r w:rsidR="00B33E60" w:rsidRPr="00BD22C2">
        <w:rPr>
          <w:bCs/>
        </w:rPr>
        <w:t>transphobie</w:t>
      </w:r>
      <w:r w:rsidR="00CF0C74" w:rsidRPr="00BD22C2">
        <w:rPr>
          <w:bCs/>
        </w:rPr>
        <w:t> </w:t>
      </w:r>
      <w:r w:rsidR="00E001BE" w:rsidRPr="00BD22C2">
        <w:rPr>
          <w:bCs/>
        </w:rPr>
        <w:t>;</w:t>
      </w:r>
    </w:p>
    <w:p w14:paraId="5E460629" w14:textId="6EA2747A" w:rsidR="00E001BE" w:rsidRPr="00BD22C2" w:rsidRDefault="00083C6F" w:rsidP="00595195">
      <w:pPr>
        <w:pStyle w:val="Texterecommandation"/>
        <w:numPr>
          <w:ilvl w:val="0"/>
          <w:numId w:val="13"/>
        </w:numPr>
        <w:rPr>
          <w:bCs/>
          <w:lang w:eastAsia="en-US"/>
        </w:rPr>
      </w:pPr>
      <w:r w:rsidRPr="00BD22C2">
        <w:t>diffusées</w:t>
      </w:r>
      <w:r w:rsidR="00007A68" w:rsidRPr="00BD22C2">
        <w:t xml:space="preserve"> sur une base continue à l’ensemble de son personnel, en priorité aux hauts fonctionnaires, aux personnes en autorité et aux responsables des ressources humaines</w:t>
      </w:r>
      <w:r w:rsidR="00CF0C74" w:rsidRPr="00BD22C2">
        <w:t> </w:t>
      </w:r>
      <w:r w:rsidR="00E001BE" w:rsidRPr="00BD22C2">
        <w:rPr>
          <w:bCs/>
        </w:rPr>
        <w:t>;</w:t>
      </w:r>
      <w:r w:rsidR="00007A68" w:rsidRPr="00BD22C2">
        <w:rPr>
          <w:bCs/>
        </w:rPr>
        <w:t xml:space="preserve"> </w:t>
      </w:r>
    </w:p>
    <w:p w14:paraId="5E4DE7FE" w14:textId="4D6D7231" w:rsidR="00380396" w:rsidRPr="00BD22C2" w:rsidRDefault="00E001BE" w:rsidP="00595195">
      <w:pPr>
        <w:pStyle w:val="Texterecommandation"/>
        <w:numPr>
          <w:ilvl w:val="0"/>
          <w:numId w:val="13"/>
        </w:numPr>
        <w:rPr>
          <w:lang w:eastAsia="en-US"/>
        </w:rPr>
      </w:pPr>
      <w:r w:rsidRPr="00BD22C2">
        <w:rPr>
          <w:bCs/>
        </w:rPr>
        <w:t>et dont la</w:t>
      </w:r>
      <w:r w:rsidR="00007A68" w:rsidRPr="00BD22C2">
        <w:t xml:space="preserve"> </w:t>
      </w:r>
      <w:r w:rsidR="00063343" w:rsidRPr="00BD22C2">
        <w:t xml:space="preserve">maîtrise </w:t>
      </w:r>
      <w:r w:rsidR="00007A68" w:rsidRPr="00BD22C2">
        <w:t>du contenu par son personnel devra être évaluée en cours d’emploi ou lors de concours de sélection. </w:t>
      </w:r>
    </w:p>
    <w:p w14:paraId="0A974477" w14:textId="695B4E40" w:rsidR="004D384D" w:rsidRPr="00BD22C2" w:rsidRDefault="004D384D" w:rsidP="00EF1CB2">
      <w:pPr>
        <w:pStyle w:val="Titre2"/>
        <w:rPr>
          <w:rFonts w:eastAsia="Calibri"/>
          <w:lang w:eastAsia="en-US"/>
        </w:rPr>
      </w:pPr>
      <w:bookmarkStart w:id="189" w:name="_Toc165301049"/>
      <w:bookmarkStart w:id="190" w:name="_Toc165636132"/>
      <w:r w:rsidRPr="00BD22C2">
        <w:rPr>
          <w:rFonts w:eastAsia="Calibri"/>
          <w:lang w:eastAsia="en-US"/>
        </w:rPr>
        <w:t xml:space="preserve">L’éducation aux droits </w:t>
      </w:r>
      <w:r w:rsidR="000F404E" w:rsidRPr="00BD22C2">
        <w:rPr>
          <w:rFonts w:eastAsia="Calibri"/>
          <w:lang w:eastAsia="en-US"/>
        </w:rPr>
        <w:t>et libertés et l’adaptation des normes et pratiques de l’école</w:t>
      </w:r>
      <w:bookmarkEnd w:id="189"/>
      <w:bookmarkEnd w:id="190"/>
      <w:r w:rsidR="000F404E" w:rsidRPr="00BD22C2">
        <w:rPr>
          <w:rFonts w:eastAsia="Calibri"/>
          <w:lang w:eastAsia="en-US"/>
        </w:rPr>
        <w:t xml:space="preserve"> </w:t>
      </w:r>
      <w:r w:rsidR="00817F50" w:rsidRPr="00BD22C2">
        <w:rPr>
          <w:rFonts w:eastAsia="Calibri"/>
          <w:lang w:eastAsia="en-US"/>
        </w:rPr>
        <w:t xml:space="preserve"> </w:t>
      </w:r>
    </w:p>
    <w:p w14:paraId="390F3335" w14:textId="4A6EE677" w:rsidR="00587130" w:rsidRPr="00BD22C2" w:rsidRDefault="004D384D" w:rsidP="00595195">
      <w:pPr>
        <w:pStyle w:val="Paragraphe"/>
        <w:rPr>
          <w:rFonts w:eastAsia="Calibri"/>
          <w:lang w:val="fr-CA" w:eastAsia="en-US"/>
        </w:rPr>
      </w:pPr>
      <w:r w:rsidRPr="00BD22C2">
        <w:rPr>
          <w:rFonts w:eastAsia="Calibri"/>
          <w:lang w:val="fr-CA" w:eastAsia="en-US"/>
        </w:rPr>
        <w:t xml:space="preserve">Le milieu scolaire est directement interpellé par l’éducation aux droits et libertés, </w:t>
      </w:r>
      <w:r w:rsidRPr="00BD22C2" w:rsidDel="00B87D9F">
        <w:rPr>
          <w:rFonts w:eastAsia="Calibri"/>
          <w:lang w:val="fr-CA" w:eastAsia="en-US"/>
        </w:rPr>
        <w:t>dont les aspects</w:t>
      </w:r>
      <w:r w:rsidR="00ED5630" w:rsidRPr="00BD22C2">
        <w:rPr>
          <w:rFonts w:eastAsia="Calibri"/>
          <w:lang w:val="fr-CA" w:eastAsia="en-US"/>
        </w:rPr>
        <w:t xml:space="preserve"> </w:t>
      </w:r>
      <w:r w:rsidRPr="00BD22C2">
        <w:rPr>
          <w:rFonts w:eastAsia="Calibri"/>
          <w:lang w:val="fr-CA" w:eastAsia="en-US"/>
        </w:rPr>
        <w:t>qui touchent les enfants et adolescents trans et non</w:t>
      </w:r>
      <w:r w:rsidR="0073758E" w:rsidRPr="00BD22C2">
        <w:rPr>
          <w:rFonts w:eastAsia="Calibri"/>
          <w:lang w:val="fr-CA" w:eastAsia="en-US"/>
        </w:rPr>
        <w:t xml:space="preserve"> </w:t>
      </w:r>
      <w:r w:rsidRPr="00BD22C2">
        <w:rPr>
          <w:rFonts w:eastAsia="Calibri"/>
          <w:lang w:val="fr-CA" w:eastAsia="en-US"/>
        </w:rPr>
        <w:t>binaires, tant en raison</w:t>
      </w:r>
      <w:r w:rsidR="00593045" w:rsidRPr="00BD22C2">
        <w:rPr>
          <w:rFonts w:eastAsia="Calibri"/>
          <w:lang w:val="fr-CA" w:eastAsia="en-US"/>
        </w:rPr>
        <w:t xml:space="preserve"> </w:t>
      </w:r>
      <w:r w:rsidRPr="00BD22C2">
        <w:rPr>
          <w:rFonts w:eastAsia="Calibri"/>
          <w:lang w:val="fr-CA" w:eastAsia="en-US"/>
        </w:rPr>
        <w:t xml:space="preserve">de la </w:t>
      </w:r>
      <w:r w:rsidR="009A5A1E" w:rsidRPr="00BD22C2">
        <w:rPr>
          <w:rFonts w:eastAsia="Calibri"/>
          <w:lang w:val="fr-CA" w:eastAsia="en-US"/>
        </w:rPr>
        <w:t xml:space="preserve">triple </w:t>
      </w:r>
      <w:r w:rsidRPr="00BD22C2">
        <w:rPr>
          <w:rFonts w:eastAsia="Calibri"/>
          <w:lang w:val="fr-CA" w:eastAsia="en-US"/>
        </w:rPr>
        <w:lastRenderedPageBreak/>
        <w:t>mission de l’école</w:t>
      </w:r>
      <w:r w:rsidR="000E5B31" w:rsidRPr="00BD22C2">
        <w:rPr>
          <w:rFonts w:eastAsia="Calibri"/>
          <w:lang w:val="fr-CA" w:eastAsia="en-US"/>
        </w:rPr>
        <w:t xml:space="preserve"> </w:t>
      </w:r>
      <w:r w:rsidR="00B95437" w:rsidRPr="00BD22C2">
        <w:rPr>
          <w:rFonts w:ascii="Symbol" w:eastAsia="Symbol" w:hAnsi="Symbol" w:cs="Symbol"/>
          <w:lang w:val="fr-CA" w:eastAsia="en-US"/>
        </w:rPr>
        <w:t>¾</w:t>
      </w:r>
      <w:r w:rsidR="003A41B9" w:rsidRPr="00BD22C2">
        <w:rPr>
          <w:rFonts w:eastAsia="Calibri"/>
          <w:lang w:val="fr-CA" w:eastAsia="en-US"/>
        </w:rPr>
        <w:t xml:space="preserve"> qui selon </w:t>
      </w:r>
      <w:r w:rsidR="00E63B27" w:rsidRPr="00BD22C2">
        <w:rPr>
          <w:rFonts w:eastAsia="Calibri"/>
          <w:lang w:val="fr-CA" w:eastAsia="en-US"/>
        </w:rPr>
        <w:t>le principe d’égalité des chances doit i</w:t>
      </w:r>
      <w:r w:rsidR="000E5B31" w:rsidRPr="00BD22C2">
        <w:rPr>
          <w:rFonts w:eastAsia="Calibri"/>
          <w:lang w:val="fr-CA" w:eastAsia="en-US"/>
        </w:rPr>
        <w:t>nstruire, socialiser et qualifier les élèves</w:t>
      </w:r>
      <w:r w:rsidR="007D6E3D" w:rsidRPr="00BD22C2">
        <w:rPr>
          <w:rStyle w:val="Appeldenotedefin"/>
          <w:rFonts w:eastAsia="Calibri"/>
          <w:lang w:val="fr-CA" w:eastAsia="en-US"/>
        </w:rPr>
        <w:endnoteReference w:id="464"/>
      </w:r>
      <w:r w:rsidR="000E5B31" w:rsidRPr="00BD22C2">
        <w:rPr>
          <w:rFonts w:eastAsia="Calibri"/>
          <w:lang w:val="fr-CA" w:eastAsia="en-US"/>
        </w:rPr>
        <w:t xml:space="preserve"> </w:t>
      </w:r>
      <w:r w:rsidR="000E5B31" w:rsidRPr="00BD22C2">
        <w:rPr>
          <w:rFonts w:ascii="Symbol" w:eastAsia="Symbol" w:hAnsi="Symbol" w:cs="Symbol"/>
          <w:lang w:val="fr-CA" w:eastAsia="en-US"/>
        </w:rPr>
        <w:t>¾</w:t>
      </w:r>
      <w:r w:rsidR="009A5A1E" w:rsidRPr="00BD22C2">
        <w:rPr>
          <w:rFonts w:eastAsia="Calibri"/>
          <w:lang w:val="fr-CA" w:eastAsia="en-US"/>
        </w:rPr>
        <w:t>,</w:t>
      </w:r>
      <w:r w:rsidRPr="00BD22C2">
        <w:rPr>
          <w:rFonts w:eastAsia="Calibri"/>
          <w:lang w:val="fr-CA" w:eastAsia="en-US"/>
        </w:rPr>
        <w:t xml:space="preserve"> qu’en raison du fait que la transition </w:t>
      </w:r>
      <w:r w:rsidR="00676842" w:rsidRPr="00BD22C2">
        <w:rPr>
          <w:rFonts w:eastAsia="Calibri"/>
          <w:lang w:val="fr-CA" w:eastAsia="en-US"/>
        </w:rPr>
        <w:t xml:space="preserve">de </w:t>
      </w:r>
      <w:r w:rsidR="000A7CF7" w:rsidRPr="00BD22C2">
        <w:rPr>
          <w:rFonts w:eastAsia="Calibri"/>
          <w:lang w:val="fr-CA" w:eastAsia="en-US"/>
        </w:rPr>
        <w:t xml:space="preserve">ces élèves </w:t>
      </w:r>
      <w:r w:rsidR="00153D54" w:rsidRPr="00BD22C2">
        <w:rPr>
          <w:rFonts w:eastAsia="Calibri"/>
          <w:lang w:val="fr-CA" w:eastAsia="en-US"/>
        </w:rPr>
        <w:t>débute</w:t>
      </w:r>
      <w:r w:rsidR="00BA1CAB" w:rsidRPr="00BD22C2">
        <w:rPr>
          <w:rFonts w:eastAsia="Calibri"/>
          <w:lang w:val="fr-CA" w:eastAsia="en-US"/>
        </w:rPr>
        <w:t xml:space="preserve"> bien souvent</w:t>
      </w:r>
      <w:r w:rsidRPr="00BD22C2" w:rsidDel="00BA1CAB">
        <w:rPr>
          <w:rFonts w:eastAsia="Calibri"/>
          <w:lang w:val="fr-CA" w:eastAsia="en-US"/>
        </w:rPr>
        <w:t xml:space="preserve"> </w:t>
      </w:r>
      <w:r w:rsidRPr="00BD22C2">
        <w:rPr>
          <w:rFonts w:eastAsia="Calibri"/>
          <w:lang w:val="fr-CA" w:eastAsia="en-US"/>
        </w:rPr>
        <w:t xml:space="preserve">durant la période de fréquentation scolaire. </w:t>
      </w:r>
      <w:r w:rsidR="0048002A" w:rsidRPr="00BD22C2">
        <w:rPr>
          <w:rFonts w:eastAsia="Calibri"/>
          <w:lang w:val="fr-CA" w:eastAsia="en-US"/>
        </w:rPr>
        <w:t xml:space="preserve">Parallèlement, l’école </w:t>
      </w:r>
      <w:r w:rsidR="00587130" w:rsidRPr="00BD22C2">
        <w:rPr>
          <w:rFonts w:eastAsia="Calibri"/>
          <w:lang w:val="fr-CA" w:eastAsia="en-US"/>
        </w:rPr>
        <w:t>québécoise doit au</w:t>
      </w:r>
      <w:r w:rsidR="003B28B5" w:rsidRPr="00BD22C2">
        <w:rPr>
          <w:rFonts w:eastAsia="Calibri"/>
          <w:lang w:val="fr-CA" w:eastAsia="en-US"/>
        </w:rPr>
        <w:t>ssi s’assurer d’adapter ses normes et prat</w:t>
      </w:r>
      <w:r w:rsidR="008460F2" w:rsidRPr="00BD22C2">
        <w:rPr>
          <w:rFonts w:eastAsia="Calibri"/>
          <w:lang w:val="fr-CA" w:eastAsia="en-US"/>
        </w:rPr>
        <w:t xml:space="preserve">iques afin </w:t>
      </w:r>
      <w:r w:rsidR="00B85C46" w:rsidRPr="00BD22C2">
        <w:rPr>
          <w:rFonts w:eastAsia="Calibri"/>
          <w:lang w:val="fr-CA" w:eastAsia="en-US"/>
        </w:rPr>
        <w:t xml:space="preserve">de garantir </w:t>
      </w:r>
      <w:r w:rsidR="008877A7" w:rsidRPr="00BD22C2">
        <w:rPr>
          <w:rFonts w:eastAsia="Calibri"/>
          <w:lang w:val="fr-CA" w:eastAsia="en-US"/>
        </w:rPr>
        <w:t xml:space="preserve">le respect et </w:t>
      </w:r>
      <w:r w:rsidR="00B85C46" w:rsidRPr="00BD22C2">
        <w:rPr>
          <w:rFonts w:eastAsia="Calibri"/>
          <w:lang w:val="fr-CA" w:eastAsia="en-US"/>
        </w:rPr>
        <w:t>l’exercice des droits et libertés</w:t>
      </w:r>
      <w:r w:rsidR="008460F2" w:rsidRPr="00BD22C2">
        <w:rPr>
          <w:rFonts w:eastAsia="Calibri"/>
          <w:lang w:val="fr-CA" w:eastAsia="en-US"/>
        </w:rPr>
        <w:t xml:space="preserve"> et mieux tenir compte des besoins des élèves trans et non</w:t>
      </w:r>
      <w:r w:rsidR="00166CFB" w:rsidRPr="00BD22C2">
        <w:rPr>
          <w:rFonts w:eastAsia="Calibri"/>
          <w:lang w:val="fr-CA" w:eastAsia="en-US"/>
        </w:rPr>
        <w:t xml:space="preserve"> </w:t>
      </w:r>
      <w:r w:rsidR="008460F2" w:rsidRPr="00BD22C2">
        <w:rPr>
          <w:rFonts w:eastAsia="Calibri"/>
          <w:lang w:val="fr-CA" w:eastAsia="en-US"/>
        </w:rPr>
        <w:t>binaires.</w:t>
      </w:r>
    </w:p>
    <w:p w14:paraId="62F4D11A" w14:textId="1FBBA988" w:rsidR="001E4119" w:rsidRPr="00BD22C2" w:rsidRDefault="004D384D" w:rsidP="00595195">
      <w:pPr>
        <w:pStyle w:val="Paragraphe"/>
        <w:rPr>
          <w:rFonts w:eastAsia="Calibri"/>
          <w:lang w:val="fr-CA" w:eastAsia="en-US"/>
        </w:rPr>
      </w:pPr>
      <w:r w:rsidRPr="00BD22C2">
        <w:rPr>
          <w:rFonts w:eastAsia="Calibri"/>
          <w:lang w:val="fr-CA" w:eastAsia="en-US"/>
        </w:rPr>
        <w:t xml:space="preserve">Rappelons que </w:t>
      </w:r>
      <w:r w:rsidR="00967C5B" w:rsidRPr="00BD22C2">
        <w:rPr>
          <w:rFonts w:eastAsia="Calibri"/>
          <w:lang w:val="fr-CA" w:eastAsia="en-US"/>
        </w:rPr>
        <w:t xml:space="preserve">le milieu scolaire </w:t>
      </w:r>
      <w:r w:rsidRPr="00BD22C2">
        <w:rPr>
          <w:rFonts w:eastAsia="Calibri"/>
          <w:lang w:val="fr-CA" w:eastAsia="en-US"/>
        </w:rPr>
        <w:t>représente la deuxième sphère de socialisation</w:t>
      </w:r>
      <w:r w:rsidR="00CF0C74" w:rsidRPr="00BD22C2">
        <w:rPr>
          <w:rFonts w:eastAsia="Calibri"/>
          <w:lang w:val="fr-CA" w:eastAsia="en-US"/>
        </w:rPr>
        <w:t> </w:t>
      </w:r>
      <w:r w:rsidR="009948B7" w:rsidRPr="00BD22C2">
        <w:rPr>
          <w:rFonts w:eastAsia="Calibri"/>
          <w:lang w:val="fr-CA" w:eastAsia="en-US"/>
        </w:rPr>
        <w:t xml:space="preserve">des jeunes </w:t>
      </w:r>
      <w:r w:rsidR="008B199B" w:rsidRPr="00BD22C2">
        <w:rPr>
          <w:rFonts w:eastAsia="Calibri"/>
          <w:lang w:val="fr-CA" w:eastAsia="en-US"/>
        </w:rPr>
        <w:t>où</w:t>
      </w:r>
      <w:r w:rsidR="00206FCC" w:rsidRPr="00BD22C2">
        <w:rPr>
          <w:rFonts w:eastAsia="Calibri"/>
          <w:lang w:val="fr-CA" w:eastAsia="en-US"/>
        </w:rPr>
        <w:t xml:space="preserve"> ils passent une part importante </w:t>
      </w:r>
      <w:r w:rsidR="00FE5514" w:rsidRPr="00BD22C2">
        <w:rPr>
          <w:rFonts w:eastAsia="Calibri"/>
          <w:lang w:val="fr-CA" w:eastAsia="en-US"/>
        </w:rPr>
        <w:t>de leur temps</w:t>
      </w:r>
      <w:r w:rsidR="00526F5D" w:rsidRPr="00BD22C2">
        <w:rPr>
          <w:rFonts w:eastAsia="Calibri"/>
          <w:lang w:val="fr-CA" w:eastAsia="en-US"/>
        </w:rPr>
        <w:t>.</w:t>
      </w:r>
      <w:r w:rsidRPr="00BD22C2">
        <w:rPr>
          <w:rFonts w:eastAsia="Calibri"/>
          <w:lang w:val="fr-CA" w:eastAsia="en-US"/>
        </w:rPr>
        <w:t xml:space="preserve"> </w:t>
      </w:r>
      <w:r w:rsidR="00967C5B" w:rsidRPr="00BD22C2">
        <w:rPr>
          <w:rFonts w:eastAsia="Calibri"/>
          <w:lang w:val="fr-CA" w:eastAsia="en-US"/>
        </w:rPr>
        <w:t xml:space="preserve">L’école </w:t>
      </w:r>
      <w:r w:rsidRPr="00BD22C2">
        <w:rPr>
          <w:rFonts w:eastAsia="Calibri"/>
          <w:lang w:val="fr-CA" w:eastAsia="en-US"/>
        </w:rPr>
        <w:t xml:space="preserve">peut constituer </w:t>
      </w:r>
      <w:r w:rsidR="002D3070" w:rsidRPr="00BD22C2">
        <w:rPr>
          <w:rFonts w:eastAsia="Calibri"/>
          <w:lang w:val="fr-CA" w:eastAsia="en-US"/>
        </w:rPr>
        <w:t>un</w:t>
      </w:r>
      <w:r w:rsidRPr="00BD22C2">
        <w:rPr>
          <w:rFonts w:eastAsia="Calibri"/>
          <w:lang w:val="fr-CA" w:eastAsia="en-US"/>
        </w:rPr>
        <w:t xml:space="preserve"> environnement refuge pour les enfants et jeunes trans et non</w:t>
      </w:r>
      <w:r w:rsidR="0073758E" w:rsidRPr="00BD22C2">
        <w:rPr>
          <w:rFonts w:eastAsia="Calibri"/>
          <w:lang w:val="fr-CA" w:eastAsia="en-US"/>
        </w:rPr>
        <w:t xml:space="preserve"> </w:t>
      </w:r>
      <w:r w:rsidRPr="00BD22C2">
        <w:rPr>
          <w:rFonts w:eastAsia="Calibri"/>
          <w:lang w:val="fr-CA" w:eastAsia="en-US"/>
        </w:rPr>
        <w:t>binaires subissant dans leur famille une pression à se conformer au genre assigné à la naissance, voire du rejet</w:t>
      </w:r>
      <w:r w:rsidR="00E5705C" w:rsidRPr="00BD22C2">
        <w:rPr>
          <w:rFonts w:eastAsia="Calibri"/>
          <w:lang w:val="fr-CA" w:eastAsia="en-US"/>
        </w:rPr>
        <w:t xml:space="preserve">, comme </w:t>
      </w:r>
      <w:r w:rsidR="00D74C20" w:rsidRPr="00BD22C2">
        <w:rPr>
          <w:rFonts w:eastAsia="Calibri"/>
          <w:lang w:val="fr-CA" w:eastAsia="en-US"/>
        </w:rPr>
        <w:t>nous l’avons exposé</w:t>
      </w:r>
      <w:r w:rsidR="00E5705C" w:rsidRPr="00BD22C2">
        <w:rPr>
          <w:rFonts w:eastAsia="Calibri"/>
          <w:lang w:val="fr-CA" w:eastAsia="en-US"/>
        </w:rPr>
        <w:t xml:space="preserve"> dans l</w:t>
      </w:r>
      <w:r w:rsidR="00D74C20" w:rsidRPr="00BD22C2">
        <w:rPr>
          <w:rFonts w:eastAsia="Calibri"/>
          <w:lang w:val="fr-CA" w:eastAsia="en-US"/>
        </w:rPr>
        <w:t>es</w:t>
      </w:r>
      <w:r w:rsidR="00E5705C" w:rsidRPr="00BD22C2">
        <w:rPr>
          <w:rFonts w:eastAsia="Calibri"/>
          <w:lang w:val="fr-CA" w:eastAsia="en-US"/>
        </w:rPr>
        <w:t xml:space="preserve"> section</w:t>
      </w:r>
      <w:r w:rsidR="00D74C20" w:rsidRPr="00BD22C2">
        <w:rPr>
          <w:rFonts w:eastAsia="Calibri"/>
          <w:lang w:val="fr-CA" w:eastAsia="en-US"/>
        </w:rPr>
        <w:t>s</w:t>
      </w:r>
      <w:r w:rsidR="0091080B">
        <w:rPr>
          <w:rFonts w:eastAsia="Calibri"/>
          <w:lang w:val="fr-CA" w:eastAsia="en-US"/>
        </w:rPr>
        <w:t> </w:t>
      </w:r>
      <w:r w:rsidR="00D74C20" w:rsidRPr="00BD22C2">
        <w:rPr>
          <w:rFonts w:eastAsia="Calibri"/>
          <w:lang w:val="fr-CA" w:eastAsia="en-US"/>
        </w:rPr>
        <w:t>5.2 et 5.3</w:t>
      </w:r>
      <w:r w:rsidRPr="00BD22C2">
        <w:rPr>
          <w:rFonts w:eastAsia="Calibri"/>
          <w:lang w:val="fr-CA" w:eastAsia="en-US"/>
        </w:rPr>
        <w:t xml:space="preserve">. </w:t>
      </w:r>
    </w:p>
    <w:p w14:paraId="427DD850" w14:textId="12367A10" w:rsidR="008C039A" w:rsidRPr="00BD22C2" w:rsidRDefault="0892BC65" w:rsidP="68B52335">
      <w:pPr>
        <w:pStyle w:val="Paragraphe"/>
        <w:rPr>
          <w:rFonts w:eastAsia="Calibri"/>
          <w:lang w:val="fr-CA" w:eastAsia="en-US"/>
        </w:rPr>
      </w:pPr>
      <w:r w:rsidRPr="00BD22C2">
        <w:rPr>
          <w:rFonts w:eastAsia="Calibri"/>
          <w:lang w:val="fr-CA" w:eastAsia="en-US"/>
        </w:rPr>
        <w:t xml:space="preserve">Or, </w:t>
      </w:r>
      <w:r w:rsidR="003517B7" w:rsidRPr="00BD22C2">
        <w:rPr>
          <w:rFonts w:eastAsia="Calibri"/>
          <w:lang w:val="fr-CA" w:eastAsia="en-US"/>
        </w:rPr>
        <w:t>on</w:t>
      </w:r>
      <w:r w:rsidRPr="00BD22C2">
        <w:rPr>
          <w:rFonts w:eastAsia="Calibri"/>
          <w:lang w:val="fr-CA" w:eastAsia="en-US"/>
        </w:rPr>
        <w:t xml:space="preserve"> sait que les élèves </w:t>
      </w:r>
      <w:r w:rsidR="0A4816D4" w:rsidRPr="00BD22C2">
        <w:rPr>
          <w:rFonts w:eastAsia="Calibri"/>
          <w:lang w:val="fr-CA" w:eastAsia="en-US"/>
        </w:rPr>
        <w:t>qui sont «</w:t>
      </w:r>
      <w:r w:rsidR="0051216B" w:rsidRPr="00BD22C2">
        <w:rPr>
          <w:rFonts w:eastAsia="Calibri"/>
          <w:lang w:val="fr-CA" w:eastAsia="en-US"/>
        </w:rPr>
        <w:t> </w:t>
      </w:r>
      <w:r w:rsidR="0A4816D4" w:rsidRPr="00BD22C2">
        <w:rPr>
          <w:rFonts w:eastAsia="Calibri"/>
          <w:lang w:val="fr-CA" w:eastAsia="en-US"/>
        </w:rPr>
        <w:t xml:space="preserve">perçus comme non </w:t>
      </w:r>
      <w:r w:rsidR="26D9C0AA" w:rsidRPr="00BD22C2">
        <w:rPr>
          <w:rFonts w:eastAsia="Calibri"/>
          <w:lang w:val="fr-CA" w:eastAsia="en-US"/>
        </w:rPr>
        <w:t>conformes aux normes prédominantes en matière de sexe et de genre</w:t>
      </w:r>
      <w:r w:rsidR="28ED62C4" w:rsidRPr="00BD22C2">
        <w:rPr>
          <w:rFonts w:eastAsia="Calibri"/>
          <w:lang w:val="fr-CA" w:eastAsia="en-US"/>
        </w:rPr>
        <w:t xml:space="preserve"> […] sont plus</w:t>
      </w:r>
      <w:r w:rsidR="5CDCEE8D" w:rsidRPr="00BD22C2">
        <w:rPr>
          <w:rFonts w:eastAsia="Calibri"/>
          <w:lang w:val="fr-CA" w:eastAsia="en-US"/>
        </w:rPr>
        <w:t xml:space="preserve"> </w:t>
      </w:r>
      <w:r w:rsidR="34FD3C60" w:rsidRPr="00BD22C2">
        <w:rPr>
          <w:rFonts w:eastAsia="Calibri"/>
          <w:lang w:val="fr-CA" w:eastAsia="en-US"/>
        </w:rPr>
        <w:t>vulnéra</w:t>
      </w:r>
      <w:r w:rsidR="3AD91B3F" w:rsidRPr="00BD22C2">
        <w:rPr>
          <w:rFonts w:eastAsia="Calibri"/>
          <w:lang w:val="fr-CA" w:eastAsia="en-US"/>
        </w:rPr>
        <w:t xml:space="preserve">bles face à la violence </w:t>
      </w:r>
      <w:r w:rsidR="2E38C6AE" w:rsidRPr="00BD22C2">
        <w:rPr>
          <w:rFonts w:eastAsia="Calibri"/>
          <w:lang w:val="fr-CA" w:eastAsia="en-US"/>
        </w:rPr>
        <w:t>[homophobe et transphobe] à l’école</w:t>
      </w:r>
      <w:r w:rsidR="0051216B" w:rsidRPr="00BD22C2">
        <w:rPr>
          <w:rFonts w:eastAsia="Calibri"/>
          <w:lang w:val="fr-CA" w:eastAsia="en-US"/>
        </w:rPr>
        <w:t> </w:t>
      </w:r>
      <w:r w:rsidR="304807CF" w:rsidRPr="00BD22C2">
        <w:rPr>
          <w:rFonts w:eastAsia="Calibri"/>
          <w:lang w:val="fr-CA" w:eastAsia="en-US"/>
        </w:rPr>
        <w:t>»</w:t>
      </w:r>
      <w:r w:rsidR="0052643B" w:rsidRPr="00BD22C2">
        <w:rPr>
          <w:rStyle w:val="Appeldenotedefin"/>
          <w:rFonts w:eastAsia="Calibri"/>
          <w:lang w:val="fr-CA" w:eastAsia="en-US"/>
        </w:rPr>
        <w:endnoteReference w:id="465"/>
      </w:r>
      <w:r w:rsidR="304807CF" w:rsidRPr="00BD22C2">
        <w:rPr>
          <w:rFonts w:eastAsia="Calibri"/>
          <w:lang w:val="fr-CA" w:eastAsia="en-US"/>
        </w:rPr>
        <w:t>.</w:t>
      </w:r>
      <w:r w:rsidR="2E38C6AE" w:rsidRPr="00BD22C2">
        <w:rPr>
          <w:rFonts w:eastAsia="Calibri"/>
          <w:lang w:val="fr-CA" w:eastAsia="en-US"/>
        </w:rPr>
        <w:t xml:space="preserve"> </w:t>
      </w:r>
      <w:r w:rsidR="65219C8E" w:rsidRPr="00BD22C2">
        <w:rPr>
          <w:rFonts w:eastAsia="Calibri"/>
          <w:lang w:val="fr-CA" w:eastAsia="en-US"/>
        </w:rPr>
        <w:t>L</w:t>
      </w:r>
      <w:r w:rsidR="732F0B6C" w:rsidRPr="00BD22C2">
        <w:rPr>
          <w:rFonts w:eastAsia="Calibri"/>
          <w:lang w:val="fr-CA" w:eastAsia="en-US"/>
        </w:rPr>
        <w:t xml:space="preserve">’école </w:t>
      </w:r>
      <w:r w:rsidR="65219C8E" w:rsidRPr="00BD22C2">
        <w:rPr>
          <w:rFonts w:eastAsia="Calibri"/>
          <w:lang w:val="fr-CA" w:eastAsia="en-US"/>
        </w:rPr>
        <w:t>devient alors</w:t>
      </w:r>
      <w:r w:rsidR="07A6C1C2" w:rsidRPr="00BD22C2">
        <w:rPr>
          <w:rFonts w:eastAsia="Calibri"/>
          <w:lang w:val="fr-CA" w:eastAsia="en-US"/>
        </w:rPr>
        <w:t xml:space="preserve"> un milieu intolérant, voire hostile</w:t>
      </w:r>
      <w:r w:rsidR="6B9E6BEC" w:rsidRPr="00BD22C2">
        <w:rPr>
          <w:rFonts w:eastAsia="Calibri"/>
          <w:lang w:val="fr-CA" w:eastAsia="en-US"/>
        </w:rPr>
        <w:t xml:space="preserve"> pour les jeunes de la diversité sexuelle</w:t>
      </w:r>
      <w:bookmarkStart w:id="191" w:name="_Ref166750904"/>
      <w:r w:rsidR="000B3D0B" w:rsidRPr="00BD22C2">
        <w:rPr>
          <w:rStyle w:val="Appeldenotedefin"/>
          <w:rFonts w:eastAsia="Calibri"/>
          <w:lang w:val="fr-CA" w:eastAsia="en-US"/>
        </w:rPr>
        <w:endnoteReference w:id="466"/>
      </w:r>
      <w:bookmarkEnd w:id="191"/>
      <w:r w:rsidR="0FFB6815" w:rsidRPr="00BD22C2">
        <w:rPr>
          <w:rFonts w:eastAsia="Calibri"/>
          <w:lang w:val="fr-CA" w:eastAsia="en-US"/>
        </w:rPr>
        <w:t xml:space="preserve">. </w:t>
      </w:r>
      <w:r w:rsidR="28BA2A40" w:rsidRPr="00BD22C2">
        <w:rPr>
          <w:rFonts w:eastAsia="Calibri"/>
          <w:lang w:val="fr-CA" w:eastAsia="en-US"/>
        </w:rPr>
        <w:t>Est-il besoin de souligner à nouveau</w:t>
      </w:r>
      <w:r w:rsidR="0FFB6815" w:rsidRPr="00BD22C2">
        <w:rPr>
          <w:rFonts w:eastAsia="Calibri"/>
          <w:lang w:val="fr-CA" w:eastAsia="en-US"/>
        </w:rPr>
        <w:t xml:space="preserve"> qu’un tel environnement</w:t>
      </w:r>
      <w:r w:rsidR="0B951028" w:rsidRPr="00BD22C2">
        <w:rPr>
          <w:rFonts w:eastAsia="Calibri"/>
          <w:lang w:val="fr-CA" w:eastAsia="en-US"/>
        </w:rPr>
        <w:t xml:space="preserve"> </w:t>
      </w:r>
      <w:r w:rsidR="03F23452" w:rsidRPr="00BD22C2">
        <w:rPr>
          <w:rFonts w:eastAsia="Calibri"/>
          <w:lang w:val="fr-CA" w:eastAsia="en-US"/>
        </w:rPr>
        <w:t>nuit aux apprentissages et</w:t>
      </w:r>
      <w:r w:rsidR="0B951028" w:rsidRPr="00BD22C2">
        <w:rPr>
          <w:rFonts w:eastAsia="Calibri"/>
          <w:lang w:val="fr-CA" w:eastAsia="en-US"/>
        </w:rPr>
        <w:t xml:space="preserve"> </w:t>
      </w:r>
      <w:r w:rsidR="4E5682A0" w:rsidRPr="00BD22C2">
        <w:rPr>
          <w:rFonts w:eastAsia="Calibri"/>
          <w:lang w:val="fr-CA" w:eastAsia="en-US"/>
        </w:rPr>
        <w:t>contribue à accroître l’absentéisme, les risque</w:t>
      </w:r>
      <w:r w:rsidR="00DF6219" w:rsidRPr="00BD22C2">
        <w:rPr>
          <w:rFonts w:eastAsia="Calibri"/>
          <w:lang w:val="fr-CA" w:eastAsia="en-US"/>
        </w:rPr>
        <w:t>s</w:t>
      </w:r>
      <w:r w:rsidR="4E5682A0" w:rsidRPr="00BD22C2">
        <w:rPr>
          <w:rFonts w:eastAsia="Calibri"/>
          <w:lang w:val="fr-CA" w:eastAsia="en-US"/>
        </w:rPr>
        <w:t xml:space="preserve"> de décrochage é</w:t>
      </w:r>
      <w:r w:rsidR="65CBDDAF" w:rsidRPr="00BD22C2">
        <w:rPr>
          <w:rFonts w:eastAsia="Calibri"/>
          <w:lang w:val="fr-CA" w:eastAsia="en-US"/>
        </w:rPr>
        <w:t xml:space="preserve">pisodique, voire </w:t>
      </w:r>
      <w:r w:rsidR="71D43FA7" w:rsidRPr="00BD22C2">
        <w:rPr>
          <w:rFonts w:eastAsia="Calibri"/>
          <w:lang w:val="fr-CA" w:eastAsia="en-US"/>
        </w:rPr>
        <w:t>d’</w:t>
      </w:r>
      <w:r w:rsidR="65CBDDAF" w:rsidRPr="00BD22C2">
        <w:rPr>
          <w:rFonts w:eastAsia="Calibri"/>
          <w:lang w:val="fr-CA" w:eastAsia="en-US"/>
        </w:rPr>
        <w:t xml:space="preserve">abandon </w:t>
      </w:r>
      <w:r w:rsidR="71D43FA7" w:rsidRPr="00BD22C2">
        <w:rPr>
          <w:rFonts w:eastAsia="Calibri"/>
          <w:lang w:val="fr-CA" w:eastAsia="en-US"/>
        </w:rPr>
        <w:t>scolaire</w:t>
      </w:r>
      <w:r w:rsidR="0B80C8FB" w:rsidRPr="00BD22C2">
        <w:rPr>
          <w:rFonts w:eastAsia="Calibri"/>
          <w:lang w:val="fr-CA" w:eastAsia="en-US"/>
        </w:rPr>
        <w:t xml:space="preserve"> </w:t>
      </w:r>
      <w:r w:rsidR="66872E40" w:rsidRPr="00BD22C2">
        <w:rPr>
          <w:rFonts w:eastAsia="Calibri"/>
          <w:lang w:val="fr-CA" w:eastAsia="en-US"/>
        </w:rPr>
        <w:t>chez ces jeunes</w:t>
      </w:r>
      <w:r w:rsidR="0FFB6815" w:rsidRPr="00BD22C2">
        <w:rPr>
          <w:rFonts w:eastAsia="Calibri"/>
          <w:lang w:val="fr-CA" w:eastAsia="en-US"/>
        </w:rPr>
        <w:t>,</w:t>
      </w:r>
      <w:r w:rsidR="0B80C8FB" w:rsidRPr="00BD22C2">
        <w:rPr>
          <w:rFonts w:eastAsia="Calibri"/>
          <w:lang w:val="fr-CA" w:eastAsia="en-US"/>
        </w:rPr>
        <w:t xml:space="preserve"> parce qu</w:t>
      </w:r>
      <w:r w:rsidR="09E887C7" w:rsidRPr="00BD22C2">
        <w:rPr>
          <w:rFonts w:eastAsia="Calibri"/>
          <w:lang w:val="fr-CA" w:eastAsia="en-US"/>
        </w:rPr>
        <w:t>’ils auront pris «</w:t>
      </w:r>
      <w:r w:rsidR="0051216B" w:rsidRPr="00BD22C2">
        <w:rPr>
          <w:rFonts w:eastAsia="Calibri"/>
          <w:lang w:val="fr-CA" w:eastAsia="en-US"/>
        </w:rPr>
        <w:t> </w:t>
      </w:r>
      <w:r w:rsidR="09E887C7" w:rsidRPr="00BD22C2">
        <w:rPr>
          <w:rFonts w:eastAsia="Calibri"/>
          <w:lang w:val="fr-CA" w:eastAsia="en-US"/>
        </w:rPr>
        <w:t>en aversion un milieu qui les ignore ou les rejette carrément</w:t>
      </w:r>
      <w:r w:rsidR="3520929E" w:rsidRPr="00BD22C2">
        <w:rPr>
          <w:rFonts w:eastAsia="Calibri"/>
          <w:lang w:val="fr-CA" w:eastAsia="en-US"/>
        </w:rPr>
        <w:t>, et où ils ne se sentent pas protégés</w:t>
      </w:r>
      <w:r w:rsidR="0051216B" w:rsidRPr="00BD22C2">
        <w:rPr>
          <w:rFonts w:eastAsia="Calibri"/>
          <w:lang w:val="fr-CA" w:eastAsia="en-US"/>
        </w:rPr>
        <w:t> </w:t>
      </w:r>
      <w:r w:rsidR="66CCA226" w:rsidRPr="00BD22C2">
        <w:rPr>
          <w:rFonts w:eastAsia="Calibri"/>
          <w:lang w:val="fr-CA" w:eastAsia="en-US"/>
        </w:rPr>
        <w:t>»</w:t>
      </w:r>
      <w:r w:rsidR="003851FA" w:rsidRPr="00BD22C2">
        <w:rPr>
          <w:rStyle w:val="Appeldenotedefin"/>
          <w:rFonts w:eastAsia="Calibri"/>
          <w:lang w:val="fr-CA" w:eastAsia="en-US"/>
        </w:rPr>
        <w:endnoteReference w:id="467"/>
      </w:r>
      <w:r w:rsidR="71D43FA7" w:rsidRPr="00BD22C2">
        <w:rPr>
          <w:rFonts w:eastAsia="Calibri"/>
          <w:lang w:val="fr-CA" w:eastAsia="en-US"/>
        </w:rPr>
        <w:t xml:space="preserve">. </w:t>
      </w:r>
    </w:p>
    <w:p w14:paraId="31EB07E8" w14:textId="2ABE6578" w:rsidR="0066693E" w:rsidRPr="00BD22C2" w:rsidRDefault="0051195A" w:rsidP="68B52335">
      <w:pPr>
        <w:pStyle w:val="Paragraphe"/>
        <w:rPr>
          <w:rFonts w:eastAsia="Calibri"/>
          <w:lang w:val="fr-CA" w:eastAsia="en-US"/>
        </w:rPr>
      </w:pPr>
      <w:r w:rsidRPr="00BD22C2">
        <w:rPr>
          <w:rFonts w:eastAsia="Calibri"/>
          <w:lang w:val="fr-CA" w:eastAsia="en-US"/>
        </w:rPr>
        <w:t>Ce</w:t>
      </w:r>
      <w:r w:rsidR="003F7687" w:rsidRPr="00BD22C2">
        <w:rPr>
          <w:rFonts w:eastAsia="Calibri"/>
          <w:lang w:val="fr-CA" w:eastAsia="en-US"/>
        </w:rPr>
        <w:t xml:space="preserve"> type d’</w:t>
      </w:r>
      <w:r w:rsidRPr="00BD22C2">
        <w:rPr>
          <w:rFonts w:eastAsia="Calibri"/>
          <w:lang w:val="fr-CA" w:eastAsia="en-US"/>
        </w:rPr>
        <w:t xml:space="preserve">expérience </w:t>
      </w:r>
      <w:r w:rsidR="00BB0E9B" w:rsidRPr="00BD22C2">
        <w:rPr>
          <w:rFonts w:eastAsia="Calibri"/>
          <w:lang w:val="fr-CA" w:eastAsia="en-US"/>
        </w:rPr>
        <w:t>subie à</w:t>
      </w:r>
      <w:r w:rsidRPr="00BD22C2">
        <w:rPr>
          <w:rFonts w:eastAsia="Calibri"/>
          <w:lang w:val="fr-CA" w:eastAsia="en-US"/>
        </w:rPr>
        <w:t xml:space="preserve"> l’école peut avoir des effets à long terme sur </w:t>
      </w:r>
      <w:r w:rsidR="00551441" w:rsidRPr="00BD22C2">
        <w:rPr>
          <w:rFonts w:eastAsia="Calibri"/>
          <w:lang w:val="fr-CA" w:eastAsia="en-US"/>
        </w:rPr>
        <w:t>l</w:t>
      </w:r>
      <w:r w:rsidR="00BB0E9B" w:rsidRPr="00BD22C2">
        <w:rPr>
          <w:rFonts w:eastAsia="Calibri"/>
          <w:lang w:val="fr-CA" w:eastAsia="en-US"/>
        </w:rPr>
        <w:t>’</w:t>
      </w:r>
      <w:r w:rsidR="00551441" w:rsidRPr="00BD22C2">
        <w:rPr>
          <w:rFonts w:eastAsia="Calibri"/>
          <w:lang w:val="fr-CA" w:eastAsia="en-US"/>
        </w:rPr>
        <w:t>avenir académique et professionnel</w:t>
      </w:r>
      <w:r w:rsidR="00BB0E9B" w:rsidRPr="00BD22C2">
        <w:rPr>
          <w:rFonts w:eastAsia="Calibri"/>
          <w:lang w:val="fr-CA" w:eastAsia="en-US"/>
        </w:rPr>
        <w:t xml:space="preserve"> des personnes trans et non</w:t>
      </w:r>
      <w:r w:rsidR="00AA1D11" w:rsidRPr="00BD22C2">
        <w:rPr>
          <w:rFonts w:eastAsia="Calibri"/>
          <w:lang w:val="fr-CA" w:eastAsia="en-US"/>
        </w:rPr>
        <w:t xml:space="preserve"> </w:t>
      </w:r>
      <w:r w:rsidR="00BB0E9B" w:rsidRPr="00BD22C2">
        <w:rPr>
          <w:rFonts w:eastAsia="Calibri"/>
          <w:lang w:val="fr-CA" w:eastAsia="en-US"/>
        </w:rPr>
        <w:t>binaires</w:t>
      </w:r>
      <w:r w:rsidR="00CC5E7D" w:rsidRPr="00BD22C2">
        <w:rPr>
          <w:rStyle w:val="Appeldenotedefin"/>
          <w:rFonts w:eastAsia="Calibri"/>
          <w:lang w:val="fr-CA" w:eastAsia="en-US"/>
        </w:rPr>
        <w:endnoteReference w:id="468"/>
      </w:r>
      <w:r w:rsidR="00551441" w:rsidRPr="00BD22C2">
        <w:rPr>
          <w:rFonts w:eastAsia="Calibri"/>
          <w:lang w:val="fr-CA" w:eastAsia="en-US"/>
        </w:rPr>
        <w:t xml:space="preserve">. </w:t>
      </w:r>
      <w:r w:rsidR="0AAB329F" w:rsidRPr="00BD22C2">
        <w:rPr>
          <w:rFonts w:eastAsia="Calibri"/>
          <w:lang w:val="fr-CA" w:eastAsia="en-US"/>
        </w:rPr>
        <w:t>Sans compter qu’au</w:t>
      </w:r>
      <w:r w:rsidR="72A82382" w:rsidRPr="00BD22C2">
        <w:rPr>
          <w:rFonts w:eastAsia="Calibri"/>
          <w:lang w:val="fr-CA" w:eastAsia="en-US"/>
        </w:rPr>
        <w:t xml:space="preserve"> plan personnel, </w:t>
      </w:r>
      <w:r w:rsidR="7F480A21" w:rsidRPr="00BD22C2">
        <w:rPr>
          <w:rFonts w:eastAsia="Calibri"/>
          <w:lang w:val="fr-CA" w:eastAsia="en-US"/>
        </w:rPr>
        <w:t>l’</w:t>
      </w:r>
      <w:r w:rsidR="03D3D70F" w:rsidRPr="00BD22C2">
        <w:rPr>
          <w:rFonts w:eastAsia="Calibri"/>
          <w:lang w:val="fr-CA" w:eastAsia="en-US"/>
        </w:rPr>
        <w:t xml:space="preserve">expérience </w:t>
      </w:r>
      <w:r w:rsidR="0F9C2A69" w:rsidRPr="00BD22C2">
        <w:rPr>
          <w:rFonts w:eastAsia="Calibri"/>
          <w:lang w:val="fr-CA" w:eastAsia="en-US"/>
        </w:rPr>
        <w:t xml:space="preserve">à l’école </w:t>
      </w:r>
      <w:r w:rsidR="7F480A21" w:rsidRPr="00BD22C2">
        <w:rPr>
          <w:rFonts w:eastAsia="Calibri"/>
          <w:lang w:val="fr-CA" w:eastAsia="en-US"/>
        </w:rPr>
        <w:t>du rejet</w:t>
      </w:r>
      <w:r w:rsidR="6C6D5B20" w:rsidRPr="00BD22C2">
        <w:rPr>
          <w:rFonts w:eastAsia="Calibri"/>
          <w:lang w:val="fr-CA" w:eastAsia="en-US"/>
        </w:rPr>
        <w:t>,</w:t>
      </w:r>
      <w:r w:rsidR="7F480A21" w:rsidRPr="00BD22C2">
        <w:rPr>
          <w:rFonts w:eastAsia="Calibri"/>
          <w:lang w:val="fr-CA" w:eastAsia="en-US"/>
        </w:rPr>
        <w:t xml:space="preserve"> de la stigmatisation</w:t>
      </w:r>
      <w:r w:rsidR="6C6D5B20" w:rsidRPr="00BD22C2">
        <w:rPr>
          <w:rFonts w:eastAsia="Calibri"/>
          <w:lang w:val="fr-CA" w:eastAsia="en-US"/>
        </w:rPr>
        <w:t xml:space="preserve"> et de la violence à caractère homophobe</w:t>
      </w:r>
      <w:r w:rsidR="0F9C2A69" w:rsidRPr="00BD22C2">
        <w:rPr>
          <w:rFonts w:eastAsia="Calibri"/>
          <w:lang w:val="fr-CA" w:eastAsia="en-US"/>
        </w:rPr>
        <w:t xml:space="preserve"> et transphobe</w:t>
      </w:r>
      <w:r w:rsidR="7F480A21" w:rsidRPr="00BD22C2">
        <w:rPr>
          <w:rFonts w:eastAsia="Calibri"/>
          <w:lang w:val="fr-CA" w:eastAsia="en-US"/>
        </w:rPr>
        <w:t xml:space="preserve"> </w:t>
      </w:r>
      <w:r w:rsidR="03D3D70F" w:rsidRPr="00BD22C2">
        <w:rPr>
          <w:rFonts w:eastAsia="Calibri"/>
          <w:lang w:val="fr-CA" w:eastAsia="en-US"/>
        </w:rPr>
        <w:t xml:space="preserve">risque </w:t>
      </w:r>
      <w:r w:rsidR="0F9C2A69" w:rsidRPr="00BD22C2">
        <w:rPr>
          <w:rFonts w:eastAsia="Calibri"/>
          <w:lang w:val="fr-CA" w:eastAsia="en-US"/>
        </w:rPr>
        <w:t>d’emporter</w:t>
      </w:r>
      <w:r w:rsidR="2A8087DD" w:rsidRPr="00BD22C2">
        <w:rPr>
          <w:rFonts w:eastAsia="Calibri"/>
          <w:lang w:val="fr-CA" w:eastAsia="en-US"/>
        </w:rPr>
        <w:t xml:space="preserve"> des conséquences graves</w:t>
      </w:r>
      <w:r w:rsidR="170F601C" w:rsidRPr="00BD22C2">
        <w:rPr>
          <w:rFonts w:eastAsia="Calibri"/>
          <w:lang w:val="fr-CA" w:eastAsia="en-US"/>
        </w:rPr>
        <w:t xml:space="preserve"> </w:t>
      </w:r>
      <w:r w:rsidR="003A680F" w:rsidRPr="00BD22C2">
        <w:rPr>
          <w:rFonts w:eastAsia="Calibri"/>
          <w:lang w:val="fr-CA" w:eastAsia="en-US"/>
        </w:rPr>
        <w:t>et</w:t>
      </w:r>
      <w:r w:rsidR="170F601C" w:rsidRPr="00BD22C2">
        <w:rPr>
          <w:rFonts w:eastAsia="Calibri"/>
          <w:lang w:val="fr-CA" w:eastAsia="en-US"/>
        </w:rPr>
        <w:t xml:space="preserve"> </w:t>
      </w:r>
      <w:r w:rsidR="32644CF0" w:rsidRPr="00BD22C2">
        <w:rPr>
          <w:rFonts w:eastAsia="Calibri"/>
          <w:lang w:val="fr-CA" w:eastAsia="en-US"/>
        </w:rPr>
        <w:t>durable</w:t>
      </w:r>
      <w:r w:rsidR="0F9C2A69" w:rsidRPr="00BD22C2">
        <w:rPr>
          <w:rFonts w:eastAsia="Calibri"/>
          <w:lang w:val="fr-CA" w:eastAsia="en-US"/>
        </w:rPr>
        <w:t>s pour</w:t>
      </w:r>
      <w:r w:rsidR="32644CF0" w:rsidRPr="00BD22C2">
        <w:rPr>
          <w:rFonts w:eastAsia="Calibri"/>
          <w:lang w:val="fr-CA" w:eastAsia="en-US"/>
        </w:rPr>
        <w:t xml:space="preserve"> </w:t>
      </w:r>
      <w:r w:rsidR="63500A6B" w:rsidRPr="00BD22C2">
        <w:rPr>
          <w:rFonts w:eastAsia="Calibri"/>
          <w:lang w:val="fr-CA" w:eastAsia="en-US"/>
        </w:rPr>
        <w:t>celles qui en ont été la cible</w:t>
      </w:r>
      <w:r w:rsidR="00C347AB" w:rsidRPr="00BD22C2">
        <w:rPr>
          <w:rStyle w:val="Appeldenotedefin"/>
          <w:rFonts w:eastAsia="Calibri"/>
          <w:lang w:val="fr-CA" w:eastAsia="en-US"/>
        </w:rPr>
        <w:endnoteReference w:id="469"/>
      </w:r>
      <w:r w:rsidR="63500A6B" w:rsidRPr="00BD22C2">
        <w:rPr>
          <w:rFonts w:eastAsia="Calibri"/>
          <w:lang w:val="fr-CA" w:eastAsia="en-US"/>
        </w:rPr>
        <w:t xml:space="preserve">. </w:t>
      </w:r>
    </w:p>
    <w:p w14:paraId="45EF0CE5" w14:textId="70247848" w:rsidR="00BC0248" w:rsidRPr="00BD22C2" w:rsidRDefault="0092729D" w:rsidP="00595195">
      <w:pPr>
        <w:pStyle w:val="Paragraphe"/>
        <w:rPr>
          <w:rFonts w:eastAsia="Calibri"/>
          <w:lang w:val="fr-CA" w:eastAsia="en-US"/>
        </w:rPr>
      </w:pPr>
      <w:r w:rsidRPr="00BD22C2">
        <w:rPr>
          <w:rFonts w:eastAsia="Calibri"/>
          <w:lang w:val="fr-CA" w:eastAsia="en-US"/>
        </w:rPr>
        <w:t>Ainsi, c</w:t>
      </w:r>
      <w:r w:rsidR="00D91839" w:rsidRPr="00BD22C2">
        <w:rPr>
          <w:rFonts w:eastAsia="Calibri"/>
          <w:lang w:val="fr-CA" w:eastAsia="en-US"/>
        </w:rPr>
        <w:t xml:space="preserve">omme expliqué </w:t>
      </w:r>
      <w:r w:rsidR="0013688B" w:rsidRPr="00BD22C2">
        <w:rPr>
          <w:rFonts w:eastAsia="Calibri"/>
          <w:lang w:val="fr-CA" w:eastAsia="en-US"/>
        </w:rPr>
        <w:t>à la section</w:t>
      </w:r>
      <w:r w:rsidR="0091080B">
        <w:rPr>
          <w:rFonts w:eastAsia="Calibri"/>
          <w:lang w:val="fr-CA" w:eastAsia="en-US"/>
        </w:rPr>
        <w:t> </w:t>
      </w:r>
      <w:r w:rsidR="0013688B" w:rsidRPr="00BD22C2">
        <w:rPr>
          <w:rFonts w:eastAsia="Calibri"/>
          <w:lang w:val="fr-CA" w:eastAsia="en-US"/>
        </w:rPr>
        <w:t>5.3 de ce mémoire</w:t>
      </w:r>
      <w:r w:rsidR="00D91839" w:rsidRPr="00BD22C2">
        <w:rPr>
          <w:rFonts w:eastAsia="Calibri"/>
          <w:lang w:val="fr-CA" w:eastAsia="en-US"/>
        </w:rPr>
        <w:t xml:space="preserve">, l’école québécoise </w:t>
      </w:r>
      <w:r w:rsidR="00215C90" w:rsidRPr="00BD22C2">
        <w:rPr>
          <w:rFonts w:eastAsia="Calibri"/>
          <w:lang w:val="fr-CA" w:eastAsia="en-US"/>
        </w:rPr>
        <w:t xml:space="preserve">doit permettre un environnement </w:t>
      </w:r>
      <w:r w:rsidR="000A019A" w:rsidRPr="00BD22C2">
        <w:rPr>
          <w:rFonts w:eastAsia="Calibri"/>
          <w:lang w:val="fr-CA" w:eastAsia="en-US"/>
        </w:rPr>
        <w:t>exempt de discrimination et favorisant l</w:t>
      </w:r>
      <w:r w:rsidR="00284A60" w:rsidRPr="00BD22C2">
        <w:rPr>
          <w:rFonts w:eastAsia="Calibri"/>
          <w:lang w:val="fr-CA" w:eastAsia="en-US"/>
        </w:rPr>
        <w:t>a réalisation du droit à l’éducation.</w:t>
      </w:r>
      <w:r w:rsidR="000A019A" w:rsidRPr="00BD22C2">
        <w:rPr>
          <w:rFonts w:eastAsia="Calibri"/>
          <w:lang w:val="fr-CA" w:eastAsia="en-US"/>
        </w:rPr>
        <w:t xml:space="preserve"> </w:t>
      </w:r>
      <w:r w:rsidR="00F40602" w:rsidRPr="00BD22C2">
        <w:rPr>
          <w:rFonts w:eastAsia="Calibri"/>
          <w:lang w:val="fr-CA" w:eastAsia="en-US"/>
        </w:rPr>
        <w:t xml:space="preserve">À titre d’exemple, on </w:t>
      </w:r>
      <w:r w:rsidR="00DA28C1" w:rsidRPr="00BD22C2">
        <w:rPr>
          <w:rFonts w:eastAsia="Calibri"/>
          <w:lang w:val="fr-CA" w:eastAsia="en-US"/>
        </w:rPr>
        <w:t xml:space="preserve">sait </w:t>
      </w:r>
      <w:r w:rsidR="00EE3FF8" w:rsidRPr="00BD22C2">
        <w:rPr>
          <w:rFonts w:eastAsia="Calibri"/>
          <w:lang w:val="fr-CA" w:eastAsia="en-US"/>
        </w:rPr>
        <w:t xml:space="preserve">toutefois </w:t>
      </w:r>
      <w:r w:rsidR="00DA28C1" w:rsidRPr="00BD22C2">
        <w:rPr>
          <w:rFonts w:eastAsia="Calibri"/>
          <w:lang w:val="fr-CA" w:eastAsia="en-US"/>
        </w:rPr>
        <w:t xml:space="preserve">que </w:t>
      </w:r>
      <w:r w:rsidR="00BC0248" w:rsidRPr="00BD22C2">
        <w:rPr>
          <w:rFonts w:eastAsia="Calibri"/>
          <w:lang w:val="fr-CA" w:eastAsia="en-US"/>
        </w:rPr>
        <w:t>«</w:t>
      </w:r>
      <w:r w:rsidR="0051216B" w:rsidRPr="00BD22C2">
        <w:rPr>
          <w:rFonts w:eastAsia="Calibri"/>
          <w:lang w:val="fr-CA" w:eastAsia="en-US"/>
        </w:rPr>
        <w:t> </w:t>
      </w:r>
      <w:r w:rsidR="00BC0248" w:rsidRPr="00BD22C2">
        <w:rPr>
          <w:rFonts w:eastAsia="Calibri"/>
          <w:lang w:val="fr-CA" w:eastAsia="en-US"/>
        </w:rPr>
        <w:t>les malaises et les préjugés d’une partie du personnel et des autorités scolaires constituent aussi des freins à la lutte </w:t>
      </w:r>
      <w:r w:rsidR="00EE3FF8" w:rsidRPr="00BD22C2">
        <w:rPr>
          <w:rFonts w:eastAsia="Calibri"/>
          <w:lang w:val="fr-CA" w:eastAsia="en-US"/>
        </w:rPr>
        <w:t>à l’homophobie</w:t>
      </w:r>
      <w:r w:rsidR="0051216B" w:rsidRPr="00BD22C2">
        <w:rPr>
          <w:rFonts w:eastAsia="Calibri"/>
          <w:lang w:val="fr-CA" w:eastAsia="en-US"/>
        </w:rPr>
        <w:t> </w:t>
      </w:r>
      <w:r w:rsidR="00BC0248" w:rsidRPr="00BD22C2">
        <w:rPr>
          <w:rFonts w:eastAsia="Calibri"/>
          <w:lang w:val="fr-CA" w:eastAsia="en-US"/>
        </w:rPr>
        <w:t>»</w:t>
      </w:r>
      <w:r w:rsidR="00B92E3F" w:rsidRPr="00BD22C2">
        <w:rPr>
          <w:rStyle w:val="Appeldenotedefin"/>
          <w:rFonts w:eastAsia="Calibri"/>
          <w:lang w:val="fr-CA" w:eastAsia="en-US"/>
        </w:rPr>
        <w:endnoteReference w:id="470"/>
      </w:r>
      <w:r w:rsidR="00B92E3F" w:rsidRPr="00BD22C2">
        <w:rPr>
          <w:rFonts w:eastAsia="Calibri"/>
          <w:lang w:val="fr-CA" w:eastAsia="en-US"/>
        </w:rPr>
        <w:t xml:space="preserve">, </w:t>
      </w:r>
      <w:r w:rsidR="008D225A" w:rsidRPr="00BD22C2">
        <w:rPr>
          <w:rFonts w:eastAsia="Calibri"/>
          <w:lang w:val="fr-CA" w:eastAsia="en-US"/>
        </w:rPr>
        <w:t xml:space="preserve">un phénomène </w:t>
      </w:r>
      <w:r w:rsidR="00357E98" w:rsidRPr="00BD22C2">
        <w:rPr>
          <w:rFonts w:eastAsia="Calibri"/>
          <w:lang w:val="fr-CA" w:eastAsia="en-US"/>
        </w:rPr>
        <w:t>qui représente l’</w:t>
      </w:r>
      <w:r w:rsidR="008D225A" w:rsidRPr="00BD22C2">
        <w:rPr>
          <w:rFonts w:eastAsia="Calibri"/>
          <w:lang w:val="fr-CA" w:eastAsia="en-US"/>
        </w:rPr>
        <w:t>u</w:t>
      </w:r>
      <w:r w:rsidR="00357E98" w:rsidRPr="00BD22C2">
        <w:rPr>
          <w:rFonts w:eastAsia="Calibri"/>
          <w:lang w:val="fr-CA" w:eastAsia="en-US"/>
        </w:rPr>
        <w:t xml:space="preserve">n des </w:t>
      </w:r>
      <w:r w:rsidR="00790D91" w:rsidRPr="00BD22C2">
        <w:rPr>
          <w:rFonts w:eastAsia="Calibri"/>
          <w:lang w:val="fr-CA" w:eastAsia="en-US"/>
        </w:rPr>
        <w:t xml:space="preserve">plus importants mécanismes d’exclusion et </w:t>
      </w:r>
      <w:r w:rsidR="008D225A" w:rsidRPr="00BD22C2">
        <w:rPr>
          <w:rFonts w:eastAsia="Calibri"/>
          <w:lang w:val="fr-CA" w:eastAsia="en-US"/>
        </w:rPr>
        <w:t xml:space="preserve">d’ostracisation dans les </w:t>
      </w:r>
      <w:r w:rsidR="00E26E28" w:rsidRPr="00BD22C2">
        <w:rPr>
          <w:rFonts w:eastAsia="Calibri"/>
          <w:lang w:val="fr-CA" w:eastAsia="en-US"/>
        </w:rPr>
        <w:t>écoles</w:t>
      </w:r>
      <w:r w:rsidR="00B10B89" w:rsidRPr="00BD22C2">
        <w:rPr>
          <w:rStyle w:val="Appeldenotedefin"/>
          <w:rFonts w:eastAsia="Calibri"/>
          <w:lang w:val="fr-CA" w:eastAsia="en-US"/>
        </w:rPr>
        <w:endnoteReference w:id="471"/>
      </w:r>
      <w:r w:rsidR="00E26E28" w:rsidRPr="00BD22C2">
        <w:rPr>
          <w:rFonts w:eastAsia="Calibri"/>
          <w:lang w:val="fr-CA" w:eastAsia="en-US"/>
        </w:rPr>
        <w:t>,</w:t>
      </w:r>
      <w:r w:rsidR="00B92E3F" w:rsidRPr="00BD22C2">
        <w:rPr>
          <w:rFonts w:eastAsia="Calibri"/>
          <w:lang w:val="fr-CA" w:eastAsia="en-US"/>
        </w:rPr>
        <w:t xml:space="preserve"> </w:t>
      </w:r>
      <w:r w:rsidR="00E26E28" w:rsidRPr="00BD22C2">
        <w:rPr>
          <w:rFonts w:eastAsia="Calibri"/>
          <w:lang w:val="fr-CA" w:eastAsia="en-US"/>
        </w:rPr>
        <w:t>ce qui est probabl</w:t>
      </w:r>
      <w:r w:rsidR="00B10B89" w:rsidRPr="00BD22C2">
        <w:rPr>
          <w:rFonts w:eastAsia="Calibri"/>
          <w:lang w:val="fr-CA" w:eastAsia="en-US"/>
        </w:rPr>
        <w:t>ement</w:t>
      </w:r>
      <w:r w:rsidR="00B92E3F" w:rsidRPr="00BD22C2">
        <w:rPr>
          <w:rFonts w:eastAsia="Calibri"/>
          <w:lang w:val="fr-CA" w:eastAsia="en-US"/>
        </w:rPr>
        <w:t xml:space="preserve"> </w:t>
      </w:r>
      <w:r w:rsidR="005E4B52" w:rsidRPr="00BD22C2">
        <w:rPr>
          <w:rFonts w:eastAsia="Calibri"/>
          <w:lang w:val="fr-CA" w:eastAsia="en-US"/>
        </w:rPr>
        <w:t xml:space="preserve">également </w:t>
      </w:r>
      <w:r w:rsidR="00B92E3F" w:rsidRPr="00BD22C2">
        <w:rPr>
          <w:rFonts w:eastAsia="Calibri"/>
          <w:lang w:val="fr-CA" w:eastAsia="en-US"/>
        </w:rPr>
        <w:t xml:space="preserve">vrai </w:t>
      </w:r>
      <w:r w:rsidR="00B10B89" w:rsidRPr="00BD22C2">
        <w:rPr>
          <w:rFonts w:eastAsia="Calibri"/>
          <w:lang w:val="fr-CA" w:eastAsia="en-US"/>
        </w:rPr>
        <w:t>de</w:t>
      </w:r>
      <w:r w:rsidR="00B92E3F" w:rsidRPr="00BD22C2">
        <w:rPr>
          <w:rFonts w:eastAsia="Calibri"/>
          <w:lang w:val="fr-CA" w:eastAsia="en-US"/>
        </w:rPr>
        <w:t xml:space="preserve"> </w:t>
      </w:r>
      <w:r w:rsidR="00BC0248" w:rsidRPr="00BD22C2">
        <w:rPr>
          <w:rFonts w:eastAsia="Calibri"/>
          <w:lang w:val="fr-CA" w:eastAsia="en-US"/>
        </w:rPr>
        <w:t xml:space="preserve">la </w:t>
      </w:r>
      <w:r w:rsidR="008F45BB" w:rsidRPr="00BD22C2">
        <w:rPr>
          <w:rFonts w:eastAsia="Calibri"/>
          <w:lang w:val="fr-CA" w:eastAsia="en-US"/>
        </w:rPr>
        <w:t xml:space="preserve">transphobie. </w:t>
      </w:r>
      <w:r w:rsidR="00F13363" w:rsidRPr="00BD22C2">
        <w:rPr>
          <w:rFonts w:eastAsia="Calibri"/>
          <w:lang w:val="fr-CA" w:eastAsia="en-US"/>
        </w:rPr>
        <w:t>C’est pourquoi le</w:t>
      </w:r>
      <w:r w:rsidR="00343FA8" w:rsidRPr="00BD22C2">
        <w:rPr>
          <w:rFonts w:eastAsia="Calibri"/>
          <w:lang w:val="fr-CA" w:eastAsia="en-US"/>
        </w:rPr>
        <w:t xml:space="preserve"> cheminement d</w:t>
      </w:r>
      <w:r w:rsidR="00F45255" w:rsidRPr="00BD22C2">
        <w:rPr>
          <w:rFonts w:eastAsia="Calibri"/>
          <w:lang w:val="fr-CA" w:eastAsia="en-US"/>
        </w:rPr>
        <w:t>e l’ensemble du</w:t>
      </w:r>
      <w:r w:rsidR="00343FA8" w:rsidRPr="00BD22C2">
        <w:rPr>
          <w:rFonts w:eastAsia="Calibri"/>
          <w:lang w:val="fr-CA" w:eastAsia="en-US"/>
        </w:rPr>
        <w:t xml:space="preserve"> personnel scolaire </w:t>
      </w:r>
      <w:r w:rsidR="0069788C" w:rsidRPr="00BD22C2">
        <w:rPr>
          <w:rFonts w:eastAsia="Calibri"/>
          <w:lang w:val="fr-CA" w:eastAsia="en-US"/>
        </w:rPr>
        <w:t>au sujet</w:t>
      </w:r>
      <w:r w:rsidR="00343FA8" w:rsidRPr="00BD22C2">
        <w:rPr>
          <w:rFonts w:eastAsia="Calibri"/>
          <w:lang w:val="fr-CA" w:eastAsia="en-US"/>
        </w:rPr>
        <w:t xml:space="preserve"> des réalités </w:t>
      </w:r>
      <w:r w:rsidR="00E473BD" w:rsidRPr="00BD22C2">
        <w:rPr>
          <w:rFonts w:eastAsia="Calibri"/>
          <w:lang w:val="fr-CA" w:eastAsia="en-US"/>
        </w:rPr>
        <w:t>potentiellement véc</w:t>
      </w:r>
      <w:r w:rsidR="006D7E76" w:rsidRPr="00BD22C2">
        <w:rPr>
          <w:rFonts w:eastAsia="Calibri"/>
          <w:lang w:val="fr-CA" w:eastAsia="en-US"/>
        </w:rPr>
        <w:t>u</w:t>
      </w:r>
      <w:r w:rsidR="00E473BD" w:rsidRPr="00BD22C2">
        <w:rPr>
          <w:rFonts w:eastAsia="Calibri"/>
          <w:lang w:val="fr-CA" w:eastAsia="en-US"/>
        </w:rPr>
        <w:t>es par leurs</w:t>
      </w:r>
      <w:r w:rsidR="006D7E76" w:rsidRPr="00BD22C2">
        <w:rPr>
          <w:rFonts w:eastAsia="Calibri"/>
          <w:lang w:val="fr-CA" w:eastAsia="en-US"/>
        </w:rPr>
        <w:t xml:space="preserve"> élèves</w:t>
      </w:r>
      <w:r w:rsidR="00343FA8" w:rsidRPr="00BD22C2">
        <w:rPr>
          <w:rFonts w:eastAsia="Calibri"/>
          <w:lang w:val="fr-CA" w:eastAsia="en-US"/>
        </w:rPr>
        <w:t xml:space="preserve"> trans et non</w:t>
      </w:r>
      <w:r w:rsidR="00B106DA" w:rsidRPr="00BD22C2">
        <w:rPr>
          <w:rFonts w:eastAsia="Calibri"/>
          <w:lang w:val="fr-CA" w:eastAsia="en-US"/>
        </w:rPr>
        <w:t xml:space="preserve"> </w:t>
      </w:r>
      <w:r w:rsidR="00343FA8" w:rsidRPr="00BD22C2">
        <w:rPr>
          <w:rFonts w:eastAsia="Calibri"/>
          <w:lang w:val="fr-CA" w:eastAsia="en-US"/>
        </w:rPr>
        <w:t xml:space="preserve">binaires </w:t>
      </w:r>
      <w:r w:rsidR="00E14DA2" w:rsidRPr="00BD22C2">
        <w:rPr>
          <w:rFonts w:eastAsia="Calibri"/>
          <w:lang w:val="fr-CA" w:eastAsia="en-US"/>
        </w:rPr>
        <w:t xml:space="preserve">doit </w:t>
      </w:r>
      <w:r w:rsidR="00F45255" w:rsidRPr="00BD22C2">
        <w:rPr>
          <w:rFonts w:eastAsia="Calibri"/>
          <w:lang w:val="fr-CA" w:eastAsia="en-US"/>
        </w:rPr>
        <w:t>constitue</w:t>
      </w:r>
      <w:r w:rsidR="00E14DA2" w:rsidRPr="00BD22C2">
        <w:rPr>
          <w:rFonts w:eastAsia="Calibri"/>
          <w:lang w:val="fr-CA" w:eastAsia="en-US"/>
        </w:rPr>
        <w:t>r</w:t>
      </w:r>
      <w:r w:rsidR="00F45255" w:rsidRPr="00BD22C2">
        <w:rPr>
          <w:rFonts w:eastAsia="Calibri"/>
          <w:lang w:val="fr-CA" w:eastAsia="en-US"/>
        </w:rPr>
        <w:t xml:space="preserve"> un </w:t>
      </w:r>
      <w:r w:rsidR="001F7751" w:rsidRPr="00BD22C2">
        <w:rPr>
          <w:rFonts w:eastAsia="Calibri"/>
          <w:lang w:val="fr-CA" w:eastAsia="en-US"/>
        </w:rPr>
        <w:t>objectif primordial à réaffirmer</w:t>
      </w:r>
      <w:r w:rsidR="00F45255" w:rsidRPr="00BD22C2">
        <w:rPr>
          <w:rFonts w:eastAsia="Calibri"/>
          <w:lang w:val="fr-CA" w:eastAsia="en-US"/>
        </w:rPr>
        <w:t xml:space="preserve">. </w:t>
      </w:r>
    </w:p>
    <w:p w14:paraId="682A49D2" w14:textId="4121B77E" w:rsidR="004D384D" w:rsidRPr="00BD22C2" w:rsidRDefault="009920B9" w:rsidP="00595195">
      <w:pPr>
        <w:pStyle w:val="Paragraphe"/>
        <w:rPr>
          <w:rFonts w:eastAsia="Calibri"/>
          <w:lang w:val="fr-CA" w:eastAsia="en-US"/>
        </w:rPr>
      </w:pPr>
      <w:r w:rsidRPr="00BD22C2">
        <w:rPr>
          <w:rFonts w:eastAsia="Calibri"/>
          <w:lang w:val="fr-CA" w:eastAsia="en-US"/>
        </w:rPr>
        <w:lastRenderedPageBreak/>
        <w:t xml:space="preserve">L’école </w:t>
      </w:r>
      <w:r w:rsidR="004D384D" w:rsidRPr="00BD22C2">
        <w:rPr>
          <w:rFonts w:eastAsia="Calibri"/>
          <w:lang w:val="fr-CA" w:eastAsia="en-US"/>
        </w:rPr>
        <w:t>doit</w:t>
      </w:r>
      <w:r w:rsidR="004D384D" w:rsidRPr="00BD22C2" w:rsidDel="00A6433D">
        <w:rPr>
          <w:rFonts w:eastAsia="Calibri"/>
          <w:lang w:val="fr-CA" w:eastAsia="en-US"/>
        </w:rPr>
        <w:t xml:space="preserve"> </w:t>
      </w:r>
      <w:r w:rsidR="00A6433D" w:rsidRPr="00BD22C2">
        <w:rPr>
          <w:rFonts w:eastAsia="Calibri"/>
          <w:lang w:val="fr-CA" w:eastAsia="en-US"/>
        </w:rPr>
        <w:t>en outre</w:t>
      </w:r>
      <w:r w:rsidR="004D384D" w:rsidRPr="00BD22C2">
        <w:rPr>
          <w:rFonts w:eastAsia="Calibri"/>
          <w:lang w:val="fr-CA" w:eastAsia="en-US"/>
        </w:rPr>
        <w:t xml:space="preserve"> contribuer à développer chez </w:t>
      </w:r>
      <w:r w:rsidR="00E46FC0" w:rsidRPr="00BD22C2">
        <w:rPr>
          <w:rFonts w:eastAsia="Calibri"/>
          <w:lang w:val="fr-CA" w:eastAsia="en-US"/>
        </w:rPr>
        <w:t>l’</w:t>
      </w:r>
      <w:r w:rsidR="004D384D" w:rsidRPr="00BD22C2">
        <w:rPr>
          <w:rFonts w:eastAsia="Calibri"/>
          <w:lang w:val="fr-CA" w:eastAsia="en-US"/>
        </w:rPr>
        <w:t>élève une compréhension des réalités vécues par les personnes trans et non</w:t>
      </w:r>
      <w:r w:rsidR="0073758E" w:rsidRPr="00BD22C2">
        <w:rPr>
          <w:rFonts w:eastAsia="Calibri"/>
          <w:lang w:val="fr-CA" w:eastAsia="en-US"/>
        </w:rPr>
        <w:t xml:space="preserve"> </w:t>
      </w:r>
      <w:r w:rsidR="004D384D" w:rsidRPr="00BD22C2">
        <w:rPr>
          <w:rFonts w:eastAsia="Calibri"/>
          <w:lang w:val="fr-CA" w:eastAsia="en-US"/>
        </w:rPr>
        <w:t>binaires</w:t>
      </w:r>
      <w:r w:rsidR="00F47AD7" w:rsidRPr="00BD22C2">
        <w:rPr>
          <w:rFonts w:eastAsia="Calibri"/>
          <w:lang w:val="fr-CA" w:eastAsia="en-US"/>
        </w:rPr>
        <w:t xml:space="preserve">, </w:t>
      </w:r>
      <w:r w:rsidR="00C07267" w:rsidRPr="00BD22C2">
        <w:rPr>
          <w:rFonts w:eastAsia="Calibri"/>
          <w:lang w:val="fr-CA" w:eastAsia="en-US"/>
        </w:rPr>
        <w:t>ainsi que par celles</w:t>
      </w:r>
      <w:r w:rsidR="007943C1" w:rsidRPr="00BD22C2">
        <w:rPr>
          <w:rFonts w:eastAsia="Calibri"/>
          <w:lang w:val="fr-CA" w:eastAsia="en-US"/>
        </w:rPr>
        <w:t xml:space="preserve"> ne se conformant pas aux st</w:t>
      </w:r>
      <w:r w:rsidR="00C07267" w:rsidRPr="00BD22C2">
        <w:rPr>
          <w:rFonts w:eastAsia="Calibri"/>
          <w:lang w:val="fr-CA" w:eastAsia="en-US"/>
        </w:rPr>
        <w:t>éréotypes associés à la féminité</w:t>
      </w:r>
      <w:r w:rsidR="00E500CE" w:rsidRPr="00BD22C2">
        <w:rPr>
          <w:rFonts w:eastAsia="Calibri"/>
          <w:lang w:val="fr-CA" w:eastAsia="en-US"/>
        </w:rPr>
        <w:t xml:space="preserve"> ou à la masculinité</w:t>
      </w:r>
      <w:r w:rsidR="00447D50" w:rsidRPr="00BD22C2">
        <w:rPr>
          <w:rFonts w:eastAsia="Calibri"/>
          <w:lang w:val="fr-CA" w:eastAsia="en-US"/>
        </w:rPr>
        <w:t xml:space="preserve"> ou </w:t>
      </w:r>
      <w:r w:rsidR="00283BDC" w:rsidRPr="00BD22C2">
        <w:rPr>
          <w:rFonts w:eastAsia="Calibri"/>
          <w:lang w:val="fr-CA" w:eastAsia="en-US"/>
        </w:rPr>
        <w:t>encore</w:t>
      </w:r>
      <w:r w:rsidR="00447D50" w:rsidRPr="00BD22C2">
        <w:rPr>
          <w:rFonts w:eastAsia="Calibri"/>
          <w:lang w:val="fr-CA" w:eastAsia="en-US"/>
        </w:rPr>
        <w:t xml:space="preserve"> </w:t>
      </w:r>
      <w:r w:rsidR="0098701B" w:rsidRPr="00BD22C2">
        <w:rPr>
          <w:rFonts w:eastAsia="Calibri"/>
          <w:lang w:val="fr-CA" w:eastAsia="en-US"/>
        </w:rPr>
        <w:t xml:space="preserve">pour celles </w:t>
      </w:r>
      <w:r w:rsidR="00447D50" w:rsidRPr="00BD22C2">
        <w:rPr>
          <w:rFonts w:eastAsia="Calibri"/>
          <w:lang w:val="fr-CA" w:eastAsia="en-US"/>
        </w:rPr>
        <w:t xml:space="preserve">dont </w:t>
      </w:r>
      <w:r w:rsidR="006E12FF" w:rsidRPr="00BD22C2">
        <w:rPr>
          <w:rFonts w:eastAsia="Calibri"/>
          <w:lang w:val="fr-CA" w:eastAsia="en-US"/>
        </w:rPr>
        <w:t>les choix de vie ou les intérêts personnels ne se conforment pas au modèle dominant de genre</w:t>
      </w:r>
      <w:r w:rsidR="006E12FF" w:rsidRPr="00BD22C2">
        <w:rPr>
          <w:rStyle w:val="Appeldenotedefin"/>
          <w:rFonts w:eastAsia="Calibri"/>
          <w:lang w:val="fr-CA" w:eastAsia="en-US"/>
        </w:rPr>
        <w:endnoteReference w:id="472"/>
      </w:r>
      <w:r w:rsidR="001C0756" w:rsidRPr="00BD22C2">
        <w:rPr>
          <w:rFonts w:eastAsia="Calibri"/>
          <w:lang w:val="fr-CA" w:eastAsia="en-US"/>
        </w:rPr>
        <w:t xml:space="preserve">. </w:t>
      </w:r>
      <w:r w:rsidRPr="00BD22C2">
        <w:rPr>
          <w:rFonts w:eastAsia="Calibri"/>
          <w:lang w:val="fr-CA" w:eastAsia="en-US"/>
        </w:rPr>
        <w:t xml:space="preserve">L’école doit </w:t>
      </w:r>
      <w:r w:rsidR="0095796D" w:rsidRPr="00BD22C2">
        <w:rPr>
          <w:rFonts w:eastAsia="Calibri"/>
          <w:lang w:val="fr-CA" w:eastAsia="en-US"/>
        </w:rPr>
        <w:t>de plus</w:t>
      </w:r>
      <w:r w:rsidRPr="00BD22C2">
        <w:rPr>
          <w:rFonts w:eastAsia="Calibri"/>
          <w:lang w:val="fr-CA" w:eastAsia="en-US"/>
        </w:rPr>
        <w:t xml:space="preserve"> sensibiliser l’ensemble des élèves </w:t>
      </w:r>
      <w:r w:rsidR="00A2059A" w:rsidRPr="00BD22C2">
        <w:rPr>
          <w:rFonts w:eastAsia="Calibri"/>
          <w:lang w:val="fr-CA" w:eastAsia="en-US"/>
        </w:rPr>
        <w:t>aux divers obstacles</w:t>
      </w:r>
      <w:r w:rsidR="004D384D" w:rsidRPr="00BD22C2">
        <w:rPr>
          <w:rFonts w:eastAsia="Calibri"/>
          <w:lang w:val="fr-CA" w:eastAsia="en-US"/>
        </w:rPr>
        <w:t xml:space="preserve"> </w:t>
      </w:r>
      <w:r w:rsidR="00C84B66" w:rsidRPr="00BD22C2">
        <w:rPr>
          <w:rFonts w:eastAsia="Calibri"/>
          <w:lang w:val="fr-CA" w:eastAsia="en-US"/>
        </w:rPr>
        <w:t xml:space="preserve">(préjugés, </w:t>
      </w:r>
      <w:r w:rsidR="00274B6C" w:rsidRPr="00BD22C2">
        <w:rPr>
          <w:rFonts w:eastAsia="Calibri"/>
          <w:lang w:val="fr-CA" w:eastAsia="en-US"/>
        </w:rPr>
        <w:t xml:space="preserve">stigmatisation, </w:t>
      </w:r>
      <w:r w:rsidR="00C84B66" w:rsidRPr="00BD22C2">
        <w:rPr>
          <w:rFonts w:eastAsia="Calibri"/>
          <w:lang w:val="fr-CA" w:eastAsia="en-US"/>
        </w:rPr>
        <w:t>exclusions</w:t>
      </w:r>
      <w:r w:rsidR="00127C49" w:rsidRPr="00BD22C2">
        <w:rPr>
          <w:rFonts w:eastAsia="Calibri"/>
          <w:lang w:val="fr-CA" w:eastAsia="en-US"/>
        </w:rPr>
        <w:t>, violences</w:t>
      </w:r>
      <w:r w:rsidR="00745EE9" w:rsidRPr="00BD22C2">
        <w:rPr>
          <w:rFonts w:eastAsia="Calibri"/>
          <w:lang w:val="fr-CA" w:eastAsia="en-US"/>
        </w:rPr>
        <w:t>, discrimination systémique</w:t>
      </w:r>
      <w:r w:rsidR="00C84B66" w:rsidRPr="00BD22C2">
        <w:rPr>
          <w:rFonts w:eastAsia="Calibri"/>
          <w:lang w:val="fr-CA" w:eastAsia="en-US"/>
        </w:rPr>
        <w:t xml:space="preserve">) </w:t>
      </w:r>
      <w:r w:rsidR="004D384D" w:rsidRPr="00BD22C2">
        <w:rPr>
          <w:rFonts w:eastAsia="Calibri"/>
          <w:lang w:val="fr-CA" w:eastAsia="en-US"/>
        </w:rPr>
        <w:t>au</w:t>
      </w:r>
      <w:r w:rsidR="00C84B66" w:rsidRPr="00BD22C2">
        <w:rPr>
          <w:rFonts w:eastAsia="Calibri"/>
          <w:lang w:val="fr-CA" w:eastAsia="en-US"/>
        </w:rPr>
        <w:t xml:space="preserve">xquels </w:t>
      </w:r>
      <w:r w:rsidR="00A24A73" w:rsidRPr="00BD22C2">
        <w:rPr>
          <w:rFonts w:eastAsia="Calibri"/>
          <w:lang w:val="fr-CA" w:eastAsia="en-US"/>
        </w:rPr>
        <w:t>l</w:t>
      </w:r>
      <w:r w:rsidR="004D384D" w:rsidRPr="00BD22C2">
        <w:rPr>
          <w:rFonts w:eastAsia="Calibri"/>
          <w:lang w:val="fr-CA" w:eastAsia="en-US"/>
        </w:rPr>
        <w:t xml:space="preserve">es </w:t>
      </w:r>
      <w:r w:rsidRPr="00BD22C2">
        <w:rPr>
          <w:rFonts w:eastAsia="Calibri"/>
          <w:lang w:val="fr-CA" w:eastAsia="en-US"/>
        </w:rPr>
        <w:t xml:space="preserve">jeunes </w:t>
      </w:r>
      <w:r w:rsidR="00A24A73" w:rsidRPr="00BD22C2">
        <w:rPr>
          <w:rFonts w:eastAsia="Calibri"/>
          <w:lang w:val="fr-CA" w:eastAsia="en-US"/>
        </w:rPr>
        <w:t>trans et non</w:t>
      </w:r>
      <w:r w:rsidR="00F362D8" w:rsidRPr="00BD22C2">
        <w:rPr>
          <w:rFonts w:eastAsia="Calibri"/>
          <w:lang w:val="fr-CA" w:eastAsia="en-US"/>
        </w:rPr>
        <w:t xml:space="preserve"> </w:t>
      </w:r>
      <w:r w:rsidR="00A24A73" w:rsidRPr="00BD22C2">
        <w:rPr>
          <w:rFonts w:eastAsia="Calibri"/>
          <w:lang w:val="fr-CA" w:eastAsia="en-US"/>
        </w:rPr>
        <w:t>binaires</w:t>
      </w:r>
      <w:r w:rsidR="004558BC" w:rsidRPr="00BD22C2">
        <w:rPr>
          <w:rFonts w:eastAsia="Calibri"/>
          <w:lang w:val="fr-CA" w:eastAsia="en-US"/>
        </w:rPr>
        <w:t xml:space="preserve"> </w:t>
      </w:r>
      <w:r w:rsidR="004D384D" w:rsidRPr="00BD22C2">
        <w:rPr>
          <w:rFonts w:eastAsia="Calibri"/>
          <w:lang w:val="fr-CA" w:eastAsia="en-US"/>
        </w:rPr>
        <w:t>sont exposés.</w:t>
      </w:r>
      <w:r w:rsidR="003329A7" w:rsidRPr="00BD22C2">
        <w:rPr>
          <w:rFonts w:eastAsia="Calibri"/>
          <w:lang w:val="fr-CA" w:eastAsia="en-US"/>
        </w:rPr>
        <w:t xml:space="preserve"> </w:t>
      </w:r>
      <w:r w:rsidR="008F475D" w:rsidRPr="00BD22C2">
        <w:rPr>
          <w:rFonts w:eastAsia="Calibri"/>
          <w:lang w:val="fr-CA" w:eastAsia="en-US"/>
        </w:rPr>
        <w:t>Ici encore, le rôle et l</w:t>
      </w:r>
      <w:r w:rsidR="00E9617D" w:rsidRPr="00BD22C2">
        <w:rPr>
          <w:rFonts w:eastAsia="Calibri"/>
          <w:lang w:val="fr-CA" w:eastAsia="en-US"/>
        </w:rPr>
        <w:t>’expertise</w:t>
      </w:r>
      <w:r w:rsidR="008F475D" w:rsidRPr="00BD22C2">
        <w:rPr>
          <w:rFonts w:eastAsia="Calibri"/>
          <w:lang w:val="fr-CA" w:eastAsia="en-US"/>
        </w:rPr>
        <w:t xml:space="preserve"> du personnel enseignant</w:t>
      </w:r>
      <w:r w:rsidR="00F05E5C" w:rsidRPr="00BD22C2">
        <w:rPr>
          <w:rFonts w:eastAsia="Calibri"/>
          <w:lang w:val="fr-CA" w:eastAsia="en-US"/>
        </w:rPr>
        <w:t xml:space="preserve">, et plus largement, du personnel scolaire, </w:t>
      </w:r>
      <w:r w:rsidR="00335D0B" w:rsidRPr="00BD22C2">
        <w:rPr>
          <w:rFonts w:eastAsia="Calibri"/>
          <w:lang w:val="fr-CA" w:eastAsia="en-US"/>
        </w:rPr>
        <w:t>apparaissent comme étant centraux</w:t>
      </w:r>
      <w:r w:rsidR="00257DD5" w:rsidRPr="00BD22C2">
        <w:rPr>
          <w:rFonts w:eastAsia="Calibri"/>
          <w:lang w:val="fr-CA" w:eastAsia="en-US"/>
        </w:rPr>
        <w:t>.</w:t>
      </w:r>
    </w:p>
    <w:p w14:paraId="73311E49" w14:textId="441E7805" w:rsidR="003329A7" w:rsidRPr="00BD22C2" w:rsidRDefault="003329A7" w:rsidP="001E26FD">
      <w:pPr>
        <w:pStyle w:val="Paragraphe"/>
        <w:rPr>
          <w:rFonts w:eastAsia="Calibri"/>
          <w:lang w:val="fr-CA" w:eastAsia="en-US"/>
        </w:rPr>
      </w:pPr>
      <w:r w:rsidRPr="00BD22C2">
        <w:rPr>
          <w:rFonts w:eastAsia="Calibri"/>
          <w:lang w:val="fr-CA" w:eastAsia="en-US"/>
        </w:rPr>
        <w:t xml:space="preserve">Les travaux entrepris par le Comité de sages représentent une occasion supplémentaire </w:t>
      </w:r>
      <w:r w:rsidR="00220E25" w:rsidRPr="00BD22C2">
        <w:rPr>
          <w:rFonts w:eastAsia="Calibri"/>
          <w:lang w:val="fr-CA" w:eastAsia="en-US"/>
        </w:rPr>
        <w:t xml:space="preserve">de rappeler </w:t>
      </w:r>
      <w:r w:rsidR="00864A1C" w:rsidRPr="00BD22C2">
        <w:rPr>
          <w:rFonts w:eastAsia="Calibri"/>
          <w:lang w:val="fr-CA" w:eastAsia="en-US"/>
        </w:rPr>
        <w:t xml:space="preserve">au gouvernement </w:t>
      </w:r>
      <w:r w:rsidR="00220E25" w:rsidRPr="00BD22C2">
        <w:rPr>
          <w:rFonts w:eastAsia="Calibri"/>
          <w:lang w:val="fr-CA" w:eastAsia="en-US"/>
        </w:rPr>
        <w:t xml:space="preserve">la nécessité </w:t>
      </w:r>
      <w:r w:rsidR="009E40BD" w:rsidRPr="00BD22C2">
        <w:rPr>
          <w:rFonts w:eastAsia="Calibri"/>
          <w:lang w:val="fr-CA" w:eastAsia="en-US"/>
        </w:rPr>
        <w:t xml:space="preserve">d’offrir </w:t>
      </w:r>
      <w:r w:rsidR="00864A1C" w:rsidRPr="00BD22C2">
        <w:rPr>
          <w:rFonts w:eastAsia="Calibri"/>
          <w:lang w:val="fr-CA" w:eastAsia="en-US"/>
        </w:rPr>
        <w:t>un milieu scolaire</w:t>
      </w:r>
      <w:r w:rsidR="009E40BD" w:rsidRPr="00BD22C2">
        <w:rPr>
          <w:rFonts w:eastAsia="Calibri"/>
          <w:lang w:val="fr-CA" w:eastAsia="en-US"/>
        </w:rPr>
        <w:t xml:space="preserve"> favoris</w:t>
      </w:r>
      <w:r w:rsidR="0088443D" w:rsidRPr="00BD22C2">
        <w:rPr>
          <w:rFonts w:eastAsia="Calibri"/>
          <w:lang w:val="fr-CA" w:eastAsia="en-US"/>
        </w:rPr>
        <w:t>a</w:t>
      </w:r>
      <w:r w:rsidR="009E40BD" w:rsidRPr="00BD22C2">
        <w:rPr>
          <w:rFonts w:eastAsia="Calibri"/>
          <w:lang w:val="fr-CA" w:eastAsia="en-US"/>
        </w:rPr>
        <w:t xml:space="preserve">nt </w:t>
      </w:r>
      <w:r w:rsidR="00977DC3" w:rsidRPr="00BD22C2">
        <w:rPr>
          <w:rFonts w:eastAsia="Calibri"/>
          <w:lang w:val="fr-CA" w:eastAsia="en-US"/>
        </w:rPr>
        <w:t xml:space="preserve">pleinement </w:t>
      </w:r>
      <w:r w:rsidR="005261B4" w:rsidRPr="00BD22C2">
        <w:rPr>
          <w:rFonts w:eastAsia="Calibri"/>
          <w:lang w:val="fr-CA" w:eastAsia="en-US"/>
        </w:rPr>
        <w:t>l’</w:t>
      </w:r>
      <w:r w:rsidR="009E40BD" w:rsidRPr="00BD22C2">
        <w:rPr>
          <w:rFonts w:eastAsia="Calibri"/>
          <w:lang w:val="fr-CA" w:eastAsia="en-US"/>
        </w:rPr>
        <w:t>inclusion et</w:t>
      </w:r>
      <w:r w:rsidR="0088443D" w:rsidRPr="00BD22C2">
        <w:rPr>
          <w:rFonts w:eastAsia="Calibri"/>
          <w:lang w:val="fr-CA" w:eastAsia="en-US"/>
        </w:rPr>
        <w:t xml:space="preserve"> étant véritablement </w:t>
      </w:r>
      <w:r w:rsidR="00864A1C" w:rsidRPr="00BD22C2">
        <w:rPr>
          <w:rFonts w:eastAsia="Calibri"/>
          <w:lang w:val="fr-CA" w:eastAsia="en-US"/>
        </w:rPr>
        <w:t>ouvert à la diversité, y compris à l’égard des élèves de la diversité sexuelle</w:t>
      </w:r>
      <w:r w:rsidR="005261B4" w:rsidRPr="00BD22C2">
        <w:rPr>
          <w:rFonts w:eastAsia="Calibri"/>
          <w:lang w:val="fr-CA" w:eastAsia="en-US"/>
        </w:rPr>
        <w:t xml:space="preserve"> et de genre</w:t>
      </w:r>
      <w:r w:rsidR="00864A1C" w:rsidRPr="00BD22C2">
        <w:rPr>
          <w:rFonts w:eastAsia="Calibri"/>
          <w:lang w:val="fr-CA" w:eastAsia="en-US"/>
        </w:rPr>
        <w:t xml:space="preserve">. </w:t>
      </w:r>
    </w:p>
    <w:p w14:paraId="076F5724" w14:textId="77777777" w:rsidR="004D384D" w:rsidRPr="00BD22C2" w:rsidRDefault="004D384D" w:rsidP="00EF1CB2">
      <w:pPr>
        <w:pStyle w:val="Titre3"/>
        <w:rPr>
          <w:rFonts w:eastAsia="Calibri"/>
          <w:lang w:eastAsia="en-US"/>
        </w:rPr>
      </w:pPr>
      <w:bookmarkStart w:id="192" w:name="_Toc165301050"/>
      <w:bookmarkStart w:id="193" w:name="_Toc165636133"/>
      <w:r w:rsidRPr="00BD22C2">
        <w:rPr>
          <w:rFonts w:eastAsia="Calibri"/>
          <w:lang w:eastAsia="en-US"/>
        </w:rPr>
        <w:t>Les apports d’une éducation aux droits acquise à travers la pratique</w:t>
      </w:r>
      <w:bookmarkEnd w:id="192"/>
      <w:bookmarkEnd w:id="193"/>
      <w:r w:rsidRPr="00BD22C2">
        <w:rPr>
          <w:rFonts w:eastAsia="Calibri"/>
          <w:lang w:eastAsia="en-US"/>
        </w:rPr>
        <w:t xml:space="preserve"> </w:t>
      </w:r>
    </w:p>
    <w:p w14:paraId="1510278F" w14:textId="37B1DEEF" w:rsidR="004D384D" w:rsidRPr="00BD22C2" w:rsidRDefault="006C54A1" w:rsidP="00FB6B0E">
      <w:pPr>
        <w:pStyle w:val="Paragraphe"/>
        <w:rPr>
          <w:rFonts w:eastAsia="Calibri"/>
          <w:lang w:val="fr-CA" w:eastAsia="en-US"/>
        </w:rPr>
      </w:pPr>
      <w:r w:rsidRPr="00BD22C2">
        <w:rPr>
          <w:rFonts w:eastAsia="Calibri"/>
          <w:lang w:val="fr-CA" w:eastAsia="en-US"/>
        </w:rPr>
        <w:t>À plusieurs reprises au cours des dernières décennies</w:t>
      </w:r>
      <w:r w:rsidR="00475090" w:rsidRPr="00BD22C2">
        <w:rPr>
          <w:rFonts w:eastAsia="Calibri"/>
          <w:lang w:val="fr-CA" w:eastAsia="en-US"/>
        </w:rPr>
        <w:t xml:space="preserve">, </w:t>
      </w:r>
      <w:r w:rsidRPr="00BD22C2">
        <w:rPr>
          <w:rFonts w:eastAsia="Calibri"/>
          <w:lang w:val="fr-CA" w:eastAsia="en-US"/>
        </w:rPr>
        <w:t xml:space="preserve">la Commission a interpellé </w:t>
      </w:r>
      <w:r w:rsidR="008E207C" w:rsidRPr="00BD22C2">
        <w:rPr>
          <w:rFonts w:eastAsia="Calibri"/>
          <w:lang w:val="fr-CA" w:eastAsia="en-US"/>
        </w:rPr>
        <w:t>le gouvernement et</w:t>
      </w:r>
      <w:r w:rsidRPr="00BD22C2">
        <w:rPr>
          <w:rFonts w:eastAsia="Calibri"/>
          <w:lang w:val="fr-CA" w:eastAsia="en-US"/>
        </w:rPr>
        <w:t xml:space="preserve"> </w:t>
      </w:r>
      <w:r w:rsidR="00837508" w:rsidRPr="00BD22C2">
        <w:rPr>
          <w:rFonts w:eastAsia="Calibri"/>
          <w:lang w:val="fr-CA" w:eastAsia="en-US"/>
        </w:rPr>
        <w:t>les acteurs du système</w:t>
      </w:r>
      <w:r w:rsidRPr="00BD22C2">
        <w:rPr>
          <w:rFonts w:eastAsia="Calibri"/>
          <w:lang w:val="fr-CA" w:eastAsia="en-US"/>
        </w:rPr>
        <w:t xml:space="preserve"> scolaire </w:t>
      </w:r>
      <w:r w:rsidR="00D9592F" w:rsidRPr="00BD22C2">
        <w:rPr>
          <w:rFonts w:eastAsia="Calibri"/>
          <w:lang w:val="fr-CA" w:eastAsia="en-US"/>
        </w:rPr>
        <w:t xml:space="preserve">afin </w:t>
      </w:r>
      <w:r w:rsidRPr="00BD22C2">
        <w:rPr>
          <w:rFonts w:eastAsia="Calibri"/>
          <w:lang w:val="fr-CA" w:eastAsia="en-US"/>
        </w:rPr>
        <w:t>qu’il</w:t>
      </w:r>
      <w:r w:rsidR="00837508" w:rsidRPr="00BD22C2">
        <w:rPr>
          <w:rFonts w:eastAsia="Calibri"/>
          <w:lang w:val="fr-CA" w:eastAsia="en-US"/>
        </w:rPr>
        <w:t>s</w:t>
      </w:r>
      <w:r w:rsidRPr="00BD22C2">
        <w:rPr>
          <w:rFonts w:eastAsia="Calibri"/>
          <w:lang w:val="fr-CA" w:eastAsia="en-US"/>
        </w:rPr>
        <w:t xml:space="preserve"> agisse</w:t>
      </w:r>
      <w:r w:rsidR="00837508" w:rsidRPr="00BD22C2">
        <w:rPr>
          <w:rFonts w:eastAsia="Calibri"/>
          <w:lang w:val="fr-CA" w:eastAsia="en-US"/>
        </w:rPr>
        <w:t>nt</w:t>
      </w:r>
      <w:r w:rsidR="004D384D" w:rsidRPr="00BD22C2">
        <w:rPr>
          <w:rFonts w:eastAsia="Calibri"/>
          <w:lang w:val="fr-CA" w:eastAsia="en-US"/>
        </w:rPr>
        <w:t xml:space="preserve"> de manière </w:t>
      </w:r>
      <w:r w:rsidRPr="00BD22C2">
        <w:rPr>
          <w:rFonts w:eastAsia="Calibri"/>
          <w:lang w:val="fr-CA" w:eastAsia="en-US"/>
        </w:rPr>
        <w:t xml:space="preserve">préventive </w:t>
      </w:r>
      <w:r w:rsidR="00D1146E" w:rsidRPr="00BD22C2">
        <w:rPr>
          <w:rFonts w:eastAsia="Calibri"/>
          <w:lang w:val="fr-CA" w:eastAsia="en-US"/>
        </w:rPr>
        <w:t>pour</w:t>
      </w:r>
      <w:r w:rsidR="00505AB3" w:rsidRPr="00BD22C2">
        <w:rPr>
          <w:rFonts w:eastAsia="Calibri"/>
          <w:lang w:val="fr-CA" w:eastAsia="en-US"/>
        </w:rPr>
        <w:t xml:space="preserve"> </w:t>
      </w:r>
      <w:r w:rsidR="004D384D" w:rsidRPr="00BD22C2">
        <w:rPr>
          <w:rFonts w:eastAsia="Calibri"/>
          <w:lang w:val="fr-CA" w:eastAsia="en-US"/>
        </w:rPr>
        <w:t>s’assurer que l’ensemble des élèves puissent</w:t>
      </w:r>
      <w:r w:rsidR="00AA3209" w:rsidRPr="00BD22C2">
        <w:rPr>
          <w:rFonts w:eastAsia="Calibri"/>
          <w:lang w:val="fr-CA" w:eastAsia="en-US"/>
        </w:rPr>
        <w:t xml:space="preserve"> réellement</w:t>
      </w:r>
      <w:r w:rsidR="004D384D" w:rsidRPr="00BD22C2">
        <w:rPr>
          <w:rFonts w:eastAsia="Calibri"/>
          <w:lang w:val="fr-CA" w:eastAsia="en-US"/>
        </w:rPr>
        <w:t xml:space="preserve"> progresser à travers leur parcours scolaire sans risque de subir diverses formes de discrimination</w:t>
      </w:r>
      <w:r w:rsidR="00AA3209" w:rsidRPr="00BD22C2">
        <w:rPr>
          <w:rFonts w:eastAsia="Calibri"/>
          <w:lang w:val="fr-CA" w:eastAsia="en-US"/>
        </w:rPr>
        <w:t xml:space="preserve"> ou d’intimidation</w:t>
      </w:r>
      <w:r w:rsidR="00706072" w:rsidRPr="00BD22C2">
        <w:rPr>
          <w:rFonts w:eastAsia="Calibri"/>
          <w:lang w:val="fr-CA" w:eastAsia="en-US"/>
        </w:rPr>
        <w:t>, notamment à caractère homophobe</w:t>
      </w:r>
      <w:r w:rsidR="00F86D7B" w:rsidRPr="00BD22C2">
        <w:rPr>
          <w:rStyle w:val="Appeldenotedefin"/>
          <w:rFonts w:eastAsia="Calibri"/>
          <w:lang w:val="fr-CA" w:eastAsia="en-US"/>
        </w:rPr>
        <w:endnoteReference w:id="473"/>
      </w:r>
      <w:r w:rsidR="004D384D" w:rsidRPr="00BD22C2">
        <w:rPr>
          <w:rFonts w:eastAsia="Calibri"/>
          <w:lang w:val="fr-CA" w:eastAsia="en-US"/>
        </w:rPr>
        <w:t xml:space="preserve">. Une éducation aux droits destinée à l’ensemble des acteurs de l’école, incluant les parents, </w:t>
      </w:r>
      <w:r w:rsidR="00AA3209" w:rsidRPr="00BD22C2">
        <w:rPr>
          <w:rFonts w:eastAsia="Calibri"/>
          <w:lang w:val="fr-CA" w:eastAsia="en-US"/>
        </w:rPr>
        <w:t>pourra contribuer</w:t>
      </w:r>
      <w:r w:rsidR="004D384D" w:rsidRPr="00BD22C2">
        <w:rPr>
          <w:rFonts w:eastAsia="Calibri"/>
          <w:lang w:val="fr-CA" w:eastAsia="en-US"/>
        </w:rPr>
        <w:t xml:space="preserve"> à la pleine inclusion des enfants et jeunes trans et non</w:t>
      </w:r>
      <w:r w:rsidR="00B049A4" w:rsidRPr="00BD22C2">
        <w:rPr>
          <w:rFonts w:eastAsia="Calibri"/>
          <w:lang w:val="fr-CA" w:eastAsia="en-US"/>
        </w:rPr>
        <w:t xml:space="preserve"> </w:t>
      </w:r>
      <w:r w:rsidR="004D384D" w:rsidRPr="00BD22C2">
        <w:rPr>
          <w:rFonts w:eastAsia="Calibri"/>
          <w:lang w:val="fr-CA" w:eastAsia="en-US"/>
        </w:rPr>
        <w:t xml:space="preserve">binaires. </w:t>
      </w:r>
    </w:p>
    <w:p w14:paraId="64B3B71B" w14:textId="5B421FBD" w:rsidR="004D384D" w:rsidRPr="00BD22C2" w:rsidRDefault="004D384D" w:rsidP="00FB6B0E">
      <w:pPr>
        <w:pStyle w:val="Paragraphe"/>
        <w:rPr>
          <w:rFonts w:eastAsia="Calibri"/>
          <w:lang w:val="fr-CA" w:eastAsia="en-US"/>
        </w:rPr>
      </w:pPr>
      <w:r w:rsidRPr="00BD22C2">
        <w:rPr>
          <w:rFonts w:eastAsia="Calibri"/>
          <w:lang w:val="fr-CA" w:eastAsia="en-US"/>
        </w:rPr>
        <w:t xml:space="preserve">Dans un premier temps, les effets positifs escomptés de la mise en œuvre de l’éducation aux droits et libertés à l’intérieur du secteur d’enseignement primaire et secondaire méritent d’être soulignés : </w:t>
      </w:r>
    </w:p>
    <w:p w14:paraId="5D846298" w14:textId="495420DF" w:rsidR="004D384D" w:rsidRPr="00BD22C2" w:rsidRDefault="004D384D" w:rsidP="001E26FD">
      <w:pPr>
        <w:pStyle w:val="Citation"/>
      </w:pPr>
      <w:r w:rsidRPr="00BD22C2">
        <w:t>«</w:t>
      </w:r>
      <w:r w:rsidR="00974BD5" w:rsidRPr="00BD22C2">
        <w:t> </w:t>
      </w:r>
      <w:r w:rsidRPr="00BD22C2">
        <w:t xml:space="preserve">a) </w:t>
      </w:r>
      <w:r w:rsidRPr="00BD22C2">
        <w:rPr>
          <w:u w:val="single"/>
        </w:rPr>
        <w:t>Amélioration des acquis scolaires</w:t>
      </w:r>
      <w:r w:rsidRPr="00BD22C2">
        <w:t xml:space="preserve"> en raison du recours à des méthodes et pratiques d’enseignement et d’apprentissage participatives centrées sur les enfants et des nouvelles responsabilités confiés aux enseignants</w:t>
      </w:r>
      <w:r w:rsidR="00CF0C74" w:rsidRPr="00BD22C2">
        <w:t> </w:t>
      </w:r>
      <w:r w:rsidRPr="00BD22C2">
        <w:t>;</w:t>
      </w:r>
    </w:p>
    <w:p w14:paraId="0B1FBE5F" w14:textId="4CDCEFDF" w:rsidR="004D384D" w:rsidRPr="00BD22C2" w:rsidRDefault="004D384D" w:rsidP="001E26FD">
      <w:pPr>
        <w:pStyle w:val="Citation"/>
      </w:pPr>
      <w:r w:rsidRPr="00BD22C2">
        <w:t xml:space="preserve">b) </w:t>
      </w:r>
      <w:r w:rsidRPr="00BD22C2">
        <w:rPr>
          <w:u w:val="single"/>
        </w:rPr>
        <w:t>Meilleur accès au système scolaire et plus grande participation aux activités scolaires du fait de l’instauration d’un environnement d’apprentissage fondé sur les droits, ouvert à tous et accueillant, qui encourage les valeurs universelles, l’égalité des chances, la diversité et la non-discrimination</w:t>
      </w:r>
      <w:r w:rsidR="00CF0C74" w:rsidRPr="00BD22C2">
        <w:rPr>
          <w:u w:val="single"/>
        </w:rPr>
        <w:t> </w:t>
      </w:r>
      <w:r w:rsidRPr="00BD22C2">
        <w:t xml:space="preserve">; </w:t>
      </w:r>
    </w:p>
    <w:p w14:paraId="605FDFD0" w14:textId="69200116" w:rsidR="004D384D" w:rsidRPr="00BD22C2" w:rsidRDefault="004D384D" w:rsidP="001E26FD">
      <w:pPr>
        <w:pStyle w:val="Citation"/>
        <w:rPr>
          <w:rFonts w:eastAsia="Calibri"/>
          <w:lang w:eastAsia="en-US"/>
        </w:rPr>
      </w:pPr>
      <w:r w:rsidRPr="00BD22C2">
        <w:lastRenderedPageBreak/>
        <w:t xml:space="preserve">c) </w:t>
      </w:r>
      <w:r w:rsidRPr="00BD22C2">
        <w:rPr>
          <w:u w:val="single"/>
        </w:rPr>
        <w:t>Contribution à la cohésion sociale et à la prévention des conflits</w:t>
      </w:r>
      <w:r w:rsidRPr="00BD22C2">
        <w:t>, l’accent étant mis sur l’épanouissement social et affectif et sur la sensibilisation à la citoyenneté démocratique et aux valeurs [démocratiques].</w:t>
      </w:r>
      <w:r w:rsidR="00974BD5" w:rsidRPr="00BD22C2">
        <w:t> </w:t>
      </w:r>
      <w:r w:rsidRPr="00BD22C2">
        <w:t>»</w:t>
      </w:r>
      <w:r w:rsidRPr="00BD22C2">
        <w:rPr>
          <w:rStyle w:val="Appeldenotedefin"/>
          <w:szCs w:val="20"/>
        </w:rPr>
        <w:endnoteReference w:id="474"/>
      </w:r>
    </w:p>
    <w:p w14:paraId="5AA0DC79" w14:textId="44AC5922" w:rsidR="004D384D" w:rsidRPr="00BD22C2" w:rsidRDefault="004D384D" w:rsidP="00FB6B0E">
      <w:pPr>
        <w:pStyle w:val="Paragraphe"/>
        <w:rPr>
          <w:rFonts w:eastAsia="Calibri"/>
          <w:lang w:val="fr-CA" w:eastAsia="en-US"/>
        </w:rPr>
      </w:pPr>
      <w:r w:rsidRPr="00BD22C2">
        <w:rPr>
          <w:rFonts w:eastAsia="Calibri"/>
          <w:lang w:val="fr-CA" w:eastAsia="en-US"/>
        </w:rPr>
        <w:t>En plus d’améliorer la réussite scolaire, l’éducation aux droits et libertés</w:t>
      </w:r>
      <w:r w:rsidR="00624A9E" w:rsidRPr="00BD22C2">
        <w:rPr>
          <w:rFonts w:eastAsia="Calibri"/>
          <w:lang w:val="fr-CA" w:eastAsia="en-US"/>
        </w:rPr>
        <w:t>,</w:t>
      </w:r>
      <w:r w:rsidRPr="00BD22C2">
        <w:rPr>
          <w:rFonts w:eastAsia="Calibri"/>
          <w:lang w:val="fr-CA" w:eastAsia="en-US"/>
        </w:rPr>
        <w:t xml:space="preserve"> prise de façon large, a le potentiel de favoriser l’inclusion, de renforcer la cohésion sociale et de participer à la formation des futurs citoyens et citoyennes en mesure d’évoluer dans une société diversifiée. L’éducation aux droits peut ainsi contribuer à l’approfondissement des trois grands axes de la mission de l’école québécoise : instruire, former, mais aussi socialiser</w:t>
      </w:r>
      <w:r w:rsidRPr="00BD22C2">
        <w:rPr>
          <w:rStyle w:val="Appeldenotedefin"/>
          <w:rFonts w:eastAsia="Calibri"/>
          <w:lang w:val="fr-CA" w:eastAsia="en-US"/>
        </w:rPr>
        <w:endnoteReference w:id="475"/>
      </w:r>
      <w:r w:rsidRPr="00BD22C2">
        <w:rPr>
          <w:rFonts w:eastAsia="Calibri"/>
          <w:lang w:val="fr-CA" w:eastAsia="en-US"/>
        </w:rPr>
        <w:t xml:space="preserve">. </w:t>
      </w:r>
    </w:p>
    <w:p w14:paraId="1CFCF392" w14:textId="4CF8BB6F" w:rsidR="004D384D" w:rsidRPr="00BD22C2" w:rsidRDefault="004D384D" w:rsidP="00FB6B0E">
      <w:pPr>
        <w:pStyle w:val="Paragraphe"/>
        <w:rPr>
          <w:rFonts w:eastAsia="Calibri"/>
          <w:lang w:val="fr-CA" w:eastAsia="en-US"/>
        </w:rPr>
      </w:pPr>
      <w:r w:rsidRPr="00BD22C2">
        <w:rPr>
          <w:rFonts w:eastAsia="Calibri"/>
          <w:lang w:val="fr-CA" w:eastAsia="en-US"/>
        </w:rPr>
        <w:t>Les multiples avantages de l’éducation aux droits recoupent la vision globale de l’apprentissage des droits de la personne que la Commission préconise. Conformément à l’article</w:t>
      </w:r>
      <w:r w:rsidR="00CC76DE" w:rsidRPr="00BD22C2">
        <w:rPr>
          <w:rFonts w:eastAsia="Calibri"/>
          <w:lang w:val="fr-CA" w:eastAsia="en-US"/>
        </w:rPr>
        <w:t> </w:t>
      </w:r>
      <w:r w:rsidRPr="00BD22C2">
        <w:rPr>
          <w:rFonts w:eastAsia="Calibri"/>
          <w:lang w:val="fr-CA" w:eastAsia="en-US"/>
        </w:rPr>
        <w:t xml:space="preserve">29 de la </w:t>
      </w:r>
      <w:r w:rsidR="00580AD2" w:rsidRPr="00BD22C2">
        <w:rPr>
          <w:rFonts w:eastAsia="Calibri"/>
          <w:lang w:val="fr-CA" w:eastAsia="en-US"/>
        </w:rPr>
        <w:t>CRDE</w:t>
      </w:r>
      <w:r w:rsidRPr="00BD22C2">
        <w:rPr>
          <w:rFonts w:eastAsia="Calibri"/>
          <w:i/>
          <w:iCs/>
          <w:lang w:val="fr-CA" w:eastAsia="en-US"/>
        </w:rPr>
        <w:t xml:space="preserve"> </w:t>
      </w:r>
      <w:r w:rsidRPr="00BD22C2">
        <w:rPr>
          <w:rFonts w:eastAsia="Calibri"/>
          <w:lang w:val="fr-CA" w:eastAsia="en-US"/>
        </w:rPr>
        <w:t xml:space="preserve">qui précise les responsabilités des États en matière d’éducation, l’école doit :  </w:t>
      </w:r>
    </w:p>
    <w:p w14:paraId="2F18DA18" w14:textId="1415F520" w:rsidR="004D384D" w:rsidRPr="00BD22C2" w:rsidRDefault="004D384D" w:rsidP="001E26FD">
      <w:pPr>
        <w:pStyle w:val="Citation"/>
      </w:pPr>
      <w:r w:rsidRPr="00BD22C2">
        <w:t>«</w:t>
      </w:r>
      <w:r w:rsidR="00974BD5" w:rsidRPr="00BD22C2">
        <w:t> </w:t>
      </w:r>
      <w:r w:rsidRPr="00BD22C2">
        <w:t>b) inculquer à l’enfant le respect des droits de l’homme et des libertés fondamentales, et des principes consacrés dans la Charte des Nations Unies</w:t>
      </w:r>
      <w:r w:rsidR="00974BD5" w:rsidRPr="00BD22C2">
        <w:t> </w:t>
      </w:r>
      <w:r w:rsidRPr="00BD22C2">
        <w:t>» et de «</w:t>
      </w:r>
      <w:r w:rsidR="00974BD5" w:rsidRPr="00BD22C2">
        <w:t> </w:t>
      </w:r>
      <w:r w:rsidRPr="00BD22C2">
        <w:t>d) préparer l’enfant à assumer les responsabilités de la vie dans la société libre, dans un esprit de compréhension, de paix, de tolérance, d’égalité entre les sexes et d’amitié entre tous les peuples et groupes ethniques et religieux, et avec les personnes d’origine autochtone.</w:t>
      </w:r>
      <w:r w:rsidR="00974BD5" w:rsidRPr="00BD22C2">
        <w:t> </w:t>
      </w:r>
      <w:r w:rsidRPr="00BD22C2">
        <w:t>»</w:t>
      </w:r>
      <w:r w:rsidRPr="00BD22C2">
        <w:rPr>
          <w:rStyle w:val="Appeldenotedefin"/>
          <w:szCs w:val="20"/>
        </w:rPr>
        <w:endnoteReference w:id="476"/>
      </w:r>
    </w:p>
    <w:p w14:paraId="56AB7F97" w14:textId="23D1D41E" w:rsidR="004D384D" w:rsidRPr="00BD22C2" w:rsidRDefault="004D384D" w:rsidP="00FB6B0E">
      <w:pPr>
        <w:pStyle w:val="Paragraphe"/>
        <w:rPr>
          <w:rFonts w:eastAsia="Calibri"/>
          <w:szCs w:val="22"/>
          <w:lang w:val="fr-CA" w:eastAsia="en-US"/>
        </w:rPr>
      </w:pPr>
      <w:r w:rsidRPr="00BD22C2">
        <w:rPr>
          <w:rFonts w:eastAsia="Calibri"/>
          <w:szCs w:val="22"/>
          <w:lang w:val="fr-CA" w:eastAsia="en-US"/>
        </w:rPr>
        <w:t xml:space="preserve">L’éducation aux droits </w:t>
      </w:r>
      <w:r w:rsidR="00DB0BED" w:rsidRPr="00BD22C2">
        <w:rPr>
          <w:rFonts w:eastAsia="Calibri"/>
          <w:szCs w:val="22"/>
          <w:lang w:val="fr-CA" w:eastAsia="en-US"/>
        </w:rPr>
        <w:t xml:space="preserve">devrait </w:t>
      </w:r>
      <w:r w:rsidR="004F6FD6" w:rsidRPr="00BD22C2">
        <w:rPr>
          <w:rFonts w:eastAsia="Calibri"/>
          <w:szCs w:val="22"/>
          <w:lang w:val="fr-CA" w:eastAsia="en-US"/>
        </w:rPr>
        <w:t xml:space="preserve">donc </w:t>
      </w:r>
      <w:r w:rsidRPr="00BD22C2">
        <w:rPr>
          <w:rFonts w:eastAsia="Calibri"/>
          <w:szCs w:val="22"/>
          <w:lang w:val="fr-CA" w:eastAsia="en-US"/>
        </w:rPr>
        <w:t>aussi</w:t>
      </w:r>
      <w:r w:rsidR="00F92B40" w:rsidRPr="00BD22C2">
        <w:rPr>
          <w:rFonts w:eastAsia="Calibri"/>
          <w:szCs w:val="22"/>
          <w:lang w:val="fr-CA" w:eastAsia="en-US"/>
        </w:rPr>
        <w:t xml:space="preserve"> mieux</w:t>
      </w:r>
      <w:r w:rsidRPr="00BD22C2">
        <w:rPr>
          <w:rFonts w:eastAsia="Calibri"/>
          <w:szCs w:val="22"/>
          <w:lang w:val="fr-CA" w:eastAsia="en-US"/>
        </w:rPr>
        <w:t xml:space="preserve"> préparer l’enfant </w:t>
      </w:r>
      <w:r w:rsidRPr="00BD22C2">
        <w:rPr>
          <w:szCs w:val="22"/>
          <w:lang w:val="fr-CA"/>
        </w:rPr>
        <w:t>à assumer les responsabilités de la vie dans la société libre, dans un esprit de compréhension, de paix, de tolérance, d’égalité</w:t>
      </w:r>
      <w:r w:rsidRPr="00BD22C2">
        <w:rPr>
          <w:i/>
          <w:iCs/>
          <w:szCs w:val="22"/>
          <w:lang w:val="fr-CA"/>
        </w:rPr>
        <w:t xml:space="preserve"> </w:t>
      </w:r>
      <w:r w:rsidRPr="00BD22C2">
        <w:rPr>
          <w:szCs w:val="22"/>
          <w:lang w:val="fr-CA"/>
        </w:rPr>
        <w:t xml:space="preserve">à l’égard des personnes appartenant aux minorités sexuelles et de genre.  </w:t>
      </w:r>
    </w:p>
    <w:p w14:paraId="2881A574" w14:textId="35340388" w:rsidR="004D384D" w:rsidRPr="00BD22C2" w:rsidRDefault="004D384D" w:rsidP="00FB6B0E">
      <w:pPr>
        <w:pStyle w:val="Paragraphe"/>
        <w:rPr>
          <w:rFonts w:eastAsia="Calibri"/>
          <w:lang w:val="fr-CA" w:eastAsia="en-US"/>
        </w:rPr>
      </w:pPr>
      <w:r w:rsidRPr="00BD22C2">
        <w:rPr>
          <w:rFonts w:eastAsia="Calibri"/>
          <w:lang w:val="fr-CA" w:eastAsia="en-US"/>
        </w:rPr>
        <w:t>Comme indiqué précédemment, l’éducation aux droits ne devrait toutefois pas se résumer à une série de droits formels à inculquer. La pleine compréhension des droits de la personne et des valeurs démocratique</w:t>
      </w:r>
      <w:r w:rsidR="001148F9" w:rsidRPr="00BD22C2">
        <w:rPr>
          <w:rFonts w:eastAsia="Calibri"/>
          <w:lang w:val="fr-CA" w:eastAsia="en-US"/>
        </w:rPr>
        <w:t>s</w:t>
      </w:r>
      <w:r w:rsidRPr="00BD22C2">
        <w:rPr>
          <w:rFonts w:eastAsia="Calibri"/>
          <w:lang w:val="fr-CA" w:eastAsia="en-US"/>
        </w:rPr>
        <w:t xml:space="preserve"> qui s’y rattachent devrait plutôt s’acquérir à travers l’expérience concrète que les enfants et les jeunes ont à l’école :</w:t>
      </w:r>
    </w:p>
    <w:p w14:paraId="10B526FD" w14:textId="0652CE8C" w:rsidR="004D384D" w:rsidRPr="00BD22C2" w:rsidRDefault="004D384D" w:rsidP="001E26FD">
      <w:pPr>
        <w:pStyle w:val="Citation"/>
        <w:rPr>
          <w:rFonts w:eastAsia="Calibri"/>
          <w:lang w:eastAsia="en-US"/>
        </w:rPr>
      </w:pPr>
      <w:r w:rsidRPr="00BD22C2">
        <w:rPr>
          <w:rFonts w:eastAsia="Calibri"/>
          <w:lang w:eastAsia="en-US"/>
        </w:rPr>
        <w:t>«</w:t>
      </w:r>
      <w:r w:rsidR="00974BD5" w:rsidRPr="00BD22C2">
        <w:rPr>
          <w:rFonts w:eastAsia="Calibri"/>
          <w:lang w:eastAsia="en-US"/>
        </w:rPr>
        <w:t> </w:t>
      </w:r>
      <w:r w:rsidRPr="00BD22C2">
        <w:t xml:space="preserve">L’éducation dans le domaine des droits de l’homme vise à instaurer un environnement où les droits de l’homme </w:t>
      </w:r>
      <w:r w:rsidRPr="00EB4608">
        <w:t>sont exercés et vécus quotidiennement par l’ensemble de la communauté scolaire</w:t>
      </w:r>
      <w:r w:rsidRPr="00BD22C2">
        <w:t xml:space="preserve">. En plus des connaissances qu’elle apporte, cette éducation </w:t>
      </w:r>
      <w:r w:rsidRPr="00EB4608">
        <w:t>favorise le développement social et émotionnel de tous ceux qui participent au processus d’apprentissage et d’enseignement</w:t>
      </w:r>
      <w:r w:rsidRPr="00BD22C2">
        <w:t xml:space="preserve">. Un environnement axé sur les droits </w:t>
      </w:r>
      <w:r w:rsidRPr="00EB4608">
        <w:t xml:space="preserve">respecte et favorise l’exercice des droits fondamentaux de chacun et se caractérise par une compréhension et </w:t>
      </w:r>
      <w:proofErr w:type="gramStart"/>
      <w:r w:rsidRPr="00EB4608">
        <w:t>un respect mutuels</w:t>
      </w:r>
      <w:proofErr w:type="gramEnd"/>
      <w:r w:rsidRPr="00EB4608">
        <w:t>, ainsi que par la responsabilisation des parties prenantes.</w:t>
      </w:r>
      <w:r w:rsidRPr="00BD22C2">
        <w:t xml:space="preserve"> C’est également un environnement qui permet aux </w:t>
      </w:r>
      <w:r w:rsidRPr="00EB4608">
        <w:t>enfants d’exprimer librement leur opinion et de participer à la vie de l’école, et leur offre la possibilité d’être en relation avec la société dans son ensemble</w:t>
      </w:r>
      <w:r w:rsidRPr="00BD22C2">
        <w:t>.</w:t>
      </w:r>
      <w:r w:rsidR="00974BD5" w:rsidRPr="00BD22C2">
        <w:t> </w:t>
      </w:r>
      <w:r w:rsidRPr="00BD22C2">
        <w:t>»</w:t>
      </w:r>
      <w:r w:rsidRPr="00BD22C2">
        <w:rPr>
          <w:rStyle w:val="Appeldenotedefin"/>
          <w:szCs w:val="20"/>
        </w:rPr>
        <w:endnoteReference w:id="477"/>
      </w:r>
    </w:p>
    <w:p w14:paraId="368E15B2" w14:textId="106A6582" w:rsidR="004D384D" w:rsidRPr="00BD22C2" w:rsidRDefault="004D384D" w:rsidP="00FB6B0E">
      <w:pPr>
        <w:pStyle w:val="Paragraphe"/>
        <w:rPr>
          <w:rFonts w:eastAsia="Calibri"/>
          <w:lang w:val="fr-CA" w:eastAsia="en-US"/>
        </w:rPr>
      </w:pPr>
      <w:r w:rsidRPr="00BD22C2">
        <w:rPr>
          <w:rFonts w:eastAsia="Calibri"/>
          <w:lang w:val="fr-CA" w:eastAsia="en-US"/>
        </w:rPr>
        <w:t xml:space="preserve">Dans une </w:t>
      </w:r>
      <w:r w:rsidRPr="00BD22C2">
        <w:rPr>
          <w:rFonts w:eastAsia="Calibri"/>
          <w:i/>
          <w:iCs/>
          <w:lang w:val="fr-CA" w:eastAsia="en-US"/>
        </w:rPr>
        <w:t>Observation générale portant sur les buts de l’éducation</w:t>
      </w:r>
      <w:r w:rsidRPr="00BD22C2">
        <w:rPr>
          <w:rFonts w:eastAsia="Calibri"/>
          <w:lang w:val="fr-CA" w:eastAsia="en-US"/>
        </w:rPr>
        <w:t xml:space="preserve">, le Comité des droits de l’enfant souligne </w:t>
      </w:r>
      <w:proofErr w:type="gramStart"/>
      <w:r w:rsidRPr="00BD22C2">
        <w:rPr>
          <w:rFonts w:eastAsia="Calibri"/>
          <w:lang w:val="fr-CA" w:eastAsia="en-US"/>
        </w:rPr>
        <w:t>a</w:t>
      </w:r>
      <w:proofErr w:type="gramEnd"/>
      <w:r w:rsidRPr="00BD22C2">
        <w:rPr>
          <w:rFonts w:eastAsia="Calibri"/>
          <w:lang w:val="fr-CA" w:eastAsia="en-US"/>
        </w:rPr>
        <w:t xml:space="preserve"> contrario que «</w:t>
      </w:r>
      <w:r w:rsidR="00974BD5" w:rsidRPr="00BD22C2">
        <w:rPr>
          <w:rFonts w:eastAsia="Calibri"/>
          <w:lang w:val="fr-CA" w:eastAsia="en-US"/>
        </w:rPr>
        <w:t> </w:t>
      </w:r>
      <w:r w:rsidRPr="00BD22C2">
        <w:rPr>
          <w:rFonts w:eastAsia="Calibri"/>
          <w:lang w:val="fr-CA" w:eastAsia="en-US"/>
        </w:rPr>
        <w:t xml:space="preserve">les établissements scolaires qui tolèrent </w:t>
      </w:r>
      <w:r w:rsidRPr="00BD22C2">
        <w:rPr>
          <w:lang w:val="fr-CA"/>
        </w:rPr>
        <w:t xml:space="preserve">[…] l’exclusion ne </w:t>
      </w:r>
      <w:r w:rsidRPr="00BD22C2">
        <w:rPr>
          <w:lang w:val="fr-CA"/>
        </w:rPr>
        <w:lastRenderedPageBreak/>
        <w:t xml:space="preserve">respectent pas les prescriptions [de la </w:t>
      </w:r>
      <w:r w:rsidR="00580AD2" w:rsidRPr="00BD22C2">
        <w:rPr>
          <w:lang w:val="fr-CA"/>
        </w:rPr>
        <w:t>CRDE</w:t>
      </w:r>
      <w:r w:rsidRPr="00BD22C2">
        <w:rPr>
          <w:lang w:val="fr-CA"/>
        </w:rPr>
        <w:t>]</w:t>
      </w:r>
      <w:r w:rsidR="00974BD5" w:rsidRPr="00BD22C2">
        <w:rPr>
          <w:lang w:val="fr-CA"/>
        </w:rPr>
        <w:t> </w:t>
      </w:r>
      <w:r w:rsidRPr="00BD22C2">
        <w:rPr>
          <w:lang w:val="fr-CA"/>
        </w:rPr>
        <w:t>»</w:t>
      </w:r>
      <w:bookmarkStart w:id="194" w:name="_Ref166756452"/>
      <w:r w:rsidRPr="00BD22C2">
        <w:rPr>
          <w:rStyle w:val="Appeldenotedefin"/>
          <w:lang w:val="fr-CA"/>
        </w:rPr>
        <w:endnoteReference w:id="478"/>
      </w:r>
      <w:bookmarkEnd w:id="194"/>
      <w:r w:rsidRPr="00BD22C2">
        <w:rPr>
          <w:lang w:val="fr-CA"/>
        </w:rPr>
        <w:t xml:space="preserve">. Au sens strict, ces prescriptions appellent, à travers </w:t>
      </w:r>
      <w:r w:rsidR="00A323F0" w:rsidRPr="00BD22C2">
        <w:rPr>
          <w:lang w:val="fr-CA"/>
        </w:rPr>
        <w:t>la vie de l’école</w:t>
      </w:r>
      <w:r w:rsidRPr="00BD22C2">
        <w:rPr>
          <w:lang w:val="fr-CA"/>
        </w:rPr>
        <w:t>, à promouvoir la dignité inhérente de tous les enfants ainsi que les droits égaux et inaliénables dont ils sont dépositaires</w:t>
      </w:r>
      <w:bookmarkStart w:id="195" w:name="_Ref166753186"/>
      <w:r w:rsidRPr="00BD22C2">
        <w:rPr>
          <w:rStyle w:val="Appeldenotedefin"/>
          <w:lang w:val="fr-CA"/>
        </w:rPr>
        <w:endnoteReference w:id="479"/>
      </w:r>
      <w:bookmarkEnd w:id="195"/>
      <w:r w:rsidRPr="00BD22C2">
        <w:rPr>
          <w:lang w:val="fr-CA"/>
        </w:rPr>
        <w:t>.</w:t>
      </w:r>
      <w:r w:rsidR="00E8063A" w:rsidRPr="00BD22C2">
        <w:rPr>
          <w:lang w:val="fr-CA"/>
        </w:rPr>
        <w:t xml:space="preserve"> </w:t>
      </w:r>
      <w:r w:rsidRPr="00BD22C2">
        <w:rPr>
          <w:rFonts w:eastAsia="Calibri"/>
          <w:lang w:val="fr-CA" w:eastAsia="en-US"/>
        </w:rPr>
        <w:t>C’est pourquoi il est si important que les normes et pratiques de l’école soient réellement exemptes de discrimination</w:t>
      </w:r>
      <w:r w:rsidR="00323571" w:rsidRPr="00BD22C2">
        <w:rPr>
          <w:rFonts w:eastAsia="Calibri"/>
          <w:lang w:val="fr-CA" w:eastAsia="en-US"/>
        </w:rPr>
        <w:t>, notamment à l’endroit des élèves trans et non</w:t>
      </w:r>
      <w:r w:rsidR="0073758E" w:rsidRPr="00BD22C2">
        <w:rPr>
          <w:rFonts w:eastAsia="Calibri"/>
          <w:lang w:val="fr-CA" w:eastAsia="en-US"/>
        </w:rPr>
        <w:t xml:space="preserve"> </w:t>
      </w:r>
      <w:r w:rsidR="00323571" w:rsidRPr="00BD22C2">
        <w:rPr>
          <w:rFonts w:eastAsia="Calibri"/>
          <w:lang w:val="fr-CA" w:eastAsia="en-US"/>
        </w:rPr>
        <w:t xml:space="preserve">binaires.  </w:t>
      </w:r>
    </w:p>
    <w:p w14:paraId="6DFB5066" w14:textId="7F4C4F23" w:rsidR="004D384D" w:rsidRPr="00BD22C2" w:rsidRDefault="004D384D" w:rsidP="00EF1CB2">
      <w:pPr>
        <w:pStyle w:val="Titre3"/>
        <w:rPr>
          <w:rFonts w:eastAsia="Calibri"/>
          <w:lang w:eastAsia="en-US"/>
        </w:rPr>
      </w:pPr>
      <w:bookmarkStart w:id="196" w:name="_Toc165301051"/>
      <w:bookmarkStart w:id="197" w:name="_Toc165636134"/>
      <w:r w:rsidRPr="00BD22C2">
        <w:rPr>
          <w:rFonts w:eastAsia="Calibri"/>
          <w:lang w:eastAsia="en-US"/>
        </w:rPr>
        <w:t>Une éducation aux droits prenant en compte l’expérience des élèves trans ou non</w:t>
      </w:r>
      <w:r w:rsidR="0073758E" w:rsidRPr="00BD22C2">
        <w:rPr>
          <w:rFonts w:eastAsia="Calibri"/>
          <w:lang w:eastAsia="en-US"/>
        </w:rPr>
        <w:t xml:space="preserve"> </w:t>
      </w:r>
      <w:r w:rsidRPr="00BD22C2">
        <w:rPr>
          <w:rFonts w:eastAsia="Calibri"/>
          <w:lang w:eastAsia="en-US"/>
        </w:rPr>
        <w:t>binaires</w:t>
      </w:r>
      <w:bookmarkEnd w:id="196"/>
      <w:bookmarkEnd w:id="197"/>
    </w:p>
    <w:p w14:paraId="0DD5BE47" w14:textId="2E498A35" w:rsidR="00BC77DB" w:rsidRPr="00BD22C2" w:rsidRDefault="00CF7B32" w:rsidP="001E26FD">
      <w:pPr>
        <w:pStyle w:val="Titre4"/>
        <w:numPr>
          <w:ilvl w:val="0"/>
          <w:numId w:val="38"/>
        </w:numPr>
      </w:pPr>
      <w:bookmarkStart w:id="198" w:name="_Toc165636135"/>
      <w:r w:rsidRPr="00BD22C2">
        <w:t>Le rôle du personnel scolaire et de la formation initiale</w:t>
      </w:r>
      <w:bookmarkEnd w:id="198"/>
    </w:p>
    <w:p w14:paraId="1CBDC93A" w14:textId="627467B3" w:rsidR="004A7112" w:rsidRPr="00BD22C2" w:rsidRDefault="004D384D" w:rsidP="001E26FD">
      <w:pPr>
        <w:pStyle w:val="Paragraphe"/>
        <w:rPr>
          <w:rFonts w:eastAsia="Calibri"/>
          <w:lang w:val="fr-CA"/>
        </w:rPr>
      </w:pPr>
      <w:r w:rsidRPr="00BD22C2">
        <w:rPr>
          <w:rFonts w:eastAsia="Calibri"/>
          <w:lang w:val="fr-CA"/>
        </w:rPr>
        <w:t>Si l’ensemble de la «</w:t>
      </w:r>
      <w:r w:rsidR="00974BD5" w:rsidRPr="00BD22C2">
        <w:rPr>
          <w:rFonts w:eastAsia="Calibri"/>
          <w:lang w:val="fr-CA"/>
        </w:rPr>
        <w:t> </w:t>
      </w:r>
      <w:r w:rsidRPr="00BD22C2">
        <w:rPr>
          <w:rFonts w:eastAsia="Calibri"/>
          <w:lang w:val="fr-CA"/>
        </w:rPr>
        <w:t>communauté scolaire</w:t>
      </w:r>
      <w:r w:rsidR="00974BD5" w:rsidRPr="00BD22C2">
        <w:rPr>
          <w:rFonts w:eastAsia="Calibri"/>
          <w:lang w:val="fr-CA"/>
        </w:rPr>
        <w:t> </w:t>
      </w:r>
      <w:r w:rsidRPr="00BD22C2">
        <w:rPr>
          <w:rFonts w:eastAsia="Calibri"/>
          <w:lang w:val="fr-CA"/>
        </w:rPr>
        <w:t xml:space="preserve">» doit pouvoir exercer et faire vivre ces droits, les milieux scolaires doivent s’assurer de la capacité effective de l’ensemble des élèves à se les approprier, tout particulièrement </w:t>
      </w:r>
      <w:r w:rsidR="009B60A3" w:rsidRPr="00BD22C2">
        <w:rPr>
          <w:rFonts w:eastAsia="Calibri"/>
          <w:lang w:val="fr-CA"/>
        </w:rPr>
        <w:t>celles et ceux qui sont</w:t>
      </w:r>
      <w:r w:rsidRPr="00BD22C2">
        <w:rPr>
          <w:rFonts w:eastAsia="Calibri"/>
          <w:lang w:val="fr-CA"/>
        </w:rPr>
        <w:t xml:space="preserve"> plus susceptibles de voir leurs droits compromis. Les enfants et jeunes trans et non</w:t>
      </w:r>
      <w:r w:rsidR="009F3601" w:rsidRPr="00BD22C2">
        <w:rPr>
          <w:rFonts w:eastAsia="Calibri"/>
          <w:lang w:val="fr-CA"/>
        </w:rPr>
        <w:t xml:space="preserve"> </w:t>
      </w:r>
      <w:r w:rsidRPr="00BD22C2">
        <w:rPr>
          <w:rFonts w:eastAsia="Calibri"/>
          <w:lang w:val="fr-CA"/>
        </w:rPr>
        <w:t xml:space="preserve">binaires doivent faire l’objet d’une attention particulière à cet égard. </w:t>
      </w:r>
    </w:p>
    <w:p w14:paraId="248549C2" w14:textId="1A8A8F4B" w:rsidR="004D384D" w:rsidRPr="00BD22C2" w:rsidRDefault="00921E6B" w:rsidP="001E26FD">
      <w:pPr>
        <w:pStyle w:val="Paragraphe"/>
        <w:rPr>
          <w:rFonts w:eastAsia="Calibri"/>
          <w:lang w:val="fr-CA"/>
        </w:rPr>
      </w:pPr>
      <w:r w:rsidRPr="00BD22C2">
        <w:rPr>
          <w:rFonts w:eastAsia="Calibri"/>
          <w:lang w:val="fr-CA"/>
        </w:rPr>
        <w:t xml:space="preserve">Le rôle </w:t>
      </w:r>
      <w:r w:rsidR="00D7552C" w:rsidRPr="00BD22C2">
        <w:rPr>
          <w:rFonts w:eastAsia="Calibri"/>
          <w:lang w:val="fr-CA"/>
        </w:rPr>
        <w:t>du personnel enseignant</w:t>
      </w:r>
      <w:r w:rsidR="00921746" w:rsidRPr="00BD22C2">
        <w:rPr>
          <w:rFonts w:eastAsia="Calibri"/>
          <w:lang w:val="fr-CA"/>
        </w:rPr>
        <w:t>, et plus largement du personnel scolaire,</w:t>
      </w:r>
      <w:r w:rsidRPr="00BD22C2">
        <w:rPr>
          <w:rFonts w:eastAsia="Calibri"/>
          <w:lang w:val="fr-CA"/>
        </w:rPr>
        <w:t xml:space="preserve"> est </w:t>
      </w:r>
      <w:r w:rsidR="00F41245" w:rsidRPr="00BD22C2">
        <w:rPr>
          <w:rFonts w:eastAsia="Calibri"/>
          <w:lang w:val="fr-CA"/>
        </w:rPr>
        <w:t xml:space="preserve">à ce sujet </w:t>
      </w:r>
      <w:r w:rsidRPr="00BD22C2">
        <w:rPr>
          <w:rFonts w:eastAsia="Calibri"/>
          <w:lang w:val="fr-CA"/>
        </w:rPr>
        <w:t xml:space="preserve">crucial. </w:t>
      </w:r>
    </w:p>
    <w:p w14:paraId="6FF8734B" w14:textId="78D02FCF" w:rsidR="00DA788D" w:rsidRPr="00BD22C2" w:rsidRDefault="00507753" w:rsidP="00921E6B">
      <w:pPr>
        <w:pStyle w:val="Paragraphe"/>
        <w:rPr>
          <w:lang w:val="fr-CA"/>
        </w:rPr>
      </w:pPr>
      <w:r w:rsidRPr="00BD22C2">
        <w:rPr>
          <w:lang w:val="fr-CA"/>
        </w:rPr>
        <w:t>L</w:t>
      </w:r>
      <w:r w:rsidR="00921E6B" w:rsidRPr="00BD22C2">
        <w:rPr>
          <w:lang w:val="fr-CA"/>
        </w:rPr>
        <w:t>e Comité des droits de l’enfant formulait récemment à l’endroit du Canada</w:t>
      </w:r>
      <w:r w:rsidR="00161CD3" w:rsidRPr="00BD22C2">
        <w:rPr>
          <w:lang w:val="fr-CA"/>
        </w:rPr>
        <w:t xml:space="preserve"> une recommandation</w:t>
      </w:r>
      <w:r w:rsidR="00921E6B" w:rsidRPr="00BD22C2">
        <w:rPr>
          <w:lang w:val="fr-CA"/>
        </w:rPr>
        <w:t xml:space="preserve"> selon laquelle il devait davantage contribuer à la valorisation de l’éducation aux droits de</w:t>
      </w:r>
      <w:r w:rsidR="000C7D88" w:rsidRPr="00BD22C2">
        <w:rPr>
          <w:lang w:val="fr-CA"/>
        </w:rPr>
        <w:t xml:space="preserve"> la personne</w:t>
      </w:r>
      <w:r w:rsidR="00921E6B" w:rsidRPr="00BD22C2" w:rsidDel="000C7D88">
        <w:rPr>
          <w:lang w:val="fr-CA"/>
        </w:rPr>
        <w:t xml:space="preserve"> </w:t>
      </w:r>
      <w:r w:rsidR="00921E6B" w:rsidRPr="00BD22C2">
        <w:rPr>
          <w:lang w:val="fr-CA"/>
        </w:rPr>
        <w:t>dans le système éducatif, en s’assurant entre autres « que la formation aux droits de l’enfant soit obligatoire pour les enseignants et les autres professionnels qui travaillent au service d’enfants ou à leur contact »</w:t>
      </w:r>
      <w:bookmarkStart w:id="199" w:name="_Ref166756904"/>
      <w:r w:rsidR="00921E6B" w:rsidRPr="00BD22C2">
        <w:rPr>
          <w:rStyle w:val="Appeldenotedefin"/>
          <w:szCs w:val="22"/>
          <w:lang w:val="fr-CA"/>
        </w:rPr>
        <w:endnoteReference w:id="480"/>
      </w:r>
      <w:bookmarkEnd w:id="199"/>
      <w:r w:rsidR="00921E6B" w:rsidRPr="00BD22C2">
        <w:rPr>
          <w:lang w:val="fr-CA"/>
        </w:rPr>
        <w:t xml:space="preserve">. </w:t>
      </w:r>
      <w:r w:rsidR="00B338BD" w:rsidRPr="00BD22C2">
        <w:rPr>
          <w:lang w:val="fr-CA"/>
        </w:rPr>
        <w:t>Comprise de façon large, cette éducation doit inclure</w:t>
      </w:r>
      <w:r w:rsidR="00B338BD" w:rsidRPr="00BD22C2">
        <w:rPr>
          <w:rFonts w:eastAsia="Calibri"/>
          <w:lang w:val="fr-CA"/>
        </w:rPr>
        <w:t xml:space="preserve"> un </w:t>
      </w:r>
      <w:r w:rsidR="00B338BD" w:rsidRPr="00BD22C2">
        <w:rPr>
          <w:lang w:val="fr-CA"/>
        </w:rPr>
        <w:t xml:space="preserve">volet spécifique sur les droits de l’enfant, ainsi que sur l’éducation à la sexualité, comme nous le précisons plus loin. </w:t>
      </w:r>
    </w:p>
    <w:p w14:paraId="33186A46" w14:textId="16E0F363" w:rsidR="00B338BD" w:rsidRPr="00BD22C2" w:rsidRDefault="00B338BD" w:rsidP="00921E6B">
      <w:pPr>
        <w:pStyle w:val="Paragraphe"/>
        <w:rPr>
          <w:lang w:val="fr-CA"/>
        </w:rPr>
      </w:pPr>
      <w:r w:rsidRPr="00BD22C2">
        <w:rPr>
          <w:rFonts w:eastAsia="Calibri"/>
          <w:lang w:val="fr-CA" w:eastAsia="en-US"/>
        </w:rPr>
        <w:t>Avant d’aborder cet aspect, r</w:t>
      </w:r>
      <w:r w:rsidR="00EF171F" w:rsidRPr="00BD22C2">
        <w:rPr>
          <w:rFonts w:eastAsia="Calibri"/>
          <w:lang w:val="fr-CA" w:eastAsia="en-US"/>
        </w:rPr>
        <w:t xml:space="preserve">appelons </w:t>
      </w:r>
      <w:r w:rsidRPr="00BD22C2">
        <w:rPr>
          <w:rFonts w:eastAsia="Calibri"/>
          <w:lang w:val="fr-CA" w:eastAsia="en-US"/>
        </w:rPr>
        <w:t xml:space="preserve">tout d’abord </w:t>
      </w:r>
      <w:r w:rsidR="00EF171F" w:rsidRPr="00BD22C2">
        <w:rPr>
          <w:rFonts w:eastAsia="Calibri"/>
          <w:lang w:val="fr-CA" w:eastAsia="en-US"/>
        </w:rPr>
        <w:t xml:space="preserve">que la </w:t>
      </w:r>
      <w:r w:rsidR="00EF171F" w:rsidRPr="00BD22C2">
        <w:rPr>
          <w:rFonts w:eastAsia="Calibri"/>
          <w:i/>
          <w:iCs/>
          <w:lang w:val="fr-CA" w:eastAsia="en-US"/>
        </w:rPr>
        <w:t>L</w:t>
      </w:r>
      <w:r w:rsidR="00636094" w:rsidRPr="00BD22C2">
        <w:rPr>
          <w:rFonts w:eastAsia="Calibri"/>
          <w:i/>
          <w:iCs/>
          <w:lang w:val="fr-CA" w:eastAsia="en-US"/>
        </w:rPr>
        <w:t>oi sur l’instruction publique</w:t>
      </w:r>
      <w:r w:rsidR="00EF171F" w:rsidRPr="00BD22C2">
        <w:rPr>
          <w:rFonts w:eastAsia="Calibri"/>
          <w:lang w:val="fr-CA" w:eastAsia="en-US"/>
        </w:rPr>
        <w:t xml:space="preserve"> prévoit que l’enseignant a </w:t>
      </w:r>
      <w:r w:rsidR="00EF171F" w:rsidRPr="00BD22C2">
        <w:rPr>
          <w:lang w:val="fr-CA"/>
        </w:rPr>
        <w:t>notamment le devoir «</w:t>
      </w:r>
      <w:r w:rsidR="0051216B" w:rsidRPr="00BD22C2">
        <w:rPr>
          <w:lang w:val="fr-CA"/>
        </w:rPr>
        <w:t> </w:t>
      </w:r>
      <w:r w:rsidR="00EF171F" w:rsidRPr="00BD22C2">
        <w:rPr>
          <w:lang w:val="fr-CA"/>
        </w:rPr>
        <w:t>de contribuer à la formation intellectuelle et au développement intégral de la personnalité de chaque élève qui lui est confié</w:t>
      </w:r>
      <w:r w:rsidR="0051216B" w:rsidRPr="00BD22C2">
        <w:rPr>
          <w:lang w:val="fr-CA"/>
        </w:rPr>
        <w:t> </w:t>
      </w:r>
      <w:r w:rsidR="00EF171F" w:rsidRPr="00BD22C2">
        <w:rPr>
          <w:lang w:val="fr-CA"/>
        </w:rPr>
        <w:t>; [et] de prendre les moyens appropriés pour aider à développer chez ses élèves le respect des droits de la personne</w:t>
      </w:r>
      <w:r w:rsidR="0051216B" w:rsidRPr="00BD22C2">
        <w:rPr>
          <w:lang w:val="fr-CA"/>
        </w:rPr>
        <w:t> </w:t>
      </w:r>
      <w:r w:rsidR="00EF171F" w:rsidRPr="00BD22C2">
        <w:rPr>
          <w:lang w:val="fr-CA"/>
        </w:rPr>
        <w:t>»</w:t>
      </w:r>
      <w:r w:rsidR="00EF171F" w:rsidRPr="00BD22C2">
        <w:rPr>
          <w:rStyle w:val="Appeldenotedefin"/>
          <w:lang w:val="fr-CA"/>
        </w:rPr>
        <w:endnoteReference w:id="481"/>
      </w:r>
      <w:r w:rsidR="00EF171F" w:rsidRPr="00BD22C2">
        <w:rPr>
          <w:lang w:val="fr-CA"/>
        </w:rPr>
        <w:t xml:space="preserve">. </w:t>
      </w:r>
    </w:p>
    <w:p w14:paraId="34EEAACB" w14:textId="558254D9" w:rsidR="00921E6B" w:rsidRPr="00BD22C2" w:rsidRDefault="00EF171F" w:rsidP="00921E6B">
      <w:pPr>
        <w:pStyle w:val="Paragraphe"/>
        <w:rPr>
          <w:lang w:val="fr-CA"/>
        </w:rPr>
      </w:pPr>
      <w:r w:rsidRPr="00BD22C2">
        <w:rPr>
          <w:lang w:val="fr-CA"/>
        </w:rPr>
        <w:t xml:space="preserve">Pour </w:t>
      </w:r>
      <w:r w:rsidR="006B28DB" w:rsidRPr="00BD22C2">
        <w:rPr>
          <w:lang w:val="fr-CA"/>
        </w:rPr>
        <w:t>atteindre</w:t>
      </w:r>
      <w:r w:rsidRPr="00BD22C2">
        <w:rPr>
          <w:lang w:val="fr-CA"/>
        </w:rPr>
        <w:t xml:space="preserve"> cet objectif, il faut s’assurer de la maîtrise </w:t>
      </w:r>
      <w:r w:rsidR="00242BF4" w:rsidRPr="00BD22C2">
        <w:rPr>
          <w:lang w:val="fr-CA"/>
        </w:rPr>
        <w:t>des droits de la per</w:t>
      </w:r>
      <w:r w:rsidR="0073201F" w:rsidRPr="00BD22C2">
        <w:rPr>
          <w:lang w:val="fr-CA"/>
        </w:rPr>
        <w:t>sonne</w:t>
      </w:r>
      <w:r w:rsidRPr="00BD22C2">
        <w:rPr>
          <w:lang w:val="fr-CA"/>
        </w:rPr>
        <w:t xml:space="preserve"> par le corps enseignant. </w:t>
      </w:r>
      <w:r w:rsidR="00EE1A14" w:rsidRPr="00BD22C2">
        <w:rPr>
          <w:lang w:val="fr-CA"/>
        </w:rPr>
        <w:t>Le cadre de l’</w:t>
      </w:r>
      <w:r w:rsidR="00DA788D" w:rsidRPr="00BD22C2">
        <w:rPr>
          <w:lang w:val="fr-CA"/>
        </w:rPr>
        <w:t xml:space="preserve">éducation aux droits et libertés doit </w:t>
      </w:r>
      <w:r w:rsidR="0073201F" w:rsidRPr="00BD22C2">
        <w:rPr>
          <w:lang w:val="fr-CA"/>
        </w:rPr>
        <w:t xml:space="preserve">nécessairement </w:t>
      </w:r>
      <w:r w:rsidR="00DE2EC0" w:rsidRPr="00BD22C2">
        <w:rPr>
          <w:lang w:val="fr-CA"/>
        </w:rPr>
        <w:t xml:space="preserve">être prévu </w:t>
      </w:r>
      <w:r w:rsidR="00797E7F" w:rsidRPr="00BD22C2">
        <w:rPr>
          <w:lang w:val="fr-CA"/>
        </w:rPr>
        <w:t>durant</w:t>
      </w:r>
      <w:r w:rsidR="00DE2EC0" w:rsidRPr="00BD22C2">
        <w:rPr>
          <w:lang w:val="fr-CA"/>
        </w:rPr>
        <w:t xml:space="preserve"> la formation initiale des futurs maîtres </w:t>
      </w:r>
      <w:r w:rsidR="00D45ADE" w:rsidRPr="00BD22C2">
        <w:rPr>
          <w:lang w:val="fr-CA"/>
        </w:rPr>
        <w:t xml:space="preserve">et des </w:t>
      </w:r>
      <w:r w:rsidR="00245CB8" w:rsidRPr="00BD22C2">
        <w:rPr>
          <w:lang w:val="fr-CA"/>
        </w:rPr>
        <w:t xml:space="preserve">futurs professionnels qui travailleront aux services </w:t>
      </w:r>
      <w:r w:rsidR="00245CB8" w:rsidRPr="00BD22C2">
        <w:rPr>
          <w:lang w:val="fr-CA"/>
        </w:rPr>
        <w:lastRenderedPageBreak/>
        <w:t>de l’enfant ou à leur contact</w:t>
      </w:r>
      <w:r w:rsidR="00471816" w:rsidRPr="00BD22C2">
        <w:rPr>
          <w:lang w:val="fr-CA"/>
        </w:rPr>
        <w:t xml:space="preserve"> </w:t>
      </w:r>
      <w:r w:rsidR="0051216B" w:rsidRPr="00BD22C2">
        <w:rPr>
          <w:lang w:val="fr-CA"/>
        </w:rPr>
        <w:t>—</w:t>
      </w:r>
      <w:r w:rsidR="00797E7F" w:rsidRPr="00BD22C2">
        <w:rPr>
          <w:lang w:val="fr-CA"/>
        </w:rPr>
        <w:t xml:space="preserve"> </w:t>
      </w:r>
      <w:r w:rsidR="003D2D24" w:rsidRPr="00BD22C2">
        <w:rPr>
          <w:lang w:val="fr-CA"/>
        </w:rPr>
        <w:t>de même qu’</w:t>
      </w:r>
      <w:r w:rsidR="00797E7F" w:rsidRPr="00BD22C2">
        <w:rPr>
          <w:lang w:val="fr-CA"/>
        </w:rPr>
        <w:t>en cours d’emploi</w:t>
      </w:r>
      <w:r w:rsidR="00471816" w:rsidRPr="00BD22C2">
        <w:rPr>
          <w:lang w:val="fr-CA"/>
        </w:rPr>
        <w:t>, comme nous le verrons plus loin</w:t>
      </w:r>
      <w:r w:rsidR="00345EA9" w:rsidRPr="00BD22C2">
        <w:rPr>
          <w:lang w:val="fr-CA"/>
        </w:rPr>
        <w:t xml:space="preserve">. </w:t>
      </w:r>
      <w:r w:rsidR="00797E7F" w:rsidRPr="00BD22C2">
        <w:rPr>
          <w:lang w:val="fr-CA"/>
        </w:rPr>
        <w:t>Cette formatio</w:t>
      </w:r>
      <w:r w:rsidR="00874E30" w:rsidRPr="00BD22C2">
        <w:rPr>
          <w:lang w:val="fr-CA"/>
        </w:rPr>
        <w:t>n aux dro</w:t>
      </w:r>
      <w:r w:rsidR="00EA39C0" w:rsidRPr="00BD22C2">
        <w:rPr>
          <w:lang w:val="fr-CA"/>
        </w:rPr>
        <w:t>its de la personne</w:t>
      </w:r>
      <w:r w:rsidR="0057769A" w:rsidRPr="00BD22C2">
        <w:rPr>
          <w:lang w:val="fr-CA"/>
        </w:rPr>
        <w:t xml:space="preserve"> </w:t>
      </w:r>
      <w:r w:rsidR="00DA788D" w:rsidRPr="00BD22C2">
        <w:rPr>
          <w:lang w:val="fr-CA"/>
        </w:rPr>
        <w:t xml:space="preserve">doit </w:t>
      </w:r>
      <w:r w:rsidR="0059620A" w:rsidRPr="00BD22C2">
        <w:rPr>
          <w:lang w:val="fr-CA"/>
        </w:rPr>
        <w:t xml:space="preserve">aussi </w:t>
      </w:r>
      <w:r w:rsidR="00DA788D" w:rsidRPr="00BD22C2">
        <w:rPr>
          <w:lang w:val="fr-CA"/>
        </w:rPr>
        <w:t xml:space="preserve">comprendre </w:t>
      </w:r>
      <w:r w:rsidR="0059620A" w:rsidRPr="00BD22C2">
        <w:rPr>
          <w:lang w:val="fr-CA"/>
        </w:rPr>
        <w:t xml:space="preserve">des </w:t>
      </w:r>
      <w:r w:rsidR="001F5B23" w:rsidRPr="00BD22C2">
        <w:rPr>
          <w:lang w:val="fr-CA"/>
        </w:rPr>
        <w:t xml:space="preserve">contenus spécifiques qui </w:t>
      </w:r>
      <w:r w:rsidR="0057769A" w:rsidRPr="00BD22C2">
        <w:rPr>
          <w:lang w:val="fr-CA"/>
        </w:rPr>
        <w:t xml:space="preserve">leur </w:t>
      </w:r>
      <w:r w:rsidR="001F5B23" w:rsidRPr="00BD22C2">
        <w:rPr>
          <w:lang w:val="fr-CA"/>
        </w:rPr>
        <w:t xml:space="preserve">permettent de </w:t>
      </w:r>
      <w:r w:rsidR="0057769A" w:rsidRPr="00BD22C2">
        <w:rPr>
          <w:lang w:val="fr-CA"/>
        </w:rPr>
        <w:t>bien</w:t>
      </w:r>
      <w:r w:rsidR="009A440B" w:rsidRPr="00BD22C2">
        <w:rPr>
          <w:lang w:val="fr-CA"/>
        </w:rPr>
        <w:t xml:space="preserve"> </w:t>
      </w:r>
      <w:r w:rsidR="001F5B23" w:rsidRPr="00BD22C2">
        <w:rPr>
          <w:lang w:val="fr-CA"/>
        </w:rPr>
        <w:t xml:space="preserve">comprendre les réalités des </w:t>
      </w:r>
      <w:r w:rsidR="00EA39C0" w:rsidRPr="00BD22C2">
        <w:rPr>
          <w:lang w:val="fr-CA"/>
        </w:rPr>
        <w:t>enfants et jeunes</w:t>
      </w:r>
      <w:r w:rsidR="001F5B23" w:rsidRPr="00BD22C2">
        <w:rPr>
          <w:lang w:val="fr-CA"/>
        </w:rPr>
        <w:t xml:space="preserve"> trans et non</w:t>
      </w:r>
      <w:r w:rsidR="00BD1D5B" w:rsidRPr="00BD22C2">
        <w:rPr>
          <w:lang w:val="fr-CA"/>
        </w:rPr>
        <w:t xml:space="preserve"> </w:t>
      </w:r>
      <w:r w:rsidR="001F5B23" w:rsidRPr="00BD22C2">
        <w:rPr>
          <w:lang w:val="fr-CA"/>
        </w:rPr>
        <w:t>binaires</w:t>
      </w:r>
      <w:r w:rsidR="00DA788D" w:rsidRPr="00BD22C2">
        <w:rPr>
          <w:lang w:val="fr-CA"/>
        </w:rPr>
        <w:t xml:space="preserve"> </w:t>
      </w:r>
      <w:r w:rsidR="0057769A" w:rsidRPr="00BD22C2">
        <w:rPr>
          <w:lang w:val="fr-CA"/>
        </w:rPr>
        <w:t xml:space="preserve">ainsi que les </w:t>
      </w:r>
      <w:r w:rsidR="00231781" w:rsidRPr="00BD22C2">
        <w:rPr>
          <w:lang w:val="fr-CA"/>
        </w:rPr>
        <w:t>différents</w:t>
      </w:r>
      <w:r w:rsidR="0057769A" w:rsidRPr="00BD22C2">
        <w:rPr>
          <w:lang w:val="fr-CA"/>
        </w:rPr>
        <w:t xml:space="preserve"> obstacles qui </w:t>
      </w:r>
      <w:r w:rsidR="00231781" w:rsidRPr="00BD22C2">
        <w:rPr>
          <w:lang w:val="fr-CA"/>
        </w:rPr>
        <w:t>se posent à eux</w:t>
      </w:r>
      <w:r w:rsidR="00986F77" w:rsidRPr="00BD22C2">
        <w:rPr>
          <w:lang w:val="fr-CA"/>
        </w:rPr>
        <w:t>, notamment dans l’environnement scolaire</w:t>
      </w:r>
      <w:r w:rsidR="00C80203" w:rsidRPr="00BD22C2">
        <w:rPr>
          <w:lang w:val="fr-CA"/>
        </w:rPr>
        <w:t xml:space="preserve">, et qui peuvent </w:t>
      </w:r>
      <w:r w:rsidR="00D12AF0" w:rsidRPr="00BD22C2">
        <w:rPr>
          <w:lang w:val="fr-CA"/>
        </w:rPr>
        <w:t>entraver les</w:t>
      </w:r>
      <w:r w:rsidR="004670D2" w:rsidRPr="00BD22C2">
        <w:rPr>
          <w:lang w:val="fr-CA"/>
        </w:rPr>
        <w:t xml:space="preserve"> apprentissages</w:t>
      </w:r>
      <w:r w:rsidR="00EA39C0" w:rsidRPr="00BD22C2">
        <w:rPr>
          <w:lang w:val="fr-CA"/>
        </w:rPr>
        <w:t>.</w:t>
      </w:r>
    </w:p>
    <w:p w14:paraId="61FEBBC8" w14:textId="7C2EB294" w:rsidR="00B75253" w:rsidRPr="00BD22C2" w:rsidRDefault="005B0461" w:rsidP="001E26FD">
      <w:pPr>
        <w:pStyle w:val="Paragraphe"/>
        <w:rPr>
          <w:lang w:val="fr-CA"/>
        </w:rPr>
      </w:pPr>
      <w:r w:rsidRPr="00BD22C2">
        <w:rPr>
          <w:lang w:val="fr-CA"/>
        </w:rPr>
        <w:t>Suivant le</w:t>
      </w:r>
      <w:r w:rsidR="0028699F" w:rsidRPr="00BD22C2">
        <w:rPr>
          <w:lang w:val="fr-CA"/>
        </w:rPr>
        <w:t xml:space="preserve"> précédent Plan d’action gouvernemental de lutte contre l’homophobie et la transphobie</w:t>
      </w:r>
      <w:r w:rsidR="0091080B">
        <w:rPr>
          <w:lang w:val="fr-CA"/>
        </w:rPr>
        <w:t> </w:t>
      </w:r>
      <w:r w:rsidR="0028699F" w:rsidRPr="00BD22C2">
        <w:rPr>
          <w:lang w:val="fr-CA"/>
        </w:rPr>
        <w:t xml:space="preserve">2017-2022, le </w:t>
      </w:r>
      <w:r w:rsidR="00A7265A" w:rsidRPr="00BD22C2">
        <w:rPr>
          <w:rFonts w:eastAsia="Calibri"/>
          <w:lang w:val="fr-CA"/>
        </w:rPr>
        <w:t xml:space="preserve">ministère de l’Éducation </w:t>
      </w:r>
      <w:r w:rsidR="00A7265A" w:rsidRPr="00BD22C2">
        <w:rPr>
          <w:lang w:val="fr-CA"/>
        </w:rPr>
        <w:t xml:space="preserve">a publié en 2020 </w:t>
      </w:r>
      <w:r w:rsidR="00DB0CF9" w:rsidRPr="00BD22C2">
        <w:rPr>
          <w:lang w:val="fr-CA"/>
        </w:rPr>
        <w:t>une deuxième édition du</w:t>
      </w:r>
      <w:r w:rsidR="0028699F" w:rsidRPr="00BD22C2">
        <w:rPr>
          <w:lang w:val="fr-CA"/>
        </w:rPr>
        <w:t xml:space="preserve"> </w:t>
      </w:r>
      <w:r w:rsidR="0028699F" w:rsidRPr="00BD22C2">
        <w:rPr>
          <w:i/>
          <w:lang w:val="fr-CA"/>
        </w:rPr>
        <w:t>Référentiel</w:t>
      </w:r>
      <w:r w:rsidR="0028699F" w:rsidRPr="00BD22C2">
        <w:rPr>
          <w:i/>
          <w:iCs/>
          <w:lang w:val="fr-CA"/>
        </w:rPr>
        <w:t xml:space="preserve"> de compétences professionnel</w:t>
      </w:r>
      <w:r w:rsidR="006705B1" w:rsidRPr="00BD22C2">
        <w:rPr>
          <w:i/>
          <w:iCs/>
          <w:lang w:val="fr-CA"/>
        </w:rPr>
        <w:t>le</w:t>
      </w:r>
      <w:r w:rsidR="0028699F" w:rsidRPr="00BD22C2">
        <w:rPr>
          <w:i/>
          <w:iCs/>
          <w:lang w:val="fr-CA"/>
        </w:rPr>
        <w:t>s de la profession enseignante</w:t>
      </w:r>
      <w:r w:rsidR="00CD0456" w:rsidRPr="00BD22C2">
        <w:rPr>
          <w:lang w:val="fr-CA"/>
        </w:rPr>
        <w:t xml:space="preserve"> </w:t>
      </w:r>
      <w:r w:rsidR="008D7C41" w:rsidRPr="00BD22C2">
        <w:rPr>
          <w:lang w:val="fr-CA"/>
        </w:rPr>
        <w:t xml:space="preserve">(ci-après </w:t>
      </w:r>
      <w:r w:rsidR="00D6411E" w:rsidRPr="00BD22C2">
        <w:rPr>
          <w:lang w:val="fr-CA"/>
        </w:rPr>
        <w:t>«</w:t>
      </w:r>
      <w:r w:rsidR="0051216B" w:rsidRPr="00BD22C2">
        <w:rPr>
          <w:lang w:val="fr-CA"/>
        </w:rPr>
        <w:t> </w:t>
      </w:r>
      <w:r w:rsidR="008D7C41" w:rsidRPr="00BD22C2">
        <w:rPr>
          <w:lang w:val="fr-CA"/>
        </w:rPr>
        <w:t>Référentiel</w:t>
      </w:r>
      <w:r w:rsidR="0051216B" w:rsidRPr="00BD22C2">
        <w:rPr>
          <w:lang w:val="fr-CA"/>
        </w:rPr>
        <w:t> </w:t>
      </w:r>
      <w:r w:rsidR="00D6411E" w:rsidRPr="00BD22C2">
        <w:rPr>
          <w:lang w:val="fr-CA"/>
        </w:rPr>
        <w:t>»</w:t>
      </w:r>
      <w:r w:rsidR="008D7C41" w:rsidRPr="00BD22C2">
        <w:rPr>
          <w:lang w:val="fr-CA"/>
        </w:rPr>
        <w:t xml:space="preserve">) </w:t>
      </w:r>
      <w:r w:rsidR="00CD0456" w:rsidRPr="00BD22C2">
        <w:rPr>
          <w:lang w:val="fr-CA"/>
        </w:rPr>
        <w:t>qui «</w:t>
      </w:r>
      <w:r w:rsidR="0051216B" w:rsidRPr="00BD22C2">
        <w:rPr>
          <w:lang w:val="fr-CA"/>
        </w:rPr>
        <w:t> </w:t>
      </w:r>
      <w:r w:rsidR="00CD0456" w:rsidRPr="00BD22C2">
        <w:rPr>
          <w:lang w:val="fr-CA"/>
        </w:rPr>
        <w:t>vise à guider l’élaboration des programmes universitaires de formation à l’enseignement et à soutenir le développement professionnel des enseignants tout au long de leur carrière</w:t>
      </w:r>
      <w:r w:rsidR="0051216B" w:rsidRPr="00BD22C2">
        <w:rPr>
          <w:lang w:val="fr-CA"/>
        </w:rPr>
        <w:t> </w:t>
      </w:r>
      <w:r w:rsidR="00CD0456" w:rsidRPr="00BD22C2">
        <w:rPr>
          <w:lang w:val="fr-CA"/>
        </w:rPr>
        <w:t>»</w:t>
      </w:r>
      <w:r w:rsidR="00A1584E" w:rsidRPr="00BD22C2">
        <w:rPr>
          <w:rStyle w:val="Appeldenotedefin"/>
          <w:lang w:val="fr-CA"/>
        </w:rPr>
        <w:endnoteReference w:id="482"/>
      </w:r>
      <w:r w:rsidR="00A7265A" w:rsidRPr="00BD22C2">
        <w:rPr>
          <w:lang w:val="fr-CA"/>
        </w:rPr>
        <w:t xml:space="preserve">. </w:t>
      </w:r>
      <w:r w:rsidR="002F7349" w:rsidRPr="00BD22C2">
        <w:rPr>
          <w:lang w:val="fr-CA"/>
        </w:rPr>
        <w:t>La</w:t>
      </w:r>
      <w:r w:rsidR="000C658B" w:rsidRPr="00BD22C2">
        <w:rPr>
          <w:lang w:val="fr-CA"/>
        </w:rPr>
        <w:t xml:space="preserve"> </w:t>
      </w:r>
      <w:r w:rsidR="00980981" w:rsidRPr="00BD22C2">
        <w:rPr>
          <w:lang w:val="fr-CA"/>
        </w:rPr>
        <w:t>partie</w:t>
      </w:r>
      <w:r w:rsidR="000C658B" w:rsidRPr="00BD22C2">
        <w:rPr>
          <w:lang w:val="fr-CA"/>
        </w:rPr>
        <w:t xml:space="preserve"> </w:t>
      </w:r>
      <w:r w:rsidR="001C4010" w:rsidRPr="00BD22C2">
        <w:rPr>
          <w:lang w:val="fr-CA"/>
        </w:rPr>
        <w:t>de ce document</w:t>
      </w:r>
      <w:r w:rsidR="009A444D" w:rsidRPr="00BD22C2">
        <w:rPr>
          <w:lang w:val="fr-CA"/>
        </w:rPr>
        <w:t xml:space="preserve"> intitulé </w:t>
      </w:r>
      <w:r w:rsidR="00D76129" w:rsidRPr="00BD22C2">
        <w:rPr>
          <w:lang w:val="fr-CA"/>
        </w:rPr>
        <w:t>«</w:t>
      </w:r>
      <w:r w:rsidR="0051216B" w:rsidRPr="00BD22C2">
        <w:rPr>
          <w:lang w:val="fr-CA"/>
        </w:rPr>
        <w:t> </w:t>
      </w:r>
      <w:r w:rsidR="00D2769C" w:rsidRPr="00BD22C2">
        <w:rPr>
          <w:lang w:val="fr-CA"/>
        </w:rPr>
        <w:t>Des changements nombreux et importants depuis 20</w:t>
      </w:r>
      <w:r w:rsidR="009D3E22">
        <w:rPr>
          <w:lang w:val="fr-CA"/>
        </w:rPr>
        <w:t> </w:t>
      </w:r>
      <w:r w:rsidR="00D2769C" w:rsidRPr="00BD22C2">
        <w:rPr>
          <w:lang w:val="fr-CA"/>
        </w:rPr>
        <w:t>ans</w:t>
      </w:r>
      <w:r w:rsidR="0051216B" w:rsidRPr="00BD22C2">
        <w:rPr>
          <w:lang w:val="fr-CA"/>
        </w:rPr>
        <w:t> </w:t>
      </w:r>
      <w:r w:rsidR="00D76129" w:rsidRPr="00BD22C2">
        <w:rPr>
          <w:lang w:val="fr-CA"/>
        </w:rPr>
        <w:t>»</w:t>
      </w:r>
      <w:r w:rsidR="00980981" w:rsidRPr="00BD22C2">
        <w:rPr>
          <w:lang w:val="fr-CA"/>
        </w:rPr>
        <w:t xml:space="preserve"> contient </w:t>
      </w:r>
      <w:r w:rsidR="009A444D" w:rsidRPr="00BD22C2">
        <w:rPr>
          <w:lang w:val="fr-CA"/>
        </w:rPr>
        <w:t>désormais</w:t>
      </w:r>
      <w:r w:rsidR="00980981" w:rsidRPr="00BD22C2">
        <w:rPr>
          <w:lang w:val="fr-CA"/>
        </w:rPr>
        <w:t xml:space="preserve"> une sous-section portant sur l’identité </w:t>
      </w:r>
      <w:r w:rsidR="00775E09" w:rsidRPr="00BD22C2">
        <w:rPr>
          <w:lang w:val="fr-CA"/>
        </w:rPr>
        <w:t>et l’expression</w:t>
      </w:r>
      <w:r w:rsidR="00F1592B" w:rsidRPr="00BD22C2">
        <w:rPr>
          <w:lang w:val="fr-CA"/>
        </w:rPr>
        <w:t xml:space="preserve"> de genre</w:t>
      </w:r>
      <w:r w:rsidR="00D76129" w:rsidRPr="00BD22C2">
        <w:rPr>
          <w:lang w:val="fr-CA"/>
        </w:rPr>
        <w:t xml:space="preserve">. </w:t>
      </w:r>
      <w:r w:rsidR="00D72956" w:rsidRPr="00BD22C2">
        <w:rPr>
          <w:lang w:val="fr-CA"/>
        </w:rPr>
        <w:t xml:space="preserve">Après avoir </w:t>
      </w:r>
      <w:r w:rsidR="00D7736F" w:rsidRPr="00BD22C2">
        <w:rPr>
          <w:lang w:val="fr-CA"/>
        </w:rPr>
        <w:t>présenté</w:t>
      </w:r>
      <w:r w:rsidR="00455E8D" w:rsidRPr="00BD22C2">
        <w:rPr>
          <w:lang w:val="fr-CA"/>
        </w:rPr>
        <w:t xml:space="preserve"> les effets négatifs</w:t>
      </w:r>
      <w:r w:rsidR="00D7736F" w:rsidRPr="00BD22C2">
        <w:rPr>
          <w:lang w:val="fr-CA"/>
        </w:rPr>
        <w:t xml:space="preserve"> des stéréotypes </w:t>
      </w:r>
      <w:r w:rsidR="00DB7782" w:rsidRPr="00BD22C2">
        <w:rPr>
          <w:lang w:val="fr-CA"/>
        </w:rPr>
        <w:t xml:space="preserve">sexuels, </w:t>
      </w:r>
      <w:r w:rsidR="005D7BB1" w:rsidRPr="00BD22C2">
        <w:rPr>
          <w:lang w:val="fr-CA"/>
        </w:rPr>
        <w:t>dont les</w:t>
      </w:r>
      <w:r w:rsidR="00DB7782" w:rsidRPr="00BD22C2">
        <w:rPr>
          <w:lang w:val="fr-CA"/>
        </w:rPr>
        <w:t xml:space="preserve"> inégali</w:t>
      </w:r>
      <w:r w:rsidR="000B2D41" w:rsidRPr="00BD22C2">
        <w:rPr>
          <w:lang w:val="fr-CA"/>
        </w:rPr>
        <w:t>t</w:t>
      </w:r>
      <w:r w:rsidR="00DB7782" w:rsidRPr="00BD22C2">
        <w:rPr>
          <w:lang w:val="fr-CA"/>
        </w:rPr>
        <w:t>és</w:t>
      </w:r>
      <w:r w:rsidR="002A169B" w:rsidRPr="00BD22C2">
        <w:rPr>
          <w:lang w:val="fr-CA"/>
        </w:rPr>
        <w:t xml:space="preserve"> sociales</w:t>
      </w:r>
      <w:r w:rsidR="00075CFF" w:rsidRPr="00BD22C2">
        <w:rPr>
          <w:lang w:val="fr-CA"/>
        </w:rPr>
        <w:t xml:space="preserve"> qu’ils produisent</w:t>
      </w:r>
      <w:r w:rsidR="002A169B" w:rsidRPr="00BD22C2">
        <w:rPr>
          <w:lang w:val="fr-CA"/>
        </w:rPr>
        <w:t>,</w:t>
      </w:r>
      <w:r w:rsidR="00455E8D" w:rsidRPr="00BD22C2">
        <w:rPr>
          <w:lang w:val="fr-CA"/>
        </w:rPr>
        <w:t xml:space="preserve"> </w:t>
      </w:r>
      <w:r w:rsidR="00D16AC1" w:rsidRPr="00BD22C2">
        <w:rPr>
          <w:lang w:val="fr-CA"/>
        </w:rPr>
        <w:t xml:space="preserve">puis </w:t>
      </w:r>
      <w:r w:rsidR="000B2D41" w:rsidRPr="00BD22C2">
        <w:rPr>
          <w:lang w:val="fr-CA"/>
        </w:rPr>
        <w:t xml:space="preserve">avoir insisté sur </w:t>
      </w:r>
      <w:r w:rsidR="00101C28" w:rsidRPr="00BD22C2">
        <w:rPr>
          <w:lang w:val="fr-CA"/>
        </w:rPr>
        <w:t>les enjeux de persévérance scolaire</w:t>
      </w:r>
      <w:r w:rsidR="007F5E81" w:rsidRPr="00BD22C2">
        <w:rPr>
          <w:lang w:val="fr-CA"/>
        </w:rPr>
        <w:t xml:space="preserve"> vécu</w:t>
      </w:r>
      <w:r w:rsidR="00101C28" w:rsidRPr="00BD22C2">
        <w:rPr>
          <w:lang w:val="fr-CA"/>
        </w:rPr>
        <w:t>s</w:t>
      </w:r>
      <w:r w:rsidR="007F5E81" w:rsidRPr="00BD22C2">
        <w:rPr>
          <w:lang w:val="fr-CA"/>
        </w:rPr>
        <w:t xml:space="preserve"> par les garçons</w:t>
      </w:r>
      <w:r w:rsidR="00101C28" w:rsidRPr="00BD22C2">
        <w:rPr>
          <w:lang w:val="fr-CA"/>
        </w:rPr>
        <w:t xml:space="preserve">, le </w:t>
      </w:r>
      <w:r w:rsidR="008D7C41" w:rsidRPr="00BD22C2">
        <w:rPr>
          <w:lang w:val="fr-CA"/>
        </w:rPr>
        <w:t>R</w:t>
      </w:r>
      <w:r w:rsidR="00101C28" w:rsidRPr="00BD22C2">
        <w:rPr>
          <w:lang w:val="fr-CA"/>
        </w:rPr>
        <w:t xml:space="preserve">éférentiel </w:t>
      </w:r>
      <w:r w:rsidR="000A762A" w:rsidRPr="00BD22C2">
        <w:rPr>
          <w:lang w:val="fr-CA"/>
        </w:rPr>
        <w:t xml:space="preserve">souligne </w:t>
      </w:r>
      <w:r w:rsidR="00A45D44" w:rsidRPr="00BD22C2">
        <w:rPr>
          <w:lang w:val="fr-CA"/>
        </w:rPr>
        <w:t>«</w:t>
      </w:r>
      <w:r w:rsidR="0051216B" w:rsidRPr="00BD22C2">
        <w:rPr>
          <w:lang w:val="fr-CA"/>
        </w:rPr>
        <w:t> </w:t>
      </w:r>
      <w:r w:rsidR="00A45D44" w:rsidRPr="00BD22C2">
        <w:rPr>
          <w:lang w:val="fr-CA"/>
        </w:rPr>
        <w:t xml:space="preserve">l’existence d’une diversité d’expériences individuelles </w:t>
      </w:r>
      <w:r w:rsidR="006B53EA" w:rsidRPr="00BD22C2">
        <w:rPr>
          <w:lang w:val="fr-CA"/>
        </w:rPr>
        <w:t>relatives à l’identité et l’expression de genre</w:t>
      </w:r>
      <w:r w:rsidR="0051216B" w:rsidRPr="00BD22C2">
        <w:rPr>
          <w:lang w:val="fr-CA"/>
        </w:rPr>
        <w:t> </w:t>
      </w:r>
      <w:r w:rsidR="006B53EA" w:rsidRPr="00BD22C2">
        <w:rPr>
          <w:lang w:val="fr-CA"/>
        </w:rPr>
        <w:t>»</w:t>
      </w:r>
      <w:r w:rsidR="007B353D" w:rsidRPr="00BD22C2">
        <w:rPr>
          <w:rStyle w:val="Appeldenotedefin"/>
          <w:lang w:val="fr-CA"/>
        </w:rPr>
        <w:endnoteReference w:id="483"/>
      </w:r>
      <w:r w:rsidR="003C2630" w:rsidRPr="00BD22C2">
        <w:rPr>
          <w:lang w:val="fr-CA"/>
        </w:rPr>
        <w:t xml:space="preserve">, puis soulève le fait que </w:t>
      </w:r>
      <w:r w:rsidR="00857252" w:rsidRPr="00BD22C2">
        <w:rPr>
          <w:lang w:val="fr-CA"/>
        </w:rPr>
        <w:t>les membres du</w:t>
      </w:r>
      <w:r w:rsidR="003C2630" w:rsidRPr="00BD22C2">
        <w:rPr>
          <w:lang w:val="fr-CA"/>
        </w:rPr>
        <w:t xml:space="preserve"> personnel enseignant </w:t>
      </w:r>
      <w:r w:rsidR="00857252" w:rsidRPr="00BD22C2">
        <w:rPr>
          <w:lang w:val="fr-CA"/>
        </w:rPr>
        <w:t>«</w:t>
      </w:r>
      <w:r w:rsidR="0051216B" w:rsidRPr="00BD22C2">
        <w:rPr>
          <w:lang w:val="fr-CA"/>
        </w:rPr>
        <w:t> </w:t>
      </w:r>
      <w:r w:rsidR="00857252" w:rsidRPr="00BD22C2">
        <w:rPr>
          <w:lang w:val="fr-CA"/>
        </w:rPr>
        <w:t xml:space="preserve">sont davantage mis en présence de nouvelles réalités </w:t>
      </w:r>
      <w:r w:rsidR="00D2523C" w:rsidRPr="00BD22C2">
        <w:rPr>
          <w:lang w:val="fr-CA"/>
        </w:rPr>
        <w:t>où l’identité de genre d’une personne peut correspondre ou non au genre généralement associé au sexe qui lui a été assigné à la naissance</w:t>
      </w:r>
      <w:r w:rsidR="0051216B" w:rsidRPr="00BD22C2">
        <w:rPr>
          <w:lang w:val="fr-CA"/>
        </w:rPr>
        <w:t> </w:t>
      </w:r>
      <w:r w:rsidR="00D2523C" w:rsidRPr="00BD22C2">
        <w:rPr>
          <w:lang w:val="fr-CA"/>
        </w:rPr>
        <w:t>»</w:t>
      </w:r>
      <w:r w:rsidR="00476324" w:rsidRPr="00BD22C2">
        <w:rPr>
          <w:rStyle w:val="Appeldenotedefin"/>
          <w:lang w:val="fr-CA"/>
        </w:rPr>
        <w:endnoteReference w:id="484"/>
      </w:r>
      <w:r w:rsidR="00D2523C" w:rsidRPr="00BD22C2">
        <w:rPr>
          <w:lang w:val="fr-CA"/>
        </w:rPr>
        <w:t xml:space="preserve">. </w:t>
      </w:r>
      <w:r w:rsidR="00983A92" w:rsidRPr="00BD22C2">
        <w:rPr>
          <w:lang w:val="fr-CA"/>
        </w:rPr>
        <w:t>Le document ministériel</w:t>
      </w:r>
      <w:r w:rsidR="00E93BD8" w:rsidRPr="00BD22C2">
        <w:rPr>
          <w:lang w:val="fr-CA"/>
        </w:rPr>
        <w:t xml:space="preserve"> précise ensuite le rôle </w:t>
      </w:r>
      <w:r w:rsidR="0091234E" w:rsidRPr="00BD22C2">
        <w:rPr>
          <w:lang w:val="fr-CA"/>
        </w:rPr>
        <w:t>de</w:t>
      </w:r>
      <w:r w:rsidR="00076599" w:rsidRPr="00BD22C2">
        <w:rPr>
          <w:lang w:val="fr-CA"/>
        </w:rPr>
        <w:t xml:space="preserve"> la personne</w:t>
      </w:r>
      <w:r w:rsidR="0091234E" w:rsidRPr="00BD22C2">
        <w:rPr>
          <w:lang w:val="fr-CA"/>
        </w:rPr>
        <w:t xml:space="preserve"> </w:t>
      </w:r>
      <w:r w:rsidR="00E93BD8" w:rsidRPr="00BD22C2">
        <w:rPr>
          <w:lang w:val="fr-CA"/>
        </w:rPr>
        <w:t xml:space="preserve">enseignante </w:t>
      </w:r>
      <w:r w:rsidR="008E76E6" w:rsidRPr="00BD22C2">
        <w:rPr>
          <w:lang w:val="fr-CA"/>
        </w:rPr>
        <w:t xml:space="preserve">à ce sujet : </w:t>
      </w:r>
    </w:p>
    <w:p w14:paraId="4A2BC7C1" w14:textId="5E310FD0" w:rsidR="008A6393" w:rsidRPr="00BD22C2" w:rsidRDefault="00AD105F" w:rsidP="001E26FD">
      <w:pPr>
        <w:pStyle w:val="Citation"/>
      </w:pPr>
      <w:r w:rsidRPr="00BD22C2">
        <w:t>«</w:t>
      </w:r>
      <w:r w:rsidR="0051216B" w:rsidRPr="00BD22C2">
        <w:t> </w:t>
      </w:r>
      <w:r w:rsidRPr="00BD22C2">
        <w:t>L’enseignante ou l’enseignant contribue au développement de l’élève en le soutenant et en incluant dans son enseignement la diversité des genres par l’acceptation de soi et le respect des autres, favorisant ainsi un milieu scolaire sécuritaire, bienveillant et inclusif. Pour ce faire, elle ou il s’assure que le matériel pédagogique utilisé diffuse des images positives et inclusives quant à l’affirmation de l’identité de genre, et ce, tout en remettant en question des stéréotypes persistants dans la société québécoise.</w:t>
      </w:r>
      <w:r w:rsidR="0051216B" w:rsidRPr="00BD22C2">
        <w:t> </w:t>
      </w:r>
      <w:r w:rsidRPr="00BD22C2">
        <w:t>»</w:t>
      </w:r>
      <w:r w:rsidR="004870C8" w:rsidRPr="00BD22C2">
        <w:rPr>
          <w:rStyle w:val="Appeldenotedefin"/>
          <w:szCs w:val="20"/>
        </w:rPr>
        <w:endnoteReference w:id="485"/>
      </w:r>
    </w:p>
    <w:p w14:paraId="424C9DBA" w14:textId="531FD9C7" w:rsidR="005A68BE" w:rsidRPr="00BD22C2" w:rsidRDefault="00B55F7E" w:rsidP="001E26FD">
      <w:pPr>
        <w:pStyle w:val="Paragraphe"/>
        <w:rPr>
          <w:lang w:val="fr-CA"/>
        </w:rPr>
      </w:pPr>
      <w:r w:rsidRPr="00BD22C2">
        <w:rPr>
          <w:lang w:val="fr-CA"/>
        </w:rPr>
        <w:t>On</w:t>
      </w:r>
      <w:r w:rsidR="00582627" w:rsidRPr="00BD22C2">
        <w:rPr>
          <w:lang w:val="fr-CA"/>
        </w:rPr>
        <w:t xml:space="preserve"> réfère</w:t>
      </w:r>
      <w:r w:rsidRPr="00BD22C2">
        <w:rPr>
          <w:lang w:val="fr-CA"/>
        </w:rPr>
        <w:t xml:space="preserve"> ensuite</w:t>
      </w:r>
      <w:r w:rsidR="00582627" w:rsidRPr="00BD22C2">
        <w:rPr>
          <w:lang w:val="fr-CA"/>
        </w:rPr>
        <w:t xml:space="preserve"> à </w:t>
      </w:r>
      <w:r w:rsidR="007C635C" w:rsidRPr="00BD22C2">
        <w:rPr>
          <w:lang w:val="fr-CA"/>
        </w:rPr>
        <w:t>un seul autre endroit</w:t>
      </w:r>
      <w:r w:rsidR="005E2D86" w:rsidRPr="00BD22C2">
        <w:rPr>
          <w:lang w:val="fr-CA"/>
        </w:rPr>
        <w:t xml:space="preserve"> à</w:t>
      </w:r>
      <w:r w:rsidR="007C635C" w:rsidRPr="00BD22C2">
        <w:rPr>
          <w:lang w:val="fr-CA"/>
        </w:rPr>
        <w:t xml:space="preserve"> </w:t>
      </w:r>
      <w:r w:rsidR="00582627" w:rsidRPr="00BD22C2">
        <w:rPr>
          <w:lang w:val="fr-CA"/>
        </w:rPr>
        <w:t>l’identité et l’expression de genre</w:t>
      </w:r>
      <w:r w:rsidR="007C635C" w:rsidRPr="00BD22C2">
        <w:rPr>
          <w:lang w:val="fr-CA"/>
        </w:rPr>
        <w:t xml:space="preserve">, soit dans </w:t>
      </w:r>
      <w:r w:rsidR="00582627" w:rsidRPr="00BD22C2">
        <w:rPr>
          <w:lang w:val="fr-CA"/>
        </w:rPr>
        <w:t xml:space="preserve">une note </w:t>
      </w:r>
      <w:r w:rsidR="007C635C" w:rsidRPr="00BD22C2">
        <w:rPr>
          <w:lang w:val="fr-CA"/>
        </w:rPr>
        <w:t>reprenant</w:t>
      </w:r>
      <w:r w:rsidR="00582627" w:rsidRPr="00BD22C2">
        <w:rPr>
          <w:lang w:val="fr-CA"/>
        </w:rPr>
        <w:t xml:space="preserve"> les</w:t>
      </w:r>
      <w:r w:rsidR="00AD1B7B" w:rsidRPr="00BD22C2">
        <w:rPr>
          <w:lang w:val="fr-CA"/>
        </w:rPr>
        <w:t xml:space="preserve"> quatorze</w:t>
      </w:r>
      <w:r w:rsidR="00582627" w:rsidRPr="00BD22C2">
        <w:rPr>
          <w:lang w:val="fr-CA"/>
        </w:rPr>
        <w:t xml:space="preserve"> motifs interdits de discrimination</w:t>
      </w:r>
      <w:r w:rsidR="00195DA2" w:rsidRPr="00BD22C2">
        <w:rPr>
          <w:lang w:val="fr-CA"/>
        </w:rPr>
        <w:t xml:space="preserve">. </w:t>
      </w:r>
      <w:r w:rsidR="0022130E" w:rsidRPr="00BD22C2">
        <w:rPr>
          <w:lang w:val="fr-CA"/>
        </w:rPr>
        <w:t xml:space="preserve">On y </w:t>
      </w:r>
      <w:r w:rsidR="00195DA2" w:rsidRPr="00BD22C2">
        <w:rPr>
          <w:lang w:val="fr-CA"/>
        </w:rPr>
        <w:t xml:space="preserve">omet </w:t>
      </w:r>
      <w:r w:rsidR="0022130E" w:rsidRPr="00BD22C2">
        <w:rPr>
          <w:lang w:val="fr-CA"/>
        </w:rPr>
        <w:t>toutefois</w:t>
      </w:r>
      <w:r w:rsidR="00E000C0" w:rsidRPr="00BD22C2">
        <w:rPr>
          <w:lang w:val="fr-CA"/>
        </w:rPr>
        <w:t xml:space="preserve"> </w:t>
      </w:r>
      <w:r w:rsidR="00BE132B" w:rsidRPr="00BD22C2">
        <w:rPr>
          <w:lang w:val="fr-CA"/>
        </w:rPr>
        <w:t>d’associer</w:t>
      </w:r>
      <w:r w:rsidR="00D60358" w:rsidRPr="00BD22C2">
        <w:rPr>
          <w:lang w:val="fr-CA"/>
        </w:rPr>
        <w:t xml:space="preserve"> </w:t>
      </w:r>
      <w:r w:rsidR="00886B57" w:rsidRPr="00BD22C2">
        <w:rPr>
          <w:lang w:val="fr-CA"/>
        </w:rPr>
        <w:t>ce terme</w:t>
      </w:r>
      <w:r w:rsidR="00AD1B7B" w:rsidRPr="00BD22C2">
        <w:rPr>
          <w:lang w:val="fr-CA"/>
        </w:rPr>
        <w:t xml:space="preserve"> </w:t>
      </w:r>
      <w:r w:rsidR="00D60358" w:rsidRPr="00BD22C2">
        <w:rPr>
          <w:lang w:val="fr-CA"/>
        </w:rPr>
        <w:t xml:space="preserve">à la </w:t>
      </w:r>
      <w:r w:rsidR="005E2D86" w:rsidRPr="00BD22C2">
        <w:rPr>
          <w:lang w:val="fr-CA"/>
        </w:rPr>
        <w:t>C</w:t>
      </w:r>
      <w:r w:rsidR="00D60358" w:rsidRPr="00BD22C2">
        <w:rPr>
          <w:lang w:val="fr-CA"/>
        </w:rPr>
        <w:t>harte et au</w:t>
      </w:r>
      <w:r w:rsidR="00AD1B7B" w:rsidRPr="00BD22C2">
        <w:rPr>
          <w:lang w:val="fr-CA"/>
        </w:rPr>
        <w:t xml:space="preserve"> droit à l’égalité,</w:t>
      </w:r>
      <w:r w:rsidR="00A54CBC" w:rsidRPr="00BD22C2">
        <w:rPr>
          <w:lang w:val="fr-CA"/>
        </w:rPr>
        <w:t xml:space="preserve"> en indiquant plutôt que </w:t>
      </w:r>
      <w:r w:rsidR="00AD1B7B" w:rsidRPr="00BD22C2">
        <w:rPr>
          <w:lang w:val="fr-CA"/>
        </w:rPr>
        <w:t xml:space="preserve">ces motifs </w:t>
      </w:r>
      <w:r w:rsidR="00A4770E" w:rsidRPr="00BD22C2">
        <w:rPr>
          <w:lang w:val="fr-CA"/>
        </w:rPr>
        <w:t xml:space="preserve">correspondent </w:t>
      </w:r>
      <w:r w:rsidR="003E161D" w:rsidRPr="00BD22C2">
        <w:rPr>
          <w:lang w:val="fr-CA"/>
        </w:rPr>
        <w:t>aux «</w:t>
      </w:r>
      <w:r w:rsidR="0051216B" w:rsidRPr="00BD22C2">
        <w:rPr>
          <w:lang w:val="fr-CA"/>
        </w:rPr>
        <w:t> </w:t>
      </w:r>
      <w:r w:rsidR="003E161D" w:rsidRPr="00BD22C2">
        <w:rPr>
          <w:lang w:val="fr-CA"/>
        </w:rPr>
        <w:t>pratiques inclusives</w:t>
      </w:r>
      <w:r w:rsidR="0051216B" w:rsidRPr="00BD22C2">
        <w:rPr>
          <w:lang w:val="fr-CA"/>
        </w:rPr>
        <w:t> </w:t>
      </w:r>
      <w:r w:rsidR="003E161D" w:rsidRPr="00BD22C2">
        <w:rPr>
          <w:lang w:val="fr-CA"/>
        </w:rPr>
        <w:t>»</w:t>
      </w:r>
      <w:r w:rsidR="003E161D" w:rsidRPr="00BD22C2">
        <w:rPr>
          <w:rStyle w:val="Appeldenotedefin"/>
          <w:lang w:val="fr-CA"/>
        </w:rPr>
        <w:endnoteReference w:id="486"/>
      </w:r>
      <w:r w:rsidR="003E161D" w:rsidRPr="00BD22C2">
        <w:rPr>
          <w:lang w:val="fr-CA"/>
        </w:rPr>
        <w:t xml:space="preserve">. </w:t>
      </w:r>
      <w:r w:rsidR="005A68BE" w:rsidRPr="00BD22C2">
        <w:rPr>
          <w:lang w:val="fr-CA"/>
        </w:rPr>
        <w:t xml:space="preserve">Le Référentiel comprend </w:t>
      </w:r>
      <w:r w:rsidR="0022130E" w:rsidRPr="00BD22C2">
        <w:rPr>
          <w:lang w:val="fr-CA"/>
        </w:rPr>
        <w:t xml:space="preserve">cependant </w:t>
      </w:r>
      <w:r w:rsidR="005A68BE" w:rsidRPr="00BD22C2">
        <w:rPr>
          <w:lang w:val="fr-CA"/>
        </w:rPr>
        <w:t xml:space="preserve">des éléments qui se rapprochent du cadre de la Charte et du droit à l’égalité parmi deux dimensions de </w:t>
      </w:r>
      <w:r w:rsidR="00CE2664" w:rsidRPr="00BD22C2">
        <w:rPr>
          <w:lang w:val="fr-CA"/>
        </w:rPr>
        <w:t>l’une</w:t>
      </w:r>
      <w:r w:rsidR="005A68BE" w:rsidRPr="00BD22C2">
        <w:rPr>
          <w:lang w:val="fr-CA"/>
        </w:rPr>
        <w:t xml:space="preserve"> </w:t>
      </w:r>
      <w:r w:rsidR="00743343" w:rsidRPr="00BD22C2">
        <w:rPr>
          <w:lang w:val="fr-CA"/>
        </w:rPr>
        <w:t xml:space="preserve">des </w:t>
      </w:r>
      <w:r w:rsidR="005A68BE" w:rsidRPr="00BD22C2">
        <w:rPr>
          <w:lang w:val="fr-CA"/>
        </w:rPr>
        <w:t>compétence</w:t>
      </w:r>
      <w:r w:rsidR="00743343" w:rsidRPr="00BD22C2">
        <w:rPr>
          <w:lang w:val="fr-CA"/>
        </w:rPr>
        <w:t>s</w:t>
      </w:r>
      <w:r w:rsidR="005A68BE" w:rsidRPr="00BD22C2">
        <w:rPr>
          <w:lang w:val="fr-CA"/>
        </w:rPr>
        <w:t xml:space="preserve"> : </w:t>
      </w:r>
    </w:p>
    <w:p w14:paraId="104BCC61" w14:textId="7E08BEBE" w:rsidR="005A68BE" w:rsidRPr="00BD22C2" w:rsidRDefault="005A68BE" w:rsidP="001E26FD">
      <w:pPr>
        <w:pStyle w:val="Citation"/>
      </w:pPr>
      <w:r w:rsidRPr="00BD22C2">
        <w:t>«</w:t>
      </w:r>
      <w:r w:rsidR="0051216B" w:rsidRPr="00BD22C2">
        <w:t> </w:t>
      </w:r>
      <w:r w:rsidRPr="00BD22C2">
        <w:t xml:space="preserve">Dénoncer et déconstruire les savoirs, les pratiques, les attitudes et les processus qui produisent ou reproduisent, en contexte éducatif, des situations d’exclusion et de discrimination. </w:t>
      </w:r>
    </w:p>
    <w:p w14:paraId="22FAE034" w14:textId="4CE65E51" w:rsidR="00F812B0" w:rsidRPr="00BD22C2" w:rsidRDefault="005A68BE" w:rsidP="001E26FD">
      <w:pPr>
        <w:pStyle w:val="Citation"/>
      </w:pPr>
      <w:r w:rsidRPr="00BD22C2">
        <w:lastRenderedPageBreak/>
        <w:t>Adopter des pratiques et attitudes équitables, transparentes et inclusives pour prévenir toute forme de discrimination auprès des élèves, de ses collègues et de la communauté.</w:t>
      </w:r>
      <w:r w:rsidR="0051216B" w:rsidRPr="00BD22C2">
        <w:t> </w:t>
      </w:r>
      <w:r w:rsidRPr="00BD22C2">
        <w:t>»</w:t>
      </w:r>
      <w:r w:rsidRPr="00BD22C2">
        <w:rPr>
          <w:rStyle w:val="Appeldenotedefin"/>
          <w:szCs w:val="20"/>
        </w:rPr>
        <w:endnoteReference w:id="487"/>
      </w:r>
    </w:p>
    <w:p w14:paraId="48A7EDF4" w14:textId="5C3D615B" w:rsidR="005B5928" w:rsidRPr="00BD22C2" w:rsidRDefault="00A7265A" w:rsidP="001E26FD">
      <w:pPr>
        <w:pStyle w:val="Paragraphe"/>
        <w:rPr>
          <w:lang w:val="fr-CA"/>
        </w:rPr>
      </w:pPr>
      <w:r w:rsidRPr="00BD22C2">
        <w:rPr>
          <w:lang w:val="fr-CA"/>
        </w:rPr>
        <w:t>Se</w:t>
      </w:r>
      <w:r w:rsidR="0091704E" w:rsidRPr="00BD22C2">
        <w:rPr>
          <w:lang w:val="fr-CA"/>
        </w:rPr>
        <w:t>lon</w:t>
      </w:r>
      <w:r w:rsidR="004E5338" w:rsidRPr="00BD22C2">
        <w:rPr>
          <w:lang w:val="fr-CA"/>
        </w:rPr>
        <w:t xml:space="preserve"> </w:t>
      </w:r>
      <w:r w:rsidR="008A2F1A" w:rsidRPr="00BD22C2">
        <w:rPr>
          <w:lang w:val="fr-CA"/>
        </w:rPr>
        <w:t>un bilan récent du précédent plan d</w:t>
      </w:r>
      <w:r w:rsidR="005C1300" w:rsidRPr="00BD22C2">
        <w:rPr>
          <w:lang w:val="fr-CA"/>
        </w:rPr>
        <w:t>’</w:t>
      </w:r>
      <w:r w:rsidR="008A2F1A" w:rsidRPr="00BD22C2">
        <w:rPr>
          <w:lang w:val="fr-CA"/>
        </w:rPr>
        <w:t>action</w:t>
      </w:r>
      <w:r w:rsidR="00F15627" w:rsidRPr="00BD22C2">
        <w:rPr>
          <w:lang w:val="fr-CA"/>
        </w:rPr>
        <w:t>,</w:t>
      </w:r>
      <w:r w:rsidR="008A2F1A" w:rsidRPr="00BD22C2">
        <w:rPr>
          <w:lang w:val="fr-CA"/>
        </w:rPr>
        <w:t xml:space="preserve"> </w:t>
      </w:r>
      <w:r w:rsidR="00270923" w:rsidRPr="00BD22C2">
        <w:rPr>
          <w:lang w:val="fr-CA"/>
        </w:rPr>
        <w:t>c</w:t>
      </w:r>
      <w:r w:rsidR="008A2F1A" w:rsidRPr="00BD22C2">
        <w:rPr>
          <w:lang w:val="fr-CA"/>
        </w:rPr>
        <w:t xml:space="preserve">e </w:t>
      </w:r>
      <w:r w:rsidR="00A72CC9" w:rsidRPr="00BD22C2">
        <w:rPr>
          <w:lang w:val="fr-CA"/>
        </w:rPr>
        <w:t>R</w:t>
      </w:r>
      <w:r w:rsidR="008A2F1A" w:rsidRPr="00BD22C2">
        <w:rPr>
          <w:lang w:val="fr-CA"/>
        </w:rPr>
        <w:t>éférentiel</w:t>
      </w:r>
      <w:r w:rsidR="0028699F" w:rsidRPr="00BD22C2">
        <w:rPr>
          <w:lang w:val="fr-CA"/>
        </w:rPr>
        <w:t xml:space="preserve"> «</w:t>
      </w:r>
      <w:r w:rsidR="0051216B" w:rsidRPr="00BD22C2">
        <w:rPr>
          <w:lang w:val="fr-CA"/>
        </w:rPr>
        <w:t> </w:t>
      </w:r>
      <w:r w:rsidR="0028699F" w:rsidRPr="00BD22C2">
        <w:rPr>
          <w:lang w:val="fr-CA"/>
        </w:rPr>
        <w:t>contient des éléments liés à la lutte contre l’homophobie et la transphobie</w:t>
      </w:r>
      <w:r w:rsidR="0051216B" w:rsidRPr="00BD22C2">
        <w:rPr>
          <w:lang w:val="fr-CA"/>
        </w:rPr>
        <w:t> </w:t>
      </w:r>
      <w:r w:rsidR="0028699F" w:rsidRPr="00BD22C2">
        <w:rPr>
          <w:lang w:val="fr-CA"/>
        </w:rPr>
        <w:t>»</w:t>
      </w:r>
      <w:bookmarkStart w:id="200" w:name="_Ref166757317"/>
      <w:r w:rsidR="0028699F" w:rsidRPr="00BD22C2">
        <w:rPr>
          <w:rStyle w:val="Appeldenotedefin"/>
          <w:lang w:val="fr-CA"/>
        </w:rPr>
        <w:endnoteReference w:id="488"/>
      </w:r>
      <w:bookmarkEnd w:id="200"/>
      <w:r w:rsidR="00F567AB" w:rsidRPr="00BD22C2">
        <w:rPr>
          <w:lang w:val="fr-CA"/>
        </w:rPr>
        <w:t>.</w:t>
      </w:r>
      <w:r w:rsidR="00F15627" w:rsidRPr="00BD22C2">
        <w:rPr>
          <w:lang w:val="fr-CA"/>
        </w:rPr>
        <w:t xml:space="preserve"> </w:t>
      </w:r>
      <w:r w:rsidR="00D858E8" w:rsidRPr="00BD22C2">
        <w:rPr>
          <w:lang w:val="fr-CA"/>
        </w:rPr>
        <w:t xml:space="preserve">Si à la lecture attentive de son contenu, on </w:t>
      </w:r>
      <w:r w:rsidR="005E2D86" w:rsidRPr="00BD22C2">
        <w:rPr>
          <w:lang w:val="fr-CA"/>
        </w:rPr>
        <w:t>retrouve</w:t>
      </w:r>
      <w:r w:rsidR="00D858E8" w:rsidRPr="00BD22C2" w:rsidDel="005E2D86">
        <w:rPr>
          <w:lang w:val="fr-CA"/>
        </w:rPr>
        <w:t xml:space="preserve"> </w:t>
      </w:r>
      <w:r w:rsidR="00D86411" w:rsidRPr="00BD22C2">
        <w:rPr>
          <w:lang w:val="fr-CA"/>
        </w:rPr>
        <w:t xml:space="preserve">certains éléments </w:t>
      </w:r>
      <w:r w:rsidR="00561C3E" w:rsidRPr="00BD22C2">
        <w:rPr>
          <w:lang w:val="fr-CA"/>
        </w:rPr>
        <w:t>transversaux</w:t>
      </w:r>
      <w:r w:rsidR="00D53924" w:rsidRPr="00BD22C2">
        <w:rPr>
          <w:lang w:val="fr-CA"/>
        </w:rPr>
        <w:t xml:space="preserve"> à la lutte contre ces phénomènes, on peut s</w:t>
      </w:r>
      <w:r w:rsidR="00E278DD" w:rsidRPr="00BD22C2">
        <w:rPr>
          <w:lang w:val="fr-CA"/>
        </w:rPr>
        <w:t xml:space="preserve">e demander si le </w:t>
      </w:r>
      <w:r w:rsidR="00C20E09" w:rsidRPr="00BD22C2">
        <w:rPr>
          <w:lang w:val="fr-CA"/>
        </w:rPr>
        <w:t xml:space="preserve">contenu et le cadrage </w:t>
      </w:r>
      <w:r w:rsidR="008E5024" w:rsidRPr="00BD22C2">
        <w:rPr>
          <w:lang w:val="fr-CA"/>
        </w:rPr>
        <w:t>sont suffisant</w:t>
      </w:r>
      <w:r w:rsidR="002B37A3" w:rsidRPr="00BD22C2">
        <w:rPr>
          <w:lang w:val="fr-CA"/>
        </w:rPr>
        <w:t>s</w:t>
      </w:r>
      <w:r w:rsidR="008E5024" w:rsidRPr="00BD22C2">
        <w:rPr>
          <w:lang w:val="fr-CA"/>
        </w:rPr>
        <w:t xml:space="preserve"> à cet égard.</w:t>
      </w:r>
      <w:r w:rsidR="00EB0AA5" w:rsidRPr="00BD22C2">
        <w:rPr>
          <w:lang w:val="fr-CA"/>
        </w:rPr>
        <w:t xml:space="preserve"> </w:t>
      </w:r>
      <w:r w:rsidR="00C72C38" w:rsidRPr="00BD22C2">
        <w:rPr>
          <w:lang w:val="fr-CA"/>
        </w:rPr>
        <w:t>E</w:t>
      </w:r>
      <w:r w:rsidR="00EB0AA5" w:rsidRPr="00BD22C2">
        <w:rPr>
          <w:lang w:val="fr-CA"/>
        </w:rPr>
        <w:t>n effet, l</w:t>
      </w:r>
      <w:r w:rsidR="00EB63C1" w:rsidRPr="00BD22C2">
        <w:rPr>
          <w:lang w:val="fr-CA"/>
        </w:rPr>
        <w:t>e Référentiel ne souligne pas la situation de vulnérabilité particulière que vivent les enfants et jeunes trans et non</w:t>
      </w:r>
      <w:r w:rsidR="00670001" w:rsidRPr="00BD22C2">
        <w:rPr>
          <w:lang w:val="fr-CA"/>
        </w:rPr>
        <w:t xml:space="preserve"> </w:t>
      </w:r>
      <w:r w:rsidR="00EB63C1" w:rsidRPr="00BD22C2">
        <w:rPr>
          <w:lang w:val="fr-CA"/>
        </w:rPr>
        <w:t xml:space="preserve">binaires, </w:t>
      </w:r>
      <w:r w:rsidR="00FC17C5" w:rsidRPr="00BD22C2">
        <w:rPr>
          <w:lang w:val="fr-CA"/>
        </w:rPr>
        <w:t xml:space="preserve">entre autres </w:t>
      </w:r>
      <w:r w:rsidR="00EB63C1" w:rsidRPr="00BD22C2">
        <w:rPr>
          <w:lang w:val="fr-CA"/>
        </w:rPr>
        <w:t>à l’école, et les conséquences possibles</w:t>
      </w:r>
      <w:r w:rsidR="00970839" w:rsidRPr="00BD22C2">
        <w:rPr>
          <w:lang w:val="fr-CA"/>
        </w:rPr>
        <w:t xml:space="preserve"> que cette situation peut entraîner</w:t>
      </w:r>
      <w:r w:rsidR="00391090" w:rsidRPr="00BD22C2">
        <w:rPr>
          <w:lang w:val="fr-CA"/>
        </w:rPr>
        <w:t>, tant</w:t>
      </w:r>
      <w:r w:rsidR="00EB63C1" w:rsidRPr="00BD22C2">
        <w:rPr>
          <w:lang w:val="fr-CA"/>
        </w:rPr>
        <w:t xml:space="preserve"> </w:t>
      </w:r>
      <w:proofErr w:type="gramStart"/>
      <w:r w:rsidR="00EB63C1" w:rsidRPr="00BD22C2">
        <w:rPr>
          <w:lang w:val="fr-CA"/>
        </w:rPr>
        <w:t>au</w:t>
      </w:r>
      <w:proofErr w:type="gramEnd"/>
      <w:r w:rsidR="00EB63C1" w:rsidRPr="00BD22C2">
        <w:rPr>
          <w:lang w:val="fr-CA"/>
        </w:rPr>
        <w:t xml:space="preserve"> plan personnel </w:t>
      </w:r>
      <w:r w:rsidR="00391090" w:rsidRPr="00BD22C2">
        <w:rPr>
          <w:lang w:val="fr-CA"/>
        </w:rPr>
        <w:t>qu’au plan de</w:t>
      </w:r>
      <w:r w:rsidR="00EB63C1" w:rsidRPr="00BD22C2">
        <w:rPr>
          <w:lang w:val="fr-CA"/>
        </w:rPr>
        <w:t xml:space="preserve"> leur réussite scolaire. Il ne nomme pas davantage de façon explicite les personnes trans ou non</w:t>
      </w:r>
      <w:r w:rsidR="00670001" w:rsidRPr="00BD22C2">
        <w:rPr>
          <w:lang w:val="fr-CA"/>
        </w:rPr>
        <w:t xml:space="preserve"> </w:t>
      </w:r>
      <w:r w:rsidR="00EB63C1" w:rsidRPr="00BD22C2">
        <w:rPr>
          <w:lang w:val="fr-CA"/>
        </w:rPr>
        <w:t>binaires</w:t>
      </w:r>
      <w:r w:rsidR="009C2535" w:rsidRPr="00BD22C2">
        <w:rPr>
          <w:lang w:val="fr-CA"/>
        </w:rPr>
        <w:t xml:space="preserve"> et leurs besoins particuliers en termes d’adaptation. </w:t>
      </w:r>
      <w:r w:rsidR="00EB63C1" w:rsidRPr="00BD22C2">
        <w:rPr>
          <w:lang w:val="fr-CA"/>
        </w:rPr>
        <w:t xml:space="preserve"> </w:t>
      </w:r>
    </w:p>
    <w:p w14:paraId="431B0D48" w14:textId="7A62145F" w:rsidR="00921E6B" w:rsidRPr="00BD22C2" w:rsidRDefault="00D80869" w:rsidP="001E26FD">
      <w:pPr>
        <w:pStyle w:val="Paragraphe"/>
        <w:rPr>
          <w:lang w:val="fr-CA"/>
        </w:rPr>
      </w:pPr>
      <w:r w:rsidRPr="00BD22C2">
        <w:rPr>
          <w:lang w:val="fr-CA"/>
        </w:rPr>
        <w:t>E</w:t>
      </w:r>
      <w:r w:rsidR="00451A77" w:rsidRPr="00BD22C2">
        <w:rPr>
          <w:lang w:val="fr-CA"/>
        </w:rPr>
        <w:t>n ce sens, e</w:t>
      </w:r>
      <w:r w:rsidRPr="00BD22C2">
        <w:rPr>
          <w:lang w:val="fr-CA"/>
        </w:rPr>
        <w:t xml:space="preserve">st-ce que </w:t>
      </w:r>
      <w:r w:rsidR="00344D46" w:rsidRPr="00BD22C2">
        <w:rPr>
          <w:lang w:val="fr-CA"/>
        </w:rPr>
        <w:t>suivant ce cadre</w:t>
      </w:r>
      <w:r w:rsidRPr="00BD22C2">
        <w:rPr>
          <w:lang w:val="fr-CA"/>
        </w:rPr>
        <w:t xml:space="preserve"> </w:t>
      </w:r>
      <w:r w:rsidR="006F0D7B" w:rsidRPr="00BD22C2">
        <w:rPr>
          <w:lang w:val="fr-CA"/>
        </w:rPr>
        <w:t xml:space="preserve">les futurs maîtres et les enseignants en poste </w:t>
      </w:r>
      <w:r w:rsidR="00344D46" w:rsidRPr="00BD22C2">
        <w:rPr>
          <w:lang w:val="fr-CA"/>
        </w:rPr>
        <w:t xml:space="preserve">seront réellement habiletés </w:t>
      </w:r>
      <w:r w:rsidR="00C13F22" w:rsidRPr="00BD22C2">
        <w:rPr>
          <w:lang w:val="fr-CA"/>
        </w:rPr>
        <w:t xml:space="preserve">à </w:t>
      </w:r>
      <w:r w:rsidR="005C085C" w:rsidRPr="00BD22C2">
        <w:rPr>
          <w:lang w:val="fr-CA"/>
        </w:rPr>
        <w:t xml:space="preserve">bien saisir les </w:t>
      </w:r>
      <w:r w:rsidR="00FB450F" w:rsidRPr="00BD22C2">
        <w:rPr>
          <w:lang w:val="fr-CA"/>
        </w:rPr>
        <w:t xml:space="preserve">particularités </w:t>
      </w:r>
      <w:r w:rsidR="00704C10" w:rsidRPr="00BD22C2">
        <w:rPr>
          <w:lang w:val="fr-CA"/>
        </w:rPr>
        <w:t>de ce groupe et les obstacles auxquels ils font face, notamment à l’école</w:t>
      </w:r>
      <w:r w:rsidR="0051216B" w:rsidRPr="00BD22C2">
        <w:rPr>
          <w:lang w:val="fr-CA"/>
        </w:rPr>
        <w:t> </w:t>
      </w:r>
      <w:r w:rsidR="00704C10" w:rsidRPr="00BD22C2">
        <w:rPr>
          <w:lang w:val="fr-CA"/>
        </w:rPr>
        <w:t>?</w:t>
      </w:r>
      <w:r w:rsidR="000A6757" w:rsidRPr="00BD22C2">
        <w:rPr>
          <w:lang w:val="fr-CA"/>
        </w:rPr>
        <w:t xml:space="preserve"> </w:t>
      </w:r>
      <w:r w:rsidR="007C0D62" w:rsidRPr="00BD22C2">
        <w:rPr>
          <w:lang w:val="fr-CA"/>
        </w:rPr>
        <w:t>On peut également se demander si le</w:t>
      </w:r>
      <w:r w:rsidR="00180268" w:rsidRPr="00BD22C2">
        <w:rPr>
          <w:lang w:val="fr-CA"/>
        </w:rPr>
        <w:t xml:space="preserve"> personnel scolaire sera bien en mesure par ailleurs d</w:t>
      </w:r>
      <w:r w:rsidR="00996F40" w:rsidRPr="00BD22C2">
        <w:rPr>
          <w:lang w:val="fr-CA"/>
        </w:rPr>
        <w:t>’aborder en classe les questions relatives à l’identité et à l’expression de genre, ainsi qu’à l’homophobie et à la transphobie</w:t>
      </w:r>
      <w:r w:rsidR="00BD7CA1" w:rsidRPr="00BD22C2">
        <w:rPr>
          <w:lang w:val="fr-CA"/>
        </w:rPr>
        <w:t>.</w:t>
      </w:r>
    </w:p>
    <w:p w14:paraId="7FD94D55" w14:textId="0F9990AA" w:rsidR="00921E6B" w:rsidRPr="00BD22C2" w:rsidRDefault="00921E6B" w:rsidP="00921E6B">
      <w:pPr>
        <w:pStyle w:val="TitreRecommandation"/>
      </w:pPr>
      <w:r w:rsidRPr="00BD22C2">
        <w:t>Recommandation 1</w:t>
      </w:r>
      <w:r w:rsidR="0014682B" w:rsidRPr="00BD22C2">
        <w:t>5</w:t>
      </w:r>
      <w:r w:rsidRPr="00BD22C2">
        <w:t> </w:t>
      </w:r>
    </w:p>
    <w:p w14:paraId="4E78AF56" w14:textId="206D91AD" w:rsidR="00921E6B" w:rsidRPr="00BD22C2" w:rsidRDefault="00921E6B" w:rsidP="00921E6B">
      <w:pPr>
        <w:pStyle w:val="Texterecommandation"/>
        <w:ind w:left="706" w:firstLine="3"/>
      </w:pPr>
      <w:r w:rsidRPr="00BD22C2">
        <w:t>La Commission recommande au Comité de sages sur l’identité de genre de demander au</w:t>
      </w:r>
      <w:r w:rsidR="00F60C7A" w:rsidRPr="00BD22C2">
        <w:t>x</w:t>
      </w:r>
      <w:r w:rsidRPr="00BD22C2">
        <w:t xml:space="preserve"> ministère</w:t>
      </w:r>
      <w:r w:rsidR="00F60C7A" w:rsidRPr="00BD22C2">
        <w:t>s</w:t>
      </w:r>
      <w:r w:rsidRPr="00BD22C2">
        <w:t xml:space="preserve"> de l’Éducation et de l’Enseignement supérieur, en collaboration avec les facultés universitaires et les cégeps concernés, de s’assurer que les programmes de formation initiale des futurs maîtres et des </w:t>
      </w:r>
      <w:r w:rsidR="00FD037A" w:rsidRPr="00BD22C2">
        <w:t>personnes</w:t>
      </w:r>
      <w:r w:rsidRPr="00BD22C2">
        <w:t xml:space="preserve"> qui travailleront au service de l’enfant ou à leur contact comportent un volet </w:t>
      </w:r>
      <w:r w:rsidR="00A37096" w:rsidRPr="00BD22C2">
        <w:t xml:space="preserve">d’éducation aux droits </w:t>
      </w:r>
      <w:r w:rsidR="000D3888" w:rsidRPr="00BD22C2">
        <w:t xml:space="preserve">et libertés </w:t>
      </w:r>
      <w:r w:rsidRPr="00BD22C2">
        <w:t xml:space="preserve">portant </w:t>
      </w:r>
      <w:r w:rsidR="00FA0CDF" w:rsidRPr="00BD22C2">
        <w:t xml:space="preserve">entre autres </w:t>
      </w:r>
      <w:r w:rsidRPr="00BD22C2">
        <w:t xml:space="preserve">sur les réalités des </w:t>
      </w:r>
      <w:r w:rsidR="00993313" w:rsidRPr="00BD22C2">
        <w:t>élèves</w:t>
      </w:r>
      <w:r w:rsidRPr="00BD22C2">
        <w:t xml:space="preserve"> trans et non binaires, </w:t>
      </w:r>
      <w:r w:rsidR="009C2535" w:rsidRPr="00BD22C2">
        <w:t xml:space="preserve">dont les enjeux particuliers </w:t>
      </w:r>
      <w:r w:rsidR="00993313" w:rsidRPr="00BD22C2">
        <w:t>que ceux-ci</w:t>
      </w:r>
      <w:r w:rsidR="00081485" w:rsidRPr="00BD22C2">
        <w:t xml:space="preserve"> peuvent</w:t>
      </w:r>
      <w:r w:rsidR="0003671B" w:rsidRPr="00BD22C2">
        <w:t xml:space="preserve"> vivre à l’école</w:t>
      </w:r>
      <w:r w:rsidRPr="00BD22C2">
        <w:t xml:space="preserve">. Cette formation </w:t>
      </w:r>
      <w:r w:rsidR="00957876" w:rsidRPr="00BD22C2">
        <w:t xml:space="preserve">initiale </w:t>
      </w:r>
      <w:r w:rsidRPr="00BD22C2">
        <w:t xml:space="preserve">devrait : </w:t>
      </w:r>
    </w:p>
    <w:p w14:paraId="4F614171" w14:textId="47E40DE1" w:rsidR="001D3312" w:rsidRPr="00BD22C2" w:rsidRDefault="001D3312" w:rsidP="00921E6B">
      <w:pPr>
        <w:pStyle w:val="Texterecommandation"/>
        <w:numPr>
          <w:ilvl w:val="0"/>
          <w:numId w:val="14"/>
        </w:numPr>
      </w:pPr>
      <w:r w:rsidRPr="00BD22C2">
        <w:t>présenter le cadre</w:t>
      </w:r>
      <w:r w:rsidR="00D60C8E" w:rsidRPr="00BD22C2">
        <w:t xml:space="preserve"> de la </w:t>
      </w:r>
      <w:r w:rsidR="00D60C8E" w:rsidRPr="00BD22C2">
        <w:rPr>
          <w:i/>
        </w:rPr>
        <w:t>Charte des droits et libert</w:t>
      </w:r>
      <w:r w:rsidR="00D60C8E" w:rsidRPr="00BD22C2">
        <w:rPr>
          <w:rFonts w:hint="eastAsia"/>
          <w:i/>
        </w:rPr>
        <w:t>é</w:t>
      </w:r>
      <w:r w:rsidR="00D60C8E" w:rsidRPr="00BD22C2">
        <w:rPr>
          <w:i/>
        </w:rPr>
        <w:t xml:space="preserve">s de la </w:t>
      </w:r>
      <w:r w:rsidR="00D60C8E" w:rsidRPr="00BD22C2">
        <w:rPr>
          <w:i/>
          <w:iCs/>
        </w:rPr>
        <w:t>personne</w:t>
      </w:r>
      <w:r w:rsidR="00E30B76">
        <w:rPr>
          <w:i/>
          <w:iCs/>
        </w:rPr>
        <w:t> </w:t>
      </w:r>
      <w:r w:rsidR="00D60C8E" w:rsidRPr="00BD22C2">
        <w:rPr>
          <w:i/>
          <w:iCs/>
        </w:rPr>
        <w:t>;</w:t>
      </w:r>
    </w:p>
    <w:p w14:paraId="06EB6105" w14:textId="565B694E" w:rsidR="00921E6B" w:rsidRPr="00BD22C2" w:rsidRDefault="00921E6B" w:rsidP="00921E6B">
      <w:pPr>
        <w:pStyle w:val="Texterecommandation"/>
        <w:numPr>
          <w:ilvl w:val="0"/>
          <w:numId w:val="14"/>
        </w:numPr>
      </w:pPr>
      <w:r w:rsidRPr="00BD22C2">
        <w:t>aborder la discrimination</w:t>
      </w:r>
      <w:r w:rsidR="00677705" w:rsidRPr="00BD22C2">
        <w:t>, incluant</w:t>
      </w:r>
      <w:r w:rsidRPr="00BD22C2">
        <w:t xml:space="preserve"> la transphobie</w:t>
      </w:r>
      <w:r w:rsidR="00677705" w:rsidRPr="00BD22C2">
        <w:t>,</w:t>
      </w:r>
      <w:r w:rsidRPr="00BD22C2">
        <w:t xml:space="preserve"> dans </w:t>
      </w:r>
      <w:r w:rsidR="004E525F" w:rsidRPr="00BD22C2">
        <w:t>son</w:t>
      </w:r>
      <w:r w:rsidRPr="00BD22C2">
        <w:t xml:space="preserve"> contexte sociohistorique et sous </w:t>
      </w:r>
      <w:r w:rsidR="004E525F" w:rsidRPr="00BD22C2">
        <w:t xml:space="preserve">son </w:t>
      </w:r>
      <w:r w:rsidRPr="00BD22C2">
        <w:t xml:space="preserve">aspect systémique et intersectionnel ; </w:t>
      </w:r>
    </w:p>
    <w:p w14:paraId="4D6A68BA" w14:textId="31168962" w:rsidR="00921E6B" w:rsidRPr="00BD22C2" w:rsidRDefault="00921E6B" w:rsidP="00371905">
      <w:pPr>
        <w:pStyle w:val="Texterecommandation"/>
        <w:numPr>
          <w:ilvl w:val="0"/>
          <w:numId w:val="14"/>
        </w:numPr>
      </w:pPr>
      <w:r w:rsidRPr="00BD22C2">
        <w:t>et être revue régulièrement afin que ses contenus tiennent compte du contexte et de l’évolution de la discrimination</w:t>
      </w:r>
      <w:r w:rsidR="00382B67" w:rsidRPr="00BD22C2">
        <w:t>, incluant</w:t>
      </w:r>
      <w:r w:rsidRPr="00BD22C2">
        <w:t xml:space="preserve"> de la transphobie. </w:t>
      </w:r>
    </w:p>
    <w:p w14:paraId="0AF11CE9" w14:textId="4B0777C1" w:rsidR="002241DE" w:rsidRPr="00BD22C2" w:rsidRDefault="002241DE" w:rsidP="00AB0423">
      <w:pPr>
        <w:pStyle w:val="TitreRecommandation"/>
        <w:keepNext/>
        <w:keepLines/>
      </w:pPr>
      <w:r w:rsidRPr="00BD22C2">
        <w:lastRenderedPageBreak/>
        <w:t>Recommandation 1</w:t>
      </w:r>
      <w:r w:rsidR="0014682B" w:rsidRPr="00BD22C2">
        <w:t>6</w:t>
      </w:r>
    </w:p>
    <w:p w14:paraId="4E936B47" w14:textId="03FA1040" w:rsidR="002241DE" w:rsidRPr="00BD22C2" w:rsidRDefault="002241DE" w:rsidP="00AB0423">
      <w:pPr>
        <w:pStyle w:val="Texterecommandation"/>
        <w:keepNext/>
        <w:keepLines/>
        <w:ind w:left="706" w:firstLine="3"/>
        <w:rPr>
          <w:highlight w:val="lightGray"/>
        </w:rPr>
      </w:pPr>
      <w:r w:rsidRPr="00BD22C2">
        <w:t>La Commission recommande au Comité de sages sur l’identité de genre de demander au</w:t>
      </w:r>
      <w:r w:rsidR="00185734" w:rsidRPr="00BD22C2">
        <w:t>x</w:t>
      </w:r>
      <w:r w:rsidRPr="00BD22C2">
        <w:t xml:space="preserve"> ministère</w:t>
      </w:r>
      <w:r w:rsidR="00185734" w:rsidRPr="00BD22C2">
        <w:t>s</w:t>
      </w:r>
      <w:r w:rsidRPr="00BD22C2">
        <w:t xml:space="preserve"> de l’Éducation et de l’Enseignement supérieur qu’il</w:t>
      </w:r>
      <w:r w:rsidR="00E51044" w:rsidRPr="00BD22C2">
        <w:t>s</w:t>
      </w:r>
      <w:r w:rsidRPr="00BD22C2">
        <w:t xml:space="preserve"> </w:t>
      </w:r>
      <w:r w:rsidR="007A6E2F" w:rsidRPr="00BD22C2">
        <w:t>s’assure</w:t>
      </w:r>
      <w:r w:rsidR="00E51044" w:rsidRPr="00BD22C2">
        <w:t>nt</w:t>
      </w:r>
      <w:r w:rsidR="007A6E2F" w:rsidRPr="00BD22C2">
        <w:t xml:space="preserve"> que</w:t>
      </w:r>
      <w:r w:rsidR="00043379" w:rsidRPr="00BD22C2">
        <w:t xml:space="preserve"> </w:t>
      </w:r>
      <w:r w:rsidR="007A6E2F" w:rsidRPr="00BD22C2">
        <w:t>le</w:t>
      </w:r>
      <w:r w:rsidR="00043379" w:rsidRPr="00BD22C2">
        <w:t xml:space="preserve"> </w:t>
      </w:r>
      <w:r w:rsidR="00675827" w:rsidRPr="00BD22C2">
        <w:rPr>
          <w:i/>
          <w:iCs/>
        </w:rPr>
        <w:t>Référentiel de compétences professionnel</w:t>
      </w:r>
      <w:r w:rsidR="002724E1" w:rsidRPr="00BD22C2">
        <w:rPr>
          <w:i/>
          <w:iCs/>
        </w:rPr>
        <w:t>le</w:t>
      </w:r>
      <w:r w:rsidR="00675827" w:rsidRPr="00BD22C2">
        <w:rPr>
          <w:i/>
          <w:iCs/>
        </w:rPr>
        <w:t xml:space="preserve">s de la profession enseignante </w:t>
      </w:r>
      <w:r w:rsidR="00675827" w:rsidRPr="00BD22C2">
        <w:t>reflète</w:t>
      </w:r>
      <w:r w:rsidR="007A6E2F" w:rsidRPr="00BD22C2">
        <w:t xml:space="preserve"> </w:t>
      </w:r>
      <w:r w:rsidR="0017388A" w:rsidRPr="00BD22C2">
        <w:t>l</w:t>
      </w:r>
      <w:r w:rsidR="007A6E2F" w:rsidRPr="00BD22C2">
        <w:t>es</w:t>
      </w:r>
      <w:r w:rsidR="0017388A" w:rsidRPr="00BD22C2">
        <w:t xml:space="preserve"> réalité</w:t>
      </w:r>
      <w:r w:rsidR="007A6E2F" w:rsidRPr="00BD22C2">
        <w:t>s</w:t>
      </w:r>
      <w:r w:rsidR="0017388A" w:rsidRPr="00BD22C2">
        <w:t xml:space="preserve"> d</w:t>
      </w:r>
      <w:r w:rsidR="00BD421D" w:rsidRPr="00BD22C2">
        <w:t>es enfants et jeunes trans et non</w:t>
      </w:r>
      <w:r w:rsidR="005E564E" w:rsidRPr="00BD22C2">
        <w:t xml:space="preserve"> </w:t>
      </w:r>
      <w:r w:rsidR="00BD421D" w:rsidRPr="00BD22C2">
        <w:t>binaire</w:t>
      </w:r>
      <w:r w:rsidR="0017388A" w:rsidRPr="00BD22C2">
        <w:t>s, ainsi que</w:t>
      </w:r>
      <w:r w:rsidR="00E978F6" w:rsidRPr="00BD22C2">
        <w:t xml:space="preserve"> les obstacles particuliers </w:t>
      </w:r>
      <w:r w:rsidR="00597800" w:rsidRPr="00BD22C2">
        <w:t>que ces personnes</w:t>
      </w:r>
      <w:r w:rsidR="00E978F6" w:rsidRPr="00BD22C2">
        <w:t xml:space="preserve"> peuvent rencontrer à l’école et qui sont de nature </w:t>
      </w:r>
      <w:r w:rsidR="007A6E2F" w:rsidRPr="00BD22C2">
        <w:t>à nuire à leur parcours scolaire</w:t>
      </w:r>
      <w:r w:rsidR="00E66162" w:rsidRPr="00BD22C2">
        <w:t xml:space="preserve"> ou à leur participation à des activités parascolaires</w:t>
      </w:r>
      <w:r w:rsidR="007A6E2F" w:rsidRPr="00BD22C2">
        <w:t xml:space="preserve">. </w:t>
      </w:r>
    </w:p>
    <w:p w14:paraId="0A8574A2" w14:textId="491AB38F" w:rsidR="00AC3459" w:rsidRPr="00BD22C2" w:rsidRDefault="00BB29A7" w:rsidP="001E26FD">
      <w:pPr>
        <w:pStyle w:val="Titre4"/>
      </w:pPr>
      <w:bookmarkStart w:id="201" w:name="_Toc165636136"/>
      <w:r w:rsidRPr="00BD22C2">
        <w:t>L</w:t>
      </w:r>
      <w:r w:rsidR="00AC3459" w:rsidRPr="00BD22C2">
        <w:t>’</w:t>
      </w:r>
      <w:r w:rsidRPr="00BD22C2">
        <w:t xml:space="preserve">importance de la formation continue et des encadrements normatifs pour </w:t>
      </w:r>
      <w:r w:rsidR="00AC3459" w:rsidRPr="00BD22C2">
        <w:t xml:space="preserve">adapter les pratiques </w:t>
      </w:r>
      <w:r w:rsidRPr="00BD22C2">
        <w:t xml:space="preserve">de l’école et garantir les droits et l’inclusion des élèves trans et </w:t>
      </w:r>
      <w:r w:rsidR="00972E11" w:rsidRPr="00BD22C2">
        <w:t>non</w:t>
      </w:r>
      <w:r w:rsidR="00597800" w:rsidRPr="00BD22C2">
        <w:t xml:space="preserve"> </w:t>
      </w:r>
      <w:r w:rsidRPr="00BD22C2">
        <w:t>binaires</w:t>
      </w:r>
      <w:bookmarkEnd w:id="201"/>
    </w:p>
    <w:p w14:paraId="7528CBA9" w14:textId="22F6CCEC" w:rsidR="006D03EA" w:rsidRPr="00BD22C2" w:rsidRDefault="00096EF8" w:rsidP="001E26FD">
      <w:pPr>
        <w:pStyle w:val="Paragraphe"/>
        <w:rPr>
          <w:rFonts w:eastAsia="Calibri"/>
          <w:lang w:val="fr-CA"/>
        </w:rPr>
      </w:pPr>
      <w:r w:rsidRPr="00BD22C2">
        <w:rPr>
          <w:lang w:val="fr-CA"/>
        </w:rPr>
        <w:t>L</w:t>
      </w:r>
      <w:r w:rsidR="008324EA" w:rsidRPr="00BD22C2">
        <w:rPr>
          <w:lang w:val="fr-CA"/>
        </w:rPr>
        <w:t xml:space="preserve">’intégration de l’éducation aux droits par le personnel enseignant </w:t>
      </w:r>
      <w:r w:rsidR="00252AAB" w:rsidRPr="00BD22C2">
        <w:rPr>
          <w:lang w:val="fr-CA"/>
        </w:rPr>
        <w:t xml:space="preserve">est </w:t>
      </w:r>
      <w:r w:rsidR="00A756BD" w:rsidRPr="00BD22C2">
        <w:rPr>
          <w:lang w:val="fr-CA"/>
        </w:rPr>
        <w:t xml:space="preserve">également tributaire de </w:t>
      </w:r>
      <w:r w:rsidR="002B2587" w:rsidRPr="00BD22C2">
        <w:rPr>
          <w:lang w:val="fr-CA"/>
        </w:rPr>
        <w:t xml:space="preserve">la </w:t>
      </w:r>
      <w:r w:rsidR="00027206" w:rsidRPr="00BD22C2">
        <w:rPr>
          <w:lang w:val="fr-CA"/>
        </w:rPr>
        <w:t xml:space="preserve">qualité de la </w:t>
      </w:r>
      <w:r w:rsidR="002B2587" w:rsidRPr="00BD22C2">
        <w:rPr>
          <w:lang w:val="fr-CA"/>
        </w:rPr>
        <w:t xml:space="preserve">formation continue </w:t>
      </w:r>
      <w:r w:rsidR="00027206" w:rsidRPr="00BD22C2">
        <w:rPr>
          <w:lang w:val="fr-CA"/>
        </w:rPr>
        <w:t xml:space="preserve">offerte </w:t>
      </w:r>
      <w:r w:rsidR="002B2587" w:rsidRPr="00BD22C2">
        <w:rPr>
          <w:lang w:val="fr-CA"/>
        </w:rPr>
        <w:t xml:space="preserve">en cours d’emploi. </w:t>
      </w:r>
      <w:r w:rsidR="00BE17BD" w:rsidRPr="00BD22C2">
        <w:rPr>
          <w:lang w:val="fr-CA"/>
        </w:rPr>
        <w:t>Cette observation vaut aussi pour l’ensemble du personnel scolaire</w:t>
      </w:r>
      <w:r w:rsidR="00862870" w:rsidRPr="00BD22C2">
        <w:rPr>
          <w:lang w:val="fr-CA"/>
        </w:rPr>
        <w:t>.</w:t>
      </w:r>
      <w:r w:rsidR="00906E7E" w:rsidRPr="00BD22C2">
        <w:rPr>
          <w:lang w:val="fr-CA"/>
        </w:rPr>
        <w:t xml:space="preserve"> </w:t>
      </w:r>
      <w:r w:rsidR="008F4F1C" w:rsidRPr="00BD22C2">
        <w:rPr>
          <w:lang w:val="fr-CA"/>
        </w:rPr>
        <w:t xml:space="preserve">Soulignons que ces formations continues doivent nécessairement </w:t>
      </w:r>
      <w:r w:rsidR="00862870" w:rsidRPr="00BD22C2">
        <w:rPr>
          <w:lang w:val="fr-CA"/>
        </w:rPr>
        <w:t>avoir</w:t>
      </w:r>
      <w:r w:rsidR="00EC63C9" w:rsidRPr="00BD22C2">
        <w:rPr>
          <w:rFonts w:eastAsia="Calibri"/>
          <w:lang w:val="fr-CA" w:eastAsia="en-US"/>
        </w:rPr>
        <w:t xml:space="preserve"> </w:t>
      </w:r>
      <w:r w:rsidR="00A5488B" w:rsidRPr="00BD22C2">
        <w:rPr>
          <w:rFonts w:eastAsia="Calibri"/>
          <w:lang w:val="fr-CA" w:eastAsia="en-US"/>
        </w:rPr>
        <w:t xml:space="preserve">un </w:t>
      </w:r>
      <w:r w:rsidR="00EC63C9" w:rsidRPr="00BD22C2">
        <w:rPr>
          <w:rFonts w:eastAsia="Calibri"/>
          <w:lang w:val="fr-CA" w:eastAsia="en-US"/>
        </w:rPr>
        <w:t xml:space="preserve">caractère factuel </w:t>
      </w:r>
      <w:r w:rsidR="00862870" w:rsidRPr="00BD22C2">
        <w:rPr>
          <w:rFonts w:eastAsia="Calibri"/>
          <w:lang w:val="fr-CA" w:eastAsia="en-US"/>
        </w:rPr>
        <w:t>et être</w:t>
      </w:r>
      <w:r w:rsidR="00EC63C9" w:rsidRPr="00BD22C2">
        <w:rPr>
          <w:rFonts w:eastAsia="Calibri"/>
          <w:lang w:val="fr-CA" w:eastAsia="en-US"/>
        </w:rPr>
        <w:t xml:space="preserve"> élaborées de concert avec des personnes appartenant </w:t>
      </w:r>
      <w:r w:rsidR="00CF0138" w:rsidRPr="00BD22C2">
        <w:rPr>
          <w:rFonts w:eastAsia="Calibri"/>
          <w:lang w:val="fr-CA" w:eastAsia="en-US"/>
        </w:rPr>
        <w:t>aux</w:t>
      </w:r>
      <w:r w:rsidR="00EC63C9" w:rsidRPr="00BD22C2">
        <w:rPr>
          <w:rFonts w:eastAsia="Calibri"/>
          <w:lang w:val="fr-CA" w:eastAsia="en-US"/>
        </w:rPr>
        <w:t xml:space="preserve"> groupes</w:t>
      </w:r>
      <w:r w:rsidR="00CF0138" w:rsidRPr="00BD22C2">
        <w:rPr>
          <w:rFonts w:eastAsia="Calibri"/>
          <w:lang w:val="fr-CA" w:eastAsia="en-US"/>
        </w:rPr>
        <w:t xml:space="preserve"> visés</w:t>
      </w:r>
      <w:r w:rsidR="00EC63C9" w:rsidRPr="00BD22C2">
        <w:rPr>
          <w:rFonts w:eastAsia="Calibri"/>
          <w:lang w:val="fr-CA" w:eastAsia="en-US"/>
        </w:rPr>
        <w:t>, les organismes ayant développé une expertise</w:t>
      </w:r>
      <w:r w:rsidR="00A97694" w:rsidRPr="00BD22C2">
        <w:rPr>
          <w:rFonts w:eastAsia="Calibri"/>
          <w:lang w:val="fr-CA" w:eastAsia="en-US"/>
        </w:rPr>
        <w:t xml:space="preserve"> </w:t>
      </w:r>
      <w:r w:rsidR="00EC63C9" w:rsidRPr="00BD22C2">
        <w:rPr>
          <w:rFonts w:eastAsia="Calibri"/>
          <w:lang w:val="fr-CA" w:eastAsia="en-US"/>
        </w:rPr>
        <w:t xml:space="preserve">sur ces sujets ainsi qu’avec les spécialistes de ces questions. Ces formations en cours d’emploi devraient </w:t>
      </w:r>
      <w:r w:rsidR="00F15CB2" w:rsidRPr="00BD22C2">
        <w:rPr>
          <w:rFonts w:eastAsia="Calibri"/>
          <w:lang w:val="fr-CA" w:eastAsia="en-US"/>
        </w:rPr>
        <w:t xml:space="preserve">de plus </w:t>
      </w:r>
      <w:r w:rsidR="00EC63C9" w:rsidRPr="00BD22C2">
        <w:rPr>
          <w:rFonts w:eastAsia="Calibri"/>
          <w:lang w:val="fr-CA" w:eastAsia="en-US"/>
        </w:rPr>
        <w:t xml:space="preserve">comprendre un volet plus global portant sur l’éducation aux droits et libertés et les recours existants. </w:t>
      </w:r>
      <w:r w:rsidR="00887D3E" w:rsidRPr="00BD22C2">
        <w:rPr>
          <w:lang w:val="fr-CA"/>
        </w:rPr>
        <w:t xml:space="preserve">Des politiques et des guides doivent </w:t>
      </w:r>
      <w:r w:rsidR="00E70124" w:rsidRPr="00BD22C2">
        <w:rPr>
          <w:lang w:val="fr-CA"/>
        </w:rPr>
        <w:t>aussi</w:t>
      </w:r>
      <w:r w:rsidR="00887D3E" w:rsidRPr="00BD22C2">
        <w:rPr>
          <w:lang w:val="fr-CA"/>
        </w:rPr>
        <w:t xml:space="preserve"> orienter l’ensemble des acteurs de l’école </w:t>
      </w:r>
      <w:r w:rsidR="000C6289" w:rsidRPr="00BD22C2">
        <w:rPr>
          <w:lang w:val="fr-CA"/>
        </w:rPr>
        <w:t>en faveur d’</w:t>
      </w:r>
      <w:r w:rsidR="00887D3E" w:rsidRPr="00BD22C2">
        <w:rPr>
          <w:lang w:val="fr-CA"/>
        </w:rPr>
        <w:t>une prise en compte de l’identité et de l’expression de genre des élèves et dans une</w:t>
      </w:r>
      <w:r w:rsidR="00200C38" w:rsidRPr="00BD22C2">
        <w:rPr>
          <w:lang w:val="fr-CA"/>
        </w:rPr>
        <w:t xml:space="preserve"> perspective de lutte à la discrimination</w:t>
      </w:r>
      <w:r w:rsidR="00AD7072" w:rsidRPr="00BD22C2">
        <w:rPr>
          <w:lang w:val="fr-CA"/>
        </w:rPr>
        <w:t xml:space="preserve">, à l’homophobie et la transphobie. </w:t>
      </w:r>
    </w:p>
    <w:p w14:paraId="424E4CEF" w14:textId="71202F28" w:rsidR="003226C8" w:rsidRPr="00BD22C2" w:rsidRDefault="00D72ED0" w:rsidP="003226C8">
      <w:pPr>
        <w:pStyle w:val="Paragraphe"/>
        <w:rPr>
          <w:rFonts w:eastAsia="Calibri"/>
          <w:lang w:val="fr-CA" w:eastAsia="en-US"/>
        </w:rPr>
      </w:pPr>
      <w:r w:rsidRPr="00BD22C2">
        <w:rPr>
          <w:lang w:val="fr-CA"/>
        </w:rPr>
        <w:t>L</w:t>
      </w:r>
      <w:r w:rsidR="003226C8" w:rsidRPr="00BD22C2">
        <w:rPr>
          <w:lang w:val="fr-CA"/>
        </w:rPr>
        <w:t xml:space="preserve">e plus récent Plan d’action gouvernemental </w:t>
      </w:r>
      <w:r w:rsidR="005415BD" w:rsidRPr="00BD22C2">
        <w:rPr>
          <w:lang w:val="fr-CA"/>
        </w:rPr>
        <w:t xml:space="preserve">de lutte </w:t>
      </w:r>
      <w:r w:rsidR="003226C8" w:rsidRPr="00BD22C2">
        <w:rPr>
          <w:lang w:val="fr-CA"/>
        </w:rPr>
        <w:t>contre l’homophobie et la transphobie s’engage à former notamment le personnel scolaire afin de «</w:t>
      </w:r>
      <w:r w:rsidR="0051216B" w:rsidRPr="00BD22C2">
        <w:rPr>
          <w:lang w:val="fr-CA"/>
        </w:rPr>
        <w:t> </w:t>
      </w:r>
      <w:r w:rsidR="003226C8" w:rsidRPr="00BD22C2">
        <w:rPr>
          <w:lang w:val="fr-CA"/>
        </w:rPr>
        <w:t>favoriser l’adoption de pratiques en lien avec l’égalité, la prise en compte des réalités des élèves de la diversité sexuelle et de genre ainsi que la lutte contre les violences</w:t>
      </w:r>
      <w:r w:rsidR="0051216B" w:rsidRPr="00BD22C2">
        <w:rPr>
          <w:lang w:val="fr-CA"/>
        </w:rPr>
        <w:t> </w:t>
      </w:r>
      <w:r w:rsidR="003226C8" w:rsidRPr="00BD22C2">
        <w:rPr>
          <w:lang w:val="fr-CA"/>
        </w:rPr>
        <w:t>»</w:t>
      </w:r>
      <w:r w:rsidR="003226C8" w:rsidRPr="00BD22C2">
        <w:rPr>
          <w:rStyle w:val="Appeldenotedefin"/>
          <w:lang w:val="fr-CA"/>
        </w:rPr>
        <w:endnoteReference w:id="489"/>
      </w:r>
      <w:r w:rsidR="003226C8" w:rsidRPr="00BD22C2">
        <w:rPr>
          <w:lang w:val="fr-CA"/>
        </w:rPr>
        <w:t xml:space="preserve">. Cette mesure poursuit à plusieurs égards des initiatives en matière de formation dans le secteur de l’éducation qui </w:t>
      </w:r>
      <w:r w:rsidR="005338CE" w:rsidRPr="00BD22C2">
        <w:rPr>
          <w:lang w:val="fr-CA"/>
        </w:rPr>
        <w:t xml:space="preserve">avaient été </w:t>
      </w:r>
      <w:r w:rsidR="003226C8" w:rsidRPr="00BD22C2">
        <w:rPr>
          <w:lang w:val="fr-CA"/>
        </w:rPr>
        <w:t>mises de l’avant dans le précédent plan de lutte</w:t>
      </w:r>
      <w:r w:rsidR="005E728E" w:rsidRPr="00BD22C2">
        <w:rPr>
          <w:rStyle w:val="Appeldenotedefin"/>
          <w:rFonts w:eastAsia="Calibri"/>
          <w:lang w:val="fr-CA" w:eastAsia="en-US"/>
        </w:rPr>
        <w:endnoteReference w:id="490"/>
      </w:r>
      <w:r w:rsidR="003226C8" w:rsidRPr="00BD22C2">
        <w:rPr>
          <w:lang w:val="fr-CA"/>
        </w:rPr>
        <w:t xml:space="preserve">, dont la diffusion depuis </w:t>
      </w:r>
      <w:r w:rsidR="003226C8" w:rsidRPr="00BD22C2">
        <w:rPr>
          <w:rFonts w:eastAsia="Calibri"/>
          <w:lang w:val="fr-CA"/>
        </w:rPr>
        <w:t xml:space="preserve">2021 du </w:t>
      </w:r>
      <w:r w:rsidR="003226C8" w:rsidRPr="00BD22C2">
        <w:rPr>
          <w:lang w:val="fr-CA"/>
        </w:rPr>
        <w:t>guide</w:t>
      </w:r>
      <w:r w:rsidR="003226C8" w:rsidRPr="00BD22C2">
        <w:rPr>
          <w:rFonts w:eastAsia="Calibri"/>
          <w:lang w:val="fr-CA"/>
        </w:rPr>
        <w:t xml:space="preserve"> intitulé </w:t>
      </w:r>
      <w:r w:rsidR="003226C8" w:rsidRPr="00BD22C2">
        <w:rPr>
          <w:rFonts w:eastAsia="Calibri"/>
          <w:i/>
          <w:lang w:val="fr-CA"/>
        </w:rPr>
        <w:t>Pour une meilleure prise en compte de la diversité sexuelle et de genre</w:t>
      </w:r>
      <w:r w:rsidR="005E728E" w:rsidRPr="00BD22C2">
        <w:rPr>
          <w:rFonts w:eastAsia="Calibri"/>
          <w:vertAlign w:val="superscript"/>
          <w:lang w:val="fr-CA" w:eastAsia="en-US"/>
        </w:rPr>
        <w:endnoteReference w:id="491"/>
      </w:r>
      <w:r w:rsidR="003226C8" w:rsidRPr="00BD22C2">
        <w:rPr>
          <w:rFonts w:eastAsia="Calibri"/>
          <w:lang w:val="fr-CA" w:eastAsia="en-US"/>
        </w:rPr>
        <w:t xml:space="preserve"> (ci-après </w:t>
      </w:r>
      <w:r w:rsidR="00F325D4" w:rsidRPr="00BD22C2">
        <w:rPr>
          <w:rFonts w:eastAsia="Calibri"/>
          <w:lang w:val="fr-CA" w:eastAsia="en-US"/>
        </w:rPr>
        <w:t>«</w:t>
      </w:r>
      <w:r w:rsidR="0051216B" w:rsidRPr="00BD22C2">
        <w:rPr>
          <w:rFonts w:eastAsia="Calibri"/>
          <w:lang w:val="fr-CA" w:eastAsia="en-US"/>
        </w:rPr>
        <w:t> </w:t>
      </w:r>
      <w:r w:rsidR="003226C8" w:rsidRPr="00BD22C2">
        <w:rPr>
          <w:rFonts w:eastAsia="Calibri"/>
          <w:lang w:val="fr-CA" w:eastAsia="en-US"/>
        </w:rPr>
        <w:t>Guide ministériel à l’intention des milieux scolaires</w:t>
      </w:r>
      <w:r w:rsidR="0051216B" w:rsidRPr="00BD22C2">
        <w:rPr>
          <w:rFonts w:eastAsia="Calibri"/>
          <w:lang w:val="fr-CA" w:eastAsia="en-US"/>
        </w:rPr>
        <w:t> </w:t>
      </w:r>
      <w:r w:rsidR="00F325D4" w:rsidRPr="00BD22C2">
        <w:rPr>
          <w:rFonts w:eastAsia="Calibri"/>
          <w:lang w:val="fr-CA" w:eastAsia="en-US"/>
        </w:rPr>
        <w:t>»</w:t>
      </w:r>
      <w:r w:rsidR="003226C8" w:rsidRPr="00BD22C2">
        <w:rPr>
          <w:rFonts w:eastAsia="Calibri"/>
          <w:lang w:val="fr-CA" w:eastAsia="en-US"/>
        </w:rPr>
        <w:t xml:space="preserve">). </w:t>
      </w:r>
    </w:p>
    <w:p w14:paraId="50EA361A" w14:textId="530F20B9" w:rsidR="003226C8" w:rsidRPr="00BD22C2" w:rsidRDefault="00221ECA" w:rsidP="003226C8">
      <w:pPr>
        <w:pStyle w:val="Paragraphe"/>
        <w:rPr>
          <w:rFonts w:eastAsia="Calibri"/>
          <w:lang w:val="fr-CA" w:eastAsia="en-US"/>
        </w:rPr>
      </w:pPr>
      <w:r w:rsidRPr="00BD22C2">
        <w:rPr>
          <w:rFonts w:eastAsia="Calibri"/>
          <w:lang w:val="fr-CA" w:eastAsia="en-US"/>
        </w:rPr>
        <w:t xml:space="preserve">Un principe fondamental </w:t>
      </w:r>
      <w:r w:rsidR="005338CE" w:rsidRPr="00BD22C2">
        <w:rPr>
          <w:rFonts w:eastAsia="Calibri"/>
          <w:lang w:val="fr-CA" w:eastAsia="en-US"/>
        </w:rPr>
        <w:t>promu</w:t>
      </w:r>
      <w:r w:rsidRPr="00BD22C2">
        <w:rPr>
          <w:rFonts w:eastAsia="Calibri"/>
          <w:lang w:val="fr-CA" w:eastAsia="en-US"/>
        </w:rPr>
        <w:t xml:space="preserve"> dans </w:t>
      </w:r>
      <w:r w:rsidR="003226C8" w:rsidRPr="00BD22C2">
        <w:rPr>
          <w:rFonts w:eastAsia="Calibri"/>
          <w:lang w:val="fr-CA" w:eastAsia="en-US"/>
        </w:rPr>
        <w:t xml:space="preserve">ce guide </w:t>
      </w:r>
      <w:r w:rsidRPr="00BD22C2">
        <w:rPr>
          <w:rFonts w:eastAsia="Calibri"/>
          <w:lang w:val="fr-CA" w:eastAsia="en-US"/>
        </w:rPr>
        <w:t>articule la bonification du plan de développement professionnel pour l’ensemble du personnel de l’école avec l’obligation « [d</w:t>
      </w:r>
      <w:proofErr w:type="gramStart"/>
      <w:r w:rsidRPr="00BD22C2">
        <w:rPr>
          <w:rFonts w:eastAsia="Calibri"/>
          <w:lang w:val="fr-CA" w:eastAsia="en-US"/>
        </w:rPr>
        <w:t>’]offrir</w:t>
      </w:r>
      <w:proofErr w:type="gramEnd"/>
      <w:r w:rsidRPr="00BD22C2">
        <w:rPr>
          <w:rFonts w:eastAsia="Calibri"/>
          <w:lang w:val="fr-CA" w:eastAsia="en-US"/>
        </w:rPr>
        <w:t xml:space="preserve"> un milieu d’apprentissage sain et sécuritaire », soit un milieu d’apprentissage exempt de « situations d’intimidation, de harcèlement, de discrimination, d’homophobie, de transphobie et d’exclusion »</w:t>
      </w:r>
      <w:r w:rsidRPr="00BD22C2">
        <w:rPr>
          <w:rStyle w:val="Appeldenotedefin"/>
          <w:rFonts w:eastAsia="Calibri"/>
          <w:lang w:val="fr-CA" w:eastAsia="en-US"/>
        </w:rPr>
        <w:endnoteReference w:id="492"/>
      </w:r>
      <w:r w:rsidRPr="00BD22C2">
        <w:rPr>
          <w:rFonts w:eastAsia="Calibri"/>
          <w:lang w:val="fr-CA" w:eastAsia="en-US"/>
        </w:rPr>
        <w:t xml:space="preserve">. Il s’agit d’inclure dans ce plan de développement professionnel « des activités </w:t>
      </w:r>
      <w:r w:rsidRPr="00BD22C2">
        <w:rPr>
          <w:rFonts w:eastAsia="Calibri"/>
          <w:lang w:val="fr-CA" w:eastAsia="en-US"/>
        </w:rPr>
        <w:lastRenderedPageBreak/>
        <w:t>de sensibilisation ou de formation au sujet des réalités des personnes trans et des personnes non binaires », dans l’objectif de « développer les habiletés nécessaires pour accueillir les élèves », mais aussi « les membres du personnel et les familles de la diversité sexuelle et de genre »</w:t>
      </w:r>
      <w:r w:rsidRPr="00BD22C2">
        <w:rPr>
          <w:rStyle w:val="Appeldenotedefin"/>
          <w:rFonts w:eastAsia="Calibri"/>
          <w:lang w:val="fr-CA" w:eastAsia="en-US"/>
        </w:rPr>
        <w:endnoteReference w:id="493"/>
      </w:r>
      <w:r w:rsidRPr="00BD22C2">
        <w:rPr>
          <w:rFonts w:eastAsia="Calibri"/>
          <w:lang w:val="fr-CA" w:eastAsia="en-US"/>
        </w:rPr>
        <w:t>.</w:t>
      </w:r>
      <w:r w:rsidR="00740C0F" w:rsidRPr="00BD22C2">
        <w:rPr>
          <w:rFonts w:eastAsia="Calibri"/>
          <w:lang w:val="fr-CA" w:eastAsia="en-US"/>
        </w:rPr>
        <w:t xml:space="preserve"> </w:t>
      </w:r>
      <w:r w:rsidRPr="00BD22C2">
        <w:rPr>
          <w:rFonts w:eastAsia="Calibri"/>
          <w:lang w:val="fr-CA" w:eastAsia="en-US"/>
        </w:rPr>
        <w:t>L</w:t>
      </w:r>
      <w:r w:rsidR="003226C8" w:rsidRPr="00BD22C2">
        <w:rPr>
          <w:rFonts w:eastAsia="Calibri"/>
          <w:lang w:val="fr-CA" w:eastAsia="en-US"/>
        </w:rPr>
        <w:t xml:space="preserve">e guide </w:t>
      </w:r>
      <w:r w:rsidR="00740C0F" w:rsidRPr="00BD22C2">
        <w:rPr>
          <w:rFonts w:eastAsia="Calibri"/>
          <w:lang w:val="fr-CA" w:eastAsia="en-US"/>
        </w:rPr>
        <w:t>s’appuie</w:t>
      </w:r>
      <w:r w:rsidR="00740C0F" w:rsidRPr="00BD22C2" w:rsidDel="003304E8">
        <w:rPr>
          <w:rFonts w:eastAsia="Calibri"/>
          <w:lang w:val="fr-CA" w:eastAsia="en-US"/>
        </w:rPr>
        <w:t xml:space="preserve"> </w:t>
      </w:r>
      <w:r w:rsidR="003304E8" w:rsidRPr="00BD22C2">
        <w:rPr>
          <w:rFonts w:eastAsia="Calibri"/>
          <w:lang w:val="fr-CA" w:eastAsia="en-US"/>
        </w:rPr>
        <w:t>entre autres</w:t>
      </w:r>
      <w:r w:rsidR="00740C0F" w:rsidRPr="00BD22C2">
        <w:rPr>
          <w:rFonts w:eastAsia="Calibri"/>
          <w:lang w:val="fr-CA" w:eastAsia="en-US"/>
        </w:rPr>
        <w:t xml:space="preserve"> sur</w:t>
      </w:r>
      <w:r w:rsidR="003226C8" w:rsidRPr="00BD22C2">
        <w:rPr>
          <w:rFonts w:eastAsia="Calibri"/>
          <w:lang w:val="fr-CA" w:eastAsia="en-US"/>
        </w:rPr>
        <w:t xml:space="preserve"> la Charte québécoise, la </w:t>
      </w:r>
      <w:r w:rsidR="003226C8" w:rsidRPr="00BD22C2">
        <w:rPr>
          <w:rFonts w:eastAsia="Calibri"/>
          <w:i/>
          <w:iCs/>
          <w:lang w:val="fr-CA" w:eastAsia="en-US"/>
        </w:rPr>
        <w:t>Loi visant à renforcer la lutte contre la transphobie et à améliorer notamment la situation des mineurs transgenres</w:t>
      </w:r>
      <w:r w:rsidR="003226C8" w:rsidRPr="00BD22C2">
        <w:rPr>
          <w:rFonts w:eastAsia="Calibri"/>
          <w:lang w:val="fr-CA" w:eastAsia="en-US"/>
        </w:rPr>
        <w:t xml:space="preserve">, la </w:t>
      </w:r>
      <w:r w:rsidR="003226C8" w:rsidRPr="00BD22C2">
        <w:rPr>
          <w:rFonts w:eastAsia="Calibri"/>
          <w:i/>
          <w:iCs/>
          <w:lang w:val="fr-CA" w:eastAsia="en-US"/>
        </w:rPr>
        <w:t>Loi sur l’instruction publique</w:t>
      </w:r>
      <w:r w:rsidR="003226C8" w:rsidRPr="00BD22C2">
        <w:rPr>
          <w:rFonts w:eastAsia="Calibri"/>
          <w:lang w:val="fr-CA" w:eastAsia="en-US"/>
        </w:rPr>
        <w:t xml:space="preserve"> et la </w:t>
      </w:r>
      <w:r w:rsidR="003226C8" w:rsidRPr="00BD22C2">
        <w:rPr>
          <w:rFonts w:eastAsia="Calibri"/>
          <w:i/>
          <w:iCs/>
          <w:lang w:val="fr-CA" w:eastAsia="en-US"/>
        </w:rPr>
        <w:t>Loi sur l’enseignement privé</w:t>
      </w:r>
      <w:r w:rsidR="00740C0F" w:rsidRPr="00BD22C2">
        <w:rPr>
          <w:rFonts w:eastAsia="Calibri"/>
          <w:lang w:val="fr-CA" w:eastAsia="en-US"/>
        </w:rPr>
        <w:t xml:space="preserve">. </w:t>
      </w:r>
      <w:r w:rsidR="007638ED" w:rsidRPr="00BD22C2">
        <w:rPr>
          <w:rFonts w:eastAsia="Calibri"/>
          <w:lang w:val="fr-CA" w:eastAsia="en-US"/>
        </w:rPr>
        <w:t>Il précise</w:t>
      </w:r>
      <w:r w:rsidR="003226C8" w:rsidRPr="00BD22C2">
        <w:rPr>
          <w:rFonts w:eastAsia="Calibri"/>
          <w:lang w:val="fr-CA" w:eastAsia="en-US"/>
        </w:rPr>
        <w:t xml:space="preserve"> </w:t>
      </w:r>
      <w:r w:rsidR="007638ED" w:rsidRPr="00BD22C2">
        <w:rPr>
          <w:rFonts w:eastAsia="Calibri"/>
          <w:lang w:val="fr-CA" w:eastAsia="en-US"/>
        </w:rPr>
        <w:t>que</w:t>
      </w:r>
      <w:r w:rsidR="003226C8" w:rsidRPr="00BD22C2">
        <w:rPr>
          <w:rFonts w:eastAsia="Calibri"/>
          <w:lang w:val="fr-CA" w:eastAsia="en-US"/>
        </w:rPr>
        <w:t xml:space="preserve"> chaque établissement d’enseignement doit « mettre en place des mesures concrètes pour assurer le droit à la dignité, à l’égalité, à l’intégrité, au bien-être et à la sécurité </w:t>
      </w:r>
      <w:r w:rsidR="003226C8" w:rsidRPr="00BD22C2">
        <w:rPr>
          <w:rFonts w:eastAsia="Calibri"/>
          <w:u w:val="single"/>
          <w:lang w:val="fr-CA" w:eastAsia="en-US"/>
        </w:rPr>
        <w:t>de chaque élève</w:t>
      </w:r>
      <w:r w:rsidR="003226C8" w:rsidRPr="00BD22C2">
        <w:rPr>
          <w:rFonts w:eastAsia="Calibri"/>
          <w:lang w:val="fr-CA" w:eastAsia="en-US"/>
        </w:rPr>
        <w:t>, dont les élèves trans et non binaires »</w:t>
      </w:r>
      <w:r w:rsidR="003226C8" w:rsidRPr="00BD22C2">
        <w:rPr>
          <w:rStyle w:val="Appeldenotedefin"/>
          <w:rFonts w:eastAsia="Calibri"/>
          <w:lang w:val="fr-CA" w:eastAsia="en-US"/>
        </w:rPr>
        <w:endnoteReference w:id="494"/>
      </w:r>
      <w:r w:rsidR="003226C8" w:rsidRPr="00BD22C2">
        <w:rPr>
          <w:rFonts w:eastAsia="Calibri"/>
          <w:lang w:val="fr-CA" w:eastAsia="en-US"/>
        </w:rPr>
        <w:t xml:space="preserve">. </w:t>
      </w:r>
    </w:p>
    <w:p w14:paraId="442A7603" w14:textId="0AF2CE64" w:rsidR="003226C8" w:rsidRPr="00BD22C2" w:rsidRDefault="003226C8" w:rsidP="001E26FD">
      <w:pPr>
        <w:pStyle w:val="Paragraphe"/>
        <w:rPr>
          <w:rFonts w:eastAsia="Calibri"/>
          <w:lang w:val="fr-CA"/>
        </w:rPr>
      </w:pPr>
      <w:r w:rsidRPr="00BD22C2">
        <w:rPr>
          <w:rFonts w:eastAsia="Calibri"/>
          <w:lang w:val="fr-CA" w:eastAsia="en-US"/>
        </w:rPr>
        <w:t>L’adaptation de ces mesures aux besoins et au vécu de chaque enfant et de chaque jeune devrait orienter la mise en œuvre de ce</w:t>
      </w:r>
      <w:r w:rsidR="00D07B9B" w:rsidRPr="00BD22C2">
        <w:rPr>
          <w:rFonts w:eastAsia="Calibri"/>
          <w:lang w:val="fr-CA" w:eastAsia="en-US"/>
        </w:rPr>
        <w:t>lles-ci</w:t>
      </w:r>
      <w:r w:rsidRPr="00BD22C2">
        <w:rPr>
          <w:rFonts w:eastAsia="Calibri"/>
          <w:lang w:val="fr-CA" w:eastAsia="en-US"/>
        </w:rPr>
        <w:t xml:space="preserve">. On ne saurait trop insister à nouveau sur la nécessité de coordonner celles-ci </w:t>
      </w:r>
      <w:r w:rsidR="00D07B9B" w:rsidRPr="00BD22C2">
        <w:rPr>
          <w:rFonts w:eastAsia="Calibri"/>
          <w:lang w:val="fr-CA" w:eastAsia="en-US"/>
        </w:rPr>
        <w:t>à</w:t>
      </w:r>
      <w:r w:rsidRPr="00BD22C2">
        <w:rPr>
          <w:rFonts w:eastAsia="Calibri"/>
          <w:lang w:val="fr-CA" w:eastAsia="en-US"/>
        </w:rPr>
        <w:t xml:space="preserve"> la présentation de l’obligation d’accommodement raisonnable. Ici aussi, la formation du personnel de l’école au sujet de cette obligation juridique </w:t>
      </w:r>
      <w:r w:rsidRPr="00BD22C2">
        <w:rPr>
          <w:rFonts w:eastAsia="Calibri"/>
          <w:lang w:val="fr-CA"/>
        </w:rPr>
        <w:t>demeure incontournable.</w:t>
      </w:r>
    </w:p>
    <w:p w14:paraId="25EA9578" w14:textId="237AC93D" w:rsidR="00C039CF" w:rsidRPr="00BD22C2" w:rsidRDefault="00C039CF" w:rsidP="001E26FD">
      <w:pPr>
        <w:pStyle w:val="Paragraphe"/>
        <w:rPr>
          <w:rFonts w:eastAsia="Calibri"/>
          <w:lang w:val="fr-CA"/>
        </w:rPr>
      </w:pPr>
      <w:r w:rsidRPr="00BD22C2">
        <w:rPr>
          <w:rFonts w:eastAsia="Calibri"/>
          <w:lang w:val="fr-CA"/>
        </w:rPr>
        <w:t xml:space="preserve">Sans se prononcer sur le caractère exhaustif ou non du Guide ministériel à l’intention des milieux scolaires, il importe de souligner que ces lignes directrices peuvent rejoindre les objectifs d’une éducation concrète aux droits et libertés. Dans la mesure où elles sont largement diffusées et adéquatement mises en œuvre, ces orientations ont le potentiel d’éclairer les différents acteurs des milieux scolaires dans leurs interventions auprès des enfants et des adolescents trans ou non binaires. En mettant de l’avant le cadre des droits et libertés, elles pourront faciliter </w:t>
      </w:r>
      <w:r w:rsidR="00803D2C" w:rsidRPr="00BD22C2">
        <w:rPr>
          <w:rFonts w:eastAsia="Calibri"/>
          <w:lang w:val="fr-CA"/>
        </w:rPr>
        <w:t>l</w:t>
      </w:r>
      <w:r w:rsidR="0051216B" w:rsidRPr="00BD22C2">
        <w:rPr>
          <w:rFonts w:eastAsia="Calibri"/>
          <w:lang w:val="fr-CA"/>
        </w:rPr>
        <w:t>’</w:t>
      </w:r>
      <w:r w:rsidRPr="00BD22C2">
        <w:rPr>
          <w:rFonts w:eastAsia="Calibri"/>
          <w:lang w:val="fr-CA"/>
        </w:rPr>
        <w:t>inclusion de ces élèves ainsi qu</w:t>
      </w:r>
      <w:r w:rsidR="00803D2C" w:rsidRPr="00BD22C2">
        <w:rPr>
          <w:rFonts w:eastAsia="Calibri"/>
          <w:lang w:val="fr-CA"/>
        </w:rPr>
        <w:t>e</w:t>
      </w:r>
      <w:r w:rsidRPr="00BD22C2">
        <w:rPr>
          <w:rFonts w:eastAsia="Calibri"/>
          <w:lang w:val="fr-CA"/>
        </w:rPr>
        <w:t xml:space="preserve"> le respect de l’ensemble de leurs droits et libertés, sans compter qu’elles permettront de favoriser leur réussite scolaire. </w:t>
      </w:r>
    </w:p>
    <w:p w14:paraId="2E9CE8AC" w14:textId="1362CDB7" w:rsidR="0030258A" w:rsidRPr="00BD22C2" w:rsidRDefault="00EC63C9" w:rsidP="006C02EB">
      <w:pPr>
        <w:pStyle w:val="Paragraphe"/>
        <w:rPr>
          <w:rFonts w:eastAsia="Calibri"/>
          <w:lang w:val="fr-CA" w:eastAsia="en-US"/>
        </w:rPr>
      </w:pPr>
      <w:r w:rsidRPr="00BD22C2">
        <w:rPr>
          <w:lang w:val="fr-CA"/>
        </w:rPr>
        <w:t>D</w:t>
      </w:r>
      <w:r w:rsidR="006D03EA" w:rsidRPr="00BD22C2">
        <w:rPr>
          <w:rFonts w:eastAsia="Calibri"/>
          <w:lang w:val="fr-CA" w:eastAsia="en-US"/>
        </w:rPr>
        <w:t xml:space="preserve">ans un contexte où les questions relatives à l’identité de genre et aux enjeux touchant aux personnes des minorités sexuelles </w:t>
      </w:r>
      <w:r w:rsidR="00FA23F5" w:rsidRPr="00BD22C2">
        <w:rPr>
          <w:rFonts w:eastAsia="Calibri"/>
          <w:lang w:val="fr-CA" w:eastAsia="en-US"/>
        </w:rPr>
        <w:t xml:space="preserve">et de genre </w:t>
      </w:r>
      <w:r w:rsidR="006D03EA" w:rsidRPr="00BD22C2">
        <w:rPr>
          <w:rFonts w:eastAsia="Calibri"/>
          <w:lang w:val="fr-CA" w:eastAsia="en-US"/>
        </w:rPr>
        <w:t xml:space="preserve">sont trop souvent abordées à travers la désinformation, le sensationnalisme et la polémique, il est plus que jamais nécessaire de </w:t>
      </w:r>
      <w:r w:rsidR="008D08BE" w:rsidRPr="00BD22C2">
        <w:rPr>
          <w:rFonts w:eastAsia="Calibri"/>
          <w:lang w:val="fr-CA" w:eastAsia="en-US"/>
        </w:rPr>
        <w:t>s’assurer de la diffusion</w:t>
      </w:r>
      <w:r w:rsidR="006D03EA" w:rsidRPr="00BD22C2">
        <w:rPr>
          <w:rFonts w:eastAsia="Calibri"/>
          <w:lang w:val="fr-CA" w:eastAsia="en-US"/>
        </w:rPr>
        <w:t xml:space="preserve"> </w:t>
      </w:r>
      <w:r w:rsidR="009B2B38" w:rsidRPr="00BD22C2">
        <w:rPr>
          <w:rFonts w:eastAsia="Calibri"/>
          <w:lang w:val="fr-CA" w:eastAsia="en-US"/>
        </w:rPr>
        <w:t xml:space="preserve">de tels </w:t>
      </w:r>
      <w:r w:rsidR="00393AEC" w:rsidRPr="00BD22C2">
        <w:rPr>
          <w:rFonts w:eastAsia="Calibri"/>
          <w:lang w:val="fr-CA" w:eastAsia="en-US"/>
        </w:rPr>
        <w:t xml:space="preserve">outils </w:t>
      </w:r>
      <w:r w:rsidR="00D820A4" w:rsidRPr="00BD22C2">
        <w:rPr>
          <w:rFonts w:eastAsia="Calibri"/>
          <w:lang w:val="fr-CA" w:eastAsia="en-US"/>
        </w:rPr>
        <w:t xml:space="preserve">et </w:t>
      </w:r>
      <w:r w:rsidR="006D03EA" w:rsidRPr="00BD22C2">
        <w:rPr>
          <w:rFonts w:eastAsia="Calibri"/>
          <w:lang w:val="fr-CA" w:eastAsia="en-US"/>
        </w:rPr>
        <w:t xml:space="preserve">formations </w:t>
      </w:r>
      <w:r w:rsidR="00D74974" w:rsidRPr="00BD22C2">
        <w:rPr>
          <w:rFonts w:eastAsia="Calibri"/>
          <w:lang w:val="fr-CA" w:eastAsia="en-US"/>
        </w:rPr>
        <w:t xml:space="preserve">destinés </w:t>
      </w:r>
      <w:r w:rsidR="009B2B38" w:rsidRPr="00BD22C2">
        <w:rPr>
          <w:rFonts w:eastAsia="Calibri"/>
          <w:lang w:val="fr-CA" w:eastAsia="en-US"/>
        </w:rPr>
        <w:t>à l’ensemble du</w:t>
      </w:r>
      <w:r w:rsidR="00D74974" w:rsidRPr="00BD22C2">
        <w:rPr>
          <w:rFonts w:eastAsia="Calibri"/>
          <w:lang w:val="fr-CA" w:eastAsia="en-US"/>
        </w:rPr>
        <w:t xml:space="preserve"> personnel de l’école</w:t>
      </w:r>
      <w:r w:rsidR="009B2B38" w:rsidRPr="00BD22C2">
        <w:rPr>
          <w:rFonts w:eastAsia="Calibri"/>
          <w:lang w:val="fr-CA" w:eastAsia="en-US"/>
        </w:rPr>
        <w:t xml:space="preserve"> </w:t>
      </w:r>
      <w:r w:rsidR="007638ED" w:rsidRPr="00BD22C2">
        <w:rPr>
          <w:rFonts w:eastAsia="Calibri"/>
          <w:lang w:val="fr-CA" w:eastAsia="en-US"/>
        </w:rPr>
        <w:t>de manière récurrente</w:t>
      </w:r>
      <w:r w:rsidR="009B2B38" w:rsidRPr="00BD22C2">
        <w:rPr>
          <w:rFonts w:eastAsia="Calibri"/>
          <w:lang w:val="fr-CA" w:eastAsia="en-US"/>
        </w:rPr>
        <w:t>, voire obligatoire</w:t>
      </w:r>
      <w:r w:rsidR="00D74974" w:rsidRPr="00BD22C2">
        <w:rPr>
          <w:rFonts w:eastAsia="Calibri"/>
          <w:lang w:val="fr-CA" w:eastAsia="en-US"/>
        </w:rPr>
        <w:t xml:space="preserve">. </w:t>
      </w:r>
    </w:p>
    <w:p w14:paraId="76C4866E" w14:textId="61B9AF08" w:rsidR="00E625FC" w:rsidRPr="00BD22C2" w:rsidRDefault="00E625FC" w:rsidP="001E26FD">
      <w:pPr>
        <w:pStyle w:val="Titre4"/>
      </w:pPr>
      <w:bookmarkStart w:id="202" w:name="_Toc165636137"/>
      <w:r w:rsidRPr="00BD22C2">
        <w:lastRenderedPageBreak/>
        <w:t>Une formation continue</w:t>
      </w:r>
      <w:r w:rsidR="002F7F2C" w:rsidRPr="00BD22C2">
        <w:t xml:space="preserve"> favorisant</w:t>
      </w:r>
      <w:r w:rsidR="00445834" w:rsidRPr="00BD22C2">
        <w:t xml:space="preserve"> l’</w:t>
      </w:r>
      <w:proofErr w:type="spellStart"/>
      <w:r w:rsidR="00445834" w:rsidRPr="00BD22C2">
        <w:t>auto-identification</w:t>
      </w:r>
      <w:proofErr w:type="spellEnd"/>
      <w:r w:rsidR="00445834" w:rsidRPr="00BD22C2">
        <w:t xml:space="preserve"> et le choix d</w:t>
      </w:r>
      <w:r w:rsidR="000E6D76" w:rsidRPr="00BD22C2">
        <w:t>u prénom et du pronom usuels de l’élève</w:t>
      </w:r>
      <w:bookmarkEnd w:id="202"/>
    </w:p>
    <w:p w14:paraId="79B1E973" w14:textId="47FCB6D8" w:rsidR="00D74974" w:rsidRPr="00BD22C2" w:rsidRDefault="009B2B38" w:rsidP="006C02EB">
      <w:pPr>
        <w:pStyle w:val="Paragraphe"/>
        <w:rPr>
          <w:rFonts w:eastAsia="Calibri"/>
          <w:lang w:val="fr-CA" w:eastAsia="en-US"/>
        </w:rPr>
      </w:pPr>
      <w:r w:rsidRPr="00BD22C2">
        <w:rPr>
          <w:rFonts w:eastAsia="Calibri"/>
          <w:lang w:val="fr-CA" w:eastAsia="en-US"/>
        </w:rPr>
        <w:t xml:space="preserve">Il apparaît </w:t>
      </w:r>
      <w:r w:rsidR="00AA049B" w:rsidRPr="00BD22C2">
        <w:rPr>
          <w:rFonts w:eastAsia="Calibri"/>
          <w:lang w:val="fr-CA" w:eastAsia="en-US"/>
        </w:rPr>
        <w:t xml:space="preserve">également </w:t>
      </w:r>
      <w:r w:rsidRPr="00BD22C2">
        <w:rPr>
          <w:rFonts w:eastAsia="Calibri"/>
          <w:lang w:val="fr-CA" w:eastAsia="en-US"/>
        </w:rPr>
        <w:t xml:space="preserve">important </w:t>
      </w:r>
      <w:r w:rsidR="00B224D5" w:rsidRPr="00BD22C2">
        <w:rPr>
          <w:rFonts w:eastAsia="Calibri"/>
          <w:lang w:val="fr-CA" w:eastAsia="en-US"/>
        </w:rPr>
        <w:t>d</w:t>
      </w:r>
      <w:r w:rsidR="007E55F0" w:rsidRPr="00BD22C2">
        <w:rPr>
          <w:rFonts w:eastAsia="Calibri"/>
          <w:lang w:val="fr-CA" w:eastAsia="en-US"/>
        </w:rPr>
        <w:t>e mettre de l’avant la prévention afin de contrecarrer les</w:t>
      </w:r>
      <w:r w:rsidR="00D74974" w:rsidRPr="00BD22C2">
        <w:rPr>
          <w:rFonts w:eastAsia="Calibri"/>
          <w:lang w:val="fr-CA" w:eastAsia="en-US"/>
        </w:rPr>
        <w:t xml:space="preserve"> reculs </w:t>
      </w:r>
      <w:r w:rsidR="006C5B69" w:rsidRPr="00BD22C2">
        <w:rPr>
          <w:rFonts w:eastAsia="Calibri"/>
          <w:lang w:val="fr-CA" w:eastAsia="en-US"/>
        </w:rPr>
        <w:t xml:space="preserve">en matière d’inclusion </w:t>
      </w:r>
      <w:r w:rsidR="00B224D5" w:rsidRPr="00BD22C2">
        <w:rPr>
          <w:rFonts w:eastAsia="Calibri"/>
          <w:lang w:val="fr-CA" w:eastAsia="en-US"/>
        </w:rPr>
        <w:t xml:space="preserve">à l’école </w:t>
      </w:r>
      <w:r w:rsidR="006C5B69" w:rsidRPr="00BD22C2">
        <w:rPr>
          <w:rFonts w:eastAsia="Calibri"/>
          <w:lang w:val="fr-CA" w:eastAsia="en-US"/>
        </w:rPr>
        <w:t>des élèves trans et non</w:t>
      </w:r>
      <w:r w:rsidR="009B3F45" w:rsidRPr="00BD22C2">
        <w:rPr>
          <w:rFonts w:eastAsia="Calibri"/>
          <w:lang w:val="fr-CA" w:eastAsia="en-US"/>
        </w:rPr>
        <w:t xml:space="preserve"> </w:t>
      </w:r>
      <w:r w:rsidR="006C5B69" w:rsidRPr="00BD22C2">
        <w:rPr>
          <w:rFonts w:eastAsia="Calibri"/>
          <w:lang w:val="fr-CA" w:eastAsia="en-US"/>
        </w:rPr>
        <w:t xml:space="preserve">binaires </w:t>
      </w:r>
      <w:r w:rsidR="00D74974" w:rsidRPr="00BD22C2">
        <w:rPr>
          <w:rFonts w:eastAsia="Calibri"/>
          <w:lang w:val="fr-CA" w:eastAsia="en-US"/>
        </w:rPr>
        <w:t xml:space="preserve">qui sont observés </w:t>
      </w:r>
      <w:r w:rsidR="007E55F0" w:rsidRPr="00BD22C2">
        <w:rPr>
          <w:rFonts w:eastAsia="Calibri"/>
          <w:lang w:val="fr-CA" w:eastAsia="en-US"/>
        </w:rPr>
        <w:t xml:space="preserve">dans d’autres provinces </w:t>
      </w:r>
      <w:r w:rsidR="00B224D5" w:rsidRPr="00BD22C2">
        <w:rPr>
          <w:rFonts w:eastAsia="Calibri"/>
          <w:lang w:val="fr-CA" w:eastAsia="en-US"/>
        </w:rPr>
        <w:t>au</w:t>
      </w:r>
      <w:r w:rsidR="006C5B69" w:rsidRPr="00BD22C2">
        <w:rPr>
          <w:rFonts w:eastAsia="Calibri"/>
          <w:lang w:val="fr-CA" w:eastAsia="en-US"/>
        </w:rPr>
        <w:t xml:space="preserve"> pays</w:t>
      </w:r>
      <w:r w:rsidR="00B224D5" w:rsidRPr="00BD22C2">
        <w:rPr>
          <w:rFonts w:eastAsia="Calibri"/>
          <w:lang w:val="fr-CA" w:eastAsia="en-US"/>
        </w:rPr>
        <w:t xml:space="preserve">. </w:t>
      </w:r>
    </w:p>
    <w:p w14:paraId="3DA7B300" w14:textId="42632F89" w:rsidR="00A02F9C" w:rsidRPr="00BD22C2" w:rsidRDefault="007E55F0" w:rsidP="00A02F9C">
      <w:pPr>
        <w:pStyle w:val="Paragraphe"/>
        <w:rPr>
          <w:rFonts w:eastAsia="Calibri"/>
          <w:lang w:val="fr-CA" w:eastAsia="en-US"/>
        </w:rPr>
      </w:pPr>
      <w:r w:rsidRPr="00BD22C2">
        <w:rPr>
          <w:rFonts w:eastAsia="Calibri"/>
          <w:lang w:val="fr-CA" w:eastAsia="en-US"/>
        </w:rPr>
        <w:t>En effet, d</w:t>
      </w:r>
      <w:r w:rsidR="00A56C1E" w:rsidRPr="00BD22C2">
        <w:rPr>
          <w:rFonts w:eastAsia="Calibri"/>
          <w:lang w:val="fr-CA" w:eastAsia="en-US"/>
        </w:rPr>
        <w:t xml:space="preserve">ans </w:t>
      </w:r>
      <w:r w:rsidR="00A02F9C" w:rsidRPr="00BD22C2">
        <w:rPr>
          <w:rFonts w:eastAsia="Calibri"/>
          <w:lang w:val="fr-CA" w:eastAsia="en-US"/>
        </w:rPr>
        <w:t>la dernière année, certaines provinces canadiennes ont modifié leurs politiques, lois ou directives à l’égard de l’usage des prénoms et pronoms choisis par l’</w:t>
      </w:r>
      <w:r w:rsidR="004D09DF" w:rsidRPr="00BD22C2">
        <w:rPr>
          <w:rFonts w:eastAsia="Calibri"/>
          <w:lang w:val="fr-CA" w:eastAsia="en-US"/>
        </w:rPr>
        <w:t>élève</w:t>
      </w:r>
      <w:r w:rsidR="00B5577B" w:rsidRPr="00BD22C2">
        <w:rPr>
          <w:rFonts w:eastAsia="Calibri"/>
          <w:lang w:val="fr-CA" w:eastAsia="en-US"/>
        </w:rPr>
        <w:t xml:space="preserve"> </w:t>
      </w:r>
      <w:r w:rsidR="00A02F9C" w:rsidRPr="00BD22C2">
        <w:rPr>
          <w:rFonts w:eastAsia="Calibri"/>
          <w:lang w:val="fr-CA" w:eastAsia="en-US"/>
        </w:rPr>
        <w:t xml:space="preserve">en contexte scolaire. Les orientations prises par certaines provinces semblent aller à l’encontre de l’approche précédemment exposée d’acceptation et de soutien des enfants </w:t>
      </w:r>
      <w:r w:rsidR="004D09DF" w:rsidRPr="00BD22C2">
        <w:rPr>
          <w:rFonts w:eastAsia="Calibri"/>
          <w:lang w:val="fr-CA" w:eastAsia="en-US"/>
        </w:rPr>
        <w:t xml:space="preserve">et des jeunes </w:t>
      </w:r>
      <w:r w:rsidR="00A02F9C" w:rsidRPr="00BD22C2">
        <w:rPr>
          <w:rFonts w:eastAsia="Calibri"/>
          <w:lang w:val="fr-CA" w:eastAsia="en-US"/>
        </w:rPr>
        <w:t xml:space="preserve">dans l’affirmation de leur identité de genre. Elles pourraient en outre porter atteinte au droit des enfants à l’instruction publique gratuite et à l’éducation, présentés précédemment.  </w:t>
      </w:r>
    </w:p>
    <w:p w14:paraId="658AD346" w14:textId="1E341EDA" w:rsidR="00A02F9C" w:rsidRPr="00BD22C2" w:rsidRDefault="00A02F9C" w:rsidP="00A02F9C">
      <w:pPr>
        <w:pStyle w:val="Paragraphe"/>
        <w:rPr>
          <w:rFonts w:eastAsia="Calibri"/>
          <w:lang w:val="fr-CA" w:eastAsia="en-US"/>
        </w:rPr>
      </w:pPr>
      <w:r w:rsidRPr="00BD22C2">
        <w:rPr>
          <w:rFonts w:eastAsia="Calibri"/>
          <w:lang w:val="fr-CA" w:eastAsia="en-US"/>
        </w:rPr>
        <w:t>En octobre 2023, la Saskatchewan</w:t>
      </w:r>
      <w:r w:rsidR="005C6561" w:rsidRPr="00BD22C2">
        <w:rPr>
          <w:rFonts w:eastAsia="Calibri"/>
          <w:lang w:val="fr-CA" w:eastAsia="en-US"/>
        </w:rPr>
        <w:t xml:space="preserve">, usant préventivement de la </w:t>
      </w:r>
      <w:r w:rsidR="00D437A7" w:rsidRPr="00BD22C2">
        <w:rPr>
          <w:rFonts w:eastAsia="Calibri"/>
          <w:lang w:val="fr-CA" w:eastAsia="en-US"/>
        </w:rPr>
        <w:t>disposition de</w:t>
      </w:r>
      <w:r w:rsidR="005C6561" w:rsidRPr="00BD22C2">
        <w:rPr>
          <w:rFonts w:eastAsia="Calibri"/>
          <w:lang w:val="fr-CA" w:eastAsia="en-US"/>
        </w:rPr>
        <w:t xml:space="preserve"> dérogat</w:t>
      </w:r>
      <w:r w:rsidR="00D437A7" w:rsidRPr="00BD22C2">
        <w:rPr>
          <w:rFonts w:eastAsia="Calibri"/>
          <w:lang w:val="fr-CA" w:eastAsia="en-US"/>
        </w:rPr>
        <w:t>ion</w:t>
      </w:r>
      <w:r w:rsidR="005C6561" w:rsidRPr="00BD22C2">
        <w:rPr>
          <w:rFonts w:eastAsia="Calibri"/>
          <w:lang w:val="fr-CA" w:eastAsia="en-US"/>
        </w:rPr>
        <w:t>,</w:t>
      </w:r>
      <w:r w:rsidRPr="00BD22C2">
        <w:rPr>
          <w:rFonts w:eastAsia="Calibri"/>
          <w:lang w:val="fr-CA" w:eastAsia="en-US"/>
        </w:rPr>
        <w:t xml:space="preserve"> a adopté une loi prévoyant qu’un jeune de moins de 16</w:t>
      </w:r>
      <w:r w:rsidR="009D3E22">
        <w:rPr>
          <w:rFonts w:eastAsia="Calibri"/>
          <w:lang w:val="fr-CA" w:eastAsia="en-US"/>
        </w:rPr>
        <w:t> </w:t>
      </w:r>
      <w:r w:rsidRPr="00BD22C2">
        <w:rPr>
          <w:rFonts w:eastAsia="Calibri"/>
          <w:lang w:val="fr-CA" w:eastAsia="en-US"/>
        </w:rPr>
        <w:t>ans désirant changer ses prénoms et pronoms dans le contexte scolaire devait obtenir l’autorisation parentale pour exiger ce changement</w:t>
      </w:r>
      <w:r w:rsidRPr="00BD22C2">
        <w:rPr>
          <w:rFonts w:eastAsia="Calibri"/>
          <w:vertAlign w:val="superscript"/>
          <w:lang w:val="fr-CA" w:eastAsia="en-US"/>
        </w:rPr>
        <w:endnoteReference w:id="495"/>
      </w:r>
      <w:r w:rsidRPr="00BD22C2">
        <w:rPr>
          <w:rFonts w:eastAsia="Calibri"/>
          <w:lang w:val="fr-CA" w:eastAsia="en-US"/>
        </w:rPr>
        <w:t>. Au</w:t>
      </w:r>
      <w:r w:rsidR="00347140" w:rsidRPr="00BD22C2">
        <w:rPr>
          <w:rFonts w:eastAsia="Calibri"/>
          <w:lang w:val="fr-CA" w:eastAsia="en-US"/>
        </w:rPr>
        <w:t>ssi</w:t>
      </w:r>
      <w:r w:rsidR="00844D95" w:rsidRPr="00BD22C2">
        <w:rPr>
          <w:rFonts w:eastAsia="Calibri"/>
          <w:lang w:val="fr-CA" w:eastAsia="en-US"/>
        </w:rPr>
        <w:t xml:space="preserve">, au </w:t>
      </w:r>
      <w:r w:rsidRPr="00BD22C2">
        <w:rPr>
          <w:rFonts w:eastAsia="Calibri"/>
          <w:lang w:val="fr-CA" w:eastAsia="en-US"/>
        </w:rPr>
        <w:t>Nouveau-Brunswick</w:t>
      </w:r>
      <w:r w:rsidRPr="00BD22C2">
        <w:rPr>
          <w:rFonts w:eastAsia="Calibri"/>
          <w:vertAlign w:val="superscript"/>
          <w:lang w:val="fr-CA" w:eastAsia="en-US"/>
        </w:rPr>
        <w:endnoteReference w:id="496"/>
      </w:r>
      <w:r w:rsidRPr="00BD22C2">
        <w:rPr>
          <w:rFonts w:eastAsia="Calibri"/>
          <w:lang w:val="fr-CA" w:eastAsia="en-US"/>
        </w:rPr>
        <w:t>, une politique exige dorénavant le consentement parental pour l’utilisation des prénoms et pronoms choisis par l’enfant de moins de 16</w:t>
      </w:r>
      <w:r w:rsidR="009D3E22">
        <w:rPr>
          <w:rFonts w:eastAsia="Calibri"/>
          <w:lang w:val="fr-CA" w:eastAsia="en-US"/>
        </w:rPr>
        <w:t> </w:t>
      </w:r>
      <w:r w:rsidRPr="00BD22C2">
        <w:rPr>
          <w:rFonts w:eastAsia="Calibri"/>
          <w:lang w:val="fr-CA" w:eastAsia="en-US"/>
        </w:rPr>
        <w:t>ans à l’école, remplaçant ainsi l’ancienne politique qui prévoyait le respect de la volonté de l’enfant sans qu’il soit conditionnel au consentement parental. Des démarches similaires ont eu lieu en Alberta, dont le gouvernement a annoncé en janvier dernier son intention d’adopter une politique qui requiert le consentement parental pour tout changement de prénom et de pronoms à l’école chez les enfants de 15</w:t>
      </w:r>
      <w:r w:rsidR="009D3E22">
        <w:rPr>
          <w:rFonts w:eastAsia="Calibri"/>
          <w:lang w:val="fr-CA" w:eastAsia="en-US"/>
        </w:rPr>
        <w:t> </w:t>
      </w:r>
      <w:r w:rsidRPr="00BD22C2">
        <w:rPr>
          <w:rFonts w:eastAsia="Calibri"/>
          <w:lang w:val="fr-CA" w:eastAsia="en-US"/>
        </w:rPr>
        <w:t>ans et moins</w:t>
      </w:r>
      <w:r w:rsidRPr="00BD22C2">
        <w:rPr>
          <w:rFonts w:eastAsia="Calibri"/>
          <w:vertAlign w:val="superscript"/>
          <w:lang w:val="fr-CA" w:eastAsia="en-US"/>
        </w:rPr>
        <w:endnoteReference w:id="497"/>
      </w:r>
      <w:r w:rsidRPr="00BD22C2">
        <w:rPr>
          <w:rFonts w:eastAsia="Calibri"/>
          <w:lang w:val="fr-CA" w:eastAsia="en-US"/>
        </w:rPr>
        <w:t xml:space="preserve">. </w:t>
      </w:r>
    </w:p>
    <w:p w14:paraId="19D82130" w14:textId="00140189" w:rsidR="00A02F9C" w:rsidRPr="00BD22C2" w:rsidRDefault="00A02F9C" w:rsidP="00A02F9C">
      <w:pPr>
        <w:pStyle w:val="Paragraphe"/>
        <w:rPr>
          <w:rFonts w:eastAsia="Calibri"/>
          <w:lang w:val="fr-CA" w:eastAsia="en-US"/>
        </w:rPr>
      </w:pPr>
      <w:r w:rsidRPr="00BD22C2">
        <w:rPr>
          <w:rFonts w:eastAsia="Calibri"/>
          <w:lang w:val="fr-CA" w:eastAsia="en-US"/>
        </w:rPr>
        <w:t>Dans chacune de ces provinces, les défenseurs des droits de l’enfant ont réagi à ces modifications aux lois et politiques</w:t>
      </w:r>
      <w:r w:rsidR="0029333E" w:rsidRPr="00BD22C2">
        <w:rPr>
          <w:rFonts w:eastAsia="Calibri"/>
          <w:lang w:val="fr-CA" w:eastAsia="en-US"/>
        </w:rPr>
        <w:t xml:space="preserve"> en effectuant des rappels ou en suggérant des amendements importants</w:t>
      </w:r>
      <w:r w:rsidRPr="00BD22C2">
        <w:rPr>
          <w:rFonts w:eastAsia="Calibri"/>
          <w:lang w:val="fr-CA" w:eastAsia="en-US"/>
        </w:rPr>
        <w:t xml:space="preserve">. À la suite d’une analyse de la politique du ministère, le Saskatchewan </w:t>
      </w:r>
      <w:proofErr w:type="spellStart"/>
      <w:r w:rsidRPr="00BD22C2">
        <w:rPr>
          <w:rFonts w:eastAsia="Calibri"/>
          <w:lang w:val="fr-CA" w:eastAsia="en-US"/>
        </w:rPr>
        <w:t>Advocate</w:t>
      </w:r>
      <w:proofErr w:type="spellEnd"/>
      <w:r w:rsidRPr="00BD22C2">
        <w:rPr>
          <w:rFonts w:eastAsia="Calibri"/>
          <w:lang w:val="fr-CA" w:eastAsia="en-US"/>
        </w:rPr>
        <w:t xml:space="preserve"> for </w:t>
      </w:r>
      <w:proofErr w:type="spellStart"/>
      <w:r w:rsidRPr="00BD22C2">
        <w:rPr>
          <w:rFonts w:eastAsia="Calibri"/>
          <w:lang w:val="fr-CA" w:eastAsia="en-US"/>
        </w:rPr>
        <w:t>Children</w:t>
      </w:r>
      <w:proofErr w:type="spellEnd"/>
      <w:r w:rsidRPr="00BD22C2">
        <w:rPr>
          <w:rFonts w:eastAsia="Calibri"/>
          <w:lang w:val="fr-CA" w:eastAsia="en-US"/>
        </w:rPr>
        <w:t xml:space="preserve"> and </w:t>
      </w:r>
      <w:proofErr w:type="spellStart"/>
      <w:r w:rsidRPr="00BD22C2">
        <w:rPr>
          <w:rFonts w:eastAsia="Calibri"/>
          <w:lang w:val="fr-CA" w:eastAsia="en-US"/>
        </w:rPr>
        <w:t>Youth</w:t>
      </w:r>
      <w:proofErr w:type="spellEnd"/>
      <w:r w:rsidRPr="00BD22C2">
        <w:rPr>
          <w:rFonts w:eastAsia="Calibri"/>
          <w:lang w:val="fr-CA" w:eastAsia="en-US"/>
        </w:rPr>
        <w:t xml:space="preserve"> conclut que celle-ci viole les droits de l’enfant et propose des amendements, dont l’ajout d’une reconnaissance explicite du droit à l’identité et l’expression de genre et du respect des décisions des élèves en lien avec leur identité et leur expression de genre. Il recommande également le respect et l’usage des prénoms et pronoms choisis par l’enfant en fonction de ses capacités (et non en fonction de son âge) et la mise en place d’une offre de soutien continue aux élèves, qui impliquerait leurs parents ou gardiens, lorsque l’élève capable de discernement y consent.</w:t>
      </w:r>
      <w:r w:rsidRPr="00BD22C2">
        <w:rPr>
          <w:rFonts w:eastAsia="Calibri"/>
          <w:vertAlign w:val="superscript"/>
          <w:lang w:val="fr-CA" w:eastAsia="en-US"/>
        </w:rPr>
        <w:endnoteReference w:id="498"/>
      </w:r>
      <w:r w:rsidRPr="00BD22C2">
        <w:rPr>
          <w:rFonts w:eastAsia="Calibri"/>
          <w:lang w:val="fr-CA" w:eastAsia="en-US"/>
        </w:rPr>
        <w:t> </w:t>
      </w:r>
    </w:p>
    <w:p w14:paraId="137DF27A" w14:textId="4987AD94" w:rsidR="00A02F9C" w:rsidRPr="00BD22C2" w:rsidRDefault="00A02F9C" w:rsidP="00394F10">
      <w:pPr>
        <w:pStyle w:val="Paragraphe"/>
        <w:rPr>
          <w:rFonts w:eastAsia="Calibri"/>
          <w:lang w:val="fr-CA" w:eastAsia="en-US"/>
        </w:rPr>
      </w:pPr>
      <w:r w:rsidRPr="00BD22C2">
        <w:rPr>
          <w:rFonts w:eastAsia="Calibri"/>
          <w:lang w:val="fr-CA" w:eastAsia="en-US"/>
        </w:rPr>
        <w:lastRenderedPageBreak/>
        <w:t>Le Défenseur des enfants et des jeunes du Nouveau-Brunswick a, quant à lui, conduit une consultation auprès de la population et suggéré vingt modifications à la politique. Celles-ci visent entre autres l’intégration du « </w:t>
      </w:r>
      <w:r w:rsidR="00394F10" w:rsidRPr="00BD22C2">
        <w:rPr>
          <w:rFonts w:eastAsia="Calibri"/>
          <w:lang w:val="fr-CA" w:eastAsia="en-US"/>
        </w:rPr>
        <w:t>droit de tous les élèves de choisir la façon avec laquelle il convient de s</w:t>
      </w:r>
      <w:r w:rsidR="0051216B" w:rsidRPr="00BD22C2">
        <w:rPr>
          <w:rFonts w:eastAsia="Calibri"/>
          <w:lang w:val="fr-CA" w:eastAsia="en-US"/>
        </w:rPr>
        <w:t>’</w:t>
      </w:r>
      <w:r w:rsidR="00394F10" w:rsidRPr="00BD22C2">
        <w:rPr>
          <w:rFonts w:eastAsia="Calibri"/>
          <w:lang w:val="fr-CA" w:eastAsia="en-US"/>
        </w:rPr>
        <w:t>adresser à eux dans les interactions informelles, quotidiennes, en adéquation avec l</w:t>
      </w:r>
      <w:r w:rsidR="0051216B" w:rsidRPr="00BD22C2">
        <w:rPr>
          <w:rFonts w:eastAsia="Calibri"/>
          <w:lang w:val="fr-CA" w:eastAsia="en-US"/>
        </w:rPr>
        <w:t>’</w:t>
      </w:r>
      <w:r w:rsidR="00394F10" w:rsidRPr="00BD22C2">
        <w:rPr>
          <w:rFonts w:eastAsia="Calibri"/>
          <w:lang w:val="fr-CA" w:eastAsia="en-US"/>
        </w:rPr>
        <w:t xml:space="preserve">évolution de leurs capacités, et </w:t>
      </w:r>
      <w:r w:rsidR="00A74A19" w:rsidRPr="00BD22C2">
        <w:rPr>
          <w:rFonts w:eastAsia="Calibri"/>
          <w:lang w:val="fr-CA" w:eastAsia="en-US"/>
        </w:rPr>
        <w:t>[l’établissement de]</w:t>
      </w:r>
      <w:r w:rsidR="00394F10" w:rsidRPr="00BD22C2">
        <w:rPr>
          <w:rFonts w:eastAsia="Calibri"/>
          <w:lang w:val="fr-CA" w:eastAsia="en-US"/>
        </w:rPr>
        <w:t xml:space="preserve"> la présomption qu</w:t>
      </w:r>
      <w:r w:rsidR="0051216B" w:rsidRPr="00BD22C2">
        <w:rPr>
          <w:rFonts w:eastAsia="Calibri"/>
          <w:lang w:val="fr-CA" w:eastAsia="en-US"/>
        </w:rPr>
        <w:t>’</w:t>
      </w:r>
      <w:r w:rsidR="00394F10" w:rsidRPr="00BD22C2">
        <w:rPr>
          <w:rFonts w:eastAsia="Calibri"/>
          <w:lang w:val="fr-CA" w:eastAsia="en-US"/>
        </w:rPr>
        <w:t>un enfant a la capacité de prendre cette décision à partir de la 6</w:t>
      </w:r>
      <w:r w:rsidR="006432EB">
        <w:rPr>
          <w:rFonts w:eastAsia="Calibri"/>
          <w:lang w:val="fr-CA" w:eastAsia="en-US"/>
        </w:rPr>
        <w:t>èm</w:t>
      </w:r>
      <w:r w:rsidR="00394F10" w:rsidRPr="00BD22C2">
        <w:rPr>
          <w:rFonts w:eastAsia="Calibri"/>
          <w:lang w:val="fr-CA" w:eastAsia="en-US"/>
        </w:rPr>
        <w:t>e</w:t>
      </w:r>
      <w:r w:rsidR="009D3E22">
        <w:rPr>
          <w:rFonts w:eastAsia="Calibri"/>
          <w:lang w:val="fr-CA" w:eastAsia="en-US"/>
        </w:rPr>
        <w:t> </w:t>
      </w:r>
      <w:r w:rsidR="00394F10" w:rsidRPr="00BD22C2">
        <w:rPr>
          <w:rFonts w:eastAsia="Calibri"/>
          <w:lang w:val="fr-CA" w:eastAsia="en-US"/>
        </w:rPr>
        <w:t>année</w:t>
      </w:r>
      <w:r w:rsidRPr="00BD22C2">
        <w:rPr>
          <w:rFonts w:eastAsia="Calibri"/>
          <w:lang w:val="fr-CA" w:eastAsia="en-US"/>
        </w:rPr>
        <w:t> »</w:t>
      </w:r>
      <w:r w:rsidRPr="00BD22C2">
        <w:rPr>
          <w:rFonts w:eastAsia="Calibri"/>
          <w:vertAlign w:val="superscript"/>
          <w:lang w:val="fr-CA" w:eastAsia="en-US"/>
        </w:rPr>
        <w:endnoteReference w:id="499"/>
      </w:r>
      <w:r w:rsidRPr="00BD22C2">
        <w:rPr>
          <w:rFonts w:eastAsia="Calibri"/>
          <w:lang w:val="fr-CA" w:eastAsia="en-US"/>
        </w:rPr>
        <w:t>. Il recommande également l’affirmation de certains droits des élèves, ainsi que l’intégration de définitions, de directives liées au soutien des familles et de lignes directrices sur l’évaluation des capacités d’un enfant</w:t>
      </w:r>
      <w:r w:rsidRPr="00BD22C2">
        <w:rPr>
          <w:rFonts w:eastAsia="Calibri"/>
          <w:vertAlign w:val="superscript"/>
          <w:lang w:val="fr-CA" w:eastAsia="en-US"/>
        </w:rPr>
        <w:endnoteReference w:id="500"/>
      </w:r>
      <w:r w:rsidRPr="00BD22C2">
        <w:rPr>
          <w:rFonts w:eastAsia="Calibri"/>
          <w:lang w:val="fr-CA" w:eastAsia="en-US"/>
        </w:rPr>
        <w:t xml:space="preserve">. </w:t>
      </w:r>
    </w:p>
    <w:p w14:paraId="61CBE319" w14:textId="77777777" w:rsidR="00A02F9C" w:rsidRPr="00BD22C2" w:rsidRDefault="00A02F9C" w:rsidP="00A02F9C">
      <w:pPr>
        <w:pStyle w:val="Paragraphe"/>
        <w:rPr>
          <w:rFonts w:eastAsia="Calibri"/>
          <w:lang w:val="fr-CA" w:eastAsia="en-US"/>
        </w:rPr>
      </w:pPr>
      <w:r w:rsidRPr="00BD22C2">
        <w:rPr>
          <w:rFonts w:eastAsia="Calibri"/>
          <w:lang w:val="fr-CA" w:eastAsia="en-US"/>
        </w:rPr>
        <w:t>Enfin, en Alberta, l’</w:t>
      </w:r>
      <w:r w:rsidRPr="00BD22C2">
        <w:rPr>
          <w:rFonts w:eastAsia="Calibri"/>
          <w:i/>
          <w:lang w:val="fr-CA" w:eastAsia="en-US"/>
        </w:rPr>
        <w:t xml:space="preserve">Office of the Child and </w:t>
      </w:r>
      <w:proofErr w:type="spellStart"/>
      <w:r w:rsidRPr="00BD22C2">
        <w:rPr>
          <w:rFonts w:eastAsia="Calibri"/>
          <w:i/>
          <w:lang w:val="fr-CA" w:eastAsia="en-US"/>
        </w:rPr>
        <w:t>Youth</w:t>
      </w:r>
      <w:proofErr w:type="spellEnd"/>
      <w:r w:rsidRPr="00BD22C2">
        <w:rPr>
          <w:rFonts w:eastAsia="Calibri"/>
          <w:i/>
          <w:lang w:val="fr-CA" w:eastAsia="en-US"/>
        </w:rPr>
        <w:t xml:space="preserve"> </w:t>
      </w:r>
      <w:proofErr w:type="spellStart"/>
      <w:r w:rsidRPr="00BD22C2">
        <w:rPr>
          <w:rFonts w:eastAsia="Calibri"/>
          <w:i/>
          <w:lang w:val="fr-CA" w:eastAsia="en-US"/>
        </w:rPr>
        <w:t>Advocate</w:t>
      </w:r>
      <w:proofErr w:type="spellEnd"/>
      <w:r w:rsidRPr="00BD22C2">
        <w:rPr>
          <w:rFonts w:eastAsia="Calibri"/>
          <w:lang w:val="fr-CA" w:eastAsia="en-US"/>
        </w:rPr>
        <w:t xml:space="preserve"> a émis un communiqué en réaction à l’annonce de la politique, dans lequel il dénonce les obstacles qui persistent pour les jeunes trans et non binaires et rappelle qu’ils ont le droit à l’identité et l’expression de genre, des droits qui sont protégés par la </w:t>
      </w:r>
      <w:r w:rsidRPr="00BD22C2">
        <w:rPr>
          <w:rFonts w:eastAsia="Calibri"/>
          <w:i/>
          <w:lang w:val="fr-CA" w:eastAsia="en-US"/>
        </w:rPr>
        <w:t xml:space="preserve">Alberta Human </w:t>
      </w:r>
      <w:proofErr w:type="spellStart"/>
      <w:r w:rsidRPr="00BD22C2">
        <w:rPr>
          <w:rFonts w:eastAsia="Calibri"/>
          <w:i/>
          <w:lang w:val="fr-CA" w:eastAsia="en-US"/>
        </w:rPr>
        <w:t>Rights</w:t>
      </w:r>
      <w:proofErr w:type="spellEnd"/>
      <w:r w:rsidRPr="00BD22C2">
        <w:rPr>
          <w:rFonts w:eastAsia="Calibri"/>
          <w:i/>
          <w:lang w:val="fr-CA" w:eastAsia="en-US"/>
        </w:rPr>
        <w:t xml:space="preserve"> </w:t>
      </w:r>
      <w:proofErr w:type="spellStart"/>
      <w:r w:rsidRPr="00BD22C2">
        <w:rPr>
          <w:rFonts w:eastAsia="Calibri"/>
          <w:i/>
          <w:lang w:val="fr-CA" w:eastAsia="en-US"/>
        </w:rPr>
        <w:t>Act</w:t>
      </w:r>
      <w:proofErr w:type="spellEnd"/>
      <w:r w:rsidRPr="00BD22C2">
        <w:rPr>
          <w:rFonts w:eastAsia="Calibri"/>
          <w:vertAlign w:val="superscript"/>
          <w:lang w:val="fr-CA" w:eastAsia="en-US"/>
        </w:rPr>
        <w:endnoteReference w:id="501"/>
      </w:r>
      <w:r w:rsidRPr="00BD22C2">
        <w:rPr>
          <w:rFonts w:eastAsia="Calibri"/>
          <w:lang w:val="fr-CA" w:eastAsia="en-US"/>
        </w:rPr>
        <w:t xml:space="preserve"> et la CRDE</w:t>
      </w:r>
      <w:r w:rsidRPr="00BD22C2">
        <w:rPr>
          <w:rFonts w:eastAsia="Calibri"/>
          <w:vertAlign w:val="superscript"/>
          <w:lang w:val="fr-CA" w:eastAsia="en-US"/>
        </w:rPr>
        <w:endnoteReference w:id="502"/>
      </w:r>
      <w:r w:rsidRPr="00BD22C2">
        <w:rPr>
          <w:rFonts w:eastAsia="Calibri"/>
          <w:lang w:val="fr-CA" w:eastAsia="en-US"/>
        </w:rPr>
        <w:t>.</w:t>
      </w:r>
    </w:p>
    <w:p w14:paraId="2B28B738" w14:textId="64D96C25" w:rsidR="00244A79" w:rsidRPr="00BD22C2" w:rsidRDefault="00A02F9C" w:rsidP="002439E6">
      <w:pPr>
        <w:pStyle w:val="Paragraphe"/>
        <w:rPr>
          <w:rFonts w:eastAsia="Calibri"/>
          <w:lang w:val="fr-CA" w:eastAsia="en-US"/>
        </w:rPr>
      </w:pPr>
      <w:r w:rsidRPr="00BD22C2">
        <w:rPr>
          <w:rFonts w:eastAsia="Calibri"/>
          <w:lang w:val="fr-CA" w:eastAsia="en-US"/>
        </w:rPr>
        <w:t xml:space="preserve">À l’heure actuelle au Québec, </w:t>
      </w:r>
      <w:r w:rsidR="00E24049" w:rsidRPr="00BD22C2">
        <w:rPr>
          <w:rFonts w:eastAsia="Calibri"/>
          <w:lang w:val="fr-CA" w:eastAsia="en-US"/>
        </w:rPr>
        <w:t xml:space="preserve">comme il a été présenté plus tôt, </w:t>
      </w:r>
      <w:r w:rsidRPr="00BD22C2">
        <w:rPr>
          <w:rFonts w:eastAsia="Calibri"/>
          <w:lang w:val="fr-CA" w:eastAsia="en-US"/>
        </w:rPr>
        <w:t xml:space="preserve">le Guide à l’intention des milieux scolaires </w:t>
      </w:r>
      <w:r w:rsidR="00E24049" w:rsidRPr="00BD22C2">
        <w:rPr>
          <w:rFonts w:eastAsia="Calibri"/>
          <w:lang w:val="fr-CA" w:eastAsia="en-US"/>
        </w:rPr>
        <w:t>du ministère de l’Éducation</w:t>
      </w:r>
      <w:r w:rsidR="00D02E57" w:rsidRPr="00BD22C2">
        <w:rPr>
          <w:rFonts w:eastAsia="Calibri"/>
          <w:lang w:val="fr-CA" w:eastAsia="en-US"/>
        </w:rPr>
        <w:t>,</w:t>
      </w:r>
      <w:r w:rsidR="004B0AD9" w:rsidRPr="00BD22C2">
        <w:rPr>
          <w:rFonts w:eastAsia="Calibri"/>
          <w:lang w:val="fr-CA" w:eastAsia="en-US"/>
        </w:rPr>
        <w:t xml:space="preserve"> </w:t>
      </w:r>
      <w:r w:rsidR="00F9262D" w:rsidRPr="00BD22C2">
        <w:rPr>
          <w:rFonts w:eastAsia="Calibri"/>
          <w:lang w:val="fr-CA" w:eastAsia="en-US"/>
        </w:rPr>
        <w:t xml:space="preserve">qui </w:t>
      </w:r>
      <w:r w:rsidR="00492CF2" w:rsidRPr="00BD22C2">
        <w:rPr>
          <w:rFonts w:eastAsia="Calibri"/>
          <w:lang w:val="fr-CA" w:eastAsia="en-US"/>
        </w:rPr>
        <w:t>a notamment pour but d’</w:t>
      </w:r>
      <w:r w:rsidR="006742A2" w:rsidRPr="00BD22C2">
        <w:rPr>
          <w:rFonts w:eastAsia="Calibri"/>
          <w:lang w:val="fr-CA" w:eastAsia="en-US"/>
        </w:rPr>
        <w:t xml:space="preserve">assurer un accompagnement et un climat sécuritaire </w:t>
      </w:r>
      <w:r w:rsidR="004C5127" w:rsidRPr="00BD22C2">
        <w:rPr>
          <w:rFonts w:eastAsia="Calibri"/>
          <w:lang w:val="fr-CA" w:eastAsia="en-US"/>
        </w:rPr>
        <w:t>aux</w:t>
      </w:r>
      <w:r w:rsidR="006742A2" w:rsidRPr="00BD22C2">
        <w:rPr>
          <w:rFonts w:eastAsia="Calibri"/>
          <w:lang w:val="fr-CA" w:eastAsia="en-US"/>
        </w:rPr>
        <w:t xml:space="preserve"> jeunes trans et non binaires à l’école</w:t>
      </w:r>
      <w:r w:rsidR="00F9262D" w:rsidRPr="00BD22C2">
        <w:rPr>
          <w:rFonts w:eastAsia="Calibri"/>
          <w:lang w:val="fr-CA" w:eastAsia="en-US"/>
        </w:rPr>
        <w:t>,</w:t>
      </w:r>
      <w:r w:rsidR="002439E6" w:rsidRPr="00BD22C2">
        <w:rPr>
          <w:rFonts w:eastAsia="Calibri"/>
          <w:lang w:val="fr-CA" w:eastAsia="en-US"/>
        </w:rPr>
        <w:t xml:space="preserve"> propose</w:t>
      </w:r>
      <w:r w:rsidR="00EF5CB7" w:rsidRPr="00BD22C2">
        <w:rPr>
          <w:rFonts w:eastAsia="Calibri"/>
          <w:lang w:val="fr-CA" w:eastAsia="en-US"/>
        </w:rPr>
        <w:t xml:space="preserve"> </w:t>
      </w:r>
      <w:r w:rsidR="00D97B72" w:rsidRPr="00BD22C2">
        <w:rPr>
          <w:rFonts w:eastAsia="Calibri"/>
          <w:lang w:val="fr-CA" w:eastAsia="en-US"/>
        </w:rPr>
        <w:t>cinq principes fondamentaux</w:t>
      </w:r>
      <w:r w:rsidR="00CE2058" w:rsidRPr="00BD22C2">
        <w:rPr>
          <w:rFonts w:eastAsia="Calibri"/>
          <w:lang w:val="fr-CA" w:eastAsia="en-US"/>
        </w:rPr>
        <w:t xml:space="preserve"> à mettre de l’avant</w:t>
      </w:r>
      <w:r w:rsidR="008039AA" w:rsidRPr="00BD22C2">
        <w:rPr>
          <w:rFonts w:eastAsia="Calibri"/>
          <w:lang w:val="fr-CA" w:eastAsia="en-US"/>
        </w:rPr>
        <w:t>,</w:t>
      </w:r>
      <w:r w:rsidR="000C0F9C" w:rsidRPr="00BD22C2">
        <w:rPr>
          <w:rFonts w:eastAsia="Calibri"/>
          <w:lang w:val="fr-CA" w:eastAsia="en-US"/>
        </w:rPr>
        <w:t xml:space="preserve"> </w:t>
      </w:r>
      <w:r w:rsidR="00CE2058" w:rsidRPr="00BD22C2">
        <w:rPr>
          <w:rFonts w:eastAsia="Calibri"/>
          <w:lang w:val="fr-CA" w:eastAsia="en-US"/>
        </w:rPr>
        <w:t xml:space="preserve">dont </w:t>
      </w:r>
      <w:r w:rsidR="003D6635" w:rsidRPr="00BD22C2">
        <w:rPr>
          <w:rFonts w:eastAsia="Calibri"/>
          <w:lang w:val="fr-CA" w:eastAsia="en-US"/>
        </w:rPr>
        <w:t xml:space="preserve">le premier </w:t>
      </w:r>
      <w:r w:rsidR="009B2F52" w:rsidRPr="00BD22C2">
        <w:rPr>
          <w:rFonts w:eastAsia="Calibri"/>
          <w:lang w:val="fr-CA" w:eastAsia="en-US"/>
        </w:rPr>
        <w:t xml:space="preserve">est </w:t>
      </w:r>
      <w:r w:rsidR="00724C10" w:rsidRPr="00BD22C2">
        <w:rPr>
          <w:rFonts w:eastAsia="Calibri"/>
          <w:lang w:val="fr-CA" w:eastAsia="en-US"/>
        </w:rPr>
        <w:t>de</w:t>
      </w:r>
      <w:r w:rsidR="00D97B72" w:rsidRPr="00BD22C2">
        <w:rPr>
          <w:rFonts w:eastAsia="Calibri"/>
          <w:lang w:val="fr-CA" w:eastAsia="en-US"/>
        </w:rPr>
        <w:t xml:space="preserve"> </w:t>
      </w:r>
      <w:r w:rsidR="006434AE" w:rsidRPr="00BD22C2">
        <w:rPr>
          <w:rFonts w:eastAsia="Calibri"/>
          <w:lang w:val="fr-CA" w:eastAsia="en-US"/>
        </w:rPr>
        <w:t>respecter l’identité</w:t>
      </w:r>
      <w:r w:rsidR="00D97B72" w:rsidRPr="00BD22C2">
        <w:rPr>
          <w:rFonts w:eastAsia="Calibri"/>
          <w:lang w:val="fr-CA" w:eastAsia="en-US"/>
        </w:rPr>
        <w:t xml:space="preserve"> de </w:t>
      </w:r>
      <w:r w:rsidR="001D59A6" w:rsidRPr="00BD22C2">
        <w:rPr>
          <w:rFonts w:eastAsia="Calibri"/>
          <w:lang w:val="fr-CA" w:eastAsia="en-US"/>
        </w:rPr>
        <w:t xml:space="preserve">genre à laquelle s’identifie </w:t>
      </w:r>
      <w:r w:rsidR="00D97B72" w:rsidRPr="00BD22C2">
        <w:rPr>
          <w:rFonts w:eastAsia="Calibri"/>
          <w:lang w:val="fr-CA" w:eastAsia="en-US"/>
        </w:rPr>
        <w:t xml:space="preserve">l’élève, </w:t>
      </w:r>
      <w:r w:rsidR="00244A79" w:rsidRPr="00BD22C2">
        <w:rPr>
          <w:rFonts w:eastAsia="Calibri"/>
          <w:lang w:val="fr-CA" w:eastAsia="en-US"/>
        </w:rPr>
        <w:t>car «</w:t>
      </w:r>
      <w:r w:rsidR="0051216B" w:rsidRPr="00BD22C2">
        <w:rPr>
          <w:rFonts w:eastAsia="Calibri"/>
          <w:lang w:val="fr-CA" w:eastAsia="en-US"/>
        </w:rPr>
        <w:t> </w:t>
      </w:r>
      <w:r w:rsidR="00244A79" w:rsidRPr="00BD22C2">
        <w:rPr>
          <w:rFonts w:eastAsia="Calibri"/>
          <w:lang w:val="fr-CA" w:eastAsia="en-US"/>
        </w:rPr>
        <w:t xml:space="preserve">le seul </w:t>
      </w:r>
      <w:r w:rsidR="00764B95" w:rsidRPr="00BD22C2">
        <w:rPr>
          <w:rFonts w:eastAsia="Calibri"/>
          <w:lang w:val="fr-CA" w:eastAsia="en-US"/>
        </w:rPr>
        <w:t xml:space="preserve">indicateur </w:t>
      </w:r>
      <w:r w:rsidR="00244A79" w:rsidRPr="00BD22C2">
        <w:rPr>
          <w:rFonts w:eastAsia="Calibri"/>
          <w:lang w:val="fr-CA" w:eastAsia="en-US"/>
        </w:rPr>
        <w:t xml:space="preserve">fiable de l’identité de genre d’une personne trans et non binaire est son </w:t>
      </w:r>
      <w:proofErr w:type="spellStart"/>
      <w:r w:rsidR="00244A79" w:rsidRPr="00BD22C2">
        <w:rPr>
          <w:rFonts w:eastAsia="Calibri"/>
          <w:lang w:val="fr-CA" w:eastAsia="en-US"/>
        </w:rPr>
        <w:t>auto-identification</w:t>
      </w:r>
      <w:proofErr w:type="spellEnd"/>
      <w:r w:rsidR="0051216B" w:rsidRPr="00BD22C2">
        <w:rPr>
          <w:rFonts w:eastAsia="Calibri"/>
          <w:lang w:val="fr-CA" w:eastAsia="en-US"/>
        </w:rPr>
        <w:t> </w:t>
      </w:r>
      <w:r w:rsidR="00244A79" w:rsidRPr="00BD22C2">
        <w:rPr>
          <w:rFonts w:eastAsia="Calibri"/>
          <w:lang w:val="fr-CA" w:eastAsia="en-US"/>
        </w:rPr>
        <w:t>»</w:t>
      </w:r>
      <w:r w:rsidR="005018A3" w:rsidRPr="00BD22C2">
        <w:rPr>
          <w:rStyle w:val="Appeldenotedefin"/>
          <w:rFonts w:eastAsia="Calibri"/>
          <w:lang w:val="fr-CA" w:eastAsia="en-US"/>
        </w:rPr>
        <w:endnoteReference w:id="503"/>
      </w:r>
      <w:r w:rsidR="00244A79" w:rsidRPr="00BD22C2">
        <w:rPr>
          <w:rFonts w:eastAsia="Calibri"/>
          <w:lang w:val="fr-CA" w:eastAsia="en-US"/>
        </w:rPr>
        <w:t>.</w:t>
      </w:r>
      <w:r w:rsidR="003318EF" w:rsidRPr="00BD22C2">
        <w:rPr>
          <w:rFonts w:eastAsia="Calibri"/>
          <w:lang w:val="fr-CA" w:eastAsia="en-US"/>
        </w:rPr>
        <w:t xml:space="preserve"> Le guide précise en ce sens qu’il est important que l’école et les membres de son personnel </w:t>
      </w:r>
      <w:r w:rsidR="006A10A4" w:rsidRPr="00BD22C2">
        <w:rPr>
          <w:rFonts w:eastAsia="Calibri"/>
          <w:lang w:val="fr-CA" w:eastAsia="en-US"/>
        </w:rPr>
        <w:t xml:space="preserve">respectent le choix de chaque élève à cet égard et utilise </w:t>
      </w:r>
      <w:r w:rsidR="0001293E" w:rsidRPr="00BD22C2">
        <w:rPr>
          <w:rFonts w:eastAsia="Calibri"/>
          <w:lang w:val="fr-CA" w:eastAsia="en-US"/>
        </w:rPr>
        <w:t>s</w:t>
      </w:r>
      <w:r w:rsidR="00CC360C" w:rsidRPr="00BD22C2">
        <w:rPr>
          <w:rFonts w:eastAsia="Calibri"/>
          <w:lang w:val="fr-CA" w:eastAsia="en-US"/>
        </w:rPr>
        <w:t>es</w:t>
      </w:r>
      <w:r w:rsidR="0001293E" w:rsidRPr="00BD22C2">
        <w:rPr>
          <w:rFonts w:eastAsia="Calibri"/>
          <w:lang w:val="fr-CA" w:eastAsia="en-US"/>
        </w:rPr>
        <w:t xml:space="preserve"> prénom</w:t>
      </w:r>
      <w:r w:rsidR="009361C7">
        <w:rPr>
          <w:rFonts w:eastAsia="Calibri"/>
          <w:lang w:val="fr-CA" w:eastAsia="en-US"/>
        </w:rPr>
        <w:t>s</w:t>
      </w:r>
      <w:r w:rsidR="0001293E" w:rsidRPr="00BD22C2">
        <w:rPr>
          <w:rFonts w:eastAsia="Calibri"/>
          <w:lang w:val="fr-CA" w:eastAsia="en-US"/>
        </w:rPr>
        <w:t xml:space="preserve"> et pronom</w:t>
      </w:r>
      <w:r w:rsidR="00CC360C" w:rsidRPr="00BD22C2">
        <w:rPr>
          <w:rFonts w:eastAsia="Calibri"/>
          <w:lang w:val="fr-CA" w:eastAsia="en-US"/>
        </w:rPr>
        <w:t>s</w:t>
      </w:r>
      <w:r w:rsidR="0001293E" w:rsidRPr="00BD22C2">
        <w:rPr>
          <w:rFonts w:eastAsia="Calibri"/>
          <w:lang w:val="fr-CA" w:eastAsia="en-US"/>
        </w:rPr>
        <w:t xml:space="preserve"> usuels</w:t>
      </w:r>
      <w:r w:rsidRPr="00BD22C2">
        <w:rPr>
          <w:rStyle w:val="Appeldenotedefin"/>
          <w:rFonts w:eastAsia="Calibri"/>
          <w:lang w:val="fr-CA" w:eastAsia="en-US"/>
        </w:rPr>
        <w:endnoteReference w:id="504"/>
      </w:r>
      <w:r w:rsidR="0001293E" w:rsidRPr="00BD22C2">
        <w:rPr>
          <w:rFonts w:eastAsia="Calibri"/>
          <w:lang w:val="fr-CA" w:eastAsia="en-US"/>
        </w:rPr>
        <w:t xml:space="preserve">. </w:t>
      </w:r>
      <w:r w:rsidR="008C43AD" w:rsidRPr="00BD22C2">
        <w:rPr>
          <w:rFonts w:eastAsia="Calibri"/>
          <w:lang w:val="fr-CA" w:eastAsia="en-US"/>
        </w:rPr>
        <w:t xml:space="preserve">Il </w:t>
      </w:r>
      <w:r w:rsidR="008D0467" w:rsidRPr="00BD22C2">
        <w:rPr>
          <w:rFonts w:eastAsia="Calibri"/>
          <w:lang w:val="fr-CA" w:eastAsia="en-US"/>
        </w:rPr>
        <w:t>souligne</w:t>
      </w:r>
      <w:r w:rsidR="008C43AD" w:rsidRPr="00BD22C2">
        <w:rPr>
          <w:rFonts w:eastAsia="Calibri"/>
          <w:lang w:val="fr-CA" w:eastAsia="en-US"/>
        </w:rPr>
        <w:t xml:space="preserve"> </w:t>
      </w:r>
      <w:r w:rsidR="008D0467" w:rsidRPr="00BD22C2">
        <w:rPr>
          <w:rFonts w:eastAsia="Calibri"/>
          <w:lang w:val="fr-CA" w:eastAsia="en-US"/>
        </w:rPr>
        <w:t xml:space="preserve">l’encadrement légal s’appliquant en la matière : </w:t>
      </w:r>
    </w:p>
    <w:p w14:paraId="343AB45D" w14:textId="203F73EC" w:rsidR="004B44EA" w:rsidRPr="00BD22C2" w:rsidRDefault="008D0467" w:rsidP="008D0467">
      <w:pPr>
        <w:pStyle w:val="Corpsdetexte"/>
        <w:spacing w:line="240" w:lineRule="auto"/>
        <w:ind w:left="706"/>
        <w:rPr>
          <w:rFonts w:eastAsia="Calibri"/>
          <w:sz w:val="20"/>
          <w:szCs w:val="20"/>
          <w:lang w:eastAsia="en-US"/>
        </w:rPr>
      </w:pPr>
      <w:r w:rsidRPr="00BD22C2">
        <w:rPr>
          <w:rFonts w:eastAsia="Calibri"/>
          <w:sz w:val="20"/>
          <w:szCs w:val="20"/>
          <w:lang w:eastAsia="en-US"/>
        </w:rPr>
        <w:t>«</w:t>
      </w:r>
      <w:r w:rsidR="0051216B" w:rsidRPr="00BD22C2">
        <w:rPr>
          <w:rFonts w:eastAsia="Calibri"/>
          <w:sz w:val="20"/>
          <w:szCs w:val="20"/>
          <w:lang w:eastAsia="en-US"/>
        </w:rPr>
        <w:t> </w:t>
      </w:r>
      <w:r w:rsidRPr="00BD22C2">
        <w:rPr>
          <w:sz w:val="20"/>
          <w:szCs w:val="20"/>
        </w:rPr>
        <w:t>Pour ce faire, il n’est pas nécessaire que la mention de sexe</w:t>
      </w:r>
      <w:r w:rsidRPr="00BD22C2">
        <w:rPr>
          <w:rFonts w:eastAsia="Calibri"/>
          <w:sz w:val="20"/>
          <w:szCs w:val="20"/>
        </w:rPr>
        <w:t xml:space="preserve"> ou </w:t>
      </w:r>
      <w:r w:rsidRPr="00BD22C2">
        <w:rPr>
          <w:sz w:val="20"/>
          <w:szCs w:val="20"/>
        </w:rPr>
        <w:t>le prénom aient été légalement modifiés dans le registre de l’état civil du Québec ou changés dans le dossier administratif interne de l’élève. Par ailleurs, le refus intentionnel ou persistant de respecter l’identité ou l’expression de genre de l’élève trans ou non binaire peut être considéré comme une forme de harcèlement ou de discrimination susceptible d’entraîner des conséquences légales.</w:t>
      </w:r>
      <w:r w:rsidR="0051216B" w:rsidRPr="00BD22C2">
        <w:rPr>
          <w:sz w:val="20"/>
          <w:szCs w:val="20"/>
        </w:rPr>
        <w:t> </w:t>
      </w:r>
      <w:r w:rsidRPr="00BD22C2">
        <w:rPr>
          <w:sz w:val="20"/>
          <w:szCs w:val="20"/>
        </w:rPr>
        <w:t>»</w:t>
      </w:r>
      <w:r w:rsidRPr="00BD22C2">
        <w:rPr>
          <w:rStyle w:val="Appeldenotedefin"/>
          <w:sz w:val="20"/>
          <w:szCs w:val="20"/>
        </w:rPr>
        <w:endnoteReference w:id="505"/>
      </w:r>
    </w:p>
    <w:p w14:paraId="65D4196F" w14:textId="242180BB" w:rsidR="00A02F9C" w:rsidRPr="00BD22C2" w:rsidRDefault="0030569A" w:rsidP="008D0467">
      <w:pPr>
        <w:pStyle w:val="Paragraphe"/>
        <w:rPr>
          <w:rFonts w:eastAsia="Calibri"/>
          <w:lang w:val="fr-CA" w:eastAsia="en-US"/>
        </w:rPr>
      </w:pPr>
      <w:r w:rsidRPr="00BD22C2">
        <w:rPr>
          <w:rFonts w:eastAsia="Calibri"/>
          <w:lang w:val="fr-CA" w:eastAsia="en-US"/>
        </w:rPr>
        <w:t xml:space="preserve">Le ministère de l’Éducation, à travers </w:t>
      </w:r>
      <w:r w:rsidR="00784584" w:rsidRPr="00BD22C2">
        <w:rPr>
          <w:rFonts w:eastAsia="Calibri"/>
          <w:lang w:val="fr-CA" w:eastAsia="en-US"/>
        </w:rPr>
        <w:t xml:space="preserve">ce </w:t>
      </w:r>
      <w:r w:rsidRPr="00BD22C2">
        <w:rPr>
          <w:rFonts w:eastAsia="Calibri"/>
          <w:lang w:val="fr-CA" w:eastAsia="en-US"/>
        </w:rPr>
        <w:t>guide,</w:t>
      </w:r>
      <w:r w:rsidR="00963578" w:rsidRPr="00BD22C2">
        <w:rPr>
          <w:rFonts w:eastAsia="Calibri"/>
          <w:lang w:val="fr-CA" w:eastAsia="en-US"/>
        </w:rPr>
        <w:t xml:space="preserve"> invite</w:t>
      </w:r>
      <w:r w:rsidR="00CE2058" w:rsidRPr="00BD22C2">
        <w:rPr>
          <w:rFonts w:eastAsia="Calibri"/>
          <w:lang w:val="fr-CA" w:eastAsia="en-US"/>
        </w:rPr>
        <w:t xml:space="preserve"> en </w:t>
      </w:r>
      <w:r w:rsidR="00963578" w:rsidRPr="00BD22C2">
        <w:rPr>
          <w:rFonts w:eastAsia="Calibri"/>
          <w:lang w:val="fr-CA" w:eastAsia="en-US"/>
        </w:rPr>
        <w:t>outre le milieu scolaire à arrimer ses</w:t>
      </w:r>
      <w:r w:rsidR="00D97B72" w:rsidRPr="00BD22C2">
        <w:rPr>
          <w:rFonts w:eastAsia="Calibri"/>
          <w:lang w:val="fr-CA" w:eastAsia="en-US"/>
        </w:rPr>
        <w:t xml:space="preserve"> interventions à partir de l’expérience et de la volonté explicite de chaque élève (et de ses parents si l’élève a moins de 14</w:t>
      </w:r>
      <w:r w:rsidR="009D3E22">
        <w:rPr>
          <w:rFonts w:eastAsia="Calibri"/>
          <w:lang w:val="fr-CA" w:eastAsia="en-US"/>
        </w:rPr>
        <w:t> </w:t>
      </w:r>
      <w:r w:rsidR="00D97B72" w:rsidRPr="00BD22C2">
        <w:rPr>
          <w:rFonts w:eastAsia="Calibri"/>
          <w:lang w:val="fr-CA" w:eastAsia="en-US"/>
        </w:rPr>
        <w:t>ans)</w:t>
      </w:r>
      <w:r w:rsidR="00D97B72" w:rsidRPr="00BD22C2">
        <w:rPr>
          <w:rStyle w:val="Appeldenotedefin"/>
          <w:rFonts w:eastAsia="Calibri"/>
          <w:lang w:val="fr-CA" w:eastAsia="en-US"/>
        </w:rPr>
        <w:endnoteReference w:id="506"/>
      </w:r>
      <w:r w:rsidR="00D97B72" w:rsidRPr="00BD22C2">
        <w:rPr>
          <w:rFonts w:eastAsia="Calibri"/>
          <w:lang w:val="fr-CA" w:eastAsia="en-US"/>
        </w:rPr>
        <w:t xml:space="preserve">. </w:t>
      </w:r>
    </w:p>
    <w:p w14:paraId="14E0B1FC" w14:textId="72B6AD74" w:rsidR="00A02F9C" w:rsidRPr="00BD22C2" w:rsidRDefault="00334B5D" w:rsidP="00A02F9C">
      <w:pPr>
        <w:pStyle w:val="Paragraphe"/>
        <w:rPr>
          <w:rFonts w:eastAsia="Calibri"/>
          <w:lang w:val="fr-CA" w:eastAsia="en-US"/>
        </w:rPr>
      </w:pPr>
      <w:r w:rsidRPr="00BD22C2">
        <w:rPr>
          <w:rFonts w:eastAsia="Calibri"/>
          <w:lang w:val="fr-CA" w:eastAsia="en-US"/>
        </w:rPr>
        <w:t>Du point de vue de la Commission</w:t>
      </w:r>
      <w:r w:rsidR="00A02F9C" w:rsidRPr="00BD22C2">
        <w:rPr>
          <w:rFonts w:eastAsia="Calibri"/>
          <w:lang w:val="fr-CA" w:eastAsia="en-US"/>
        </w:rPr>
        <w:t xml:space="preserve">, il semble difficile de soutenir que l’assujettissement de l’utilisation des prénoms et pronoms choisis par l’enfant au consentement préalable de l’autorité </w:t>
      </w:r>
      <w:r w:rsidR="00A02F9C" w:rsidRPr="00BD22C2">
        <w:rPr>
          <w:rFonts w:eastAsia="Calibri"/>
          <w:lang w:val="fr-CA" w:eastAsia="en-US"/>
        </w:rPr>
        <w:lastRenderedPageBreak/>
        <w:t>parentale, ou la transmission de toute information relative à l’identité de genre de l’enfant sans son consentement, soient dans son</w:t>
      </w:r>
      <w:r w:rsidR="00A02F9C" w:rsidRPr="00BD22C2" w:rsidDel="008121AA">
        <w:rPr>
          <w:rFonts w:eastAsia="Calibri"/>
          <w:lang w:val="fr-CA" w:eastAsia="en-US"/>
        </w:rPr>
        <w:t xml:space="preserve"> </w:t>
      </w:r>
      <w:r w:rsidR="00A02F9C" w:rsidRPr="00BD22C2">
        <w:rPr>
          <w:rFonts w:eastAsia="Calibri"/>
          <w:lang w:val="fr-CA" w:eastAsia="en-US"/>
        </w:rPr>
        <w:t>intérêt et dans le respect de ses droits</w:t>
      </w:r>
      <w:r w:rsidR="00431BE8" w:rsidRPr="00BD22C2">
        <w:rPr>
          <w:rStyle w:val="Appeldenotedefin"/>
          <w:rFonts w:eastAsia="Calibri"/>
          <w:lang w:val="fr-CA" w:eastAsia="en-US"/>
        </w:rPr>
        <w:endnoteReference w:id="507"/>
      </w:r>
      <w:r w:rsidR="00A02F9C" w:rsidRPr="00BD22C2">
        <w:rPr>
          <w:rFonts w:eastAsia="Calibri"/>
          <w:lang w:val="fr-CA" w:eastAsia="en-US"/>
        </w:rPr>
        <w:t xml:space="preserve">. Le refus d’utiliser les prénoms et pronoms choisis d’une personne mineure pourrait, comme c’est le cas pour les adultes, constituer de la discrimination et porter atteinte à d’autres droits, notamment le droit à la sauvegarde de sa dignité, le droit au respect de sa vie privée et le droit à l’instruction publique gratuite et à la reconnaissance de son autonomie décisionnelle graduelle. </w:t>
      </w:r>
      <w:r w:rsidR="00EF3A84" w:rsidRPr="00BD22C2">
        <w:rPr>
          <w:rFonts w:eastAsia="Calibri"/>
          <w:lang w:val="fr-CA" w:eastAsia="en-US"/>
        </w:rPr>
        <w:t>De plus</w:t>
      </w:r>
      <w:r w:rsidR="00A02F9C" w:rsidRPr="00BD22C2">
        <w:rPr>
          <w:rFonts w:eastAsia="Calibri"/>
          <w:lang w:val="fr-CA" w:eastAsia="en-US"/>
        </w:rPr>
        <w:t xml:space="preserve">, une telle position ne permettrait pas une prise en compte rigoureuse de tous les éléments de sa situation particulière, comme son niveau de développement, ses besoins spécifiques et la qualité de la relation de l’enfant avec ses parents. </w:t>
      </w:r>
    </w:p>
    <w:p w14:paraId="0637276C" w14:textId="624D265A" w:rsidR="00A02F9C" w:rsidRPr="00BD22C2" w:rsidRDefault="00A02F9C" w:rsidP="00A02F9C">
      <w:pPr>
        <w:pStyle w:val="Paragraphe"/>
        <w:rPr>
          <w:rFonts w:eastAsia="Calibri"/>
          <w:lang w:val="fr-CA" w:eastAsia="en-US"/>
        </w:rPr>
      </w:pPr>
      <w:r w:rsidRPr="00BD22C2">
        <w:rPr>
          <w:rFonts w:eastAsia="Calibri"/>
          <w:lang w:val="fr-CA" w:eastAsia="en-US"/>
        </w:rPr>
        <w:t xml:space="preserve">Il ne fait toutefois aucun doute que les parents, conformément aux devoirs et responsabilités qu’ils ont envers leurs enfants, devraient être inclus dans les discussions entourant le développement de leur enfant et la transition sociale de ce dernier à l’école, lorsque cela est bénéfique pour l’enfant. Le rôle principal des parents dans l’éducation et le soin de leur enfant ne peut être ignoré, mais ce rôle doit toujours être exercé en cohérence avec </w:t>
      </w:r>
      <w:r w:rsidR="00861C1D" w:rsidRPr="00BD22C2">
        <w:rPr>
          <w:rFonts w:eastAsia="Calibri"/>
          <w:lang w:val="fr-CA" w:eastAsia="en-US"/>
        </w:rPr>
        <w:t>l’intérêt de l’enfant et le respect de ses droits</w:t>
      </w:r>
      <w:r w:rsidRPr="00BD22C2">
        <w:rPr>
          <w:rFonts w:eastAsia="Calibri"/>
          <w:lang w:val="fr-CA" w:eastAsia="en-US"/>
        </w:rPr>
        <w:t>.</w:t>
      </w:r>
    </w:p>
    <w:p w14:paraId="5221B4F6" w14:textId="77DAB57D" w:rsidR="00A02F9C" w:rsidRPr="00BD22C2" w:rsidRDefault="00A02F9C" w:rsidP="00A02F9C">
      <w:pPr>
        <w:pStyle w:val="TitreRecommandation"/>
        <w:rPr>
          <w:rFonts w:eastAsia="Calibri"/>
          <w:lang w:eastAsia="en-US"/>
        </w:rPr>
      </w:pPr>
      <w:r w:rsidRPr="00BD22C2">
        <w:rPr>
          <w:rFonts w:eastAsia="Calibri"/>
          <w:lang w:eastAsia="en-US"/>
        </w:rPr>
        <w:t>RECOMMANDATION</w:t>
      </w:r>
      <w:r w:rsidR="0091080B">
        <w:rPr>
          <w:rFonts w:eastAsia="Calibri"/>
          <w:lang w:eastAsia="en-US"/>
        </w:rPr>
        <w:t> </w:t>
      </w:r>
      <w:r w:rsidR="00FA23CD" w:rsidRPr="00BD22C2">
        <w:rPr>
          <w:rFonts w:eastAsia="Calibri"/>
          <w:lang w:eastAsia="en-US"/>
        </w:rPr>
        <w:t>1</w:t>
      </w:r>
      <w:r w:rsidR="0014682B" w:rsidRPr="00BD22C2">
        <w:rPr>
          <w:rFonts w:eastAsia="Calibri"/>
          <w:lang w:eastAsia="en-US"/>
        </w:rPr>
        <w:t>7</w:t>
      </w:r>
    </w:p>
    <w:p w14:paraId="72281A3B" w14:textId="0416A6E7" w:rsidR="00A02F9C" w:rsidRPr="00BD22C2" w:rsidRDefault="007B1CFF" w:rsidP="00A02F9C">
      <w:pPr>
        <w:pStyle w:val="Texterecommandation"/>
        <w:ind w:left="706" w:firstLine="3"/>
        <w:rPr>
          <w:lang w:eastAsia="en-US"/>
        </w:rPr>
      </w:pPr>
      <w:r w:rsidRPr="00BD22C2">
        <w:rPr>
          <w:lang w:eastAsia="en-US"/>
        </w:rPr>
        <w:t>L</w:t>
      </w:r>
      <w:r w:rsidR="00382B67" w:rsidRPr="00BD22C2">
        <w:rPr>
          <w:lang w:eastAsia="en-US"/>
        </w:rPr>
        <w:t xml:space="preserve">a </w:t>
      </w:r>
      <w:r w:rsidRPr="00BD22C2">
        <w:rPr>
          <w:lang w:eastAsia="en-US"/>
        </w:rPr>
        <w:t>C</w:t>
      </w:r>
      <w:r w:rsidR="00382B67" w:rsidRPr="00BD22C2">
        <w:rPr>
          <w:lang w:eastAsia="en-US"/>
        </w:rPr>
        <w:t>ommission</w:t>
      </w:r>
      <w:r w:rsidR="00A02F9C" w:rsidRPr="00BD22C2">
        <w:rPr>
          <w:lang w:eastAsia="en-US"/>
        </w:rPr>
        <w:t xml:space="preserve"> recommande au </w:t>
      </w:r>
      <w:r w:rsidR="00275973" w:rsidRPr="00BD22C2">
        <w:rPr>
          <w:lang w:eastAsia="en-US"/>
        </w:rPr>
        <w:t>C</w:t>
      </w:r>
      <w:r w:rsidR="00382B67" w:rsidRPr="00BD22C2">
        <w:rPr>
          <w:lang w:eastAsia="en-US"/>
        </w:rPr>
        <w:t>omit</w:t>
      </w:r>
      <w:r w:rsidR="00382B67" w:rsidRPr="00BD22C2">
        <w:rPr>
          <w:rFonts w:hint="eastAsia"/>
          <w:lang w:eastAsia="en-US"/>
        </w:rPr>
        <w:t>é</w:t>
      </w:r>
      <w:r w:rsidR="00A02F9C" w:rsidRPr="00BD22C2">
        <w:rPr>
          <w:lang w:eastAsia="en-US"/>
        </w:rPr>
        <w:t xml:space="preserve"> de sages sur l’identité de </w:t>
      </w:r>
      <w:r w:rsidR="00A85D7F" w:rsidRPr="00BD22C2">
        <w:rPr>
          <w:lang w:eastAsia="en-US"/>
        </w:rPr>
        <w:t xml:space="preserve">genre </w:t>
      </w:r>
      <w:r w:rsidRPr="00BD22C2">
        <w:rPr>
          <w:lang w:eastAsia="en-US"/>
        </w:rPr>
        <w:t xml:space="preserve">de </w:t>
      </w:r>
      <w:r w:rsidR="00382B67" w:rsidRPr="00BD22C2">
        <w:rPr>
          <w:lang w:eastAsia="en-US"/>
        </w:rPr>
        <w:t>porte</w:t>
      </w:r>
      <w:r w:rsidRPr="00BD22C2">
        <w:rPr>
          <w:lang w:eastAsia="en-US"/>
        </w:rPr>
        <w:t>r</w:t>
      </w:r>
      <w:r w:rsidR="00382B67" w:rsidRPr="00BD22C2">
        <w:rPr>
          <w:lang w:eastAsia="en-US"/>
        </w:rPr>
        <w:t xml:space="preserve"> </w:t>
      </w:r>
      <w:r w:rsidR="00382B67" w:rsidRPr="00BD22C2">
        <w:rPr>
          <w:rFonts w:hint="eastAsia"/>
          <w:lang w:eastAsia="en-US"/>
        </w:rPr>
        <w:t>à</w:t>
      </w:r>
      <w:r w:rsidR="00382B67" w:rsidRPr="00BD22C2">
        <w:rPr>
          <w:lang w:eastAsia="en-US"/>
        </w:rPr>
        <w:t xml:space="preserve"> l’attention du gouvernement l</w:t>
      </w:r>
      <w:r w:rsidR="00463478" w:rsidRPr="00BD22C2">
        <w:rPr>
          <w:lang w:eastAsia="en-US"/>
        </w:rPr>
        <w:t>’</w:t>
      </w:r>
      <w:r w:rsidR="00382B67" w:rsidRPr="00BD22C2">
        <w:rPr>
          <w:lang w:eastAsia="en-US"/>
        </w:rPr>
        <w:t xml:space="preserve">importance </w:t>
      </w:r>
      <w:r w:rsidR="00A229E8" w:rsidRPr="00BD22C2">
        <w:rPr>
          <w:lang w:eastAsia="en-US"/>
        </w:rPr>
        <w:t>que soi</w:t>
      </w:r>
      <w:r w:rsidR="004B2818" w:rsidRPr="00BD22C2">
        <w:rPr>
          <w:lang w:eastAsia="en-US"/>
        </w:rPr>
        <w:t>en</w:t>
      </w:r>
      <w:r w:rsidR="00A229E8" w:rsidRPr="00BD22C2">
        <w:rPr>
          <w:lang w:eastAsia="en-US"/>
        </w:rPr>
        <w:t>t</w:t>
      </w:r>
      <w:r w:rsidR="00382B67" w:rsidRPr="00BD22C2">
        <w:rPr>
          <w:lang w:eastAsia="en-US"/>
        </w:rPr>
        <w:t xml:space="preserve"> la</w:t>
      </w:r>
      <w:r w:rsidR="00A229E8" w:rsidRPr="00BD22C2">
        <w:rPr>
          <w:lang w:eastAsia="en-US"/>
        </w:rPr>
        <w:t>r</w:t>
      </w:r>
      <w:r w:rsidR="00382B67" w:rsidRPr="00BD22C2">
        <w:rPr>
          <w:lang w:eastAsia="en-US"/>
        </w:rPr>
        <w:t xml:space="preserve">gement </w:t>
      </w:r>
      <w:r w:rsidR="00A229E8" w:rsidRPr="00BD22C2">
        <w:rPr>
          <w:lang w:eastAsia="en-US"/>
        </w:rPr>
        <w:t>diffusé</w:t>
      </w:r>
      <w:r w:rsidR="004B2818" w:rsidRPr="00BD22C2">
        <w:rPr>
          <w:lang w:eastAsia="en-US"/>
        </w:rPr>
        <w:t>es</w:t>
      </w:r>
      <w:r w:rsidR="00382B67" w:rsidRPr="00BD22C2">
        <w:rPr>
          <w:lang w:eastAsia="en-US"/>
        </w:rPr>
        <w:t xml:space="preserve"> aupr</w:t>
      </w:r>
      <w:r w:rsidR="00382B67" w:rsidRPr="00BD22C2">
        <w:rPr>
          <w:rFonts w:hint="eastAsia"/>
          <w:lang w:eastAsia="en-US"/>
        </w:rPr>
        <w:t>è</w:t>
      </w:r>
      <w:r w:rsidR="00382B67" w:rsidRPr="00BD22C2">
        <w:rPr>
          <w:lang w:eastAsia="en-US"/>
        </w:rPr>
        <w:t xml:space="preserve">s de </w:t>
      </w:r>
      <w:r w:rsidR="007F2C23" w:rsidRPr="00BD22C2">
        <w:rPr>
          <w:lang w:eastAsia="en-US"/>
        </w:rPr>
        <w:t xml:space="preserve">l’ensemble </w:t>
      </w:r>
      <w:r w:rsidR="00382B67" w:rsidRPr="00BD22C2">
        <w:rPr>
          <w:lang w:eastAsia="en-US"/>
        </w:rPr>
        <w:t>du milieu scolaire</w:t>
      </w:r>
      <w:r w:rsidR="007F2C23" w:rsidRPr="00BD22C2">
        <w:rPr>
          <w:lang w:eastAsia="en-US"/>
        </w:rPr>
        <w:t xml:space="preserve"> </w:t>
      </w:r>
      <w:r w:rsidR="00082D0C" w:rsidRPr="00BD22C2">
        <w:rPr>
          <w:lang w:eastAsia="en-US"/>
        </w:rPr>
        <w:t xml:space="preserve">les lignes directrices </w:t>
      </w:r>
      <w:r w:rsidR="00A02F9C" w:rsidRPr="00BD22C2">
        <w:rPr>
          <w:lang w:eastAsia="en-US"/>
        </w:rPr>
        <w:t xml:space="preserve">concernant </w:t>
      </w:r>
      <w:r w:rsidR="00382B67" w:rsidRPr="00BD22C2">
        <w:rPr>
          <w:lang w:eastAsia="en-US"/>
        </w:rPr>
        <w:t>l</w:t>
      </w:r>
      <w:r w:rsidR="005444BD" w:rsidRPr="00BD22C2">
        <w:rPr>
          <w:lang w:eastAsia="en-US"/>
        </w:rPr>
        <w:t>’</w:t>
      </w:r>
      <w:proofErr w:type="spellStart"/>
      <w:r w:rsidR="005444BD" w:rsidRPr="00BD22C2">
        <w:rPr>
          <w:lang w:eastAsia="en-US"/>
        </w:rPr>
        <w:t>auto</w:t>
      </w:r>
      <w:r w:rsidR="001C15E3" w:rsidRPr="00BD22C2">
        <w:rPr>
          <w:lang w:eastAsia="en-US"/>
        </w:rPr>
        <w:t>-</w:t>
      </w:r>
      <w:r w:rsidR="005444BD" w:rsidRPr="00BD22C2">
        <w:rPr>
          <w:lang w:eastAsia="en-US"/>
        </w:rPr>
        <w:t>identification</w:t>
      </w:r>
      <w:proofErr w:type="spellEnd"/>
      <w:r w:rsidR="00382B67" w:rsidRPr="00BD22C2">
        <w:rPr>
          <w:lang w:eastAsia="en-US"/>
        </w:rPr>
        <w:t xml:space="preserve"> et </w:t>
      </w:r>
      <w:r w:rsidR="00A02F9C" w:rsidRPr="00BD22C2">
        <w:rPr>
          <w:lang w:eastAsia="en-US"/>
        </w:rPr>
        <w:t xml:space="preserve">l’utilisation des </w:t>
      </w:r>
      <w:r w:rsidR="00382B67" w:rsidRPr="00BD22C2">
        <w:rPr>
          <w:lang w:eastAsia="en-US"/>
        </w:rPr>
        <w:t>pr</w:t>
      </w:r>
      <w:r w:rsidR="00382B67" w:rsidRPr="00BD22C2">
        <w:rPr>
          <w:rFonts w:hint="eastAsia"/>
          <w:lang w:eastAsia="en-US"/>
        </w:rPr>
        <w:t>é</w:t>
      </w:r>
      <w:r w:rsidR="00382B67" w:rsidRPr="00BD22C2">
        <w:rPr>
          <w:lang w:eastAsia="en-US"/>
        </w:rPr>
        <w:t>nom</w:t>
      </w:r>
      <w:r w:rsidR="009361C7">
        <w:rPr>
          <w:lang w:eastAsia="en-US"/>
        </w:rPr>
        <w:t>s</w:t>
      </w:r>
      <w:r w:rsidR="00A02F9C" w:rsidRPr="00BD22C2">
        <w:rPr>
          <w:lang w:eastAsia="en-US"/>
        </w:rPr>
        <w:t xml:space="preserve"> et pronom</w:t>
      </w:r>
      <w:r w:rsidR="00793D99" w:rsidRPr="00BD22C2">
        <w:rPr>
          <w:lang w:eastAsia="en-US"/>
        </w:rPr>
        <w:t>s</w:t>
      </w:r>
      <w:r w:rsidR="00A02F9C" w:rsidRPr="00BD22C2">
        <w:rPr>
          <w:lang w:eastAsia="en-US"/>
        </w:rPr>
        <w:t xml:space="preserve"> </w:t>
      </w:r>
      <w:r w:rsidR="00382B67" w:rsidRPr="00BD22C2">
        <w:rPr>
          <w:lang w:eastAsia="en-US"/>
        </w:rPr>
        <w:t>usuels de l</w:t>
      </w:r>
      <w:r w:rsidR="00463478" w:rsidRPr="00BD22C2">
        <w:rPr>
          <w:lang w:eastAsia="en-US"/>
        </w:rPr>
        <w:t>’</w:t>
      </w:r>
      <w:r w:rsidR="00382B67" w:rsidRPr="00BD22C2">
        <w:rPr>
          <w:rFonts w:hint="eastAsia"/>
          <w:lang w:eastAsia="en-US"/>
        </w:rPr>
        <w:t>é</w:t>
      </w:r>
      <w:r w:rsidR="00382B67" w:rsidRPr="00BD22C2">
        <w:rPr>
          <w:lang w:eastAsia="en-US"/>
        </w:rPr>
        <w:t>l</w:t>
      </w:r>
      <w:r w:rsidR="00382B67" w:rsidRPr="00BD22C2">
        <w:rPr>
          <w:rFonts w:hint="eastAsia"/>
          <w:lang w:eastAsia="en-US"/>
        </w:rPr>
        <w:t>è</w:t>
      </w:r>
      <w:r w:rsidR="00382B67" w:rsidRPr="00BD22C2">
        <w:rPr>
          <w:lang w:eastAsia="en-US"/>
        </w:rPr>
        <w:t>ve</w:t>
      </w:r>
      <w:r w:rsidR="00DA4F90" w:rsidRPr="00BD22C2">
        <w:rPr>
          <w:lang w:eastAsia="en-US"/>
        </w:rPr>
        <w:t>,</w:t>
      </w:r>
      <w:r w:rsidR="00A02F9C" w:rsidRPr="00BD22C2">
        <w:rPr>
          <w:lang w:eastAsia="en-US"/>
        </w:rPr>
        <w:t xml:space="preserve"> de façon à promouvoir une approche d’ouverture, d’acceptation et de soutien de l’identité de genre des </w:t>
      </w:r>
      <w:r w:rsidR="00F455BF" w:rsidRPr="00BD22C2">
        <w:rPr>
          <w:lang w:eastAsia="en-US"/>
        </w:rPr>
        <w:t>en</w:t>
      </w:r>
      <w:r w:rsidR="00463478" w:rsidRPr="00BD22C2">
        <w:rPr>
          <w:lang w:eastAsia="en-US"/>
        </w:rPr>
        <w:t>f</w:t>
      </w:r>
      <w:r w:rsidR="00F455BF" w:rsidRPr="00BD22C2">
        <w:rPr>
          <w:lang w:eastAsia="en-US"/>
        </w:rPr>
        <w:t xml:space="preserve">ants et des </w:t>
      </w:r>
      <w:r w:rsidR="00A02F9C" w:rsidRPr="00BD22C2">
        <w:rPr>
          <w:lang w:eastAsia="en-US"/>
        </w:rPr>
        <w:t xml:space="preserve">jeunes, </w:t>
      </w:r>
      <w:r w:rsidR="00382B67" w:rsidRPr="00BD22C2">
        <w:rPr>
          <w:lang w:eastAsia="en-US"/>
        </w:rPr>
        <w:t>et afin de</w:t>
      </w:r>
      <w:r w:rsidR="00A02F9C" w:rsidRPr="00BD22C2">
        <w:rPr>
          <w:lang w:eastAsia="en-US"/>
        </w:rPr>
        <w:t xml:space="preserve"> faciliter leur transition sociale</w:t>
      </w:r>
      <w:r w:rsidR="009B115A" w:rsidRPr="00BD22C2">
        <w:rPr>
          <w:lang w:eastAsia="en-US"/>
        </w:rPr>
        <w:t xml:space="preserve"> à travers le réseau scolaire</w:t>
      </w:r>
      <w:r w:rsidR="00A02F9C" w:rsidRPr="00BD22C2">
        <w:rPr>
          <w:lang w:eastAsia="en-US"/>
        </w:rPr>
        <w:t>.</w:t>
      </w:r>
    </w:p>
    <w:p w14:paraId="4688993A" w14:textId="1E0306CF" w:rsidR="009B115A" w:rsidRPr="00BD22C2" w:rsidRDefault="009B115A" w:rsidP="00A02F9C">
      <w:pPr>
        <w:pStyle w:val="TitreRecommandation"/>
        <w:rPr>
          <w:rFonts w:eastAsia="Calibri"/>
          <w:lang w:eastAsia="en-US"/>
        </w:rPr>
      </w:pPr>
    </w:p>
    <w:p w14:paraId="0E404E67" w14:textId="77777777" w:rsidR="004D384D" w:rsidRPr="00BD22C2" w:rsidRDefault="004D384D" w:rsidP="00EF1CB2">
      <w:pPr>
        <w:pStyle w:val="Titre3"/>
        <w:rPr>
          <w:rFonts w:eastAsia="Calibri"/>
          <w:lang w:eastAsia="en-US"/>
        </w:rPr>
      </w:pPr>
      <w:bookmarkStart w:id="203" w:name="_Toc165301052"/>
      <w:bookmarkStart w:id="204" w:name="_Toc165636138"/>
      <w:r w:rsidRPr="00BD22C2">
        <w:rPr>
          <w:rFonts w:eastAsia="Calibri"/>
          <w:lang w:eastAsia="en-US"/>
        </w:rPr>
        <w:t>Un programme d’enseignement et des apprentissages orientés par l’éducation aux droits</w:t>
      </w:r>
      <w:bookmarkEnd w:id="203"/>
      <w:bookmarkEnd w:id="204"/>
      <w:r w:rsidRPr="00BD22C2">
        <w:rPr>
          <w:rFonts w:eastAsia="Calibri"/>
          <w:lang w:eastAsia="en-US"/>
        </w:rPr>
        <w:t xml:space="preserve">  </w:t>
      </w:r>
    </w:p>
    <w:p w14:paraId="7DDCF6FB" w14:textId="1D10749C" w:rsidR="004D384D" w:rsidRPr="00BD22C2" w:rsidRDefault="004D384D" w:rsidP="00FB6B0E">
      <w:pPr>
        <w:pStyle w:val="Paragraphe"/>
        <w:rPr>
          <w:rFonts w:eastAsia="Calibri"/>
          <w:lang w:val="fr-CA" w:eastAsia="en-US"/>
        </w:rPr>
      </w:pPr>
      <w:r w:rsidRPr="00BD22C2">
        <w:rPr>
          <w:rFonts w:eastAsia="Calibri"/>
          <w:lang w:val="fr-CA"/>
        </w:rPr>
        <w:t>En plus de se refléter dans les normes et pratiques de l’école, l’éducation aux droits et libertés doit nécessairement traverser le programme d’enseignement</w:t>
      </w:r>
      <w:r w:rsidRPr="00BD22C2">
        <w:rPr>
          <w:rFonts w:eastAsia="Calibri"/>
          <w:lang w:val="fr-CA" w:eastAsia="en-US"/>
        </w:rPr>
        <w:t xml:space="preserve">. </w:t>
      </w:r>
    </w:p>
    <w:p w14:paraId="11A5CF7F" w14:textId="4945DE45" w:rsidR="006921B2" w:rsidRPr="00BD22C2" w:rsidRDefault="006921B2" w:rsidP="001E26FD">
      <w:pPr>
        <w:pStyle w:val="Titre4"/>
        <w:numPr>
          <w:ilvl w:val="0"/>
          <w:numId w:val="34"/>
        </w:numPr>
      </w:pPr>
      <w:bookmarkStart w:id="205" w:name="_Toc165636139"/>
      <w:r w:rsidRPr="00BD22C2">
        <w:t>Principes généraux</w:t>
      </w:r>
      <w:bookmarkEnd w:id="205"/>
    </w:p>
    <w:p w14:paraId="0089A982" w14:textId="76C2D426" w:rsidR="0056643B" w:rsidRPr="00BD22C2" w:rsidRDefault="004D384D" w:rsidP="00651EF8">
      <w:pPr>
        <w:pStyle w:val="Paragraphe"/>
        <w:rPr>
          <w:szCs w:val="22"/>
          <w:lang w:val="fr-CA"/>
        </w:rPr>
      </w:pPr>
      <w:r w:rsidRPr="00BD22C2">
        <w:rPr>
          <w:lang w:val="fr-CA"/>
        </w:rPr>
        <w:t>Selon le Comité des droits de l’enfant, les États doivent «</w:t>
      </w:r>
      <w:r w:rsidR="00974BD5" w:rsidRPr="00BD22C2">
        <w:rPr>
          <w:lang w:val="fr-CA"/>
        </w:rPr>
        <w:t> </w:t>
      </w:r>
      <w:r w:rsidRPr="00BD22C2">
        <w:rPr>
          <w:lang w:val="fr-CA"/>
        </w:rPr>
        <w:t>dispenser une éducation qui est propre à promouvoir la compréhension et l’appréciation des valeurs [comme] le respect des différences, et à lutter contre toutes les formes de discrimination et de préjugés</w:t>
      </w:r>
      <w:r w:rsidR="00974BD5" w:rsidRPr="00BD22C2">
        <w:rPr>
          <w:lang w:val="fr-CA"/>
        </w:rPr>
        <w:t> </w:t>
      </w:r>
      <w:r w:rsidRPr="00BD22C2">
        <w:rPr>
          <w:lang w:val="fr-CA"/>
        </w:rPr>
        <w:t>»</w:t>
      </w:r>
      <w:r w:rsidRPr="00BD22C2">
        <w:rPr>
          <w:rStyle w:val="Appeldenotedefin"/>
          <w:lang w:val="fr-CA"/>
        </w:rPr>
        <w:endnoteReference w:id="508"/>
      </w:r>
      <w:r w:rsidR="00957C10" w:rsidRPr="00BD22C2">
        <w:rPr>
          <w:lang w:val="fr-CA"/>
        </w:rPr>
        <w:t xml:space="preserve"> y compris</w:t>
      </w:r>
      <w:r w:rsidR="00F7634F" w:rsidRPr="00BD22C2">
        <w:rPr>
          <w:lang w:val="fr-CA"/>
        </w:rPr>
        <w:t xml:space="preserve"> </w:t>
      </w:r>
      <w:r w:rsidR="006453FB" w:rsidRPr="00BD22C2">
        <w:rPr>
          <w:lang w:val="fr-CA"/>
        </w:rPr>
        <w:lastRenderedPageBreak/>
        <w:t>ceux ciblant</w:t>
      </w:r>
      <w:r w:rsidR="0068760B" w:rsidRPr="00BD22C2">
        <w:rPr>
          <w:rFonts w:eastAsia="Calibri"/>
          <w:lang w:val="fr-CA"/>
        </w:rPr>
        <w:t xml:space="preserve"> les </w:t>
      </w:r>
      <w:r w:rsidR="006453FB" w:rsidRPr="00BD22C2">
        <w:rPr>
          <w:lang w:val="fr-CA"/>
        </w:rPr>
        <w:t>enfants</w:t>
      </w:r>
      <w:r w:rsidR="0068760B" w:rsidRPr="00BD22C2">
        <w:rPr>
          <w:rFonts w:eastAsia="Calibri"/>
          <w:lang w:val="fr-CA"/>
        </w:rPr>
        <w:t xml:space="preserve"> et </w:t>
      </w:r>
      <w:r w:rsidR="006453FB" w:rsidRPr="00BD22C2">
        <w:rPr>
          <w:lang w:val="fr-CA"/>
        </w:rPr>
        <w:t>jeunes trans</w:t>
      </w:r>
      <w:r w:rsidR="0068760B" w:rsidRPr="00BD22C2">
        <w:rPr>
          <w:rFonts w:eastAsia="Calibri"/>
          <w:lang w:val="fr-CA"/>
        </w:rPr>
        <w:t xml:space="preserve"> et </w:t>
      </w:r>
      <w:r w:rsidR="006453FB" w:rsidRPr="00BD22C2" w:rsidDel="00960345">
        <w:rPr>
          <w:lang w:val="fr-CA"/>
        </w:rPr>
        <w:t>non</w:t>
      </w:r>
      <w:r w:rsidR="00960345" w:rsidRPr="00BD22C2">
        <w:rPr>
          <w:lang w:val="fr-CA"/>
        </w:rPr>
        <w:t xml:space="preserve"> binaires</w:t>
      </w:r>
      <w:r w:rsidRPr="00BD22C2">
        <w:rPr>
          <w:lang w:val="fr-CA"/>
        </w:rPr>
        <w:t xml:space="preserve">. </w:t>
      </w:r>
      <w:r w:rsidR="00E44E52" w:rsidRPr="00BD22C2">
        <w:rPr>
          <w:szCs w:val="22"/>
          <w:lang w:val="fr-CA"/>
        </w:rPr>
        <w:t>C</w:t>
      </w:r>
      <w:r w:rsidR="00FB757E" w:rsidRPr="00BD22C2">
        <w:rPr>
          <w:szCs w:val="22"/>
          <w:lang w:val="fr-CA"/>
        </w:rPr>
        <w:t>omme indiqué précédemment</w:t>
      </w:r>
      <w:r w:rsidRPr="00BD22C2">
        <w:rPr>
          <w:szCs w:val="22"/>
          <w:lang w:val="fr-CA"/>
        </w:rPr>
        <w:t xml:space="preserve">, ce comité onusien a formulé </w:t>
      </w:r>
      <w:r w:rsidR="00E44E52" w:rsidRPr="00BD22C2">
        <w:rPr>
          <w:szCs w:val="22"/>
          <w:lang w:val="fr-CA"/>
        </w:rPr>
        <w:t xml:space="preserve">en 2022 </w:t>
      </w:r>
      <w:r w:rsidRPr="00BD22C2">
        <w:rPr>
          <w:szCs w:val="22"/>
          <w:lang w:val="fr-CA"/>
        </w:rPr>
        <w:t>une recommandation spécifique à l’endroit du Canada concernant ses responsabilités et obligations en matière d’éducation en lui demandant de «</w:t>
      </w:r>
      <w:r w:rsidR="00974BD5" w:rsidRPr="00BD22C2">
        <w:rPr>
          <w:szCs w:val="22"/>
          <w:lang w:val="fr-CA"/>
        </w:rPr>
        <w:t> </w:t>
      </w:r>
      <w:r w:rsidRPr="00BD22C2">
        <w:rPr>
          <w:szCs w:val="22"/>
          <w:lang w:val="fr-CA"/>
        </w:rPr>
        <w:t>redoubler d’efforts pour promouvoir l’instauration d’une culture des droits de l’homme dans le système éducatif</w:t>
      </w:r>
      <w:r w:rsidR="00974BD5" w:rsidRPr="00BD22C2">
        <w:rPr>
          <w:szCs w:val="22"/>
          <w:lang w:val="fr-CA"/>
        </w:rPr>
        <w:t> </w:t>
      </w:r>
      <w:r w:rsidRPr="00BD22C2">
        <w:rPr>
          <w:szCs w:val="22"/>
          <w:lang w:val="fr-CA"/>
        </w:rPr>
        <w:t>»</w:t>
      </w:r>
      <w:r w:rsidR="007D49BC" w:rsidRPr="00BD22C2">
        <w:rPr>
          <w:rStyle w:val="Appeldenotedefin"/>
          <w:szCs w:val="22"/>
          <w:lang w:val="fr-CA"/>
        </w:rPr>
        <w:endnoteReference w:id="509"/>
      </w:r>
      <w:r w:rsidR="00FB757E" w:rsidRPr="00BD22C2">
        <w:rPr>
          <w:szCs w:val="22"/>
          <w:lang w:val="fr-CA"/>
        </w:rPr>
        <w:t xml:space="preserve">. Pour ce faire, il lui a également demandé </w:t>
      </w:r>
      <w:r w:rsidRPr="00BD22C2">
        <w:rPr>
          <w:szCs w:val="22"/>
          <w:lang w:val="fr-CA"/>
        </w:rPr>
        <w:t>de «</w:t>
      </w:r>
      <w:r w:rsidR="00974BD5" w:rsidRPr="00BD22C2">
        <w:rPr>
          <w:szCs w:val="22"/>
          <w:lang w:val="fr-CA"/>
        </w:rPr>
        <w:t> </w:t>
      </w:r>
      <w:r w:rsidRPr="00BD22C2">
        <w:rPr>
          <w:szCs w:val="22"/>
          <w:lang w:val="fr-CA"/>
        </w:rPr>
        <w:t>veiller à ce que l’éducation aux droits de l’homme et les principes de la Convention soient intégrés dans les programmes scolaires obligatoires des provinces et territoires</w:t>
      </w:r>
      <w:r w:rsidR="00974BD5" w:rsidRPr="00BD22C2">
        <w:rPr>
          <w:szCs w:val="22"/>
          <w:lang w:val="fr-CA"/>
        </w:rPr>
        <w:t> </w:t>
      </w:r>
      <w:r w:rsidRPr="00BD22C2">
        <w:rPr>
          <w:szCs w:val="22"/>
          <w:lang w:val="fr-CA"/>
        </w:rPr>
        <w:t>»</w:t>
      </w:r>
      <w:r w:rsidRPr="00BD22C2">
        <w:rPr>
          <w:rStyle w:val="Appeldenotedefin"/>
          <w:szCs w:val="22"/>
          <w:lang w:val="fr-CA"/>
        </w:rPr>
        <w:endnoteReference w:id="510"/>
      </w:r>
      <w:r w:rsidRPr="00BD22C2">
        <w:rPr>
          <w:szCs w:val="22"/>
          <w:lang w:val="fr-CA"/>
        </w:rPr>
        <w:t>.</w:t>
      </w:r>
    </w:p>
    <w:p w14:paraId="70EBE9E2" w14:textId="7D24581C" w:rsidR="00DB0A8A" w:rsidRPr="00594204" w:rsidRDefault="008F1FED" w:rsidP="200D37BA">
      <w:pPr>
        <w:pStyle w:val="Paragraphe"/>
        <w:rPr>
          <w:rFonts w:eastAsia="Calibri"/>
          <w:lang w:val="fr-CA" w:eastAsia="en-US"/>
        </w:rPr>
      </w:pPr>
      <w:r w:rsidRPr="00594204">
        <w:rPr>
          <w:rFonts w:eastAsia="Calibri"/>
          <w:lang w:val="fr-CA" w:eastAsia="en-US"/>
        </w:rPr>
        <w:t>L</w:t>
      </w:r>
      <w:r w:rsidR="00DB0A8A" w:rsidRPr="00594204">
        <w:rPr>
          <w:rFonts w:eastAsia="Calibri"/>
          <w:lang w:val="fr-CA" w:eastAsia="en-US"/>
        </w:rPr>
        <w:t xml:space="preserve">a Commission tient </w:t>
      </w:r>
      <w:r w:rsidRPr="00594204">
        <w:rPr>
          <w:rFonts w:eastAsia="Calibri"/>
          <w:lang w:val="fr-CA" w:eastAsia="en-US"/>
        </w:rPr>
        <w:t>d’abord</w:t>
      </w:r>
      <w:r w:rsidR="00DB0A8A" w:rsidRPr="00594204">
        <w:rPr>
          <w:rFonts w:eastAsia="Calibri"/>
          <w:lang w:val="fr-CA" w:eastAsia="en-US"/>
        </w:rPr>
        <w:t xml:space="preserve"> à réitérer le rôle de l’école et la mission de socialisation qui lui est impartie</w:t>
      </w:r>
      <w:r w:rsidRPr="00594204">
        <w:rPr>
          <w:rFonts w:eastAsia="Calibri"/>
          <w:lang w:val="fr-CA" w:eastAsia="en-US"/>
        </w:rPr>
        <w:t>, en appelant</w:t>
      </w:r>
      <w:r w:rsidR="00A66E8E" w:rsidRPr="00594204">
        <w:rPr>
          <w:rFonts w:eastAsia="Calibri"/>
          <w:lang w:val="fr-CA" w:eastAsia="en-US"/>
        </w:rPr>
        <w:t xml:space="preserve">, notamment dans le curriculum formel, </w:t>
      </w:r>
      <w:r w:rsidR="00DB0A8A" w:rsidRPr="00594204">
        <w:rPr>
          <w:rFonts w:eastAsia="Calibri"/>
          <w:lang w:val="fr-CA" w:eastAsia="en-US"/>
        </w:rPr>
        <w:t>à une prise en charge</w:t>
      </w:r>
      <w:r w:rsidR="00A66E8E" w:rsidRPr="00594204">
        <w:rPr>
          <w:rFonts w:eastAsia="Calibri"/>
          <w:lang w:val="fr-CA" w:eastAsia="en-US"/>
        </w:rPr>
        <w:t xml:space="preserve"> </w:t>
      </w:r>
      <w:r w:rsidR="00DB0A8A" w:rsidRPr="00594204">
        <w:rPr>
          <w:rFonts w:eastAsia="Calibri"/>
          <w:lang w:val="fr-CA" w:eastAsia="en-US"/>
        </w:rPr>
        <w:t xml:space="preserve">sérieuse </w:t>
      </w:r>
      <w:r w:rsidR="007B213F" w:rsidRPr="00594204">
        <w:rPr>
          <w:rFonts w:eastAsia="Calibri"/>
          <w:lang w:val="fr-CA" w:eastAsia="en-US"/>
        </w:rPr>
        <w:t xml:space="preserve">et </w:t>
      </w:r>
      <w:r w:rsidR="000350FA" w:rsidRPr="00594204">
        <w:rPr>
          <w:rFonts w:eastAsia="Calibri"/>
          <w:lang w:val="fr-CA" w:eastAsia="en-US"/>
        </w:rPr>
        <w:t xml:space="preserve">progressive </w:t>
      </w:r>
      <w:r w:rsidR="00A66E8E" w:rsidRPr="00594204">
        <w:rPr>
          <w:rFonts w:eastAsia="Calibri"/>
          <w:lang w:val="fr-CA" w:eastAsia="en-US"/>
        </w:rPr>
        <w:t>de ces questions</w:t>
      </w:r>
      <w:r w:rsidR="007B213F" w:rsidRPr="00594204">
        <w:rPr>
          <w:rFonts w:eastAsia="Calibri"/>
          <w:lang w:val="fr-CA" w:eastAsia="en-US"/>
        </w:rPr>
        <w:t xml:space="preserve"> afin de respecter</w:t>
      </w:r>
      <w:r w:rsidR="000350FA" w:rsidRPr="00594204">
        <w:rPr>
          <w:rFonts w:eastAsia="Calibri"/>
          <w:lang w:val="fr-CA" w:eastAsia="en-US"/>
        </w:rPr>
        <w:t xml:space="preserve"> le niveau de développement des enfants.</w:t>
      </w:r>
      <w:r w:rsidR="00DB0A8A" w:rsidRPr="00594204">
        <w:rPr>
          <w:rFonts w:eastAsia="Calibri"/>
          <w:lang w:val="fr-CA" w:eastAsia="en-US"/>
        </w:rPr>
        <w:t xml:space="preserve"> </w:t>
      </w:r>
      <w:r w:rsidR="006452DF" w:rsidRPr="00594204">
        <w:rPr>
          <w:rFonts w:eastAsia="Calibri"/>
          <w:lang w:val="fr-CA" w:eastAsia="en-US"/>
        </w:rPr>
        <w:t>À ce sujet, notons que l’actuel programme de Culture et citoyenneté québécoise</w:t>
      </w:r>
      <w:r w:rsidR="00E21C3D" w:rsidRPr="00594204">
        <w:rPr>
          <w:rFonts w:eastAsia="Calibri"/>
          <w:lang w:val="fr-CA" w:eastAsia="en-US"/>
        </w:rPr>
        <w:t>, sur lequel nous nous pencherons davantage dans la section qui suit,</w:t>
      </w:r>
      <w:r w:rsidR="006452DF" w:rsidRPr="00594204">
        <w:rPr>
          <w:rFonts w:eastAsia="Calibri"/>
          <w:lang w:val="fr-CA" w:eastAsia="en-US"/>
        </w:rPr>
        <w:t xml:space="preserve"> suggère </w:t>
      </w:r>
      <w:r w:rsidR="00CC02CF" w:rsidRPr="00594204">
        <w:rPr>
          <w:rFonts w:eastAsia="Calibri"/>
          <w:lang w:val="fr-CA" w:eastAsia="en-US"/>
        </w:rPr>
        <w:t xml:space="preserve">une séquence </w:t>
      </w:r>
      <w:r w:rsidR="00CE1228" w:rsidRPr="00594204">
        <w:rPr>
          <w:rFonts w:eastAsia="Calibri"/>
          <w:lang w:val="fr-CA" w:eastAsia="en-US"/>
        </w:rPr>
        <w:t>à travers laquelle les question</w:t>
      </w:r>
      <w:r w:rsidR="00050795" w:rsidRPr="00594204">
        <w:rPr>
          <w:rFonts w:eastAsia="Calibri"/>
          <w:lang w:val="fr-CA" w:eastAsia="en-US"/>
        </w:rPr>
        <w:t>s</w:t>
      </w:r>
      <w:r w:rsidR="00CE1228" w:rsidRPr="00594204">
        <w:rPr>
          <w:rFonts w:eastAsia="Calibri"/>
          <w:lang w:val="fr-CA" w:eastAsia="en-US"/>
        </w:rPr>
        <w:t xml:space="preserve"> relative</w:t>
      </w:r>
      <w:r w:rsidR="00050795" w:rsidRPr="00594204">
        <w:rPr>
          <w:rFonts w:eastAsia="Calibri"/>
          <w:lang w:val="fr-CA" w:eastAsia="en-US"/>
        </w:rPr>
        <w:t>s</w:t>
      </w:r>
      <w:r w:rsidR="00CE1228" w:rsidRPr="00594204">
        <w:rPr>
          <w:rFonts w:eastAsia="Calibri"/>
          <w:lang w:val="fr-CA" w:eastAsia="en-US"/>
        </w:rPr>
        <w:t xml:space="preserve"> </w:t>
      </w:r>
      <w:r w:rsidR="00050795" w:rsidRPr="00594204">
        <w:rPr>
          <w:rFonts w:eastAsia="Calibri"/>
          <w:lang w:val="fr-CA" w:eastAsia="en-US"/>
        </w:rPr>
        <w:t xml:space="preserve">à l’identité et l’expression de genre </w:t>
      </w:r>
      <w:r w:rsidR="0028415F" w:rsidRPr="00594204">
        <w:rPr>
          <w:rFonts w:eastAsia="Calibri"/>
          <w:lang w:val="fr-CA" w:eastAsia="en-US"/>
        </w:rPr>
        <w:t xml:space="preserve">pourront être </w:t>
      </w:r>
      <w:r w:rsidR="0092783A" w:rsidRPr="00594204">
        <w:rPr>
          <w:rFonts w:eastAsia="Calibri"/>
          <w:lang w:val="fr-CA" w:eastAsia="en-US"/>
        </w:rPr>
        <w:t>présent</w:t>
      </w:r>
      <w:r w:rsidR="00D53D90" w:rsidRPr="00594204">
        <w:rPr>
          <w:rFonts w:eastAsia="Calibri"/>
          <w:lang w:val="fr-CA" w:eastAsia="en-US"/>
        </w:rPr>
        <w:t xml:space="preserve">ées graduellement à l’élève en fonction de son stade de développement et selon </w:t>
      </w:r>
      <w:r w:rsidR="00D66AC3" w:rsidRPr="00594204">
        <w:rPr>
          <w:rFonts w:eastAsia="Calibri"/>
          <w:lang w:val="fr-CA" w:eastAsia="en-US"/>
        </w:rPr>
        <w:t>le degré</w:t>
      </w:r>
      <w:r w:rsidR="00A35CB4" w:rsidRPr="00594204">
        <w:rPr>
          <w:rFonts w:eastAsia="Calibri"/>
          <w:lang w:val="fr-CA" w:eastAsia="en-US"/>
        </w:rPr>
        <w:t xml:space="preserve"> de</w:t>
      </w:r>
      <w:r w:rsidR="00D53D90" w:rsidRPr="00594204">
        <w:rPr>
          <w:rFonts w:eastAsia="Calibri"/>
          <w:lang w:val="fr-CA" w:eastAsia="en-US"/>
        </w:rPr>
        <w:t xml:space="preserve"> complexité des enjeux</w:t>
      </w:r>
      <w:r w:rsidR="00C7261A" w:rsidRPr="00594204">
        <w:rPr>
          <w:rFonts w:eastAsia="Calibri"/>
          <w:lang w:val="fr-CA" w:eastAsia="en-US"/>
        </w:rPr>
        <w:t xml:space="preserve">. </w:t>
      </w:r>
      <w:r w:rsidR="00CE50A4" w:rsidRPr="00594204">
        <w:rPr>
          <w:rFonts w:eastAsia="Calibri"/>
          <w:lang w:val="fr-CA" w:eastAsia="en-US"/>
        </w:rPr>
        <w:t xml:space="preserve">Par exemple, pour le </w:t>
      </w:r>
      <w:r w:rsidR="00093B76" w:rsidRPr="00594204">
        <w:rPr>
          <w:rFonts w:eastAsia="Calibri"/>
          <w:lang w:val="fr-CA" w:eastAsia="en-US"/>
        </w:rPr>
        <w:t xml:space="preserve">primaire, le nouveau </w:t>
      </w:r>
      <w:r w:rsidR="00C7261A" w:rsidRPr="00594204">
        <w:rPr>
          <w:rFonts w:eastAsia="Calibri"/>
          <w:lang w:val="fr-CA" w:eastAsia="en-US"/>
        </w:rPr>
        <w:t>programme débute</w:t>
      </w:r>
      <w:r w:rsidR="00F20084" w:rsidRPr="00594204">
        <w:rPr>
          <w:rFonts w:eastAsia="Calibri"/>
          <w:lang w:val="fr-CA" w:eastAsia="en-US"/>
        </w:rPr>
        <w:t xml:space="preserve"> </w:t>
      </w:r>
      <w:r w:rsidR="00E85D79" w:rsidRPr="00594204">
        <w:rPr>
          <w:rFonts w:eastAsia="Calibri"/>
          <w:lang w:val="fr-CA" w:eastAsia="en-US"/>
        </w:rPr>
        <w:t xml:space="preserve">par </w:t>
      </w:r>
      <w:r w:rsidR="00093B76" w:rsidRPr="00594204">
        <w:rPr>
          <w:rFonts w:eastAsia="Calibri"/>
          <w:lang w:val="fr-CA" w:eastAsia="en-US"/>
        </w:rPr>
        <w:t>la présentation d</w:t>
      </w:r>
      <w:r w:rsidR="00C7261A" w:rsidRPr="00594204">
        <w:rPr>
          <w:rFonts w:eastAsia="Calibri"/>
          <w:lang w:val="fr-CA" w:eastAsia="en-US"/>
        </w:rPr>
        <w:t xml:space="preserve">es </w:t>
      </w:r>
      <w:r w:rsidR="00960A31" w:rsidRPr="00594204">
        <w:rPr>
          <w:rFonts w:eastAsia="Calibri"/>
          <w:lang w:val="fr-CA" w:eastAsia="en-US"/>
        </w:rPr>
        <w:t>«</w:t>
      </w:r>
      <w:r w:rsidR="00444FEB">
        <w:rPr>
          <w:rFonts w:eastAsia="Calibri"/>
          <w:lang w:val="fr-CA" w:eastAsia="en-US"/>
        </w:rPr>
        <w:t> </w:t>
      </w:r>
      <w:r w:rsidR="00F20084" w:rsidRPr="00594204">
        <w:rPr>
          <w:rFonts w:eastAsia="Calibri"/>
          <w:lang w:val="fr-CA" w:eastAsia="en-US"/>
        </w:rPr>
        <w:t>rôles sexu</w:t>
      </w:r>
      <w:r w:rsidR="00E85D79" w:rsidRPr="00594204">
        <w:rPr>
          <w:rFonts w:eastAsia="Calibri"/>
          <w:lang w:val="fr-CA" w:eastAsia="en-US"/>
        </w:rPr>
        <w:t>els et de genre</w:t>
      </w:r>
      <w:r w:rsidR="00444FEB">
        <w:rPr>
          <w:rFonts w:eastAsia="Calibri"/>
          <w:lang w:val="fr-CA" w:eastAsia="en-US"/>
        </w:rPr>
        <w:t> </w:t>
      </w:r>
      <w:r w:rsidR="00960A31" w:rsidRPr="00594204">
        <w:rPr>
          <w:rFonts w:eastAsia="Calibri"/>
          <w:lang w:val="fr-CA" w:eastAsia="en-US"/>
        </w:rPr>
        <w:t>»</w:t>
      </w:r>
      <w:r w:rsidR="00E85D79" w:rsidRPr="00594204">
        <w:rPr>
          <w:rFonts w:eastAsia="Calibri"/>
          <w:lang w:val="fr-CA" w:eastAsia="en-US"/>
        </w:rPr>
        <w:t xml:space="preserve"> (2</w:t>
      </w:r>
      <w:r w:rsidR="00E85D79" w:rsidRPr="00594204">
        <w:rPr>
          <w:rFonts w:eastAsia="Calibri"/>
          <w:vertAlign w:val="superscript"/>
          <w:lang w:val="fr-CA" w:eastAsia="en-US"/>
        </w:rPr>
        <w:t>e</w:t>
      </w:r>
      <w:r w:rsidR="009D3E22">
        <w:rPr>
          <w:rFonts w:eastAsia="Calibri"/>
          <w:lang w:val="fr-CA" w:eastAsia="en-US"/>
        </w:rPr>
        <w:t> </w:t>
      </w:r>
      <w:r w:rsidR="00E85D79" w:rsidRPr="00594204">
        <w:rPr>
          <w:rFonts w:eastAsia="Calibri"/>
          <w:lang w:val="fr-CA" w:eastAsia="en-US"/>
        </w:rPr>
        <w:t>année), en poursuivant avec</w:t>
      </w:r>
      <w:r w:rsidR="00AC15AF" w:rsidRPr="00594204">
        <w:rPr>
          <w:rFonts w:eastAsia="Calibri"/>
          <w:lang w:val="fr-CA" w:eastAsia="en-US"/>
        </w:rPr>
        <w:t xml:space="preserve"> les </w:t>
      </w:r>
      <w:r w:rsidR="00960A31" w:rsidRPr="00594204">
        <w:rPr>
          <w:rFonts w:eastAsia="Calibri"/>
          <w:lang w:val="fr-CA" w:eastAsia="en-US"/>
        </w:rPr>
        <w:t>«</w:t>
      </w:r>
      <w:r w:rsidR="00444FEB">
        <w:rPr>
          <w:rFonts w:eastAsia="Calibri"/>
          <w:lang w:val="fr-CA" w:eastAsia="en-US"/>
        </w:rPr>
        <w:t> </w:t>
      </w:r>
      <w:r w:rsidR="00E85D79" w:rsidRPr="00594204">
        <w:rPr>
          <w:rFonts w:eastAsia="Calibri"/>
          <w:lang w:val="fr-CA" w:eastAsia="en-US"/>
        </w:rPr>
        <w:t>stéréotypes sexuels et de genre</w:t>
      </w:r>
      <w:r w:rsidR="00444FEB">
        <w:rPr>
          <w:rFonts w:eastAsia="Calibri"/>
          <w:lang w:val="fr-CA" w:eastAsia="en-US"/>
        </w:rPr>
        <w:t> </w:t>
      </w:r>
      <w:r w:rsidR="00960A31" w:rsidRPr="00594204">
        <w:rPr>
          <w:rFonts w:eastAsia="Calibri"/>
          <w:lang w:val="fr-CA" w:eastAsia="en-US"/>
        </w:rPr>
        <w:t>»</w:t>
      </w:r>
      <w:r w:rsidR="00E85D79" w:rsidRPr="00594204">
        <w:rPr>
          <w:rFonts w:eastAsia="Calibri"/>
          <w:lang w:val="fr-CA" w:eastAsia="en-US"/>
        </w:rPr>
        <w:t xml:space="preserve"> </w:t>
      </w:r>
      <w:r w:rsidR="00AC15AF" w:rsidRPr="00594204">
        <w:rPr>
          <w:rFonts w:eastAsia="Calibri"/>
          <w:lang w:val="fr-CA" w:eastAsia="en-US"/>
        </w:rPr>
        <w:t xml:space="preserve">ainsi que les </w:t>
      </w:r>
      <w:r w:rsidR="00960A31" w:rsidRPr="00594204">
        <w:rPr>
          <w:rFonts w:eastAsia="Calibri"/>
          <w:lang w:val="fr-CA" w:eastAsia="en-US"/>
        </w:rPr>
        <w:t>«</w:t>
      </w:r>
      <w:r w:rsidR="00444FEB">
        <w:rPr>
          <w:rFonts w:eastAsia="Calibri"/>
          <w:lang w:val="fr-CA" w:eastAsia="en-US"/>
        </w:rPr>
        <w:t> </w:t>
      </w:r>
      <w:r w:rsidR="00AC15AF" w:rsidRPr="00594204">
        <w:rPr>
          <w:rFonts w:eastAsia="Calibri"/>
          <w:lang w:val="fr-CA" w:eastAsia="en-US"/>
        </w:rPr>
        <w:t>normes de genre</w:t>
      </w:r>
      <w:r w:rsidR="00444FEB">
        <w:rPr>
          <w:rFonts w:eastAsia="Calibri"/>
          <w:lang w:val="fr-CA" w:eastAsia="en-US"/>
        </w:rPr>
        <w:t> </w:t>
      </w:r>
      <w:r w:rsidR="00960A31" w:rsidRPr="00594204">
        <w:rPr>
          <w:rFonts w:eastAsia="Calibri"/>
          <w:lang w:val="fr-CA" w:eastAsia="en-US"/>
        </w:rPr>
        <w:t>»</w:t>
      </w:r>
      <w:r w:rsidR="00AC15AF" w:rsidRPr="00594204">
        <w:rPr>
          <w:rFonts w:eastAsia="Calibri"/>
          <w:lang w:val="fr-CA" w:eastAsia="en-US"/>
        </w:rPr>
        <w:t xml:space="preserve"> </w:t>
      </w:r>
      <w:r w:rsidR="00E85D79" w:rsidRPr="00594204">
        <w:rPr>
          <w:rFonts w:eastAsia="Calibri"/>
          <w:lang w:val="fr-CA" w:eastAsia="en-US"/>
        </w:rPr>
        <w:t>(3</w:t>
      </w:r>
      <w:r w:rsidR="00E85D79" w:rsidRPr="00594204">
        <w:rPr>
          <w:rFonts w:eastAsia="Calibri"/>
          <w:vertAlign w:val="superscript"/>
          <w:lang w:val="fr-CA" w:eastAsia="en-US"/>
        </w:rPr>
        <w:t>e</w:t>
      </w:r>
      <w:r w:rsidR="009D3E22">
        <w:rPr>
          <w:rFonts w:eastAsia="Calibri"/>
          <w:lang w:val="fr-CA" w:eastAsia="en-US"/>
        </w:rPr>
        <w:t> </w:t>
      </w:r>
      <w:r w:rsidR="00E85D79" w:rsidRPr="00594204">
        <w:rPr>
          <w:rFonts w:eastAsia="Calibri"/>
          <w:lang w:val="fr-CA" w:eastAsia="en-US"/>
        </w:rPr>
        <w:t>année)</w:t>
      </w:r>
      <w:r w:rsidR="00225AB3" w:rsidRPr="00594204">
        <w:rPr>
          <w:rFonts w:eastAsia="Calibri"/>
          <w:lang w:val="fr-CA" w:eastAsia="en-US"/>
        </w:rPr>
        <w:t xml:space="preserve">. </w:t>
      </w:r>
      <w:r w:rsidR="00513D9F" w:rsidRPr="00594204">
        <w:rPr>
          <w:rFonts w:eastAsia="Calibri"/>
          <w:lang w:val="fr-CA" w:eastAsia="en-US"/>
        </w:rPr>
        <w:t>Le thème</w:t>
      </w:r>
      <w:r w:rsidR="000B0F71" w:rsidRPr="00594204">
        <w:rPr>
          <w:rFonts w:eastAsia="Calibri"/>
          <w:lang w:val="fr-CA" w:eastAsia="en-US"/>
        </w:rPr>
        <w:t xml:space="preserve"> </w:t>
      </w:r>
      <w:r w:rsidR="00961029" w:rsidRPr="00594204">
        <w:rPr>
          <w:rFonts w:eastAsia="Calibri"/>
          <w:lang w:val="fr-CA" w:eastAsia="en-US"/>
        </w:rPr>
        <w:t>«</w:t>
      </w:r>
      <w:r w:rsidR="00444FEB">
        <w:rPr>
          <w:rFonts w:eastAsia="Calibri"/>
          <w:lang w:val="fr-CA" w:eastAsia="en-US"/>
        </w:rPr>
        <w:t> </w:t>
      </w:r>
      <w:r w:rsidR="003724E3" w:rsidRPr="00594204">
        <w:rPr>
          <w:rFonts w:eastAsia="Calibri"/>
          <w:lang w:val="fr-CA" w:eastAsia="en-US"/>
        </w:rPr>
        <w:t>développement de l’identité et l’expression de genre</w:t>
      </w:r>
      <w:r w:rsidR="00444FEB">
        <w:rPr>
          <w:rFonts w:eastAsia="Calibri"/>
          <w:lang w:val="fr-CA" w:eastAsia="en-US"/>
        </w:rPr>
        <w:t> </w:t>
      </w:r>
      <w:r w:rsidR="00961029" w:rsidRPr="00594204">
        <w:rPr>
          <w:rFonts w:eastAsia="Calibri"/>
          <w:lang w:val="fr-CA" w:eastAsia="en-US"/>
        </w:rPr>
        <w:t>»</w:t>
      </w:r>
      <w:r w:rsidR="003724E3" w:rsidRPr="00594204">
        <w:rPr>
          <w:rFonts w:eastAsia="Calibri"/>
          <w:lang w:val="fr-CA" w:eastAsia="en-US"/>
        </w:rPr>
        <w:t xml:space="preserve"> </w:t>
      </w:r>
      <w:r w:rsidR="007D5600" w:rsidRPr="00594204">
        <w:rPr>
          <w:rFonts w:eastAsia="Calibri"/>
          <w:lang w:val="fr-CA" w:eastAsia="en-US"/>
        </w:rPr>
        <w:t>pourra être présenté</w:t>
      </w:r>
      <w:r w:rsidR="00225AB3" w:rsidRPr="00594204">
        <w:rPr>
          <w:rFonts w:eastAsia="Calibri"/>
          <w:lang w:val="fr-CA" w:eastAsia="en-US"/>
        </w:rPr>
        <w:t xml:space="preserve"> </w:t>
      </w:r>
      <w:r w:rsidR="000B0F71" w:rsidRPr="00594204">
        <w:rPr>
          <w:rFonts w:eastAsia="Calibri"/>
          <w:lang w:val="fr-CA" w:eastAsia="en-US"/>
        </w:rPr>
        <w:t>ensuite</w:t>
      </w:r>
      <w:r w:rsidR="00225AB3" w:rsidRPr="00594204">
        <w:rPr>
          <w:rFonts w:eastAsia="Calibri"/>
          <w:lang w:val="fr-CA" w:eastAsia="en-US"/>
        </w:rPr>
        <w:t xml:space="preserve"> </w:t>
      </w:r>
      <w:r w:rsidR="00512ED2" w:rsidRPr="00594204">
        <w:rPr>
          <w:rFonts w:eastAsia="Calibri"/>
          <w:lang w:val="fr-CA" w:eastAsia="en-US"/>
        </w:rPr>
        <w:t xml:space="preserve">au deuxième cycle du primaire </w:t>
      </w:r>
      <w:r w:rsidR="004A2487" w:rsidRPr="00594204">
        <w:rPr>
          <w:rFonts w:eastAsia="Calibri"/>
          <w:lang w:val="fr-CA" w:eastAsia="en-US"/>
        </w:rPr>
        <w:t>tout comme</w:t>
      </w:r>
      <w:r w:rsidR="008B4771" w:rsidRPr="00594204">
        <w:rPr>
          <w:rFonts w:eastAsia="Calibri"/>
          <w:lang w:val="fr-CA" w:eastAsia="en-US"/>
        </w:rPr>
        <w:t xml:space="preserve"> les «</w:t>
      </w:r>
      <w:r w:rsidR="00444FEB">
        <w:rPr>
          <w:rFonts w:eastAsia="Calibri"/>
          <w:lang w:val="fr-CA" w:eastAsia="en-US"/>
        </w:rPr>
        <w:t> </w:t>
      </w:r>
      <w:r w:rsidR="008B4771" w:rsidRPr="00594204">
        <w:rPr>
          <w:rFonts w:eastAsia="Calibri"/>
          <w:lang w:val="fr-CA" w:eastAsia="en-US"/>
        </w:rPr>
        <w:t>inégalités de sexe et de genre</w:t>
      </w:r>
      <w:r w:rsidR="00444FEB">
        <w:rPr>
          <w:rFonts w:eastAsia="Calibri"/>
          <w:lang w:val="fr-CA" w:eastAsia="en-US"/>
        </w:rPr>
        <w:t> </w:t>
      </w:r>
      <w:r w:rsidR="008B4771" w:rsidRPr="00594204">
        <w:rPr>
          <w:rFonts w:eastAsia="Calibri"/>
          <w:lang w:val="fr-CA" w:eastAsia="en-US"/>
        </w:rPr>
        <w:t>»</w:t>
      </w:r>
      <w:r w:rsidR="00512ED2" w:rsidRPr="00594204">
        <w:rPr>
          <w:rFonts w:eastAsia="Calibri"/>
          <w:lang w:val="fr-CA" w:eastAsia="en-US"/>
        </w:rPr>
        <w:t xml:space="preserve"> </w:t>
      </w:r>
      <w:r w:rsidR="003724E3" w:rsidRPr="00594204">
        <w:rPr>
          <w:rFonts w:eastAsia="Calibri"/>
          <w:lang w:val="fr-CA" w:eastAsia="en-US"/>
        </w:rPr>
        <w:t>(4</w:t>
      </w:r>
      <w:r w:rsidR="003724E3" w:rsidRPr="00594204">
        <w:rPr>
          <w:rFonts w:eastAsia="Calibri"/>
          <w:vertAlign w:val="superscript"/>
          <w:lang w:val="fr-CA" w:eastAsia="en-US"/>
        </w:rPr>
        <w:t>e</w:t>
      </w:r>
      <w:r w:rsidR="009D3E22">
        <w:rPr>
          <w:rFonts w:eastAsia="Calibri"/>
          <w:lang w:val="fr-CA" w:eastAsia="en-US"/>
        </w:rPr>
        <w:t> </w:t>
      </w:r>
      <w:r w:rsidR="003724E3" w:rsidRPr="00594204">
        <w:rPr>
          <w:rFonts w:eastAsia="Calibri"/>
          <w:lang w:val="fr-CA" w:eastAsia="en-US"/>
        </w:rPr>
        <w:t xml:space="preserve">année), </w:t>
      </w:r>
      <w:r w:rsidR="00CF22EB" w:rsidRPr="00594204">
        <w:rPr>
          <w:rFonts w:eastAsia="Calibri"/>
          <w:lang w:val="fr-CA" w:eastAsia="en-US"/>
        </w:rPr>
        <w:t>pour conclure avec</w:t>
      </w:r>
      <w:r w:rsidR="00EC6F40" w:rsidRPr="00594204">
        <w:rPr>
          <w:rFonts w:eastAsia="Calibri"/>
          <w:lang w:val="fr-CA" w:eastAsia="en-US"/>
        </w:rPr>
        <w:t xml:space="preserve"> l</w:t>
      </w:r>
      <w:proofErr w:type="gramStart"/>
      <w:r w:rsidR="00EC6F40" w:rsidRPr="00594204">
        <w:rPr>
          <w:rFonts w:eastAsia="Calibri"/>
          <w:lang w:val="fr-CA" w:eastAsia="en-US"/>
        </w:rPr>
        <w:t>’</w:t>
      </w:r>
      <w:r w:rsidR="005416D1" w:rsidRPr="00594204">
        <w:rPr>
          <w:rFonts w:eastAsia="Calibri"/>
          <w:lang w:val="fr-CA" w:eastAsia="en-US"/>
        </w:rPr>
        <w:t>«</w:t>
      </w:r>
      <w:proofErr w:type="gramEnd"/>
      <w:r w:rsidR="00444FEB">
        <w:rPr>
          <w:rFonts w:eastAsia="Calibri"/>
          <w:lang w:val="fr-CA" w:eastAsia="en-US"/>
        </w:rPr>
        <w:t> </w:t>
      </w:r>
      <w:r w:rsidR="00EC6F40" w:rsidRPr="00594204">
        <w:rPr>
          <w:rFonts w:eastAsia="Calibri"/>
          <w:lang w:val="fr-CA" w:eastAsia="en-US"/>
        </w:rPr>
        <w:t>identité de sexe et de genre</w:t>
      </w:r>
      <w:r w:rsidR="00444FEB">
        <w:rPr>
          <w:rFonts w:eastAsia="Calibri"/>
          <w:lang w:val="fr-CA" w:eastAsia="en-US"/>
        </w:rPr>
        <w:t> </w:t>
      </w:r>
      <w:r w:rsidR="005416D1" w:rsidRPr="00594204">
        <w:rPr>
          <w:rFonts w:eastAsia="Calibri"/>
          <w:lang w:val="fr-CA" w:eastAsia="en-US"/>
        </w:rPr>
        <w:t>»</w:t>
      </w:r>
      <w:r w:rsidR="00EC6F40" w:rsidRPr="00594204">
        <w:rPr>
          <w:rFonts w:eastAsia="Calibri"/>
          <w:lang w:val="fr-CA" w:eastAsia="en-US"/>
        </w:rPr>
        <w:t xml:space="preserve"> </w:t>
      </w:r>
      <w:r w:rsidR="00CF22EB" w:rsidRPr="00594204">
        <w:rPr>
          <w:rFonts w:eastAsia="Calibri"/>
          <w:lang w:val="fr-CA" w:eastAsia="en-US"/>
        </w:rPr>
        <w:t>(5</w:t>
      </w:r>
      <w:r w:rsidR="00CF22EB" w:rsidRPr="00594204">
        <w:rPr>
          <w:rFonts w:eastAsia="Calibri"/>
          <w:vertAlign w:val="superscript"/>
          <w:lang w:val="fr-CA" w:eastAsia="en-US"/>
        </w:rPr>
        <w:t>e</w:t>
      </w:r>
      <w:r w:rsidR="009D3E22">
        <w:rPr>
          <w:rFonts w:eastAsia="Calibri"/>
          <w:lang w:val="fr-CA" w:eastAsia="en-US"/>
        </w:rPr>
        <w:t> </w:t>
      </w:r>
      <w:r w:rsidR="00CF22EB" w:rsidRPr="00594204">
        <w:rPr>
          <w:rFonts w:eastAsia="Calibri"/>
          <w:lang w:val="fr-CA" w:eastAsia="en-US"/>
        </w:rPr>
        <w:t xml:space="preserve">année) </w:t>
      </w:r>
      <w:r w:rsidR="008B4771" w:rsidRPr="00594204">
        <w:rPr>
          <w:rFonts w:eastAsia="Calibri"/>
          <w:lang w:val="fr-CA" w:eastAsia="en-US"/>
        </w:rPr>
        <w:t>et</w:t>
      </w:r>
      <w:r w:rsidR="00CF22EB" w:rsidRPr="00594204">
        <w:rPr>
          <w:rFonts w:eastAsia="Calibri"/>
          <w:lang w:val="fr-CA" w:eastAsia="en-US"/>
        </w:rPr>
        <w:t xml:space="preserve"> la </w:t>
      </w:r>
      <w:r w:rsidR="005416D1" w:rsidRPr="00594204">
        <w:rPr>
          <w:rFonts w:eastAsia="Calibri"/>
          <w:lang w:val="fr-CA" w:eastAsia="en-US"/>
        </w:rPr>
        <w:t>«</w:t>
      </w:r>
      <w:r w:rsidR="00444FEB">
        <w:rPr>
          <w:rFonts w:eastAsia="Calibri"/>
          <w:lang w:val="fr-CA" w:eastAsia="en-US"/>
        </w:rPr>
        <w:t> </w:t>
      </w:r>
      <w:r w:rsidR="00CF22EB" w:rsidRPr="00594204">
        <w:rPr>
          <w:rFonts w:eastAsia="Calibri"/>
          <w:lang w:val="fr-CA" w:eastAsia="en-US"/>
        </w:rPr>
        <w:t>discrimination liée au sexe et au genre</w:t>
      </w:r>
      <w:r w:rsidR="00444FEB">
        <w:rPr>
          <w:rFonts w:eastAsia="Calibri"/>
          <w:lang w:val="fr-CA" w:eastAsia="en-US"/>
        </w:rPr>
        <w:t> </w:t>
      </w:r>
      <w:r w:rsidR="005416D1" w:rsidRPr="00594204">
        <w:rPr>
          <w:rFonts w:eastAsia="Calibri"/>
          <w:lang w:val="fr-CA" w:eastAsia="en-US"/>
        </w:rPr>
        <w:t>»</w:t>
      </w:r>
      <w:r w:rsidR="00CF22EB" w:rsidRPr="00594204">
        <w:rPr>
          <w:rFonts w:eastAsia="Calibri"/>
          <w:lang w:val="fr-CA" w:eastAsia="en-US"/>
        </w:rPr>
        <w:t xml:space="preserve"> (6</w:t>
      </w:r>
      <w:r w:rsidR="00CF22EB" w:rsidRPr="00594204">
        <w:rPr>
          <w:rFonts w:eastAsia="Calibri"/>
          <w:vertAlign w:val="superscript"/>
          <w:lang w:val="fr-CA" w:eastAsia="en-US"/>
        </w:rPr>
        <w:t>e</w:t>
      </w:r>
      <w:r w:rsidR="009D3E22">
        <w:rPr>
          <w:rFonts w:eastAsia="Calibri"/>
          <w:lang w:val="fr-CA" w:eastAsia="en-US"/>
        </w:rPr>
        <w:t> </w:t>
      </w:r>
      <w:r w:rsidR="00CF22EB" w:rsidRPr="00594204">
        <w:rPr>
          <w:rFonts w:eastAsia="Calibri"/>
          <w:lang w:val="fr-CA" w:eastAsia="en-US"/>
        </w:rPr>
        <w:t>année)</w:t>
      </w:r>
      <w:bookmarkStart w:id="206" w:name="_Ref168049670"/>
      <w:r w:rsidR="00AA0544" w:rsidRPr="200D37BA">
        <w:rPr>
          <w:rStyle w:val="Appeldenotedefin"/>
          <w:rFonts w:eastAsia="Calibri"/>
          <w:lang w:eastAsia="en-US"/>
        </w:rPr>
        <w:endnoteReference w:id="511"/>
      </w:r>
      <w:bookmarkEnd w:id="206"/>
      <w:r w:rsidR="00CF22EB" w:rsidRPr="00594204">
        <w:rPr>
          <w:rFonts w:eastAsia="Calibri"/>
          <w:lang w:val="fr-CA" w:eastAsia="en-US"/>
        </w:rPr>
        <w:t xml:space="preserve">. </w:t>
      </w:r>
      <w:r w:rsidR="00EB7585" w:rsidRPr="00594204">
        <w:rPr>
          <w:rFonts w:eastAsia="Calibri"/>
          <w:lang w:val="fr-CA" w:eastAsia="en-US"/>
        </w:rPr>
        <w:t>En somme, l</w:t>
      </w:r>
      <w:r w:rsidR="007C79B7" w:rsidRPr="00594204">
        <w:rPr>
          <w:rFonts w:eastAsia="Calibri"/>
          <w:lang w:val="fr-CA" w:eastAsia="en-US"/>
        </w:rPr>
        <w:t>es questions réunies sous ce</w:t>
      </w:r>
      <w:r w:rsidR="00A35A95" w:rsidRPr="00594204">
        <w:rPr>
          <w:rFonts w:eastAsia="Calibri"/>
          <w:lang w:val="fr-CA" w:eastAsia="en-US"/>
        </w:rPr>
        <w:t xml:space="preserve"> thème</w:t>
      </w:r>
      <w:r w:rsidR="007C79B7" w:rsidRPr="00594204">
        <w:rPr>
          <w:rFonts w:eastAsia="Calibri"/>
          <w:lang w:val="fr-CA" w:eastAsia="en-US"/>
        </w:rPr>
        <w:t xml:space="preserve"> ont </w:t>
      </w:r>
      <w:r w:rsidR="00A35A95" w:rsidRPr="00594204">
        <w:rPr>
          <w:rFonts w:eastAsia="Calibri"/>
          <w:lang w:val="fr-CA" w:eastAsia="en-US"/>
        </w:rPr>
        <w:t>été pensé</w:t>
      </w:r>
      <w:r w:rsidR="00A24CA0" w:rsidRPr="00594204">
        <w:rPr>
          <w:rFonts w:eastAsia="Calibri"/>
          <w:lang w:val="fr-CA" w:eastAsia="en-US"/>
        </w:rPr>
        <w:t>es</w:t>
      </w:r>
      <w:r w:rsidR="00A35A95" w:rsidRPr="00594204">
        <w:rPr>
          <w:rFonts w:eastAsia="Calibri"/>
          <w:lang w:val="fr-CA" w:eastAsia="en-US"/>
        </w:rPr>
        <w:t xml:space="preserve"> à travers une progression des apprentissages</w:t>
      </w:r>
      <w:r w:rsidR="00540840" w:rsidRPr="200D37BA">
        <w:rPr>
          <w:rStyle w:val="Appeldenotedefin"/>
          <w:rFonts w:eastAsia="Calibri"/>
          <w:lang w:eastAsia="en-US"/>
        </w:rPr>
        <w:endnoteReference w:id="512"/>
      </w:r>
      <w:r w:rsidR="00A35A95" w:rsidRPr="00594204">
        <w:rPr>
          <w:rFonts w:eastAsia="Calibri"/>
          <w:lang w:val="fr-CA" w:eastAsia="en-US"/>
        </w:rPr>
        <w:t xml:space="preserve">. </w:t>
      </w:r>
      <w:r w:rsidR="00DB0A8A" w:rsidRPr="00594204">
        <w:rPr>
          <w:rFonts w:eastAsia="Calibri"/>
          <w:lang w:val="fr-CA" w:eastAsia="en-US"/>
        </w:rPr>
        <w:t xml:space="preserve">Rappelons </w:t>
      </w:r>
      <w:r w:rsidR="00D073AE" w:rsidRPr="00594204">
        <w:rPr>
          <w:rFonts w:eastAsia="Calibri"/>
          <w:lang w:val="fr-CA" w:eastAsia="en-US"/>
        </w:rPr>
        <w:t>de plus</w:t>
      </w:r>
      <w:r w:rsidR="00DB0A8A" w:rsidRPr="00594204">
        <w:rPr>
          <w:rFonts w:eastAsia="Calibri"/>
          <w:lang w:val="fr-CA" w:eastAsia="en-US"/>
        </w:rPr>
        <w:t xml:space="preserve"> que l’importance d’exposer les élèves à la diversité en contexte scolaire a été plusieurs fois abordée par les tribunaux canadiens, une jurisprudence que la Commission a résumé</w:t>
      </w:r>
      <w:r w:rsidR="004B3E86" w:rsidRPr="00594204">
        <w:rPr>
          <w:rFonts w:eastAsia="Calibri"/>
          <w:lang w:val="fr-CA" w:eastAsia="en-US"/>
        </w:rPr>
        <w:t>e</w:t>
      </w:r>
      <w:r w:rsidR="00DB0A8A" w:rsidRPr="00594204">
        <w:rPr>
          <w:rFonts w:eastAsia="Calibri"/>
          <w:lang w:val="fr-CA" w:eastAsia="en-US"/>
        </w:rPr>
        <w:t xml:space="preserve"> en ces termes : </w:t>
      </w:r>
    </w:p>
    <w:p w14:paraId="257888B3" w14:textId="6F416D93" w:rsidR="00DB0A8A" w:rsidRPr="00BD22C2" w:rsidRDefault="00DB0A8A" w:rsidP="00DB0A8A">
      <w:pPr>
        <w:pStyle w:val="Paragraphe"/>
        <w:spacing w:line="240" w:lineRule="auto"/>
        <w:ind w:left="706"/>
        <w:rPr>
          <w:rFonts w:eastAsia="Calibri"/>
          <w:sz w:val="20"/>
          <w:szCs w:val="20"/>
          <w:lang w:val="fr-CA" w:eastAsia="en-US"/>
        </w:rPr>
      </w:pPr>
      <w:r w:rsidRPr="00BD22C2">
        <w:rPr>
          <w:sz w:val="20"/>
          <w:szCs w:val="20"/>
          <w:lang w:val="fr-CA"/>
        </w:rPr>
        <w:t>«</w:t>
      </w:r>
      <w:r w:rsidR="0051216B" w:rsidRPr="00BD22C2">
        <w:rPr>
          <w:sz w:val="20"/>
          <w:szCs w:val="20"/>
          <w:lang w:val="fr-CA"/>
        </w:rPr>
        <w:t> </w:t>
      </w:r>
      <w:r w:rsidRPr="00BD22C2">
        <w:rPr>
          <w:sz w:val="20"/>
          <w:szCs w:val="20"/>
          <w:lang w:val="fr-CA"/>
        </w:rPr>
        <w:t xml:space="preserve">À travers la vie scolaire, les élèves sont </w:t>
      </w:r>
      <w:r w:rsidR="00CF3720" w:rsidRPr="00BD22C2">
        <w:rPr>
          <w:sz w:val="20"/>
          <w:szCs w:val="20"/>
          <w:lang w:val="fr-CA"/>
        </w:rPr>
        <w:t xml:space="preserve">[…] </w:t>
      </w:r>
      <w:r w:rsidRPr="00BD22C2">
        <w:rPr>
          <w:sz w:val="20"/>
          <w:szCs w:val="20"/>
          <w:lang w:val="fr-CA"/>
        </w:rPr>
        <w:t>appelés à côtoyer la diversité. Dans ce contexte, ils sont exposés à une certaine “dissonance cognitive”</w:t>
      </w:r>
      <w:bookmarkStart w:id="207" w:name="_Ref166756383"/>
      <w:r w:rsidRPr="00BD22C2">
        <w:rPr>
          <w:rStyle w:val="Appeldenotedefin"/>
          <w:sz w:val="20"/>
          <w:szCs w:val="20"/>
          <w:lang w:val="fr-CA"/>
        </w:rPr>
        <w:endnoteReference w:id="513"/>
      </w:r>
      <w:bookmarkEnd w:id="207"/>
      <w:r w:rsidRPr="00BD22C2">
        <w:rPr>
          <w:sz w:val="20"/>
          <w:szCs w:val="20"/>
          <w:lang w:val="fr-CA"/>
        </w:rPr>
        <w:t>. Ainsi, le programme scolaire leur présentera de manière neutre des formes religieuses et séculières variées. Dans le même sens, des manuels scolaires présentent par exemple l’homoparentalité, ce à quoi les élèves peuvent avoir été jusque-là peu conscients et peu habitués. Plus encore, les autres élèves et leurs enseignants sont porteurs de cette diversité. Le fait de placer les élèves devant des réalités autres que celles observées dans le cercle familial constitue un objectif incontournable que doit poursuivre l’école dans le cadre de sa mission qui, nécessairement, s’insère plus largement dans une société pluraliste et inclusive. Ces éléments apportent un éclairage important au sujet du degré d’ouverture et de prise en compte auquel sont tenus les établissements d’enseignement par rapport à la diversité religieuse, notamment celle de leur clientèle.</w:t>
      </w:r>
      <w:r w:rsidR="0051216B" w:rsidRPr="00BD22C2">
        <w:rPr>
          <w:sz w:val="20"/>
          <w:szCs w:val="20"/>
          <w:lang w:val="fr-CA"/>
        </w:rPr>
        <w:t> </w:t>
      </w:r>
      <w:r w:rsidRPr="00BD22C2">
        <w:rPr>
          <w:sz w:val="20"/>
          <w:szCs w:val="20"/>
          <w:lang w:val="fr-CA"/>
        </w:rPr>
        <w:t>»</w:t>
      </w:r>
      <w:r w:rsidRPr="00BD22C2">
        <w:rPr>
          <w:rStyle w:val="Appeldenotedefin"/>
          <w:sz w:val="20"/>
          <w:szCs w:val="20"/>
          <w:lang w:val="fr-CA"/>
        </w:rPr>
        <w:endnoteReference w:id="514"/>
      </w:r>
    </w:p>
    <w:p w14:paraId="48BB439C" w14:textId="544F41E5" w:rsidR="003E46DA" w:rsidRPr="00BD22C2" w:rsidRDefault="005D7FDB" w:rsidP="003E46DA">
      <w:pPr>
        <w:pStyle w:val="Paragraphe"/>
        <w:rPr>
          <w:rFonts w:eastAsia="Calibri"/>
          <w:lang w:val="fr-CA" w:eastAsia="en-US"/>
        </w:rPr>
      </w:pPr>
      <w:r w:rsidRPr="00BD22C2">
        <w:rPr>
          <w:rFonts w:eastAsia="Calibri"/>
          <w:lang w:val="fr-CA" w:eastAsia="en-US"/>
        </w:rPr>
        <w:lastRenderedPageBreak/>
        <w:t xml:space="preserve">Cette </w:t>
      </w:r>
      <w:r w:rsidR="002C22B0" w:rsidRPr="00BD22C2">
        <w:rPr>
          <w:rFonts w:eastAsia="Calibri"/>
          <w:lang w:val="fr-CA" w:eastAsia="en-US"/>
        </w:rPr>
        <w:t xml:space="preserve">exposition à la diversité </w:t>
      </w:r>
      <w:r w:rsidRPr="00BD22C2">
        <w:rPr>
          <w:rFonts w:eastAsia="Calibri"/>
          <w:lang w:val="fr-CA" w:eastAsia="en-US"/>
        </w:rPr>
        <w:t xml:space="preserve">à l’école </w:t>
      </w:r>
      <w:r w:rsidR="002C22B0" w:rsidRPr="00BD22C2">
        <w:rPr>
          <w:rFonts w:eastAsia="Calibri"/>
          <w:lang w:val="fr-CA" w:eastAsia="en-US"/>
        </w:rPr>
        <w:t xml:space="preserve">doit nécessairement inclure la diversité sexuelle et de genre. </w:t>
      </w:r>
      <w:r w:rsidR="009452FD" w:rsidRPr="00BD22C2">
        <w:rPr>
          <w:rFonts w:eastAsia="Calibri"/>
          <w:lang w:val="fr-CA" w:eastAsia="en-US"/>
        </w:rPr>
        <w:t xml:space="preserve">Afin de répondre à cet objectif, </w:t>
      </w:r>
      <w:r w:rsidR="00810B9D" w:rsidRPr="00BD22C2">
        <w:rPr>
          <w:rFonts w:eastAsia="Calibri"/>
          <w:lang w:val="fr-CA" w:eastAsia="en-US"/>
        </w:rPr>
        <w:t>l</w:t>
      </w:r>
      <w:r w:rsidR="001536C6" w:rsidRPr="00BD22C2">
        <w:rPr>
          <w:rFonts w:eastAsia="Calibri"/>
          <w:lang w:val="fr-CA" w:eastAsia="en-US"/>
        </w:rPr>
        <w:t xml:space="preserve">’éducation aux droits </w:t>
      </w:r>
      <w:r w:rsidR="009452FD" w:rsidRPr="00BD22C2">
        <w:rPr>
          <w:rFonts w:eastAsia="Calibri"/>
          <w:lang w:val="fr-CA" w:eastAsia="en-US"/>
        </w:rPr>
        <w:t>peut s’adjoindre le support de l’</w:t>
      </w:r>
      <w:r w:rsidR="00047F27" w:rsidRPr="00BD22C2">
        <w:rPr>
          <w:rFonts w:eastAsia="Calibri"/>
          <w:lang w:val="fr-CA" w:eastAsia="en-US"/>
        </w:rPr>
        <w:t xml:space="preserve">éducation </w:t>
      </w:r>
      <w:r w:rsidR="003E46DA" w:rsidRPr="00BD22C2">
        <w:rPr>
          <w:rFonts w:eastAsia="Calibri"/>
          <w:lang w:val="fr-CA" w:eastAsia="en-US"/>
        </w:rPr>
        <w:t xml:space="preserve">complète </w:t>
      </w:r>
      <w:r w:rsidR="00047F27" w:rsidRPr="00BD22C2">
        <w:rPr>
          <w:rFonts w:eastAsia="Calibri"/>
          <w:lang w:val="fr-CA" w:eastAsia="en-US"/>
        </w:rPr>
        <w:t>à la sexualité</w:t>
      </w:r>
      <w:r w:rsidR="009452FD" w:rsidRPr="00BD22C2">
        <w:rPr>
          <w:rFonts w:eastAsia="Calibri"/>
          <w:lang w:val="fr-CA" w:eastAsia="en-US"/>
        </w:rPr>
        <w:t xml:space="preserve"> qui préconise entre autres une prise en charge de ces questions</w:t>
      </w:r>
      <w:r w:rsidR="00047F27" w:rsidRPr="00BD22C2">
        <w:rPr>
          <w:rFonts w:eastAsia="Calibri"/>
          <w:lang w:val="fr-CA" w:eastAsia="en-US"/>
        </w:rPr>
        <w:t xml:space="preserve">. </w:t>
      </w:r>
      <w:r w:rsidR="003E46DA" w:rsidRPr="00BD22C2">
        <w:rPr>
          <w:rFonts w:eastAsia="Calibri"/>
          <w:lang w:val="fr-CA" w:eastAsia="en-US"/>
        </w:rPr>
        <w:t>À ce sujet, l</w:t>
      </w:r>
      <w:r w:rsidR="004C08ED" w:rsidRPr="00BD22C2">
        <w:rPr>
          <w:rFonts w:eastAsia="Calibri"/>
          <w:lang w:val="fr-CA" w:eastAsia="en-US"/>
        </w:rPr>
        <w:t>a Commissaire aux droits de l’homme du</w:t>
      </w:r>
      <w:r w:rsidR="003E46DA" w:rsidRPr="00BD22C2">
        <w:rPr>
          <w:rFonts w:eastAsia="Calibri"/>
          <w:lang w:val="fr-CA" w:eastAsia="en-US"/>
        </w:rPr>
        <w:t xml:space="preserve"> Conseil de l’Europe parle même d’un «</w:t>
      </w:r>
      <w:r w:rsidR="0051216B" w:rsidRPr="00BD22C2">
        <w:rPr>
          <w:rFonts w:eastAsia="Calibri"/>
          <w:lang w:val="fr-CA" w:eastAsia="en-US"/>
        </w:rPr>
        <w:t> </w:t>
      </w:r>
      <w:r w:rsidR="003E46DA" w:rsidRPr="00BD22C2">
        <w:rPr>
          <w:rFonts w:eastAsia="Calibri"/>
          <w:lang w:val="fr-CA" w:eastAsia="en-US"/>
        </w:rPr>
        <w:t>droit</w:t>
      </w:r>
      <w:r w:rsidR="0051216B" w:rsidRPr="00BD22C2">
        <w:rPr>
          <w:rFonts w:eastAsia="Calibri"/>
          <w:lang w:val="fr-CA" w:eastAsia="en-US"/>
        </w:rPr>
        <w:t> </w:t>
      </w:r>
      <w:r w:rsidR="003E46DA" w:rsidRPr="00BD22C2">
        <w:rPr>
          <w:rFonts w:eastAsia="Calibri"/>
          <w:lang w:val="fr-CA" w:eastAsia="en-US"/>
        </w:rPr>
        <w:t>» de recevoir une éducation à la sexualité qui est fondée</w:t>
      </w:r>
      <w:r w:rsidR="00C51F30" w:rsidRPr="00BD22C2">
        <w:rPr>
          <w:rFonts w:eastAsia="Calibri"/>
          <w:lang w:val="fr-CA" w:eastAsia="en-US"/>
        </w:rPr>
        <w:t xml:space="preserve"> sur les faits</w:t>
      </w:r>
      <w:r w:rsidR="003E46DA" w:rsidRPr="00BD22C2">
        <w:rPr>
          <w:rFonts w:eastAsia="Calibri"/>
          <w:lang w:val="fr-CA" w:eastAsia="en-US"/>
        </w:rPr>
        <w:t xml:space="preserve">, adaptée à l’âge </w:t>
      </w:r>
      <w:r w:rsidR="0073293E" w:rsidRPr="00BD22C2">
        <w:rPr>
          <w:rFonts w:eastAsia="Calibri"/>
          <w:lang w:val="fr-CA" w:eastAsia="en-US"/>
        </w:rPr>
        <w:t>de l’élève</w:t>
      </w:r>
      <w:r w:rsidR="003E46DA" w:rsidRPr="00BD22C2">
        <w:rPr>
          <w:rFonts w:eastAsia="Calibri"/>
          <w:lang w:val="fr-CA" w:eastAsia="en-US"/>
        </w:rPr>
        <w:t xml:space="preserve"> et abordant l’orientation sexuelle, </w:t>
      </w:r>
      <w:r w:rsidR="00424ACD" w:rsidRPr="00BD22C2">
        <w:rPr>
          <w:rFonts w:eastAsia="Calibri"/>
          <w:lang w:val="fr-CA" w:eastAsia="en-US"/>
        </w:rPr>
        <w:t>l’</w:t>
      </w:r>
      <w:r w:rsidR="003E46DA" w:rsidRPr="00BD22C2">
        <w:rPr>
          <w:rFonts w:eastAsia="Calibri"/>
          <w:lang w:val="fr-CA" w:eastAsia="en-US"/>
        </w:rPr>
        <w:t>identité et l’expression de genre ainsi que les caractéristiques sexuelles</w:t>
      </w:r>
      <w:r w:rsidR="0051216B" w:rsidRPr="00BD22C2">
        <w:rPr>
          <w:rFonts w:eastAsia="Calibri"/>
          <w:lang w:val="fr-CA" w:eastAsia="en-US"/>
        </w:rPr>
        <w:t> </w:t>
      </w:r>
      <w:r w:rsidR="003E46DA" w:rsidRPr="00BD22C2">
        <w:rPr>
          <w:rFonts w:eastAsia="Calibri"/>
          <w:lang w:val="fr-CA" w:eastAsia="en-US"/>
        </w:rPr>
        <w:t xml:space="preserve">:  </w:t>
      </w:r>
    </w:p>
    <w:p w14:paraId="36627F3D" w14:textId="1D9A070F" w:rsidR="002C22B0" w:rsidRPr="00910ECD" w:rsidRDefault="003E46DA" w:rsidP="00062947">
      <w:pPr>
        <w:autoSpaceDE w:val="0"/>
        <w:autoSpaceDN w:val="0"/>
        <w:adjustRightInd w:val="0"/>
        <w:spacing w:line="240" w:lineRule="auto"/>
        <w:ind w:left="706"/>
        <w:jc w:val="left"/>
        <w:rPr>
          <w:rFonts w:eastAsia="Calibri" w:cs="Arial"/>
          <w:sz w:val="20"/>
          <w:szCs w:val="20"/>
          <w:lang w:val="en-CA"/>
        </w:rPr>
      </w:pPr>
      <w:r w:rsidRPr="00910ECD">
        <w:rPr>
          <w:rFonts w:cs="Arial"/>
          <w:sz w:val="20"/>
          <w:szCs w:val="20"/>
          <w:lang w:val="en-CA"/>
        </w:rPr>
        <w:t>«</w:t>
      </w:r>
      <w:r w:rsidR="0051216B" w:rsidRPr="00910ECD">
        <w:rPr>
          <w:rFonts w:cs="Arial"/>
          <w:sz w:val="20"/>
          <w:szCs w:val="20"/>
          <w:lang w:val="en-CA"/>
        </w:rPr>
        <w:t> </w:t>
      </w:r>
      <w:r w:rsidRPr="00910ECD">
        <w:rPr>
          <w:rFonts w:cs="Arial"/>
          <w:sz w:val="20"/>
          <w:szCs w:val="20"/>
          <w:lang w:val="en-CA"/>
        </w:rPr>
        <w:t>[</w:t>
      </w:r>
      <w:r w:rsidR="0051216B" w:rsidRPr="00910ECD">
        <w:rPr>
          <w:rFonts w:cs="Arial"/>
          <w:sz w:val="20"/>
          <w:szCs w:val="20"/>
          <w:lang w:val="en-CA"/>
        </w:rPr>
        <w:t>. . .</w:t>
      </w:r>
      <w:r w:rsidRPr="00910ECD">
        <w:rPr>
          <w:rFonts w:cs="Arial"/>
          <w:sz w:val="20"/>
          <w:szCs w:val="20"/>
          <w:lang w:val="en-CA"/>
        </w:rPr>
        <w:t>] the right to receive comprehensive sexuality education [</w:t>
      </w:r>
      <w:r w:rsidR="0051216B" w:rsidRPr="00910ECD">
        <w:rPr>
          <w:rFonts w:cs="Arial"/>
          <w:sz w:val="20"/>
          <w:szCs w:val="20"/>
          <w:lang w:val="en-CA"/>
        </w:rPr>
        <w:t>. . .</w:t>
      </w:r>
      <w:r w:rsidRPr="00910ECD">
        <w:rPr>
          <w:rFonts w:cs="Arial"/>
          <w:sz w:val="20"/>
          <w:szCs w:val="20"/>
          <w:lang w:val="en-CA"/>
        </w:rPr>
        <w:t xml:space="preserve">] is an integral part of the right to education and has a wide range of benefits for all children and </w:t>
      </w:r>
      <w:proofErr w:type="gramStart"/>
      <w:r w:rsidRPr="00910ECD">
        <w:rPr>
          <w:rFonts w:cs="Arial"/>
          <w:sz w:val="20"/>
          <w:szCs w:val="20"/>
          <w:lang w:val="en-CA"/>
        </w:rPr>
        <w:t>society as a whole</w:t>
      </w:r>
      <w:proofErr w:type="gramEnd"/>
      <w:r w:rsidRPr="00910ECD">
        <w:rPr>
          <w:rFonts w:cs="Arial"/>
          <w:sz w:val="20"/>
          <w:szCs w:val="20"/>
          <w:lang w:val="en-CA"/>
        </w:rPr>
        <w:t>. It can counter stigma and discrimination, shatter stereotypes and misinformation, prevent gender-based violence, and reduce health risks. Overall, comprehensive sexuality education protects children, helps build a safer, inclusive society, and can help save lives.</w:t>
      </w:r>
      <w:r w:rsidR="0051216B" w:rsidRPr="00910ECD">
        <w:rPr>
          <w:rFonts w:cs="Arial"/>
          <w:sz w:val="20"/>
          <w:szCs w:val="20"/>
          <w:lang w:val="en-CA"/>
        </w:rPr>
        <w:t> </w:t>
      </w:r>
      <w:r w:rsidRPr="00910ECD">
        <w:rPr>
          <w:rFonts w:cs="Arial"/>
          <w:sz w:val="20"/>
          <w:szCs w:val="20"/>
          <w:lang w:val="en-CA"/>
        </w:rPr>
        <w:t>»</w:t>
      </w:r>
      <w:r w:rsidRPr="00BD22C2">
        <w:rPr>
          <w:rStyle w:val="Appeldenotedefin"/>
          <w:rFonts w:cs="Arial"/>
          <w:sz w:val="20"/>
          <w:szCs w:val="20"/>
        </w:rPr>
        <w:endnoteReference w:id="515"/>
      </w:r>
    </w:p>
    <w:p w14:paraId="1C210FC6" w14:textId="07418118" w:rsidR="00DB0A8A" w:rsidRPr="00910ECD" w:rsidRDefault="00DB0A8A" w:rsidP="00DB0A8A">
      <w:pPr>
        <w:pStyle w:val="Paragraphe"/>
        <w:rPr>
          <w:rFonts w:eastAsia="Calibri"/>
          <w:lang w:eastAsia="en-US"/>
        </w:rPr>
      </w:pPr>
      <w:r w:rsidRPr="00BD22C2">
        <w:rPr>
          <w:rFonts w:eastAsia="Calibri"/>
          <w:lang w:val="fr-CA" w:eastAsia="en-US"/>
        </w:rPr>
        <w:t xml:space="preserve">Dans une décision récente, le Tribunal des droits de la personne de l’Ontario </w:t>
      </w:r>
      <w:r w:rsidR="001A5B4B" w:rsidRPr="00BD22C2">
        <w:rPr>
          <w:rFonts w:eastAsia="Calibri"/>
          <w:lang w:val="fr-CA" w:eastAsia="en-US"/>
        </w:rPr>
        <w:t xml:space="preserve">a eu à </w:t>
      </w:r>
      <w:r w:rsidRPr="00BD22C2">
        <w:rPr>
          <w:rFonts w:eastAsia="Calibri"/>
          <w:lang w:val="fr-CA" w:eastAsia="en-US"/>
        </w:rPr>
        <w:t>déterminer si une élève de première année avait subi une discrimination fondée sur le sexe et/ou le statut de fille cisgenre</w:t>
      </w:r>
      <w:r w:rsidRPr="00BD22C2">
        <w:rPr>
          <w:rStyle w:val="Appeldenotedefin"/>
          <w:rFonts w:eastAsia="Calibri"/>
          <w:lang w:val="fr-CA" w:eastAsia="en-US"/>
        </w:rPr>
        <w:endnoteReference w:id="516"/>
      </w:r>
      <w:r w:rsidRPr="00BD22C2">
        <w:rPr>
          <w:rFonts w:eastAsia="Calibri"/>
          <w:lang w:val="fr-CA" w:eastAsia="en-US"/>
        </w:rPr>
        <w:t xml:space="preserve"> du fait qu’elle avait été exposée, à travers l’enseignement en classe, à des notions relatives à l’identité de genre en accord avec la politique institutionnelle de la commission scolaire</w:t>
      </w:r>
      <w:r w:rsidRPr="00BD22C2">
        <w:rPr>
          <w:rStyle w:val="Appeldenotedefin"/>
          <w:rFonts w:eastAsia="Calibri"/>
          <w:lang w:val="fr-CA" w:eastAsia="en-US"/>
        </w:rPr>
        <w:endnoteReference w:id="517"/>
      </w:r>
      <w:r w:rsidR="00607633" w:rsidRPr="00BD22C2">
        <w:rPr>
          <w:rFonts w:eastAsia="Calibri"/>
          <w:lang w:val="fr-CA" w:eastAsia="en-US"/>
        </w:rPr>
        <w:t>.</w:t>
      </w:r>
      <w:r w:rsidRPr="00BD22C2">
        <w:rPr>
          <w:rFonts w:eastAsia="Calibri"/>
          <w:lang w:val="fr-CA" w:eastAsia="en-US"/>
        </w:rPr>
        <w:t xml:space="preserve"> </w:t>
      </w:r>
      <w:proofErr w:type="spellStart"/>
      <w:r w:rsidR="00607633" w:rsidRPr="0085310E">
        <w:rPr>
          <w:rFonts w:eastAsia="Calibri"/>
          <w:lang w:eastAsia="en-US"/>
        </w:rPr>
        <w:t>C</w:t>
      </w:r>
      <w:r w:rsidRPr="0085310E">
        <w:rPr>
          <w:rFonts w:eastAsia="Calibri"/>
          <w:lang w:eastAsia="en-US"/>
        </w:rPr>
        <w:t>elui</w:t>
      </w:r>
      <w:proofErr w:type="spellEnd"/>
      <w:r w:rsidRPr="0085310E">
        <w:rPr>
          <w:rFonts w:eastAsia="Calibri"/>
          <w:lang w:eastAsia="en-US"/>
        </w:rPr>
        <w:t xml:space="preserve">-ci </w:t>
      </w:r>
      <w:r w:rsidR="00A71786" w:rsidRPr="0085310E">
        <w:rPr>
          <w:rFonts w:eastAsia="Calibri"/>
          <w:lang w:eastAsia="en-US"/>
        </w:rPr>
        <w:t xml:space="preserve">a </w:t>
      </w:r>
      <w:proofErr w:type="spellStart"/>
      <w:r w:rsidRPr="0085310E">
        <w:rPr>
          <w:rFonts w:eastAsia="Calibri"/>
          <w:lang w:eastAsia="en-US"/>
        </w:rPr>
        <w:t>conclu</w:t>
      </w:r>
      <w:proofErr w:type="spellEnd"/>
      <w:r w:rsidRPr="0085310E">
        <w:rPr>
          <w:rFonts w:eastAsia="Calibri"/>
          <w:lang w:eastAsia="en-US"/>
        </w:rPr>
        <w:t xml:space="preserve"> par la </w:t>
      </w:r>
      <w:proofErr w:type="spellStart"/>
      <w:proofErr w:type="gramStart"/>
      <w:r w:rsidRPr="0085310E">
        <w:rPr>
          <w:rFonts w:eastAsia="Calibri"/>
          <w:lang w:eastAsia="en-US"/>
        </w:rPr>
        <w:t>négative</w:t>
      </w:r>
      <w:proofErr w:type="spellEnd"/>
      <w:r w:rsidR="0051216B" w:rsidRPr="00910ECD">
        <w:rPr>
          <w:rFonts w:eastAsia="Calibri"/>
          <w:lang w:eastAsia="en-US"/>
        </w:rPr>
        <w:t> </w:t>
      </w:r>
      <w:r w:rsidRPr="00910ECD">
        <w:rPr>
          <w:rFonts w:eastAsia="Calibri"/>
          <w:lang w:eastAsia="en-US"/>
        </w:rPr>
        <w:t>:</w:t>
      </w:r>
      <w:proofErr w:type="gramEnd"/>
      <w:r w:rsidRPr="00910ECD">
        <w:rPr>
          <w:rFonts w:eastAsia="Calibri"/>
          <w:lang w:eastAsia="en-US"/>
        </w:rPr>
        <w:t xml:space="preserve"> </w:t>
      </w:r>
    </w:p>
    <w:p w14:paraId="3B66E31D" w14:textId="2553ACB7" w:rsidR="00DB0A8A" w:rsidRPr="00910ECD" w:rsidRDefault="00DB0A8A" w:rsidP="00DB0A8A">
      <w:pPr>
        <w:pStyle w:val="Default"/>
        <w:ind w:left="706"/>
        <w:rPr>
          <w:sz w:val="20"/>
          <w:szCs w:val="20"/>
          <w:lang w:val="en-CA"/>
        </w:rPr>
      </w:pPr>
      <w:r w:rsidRPr="00910ECD">
        <w:rPr>
          <w:rFonts w:eastAsia="Calibri"/>
          <w:sz w:val="20"/>
          <w:szCs w:val="20"/>
          <w:lang w:val="en-CA" w:eastAsia="en-US"/>
        </w:rPr>
        <w:t>«</w:t>
      </w:r>
      <w:r w:rsidR="0051216B" w:rsidRPr="00910ECD">
        <w:rPr>
          <w:rFonts w:eastAsia="Calibri"/>
          <w:sz w:val="20"/>
          <w:szCs w:val="20"/>
          <w:lang w:val="en-CA" w:eastAsia="en-US"/>
        </w:rPr>
        <w:t> </w:t>
      </w:r>
      <w:r w:rsidRPr="00910ECD">
        <w:rPr>
          <w:sz w:val="20"/>
          <w:szCs w:val="20"/>
          <w:lang w:val="en-CA"/>
        </w:rPr>
        <w:t>Specifically, I find that the applicant has not proven that the teacher’s comment singled her out and had a differential negative impact on her as a member of a group that has in fact experienced historic, political or social disadvantage by perpetuating prejudice or stereotyping.</w:t>
      </w:r>
      <w:r w:rsidR="0051216B" w:rsidRPr="00910ECD">
        <w:rPr>
          <w:sz w:val="20"/>
          <w:szCs w:val="20"/>
          <w:lang w:val="en-CA"/>
        </w:rPr>
        <w:t> </w:t>
      </w:r>
      <w:r w:rsidRPr="00910ECD">
        <w:rPr>
          <w:sz w:val="20"/>
          <w:szCs w:val="20"/>
          <w:lang w:val="en-CA"/>
        </w:rPr>
        <w:t>»</w:t>
      </w:r>
      <w:r w:rsidRPr="00BD22C2">
        <w:rPr>
          <w:rStyle w:val="Appeldenotedefin"/>
          <w:sz w:val="20"/>
          <w:szCs w:val="20"/>
        </w:rPr>
        <w:endnoteReference w:id="518"/>
      </w:r>
      <w:r w:rsidRPr="00910ECD">
        <w:rPr>
          <w:sz w:val="20"/>
          <w:szCs w:val="20"/>
          <w:lang w:val="en-CA"/>
        </w:rPr>
        <w:t xml:space="preserve"> </w:t>
      </w:r>
    </w:p>
    <w:p w14:paraId="7523B49C" w14:textId="77777777" w:rsidR="00DB0A8A" w:rsidRPr="00910ECD" w:rsidRDefault="00DB0A8A" w:rsidP="00DB0A8A">
      <w:pPr>
        <w:pStyle w:val="Default"/>
        <w:rPr>
          <w:lang w:val="en-CA"/>
        </w:rPr>
      </w:pPr>
    </w:p>
    <w:p w14:paraId="75D4C625" w14:textId="5752AB0E" w:rsidR="00DB0A8A" w:rsidRPr="00BD22C2" w:rsidRDefault="00DB0A8A" w:rsidP="00DB0A8A">
      <w:pPr>
        <w:pStyle w:val="Default"/>
        <w:spacing w:line="360" w:lineRule="auto"/>
        <w:rPr>
          <w:rFonts w:eastAsia="Calibri" w:cs="Open Sans"/>
          <w:sz w:val="22"/>
          <w:szCs w:val="21"/>
          <w:lang w:eastAsia="en-US"/>
        </w:rPr>
      </w:pPr>
      <w:r w:rsidRPr="00BD22C2">
        <w:rPr>
          <w:rFonts w:eastAsia="Calibri" w:cs="Open Sans"/>
          <w:sz w:val="22"/>
          <w:szCs w:val="21"/>
          <w:lang w:eastAsia="en-US"/>
        </w:rPr>
        <w:t>Le tribunal n’a pas reconnu non plus l’équivalence alléguée entre des politiques institutionnelles visant la protection et le support des élèves trans et la discrimination qu’auraient subi</w:t>
      </w:r>
      <w:r w:rsidR="00E57CBE" w:rsidRPr="00BD22C2">
        <w:rPr>
          <w:rFonts w:eastAsia="Calibri" w:cs="Open Sans"/>
          <w:sz w:val="22"/>
          <w:szCs w:val="21"/>
          <w:lang w:eastAsia="en-US"/>
        </w:rPr>
        <w:t>e</w:t>
      </w:r>
      <w:r w:rsidRPr="00BD22C2">
        <w:rPr>
          <w:rFonts w:eastAsia="Calibri" w:cs="Open Sans"/>
          <w:sz w:val="22"/>
          <w:szCs w:val="21"/>
          <w:lang w:eastAsia="en-US"/>
        </w:rPr>
        <w:t xml:space="preserve"> en retour les élèves cisgenres : </w:t>
      </w:r>
    </w:p>
    <w:p w14:paraId="7EC274D8" w14:textId="77777777" w:rsidR="00DB0A8A" w:rsidRPr="00BD22C2" w:rsidRDefault="00DB0A8A" w:rsidP="00DB0A8A">
      <w:pPr>
        <w:pStyle w:val="Default"/>
      </w:pPr>
    </w:p>
    <w:p w14:paraId="050988F8" w14:textId="6D1EDA63" w:rsidR="00DB0A8A" w:rsidRPr="00910ECD" w:rsidRDefault="00DB0A8A" w:rsidP="00DB0A8A">
      <w:pPr>
        <w:pStyle w:val="Default"/>
        <w:ind w:left="706"/>
        <w:rPr>
          <w:rFonts w:eastAsia="Calibri"/>
          <w:sz w:val="20"/>
          <w:szCs w:val="20"/>
          <w:lang w:val="en-CA"/>
        </w:rPr>
      </w:pPr>
      <w:r w:rsidRPr="00910ECD">
        <w:rPr>
          <w:rFonts w:eastAsia="Calibri"/>
          <w:sz w:val="20"/>
          <w:szCs w:val="20"/>
          <w:lang w:val="en-CA" w:eastAsia="en-US"/>
        </w:rPr>
        <w:t>«</w:t>
      </w:r>
      <w:r w:rsidR="0051216B" w:rsidRPr="00910ECD">
        <w:rPr>
          <w:sz w:val="20"/>
          <w:szCs w:val="20"/>
          <w:lang w:val="en-CA"/>
        </w:rPr>
        <w:t> </w:t>
      </w:r>
      <w:r w:rsidRPr="00910ECD">
        <w:rPr>
          <w:sz w:val="20"/>
          <w:szCs w:val="20"/>
          <w:lang w:val="en-CA"/>
        </w:rPr>
        <w:t>There was no link provided between this allegation of N.B. feeling dehumanized, devalued and ashamed, and the teacher’s comment or the schoolboard’s policy document that addresses the required protection and support for transgendered students. Such protection does not amount to discrimination against cis-gendered students, any more than the provision of special education programming for students with disabilities discriminates against those who do not have disabilities or the provision of directed supports for racialized students cannot be deemed discriminatory against those who have not faced any disadvantage related to their race.</w:t>
      </w:r>
      <w:r w:rsidR="0051216B" w:rsidRPr="00910ECD">
        <w:rPr>
          <w:sz w:val="20"/>
          <w:szCs w:val="20"/>
          <w:lang w:val="en-CA"/>
        </w:rPr>
        <w:t> </w:t>
      </w:r>
      <w:r w:rsidRPr="00910ECD">
        <w:rPr>
          <w:sz w:val="20"/>
          <w:szCs w:val="20"/>
          <w:lang w:val="en-CA"/>
        </w:rPr>
        <w:t>»</w:t>
      </w:r>
      <w:r w:rsidRPr="00BD22C2">
        <w:rPr>
          <w:rStyle w:val="Appeldenotedefin"/>
          <w:sz w:val="20"/>
          <w:szCs w:val="20"/>
        </w:rPr>
        <w:endnoteReference w:id="519"/>
      </w:r>
    </w:p>
    <w:p w14:paraId="59D8475E" w14:textId="2F752B1B" w:rsidR="00DB0A8A" w:rsidRPr="00910ECD" w:rsidRDefault="00DB0A8A" w:rsidP="00DB0A8A">
      <w:pPr>
        <w:pStyle w:val="Default"/>
        <w:ind w:left="706"/>
        <w:rPr>
          <w:rFonts w:eastAsia="Calibri"/>
          <w:sz w:val="20"/>
          <w:szCs w:val="20"/>
          <w:lang w:val="en-CA"/>
        </w:rPr>
      </w:pPr>
    </w:p>
    <w:p w14:paraId="2487E3E2" w14:textId="7678B6A6" w:rsidR="00DB0A8A" w:rsidRPr="00BD22C2" w:rsidRDefault="003C0481" w:rsidP="00080D08">
      <w:pPr>
        <w:pStyle w:val="Paragraphe"/>
        <w:rPr>
          <w:rFonts w:eastAsia="Calibri"/>
          <w:lang w:val="fr-CA" w:eastAsia="en-US"/>
        </w:rPr>
      </w:pPr>
      <w:r w:rsidRPr="00BD22C2">
        <w:rPr>
          <w:rFonts w:eastAsia="Calibri"/>
          <w:szCs w:val="22"/>
          <w:lang w:val="fr-CA" w:eastAsia="en-US"/>
        </w:rPr>
        <w:t>De surcroît</w:t>
      </w:r>
      <w:r w:rsidR="00DB0A8A" w:rsidRPr="00BD22C2">
        <w:rPr>
          <w:rFonts w:eastAsia="Calibri"/>
          <w:szCs w:val="22"/>
          <w:lang w:val="fr-CA" w:eastAsia="en-US"/>
        </w:rPr>
        <w:t>, le</w:t>
      </w:r>
      <w:r w:rsidR="00DB0A8A" w:rsidRPr="00BD22C2">
        <w:rPr>
          <w:rFonts w:eastAsia="Calibri"/>
          <w:lang w:val="fr-CA" w:eastAsia="en-US"/>
        </w:rPr>
        <w:t xml:space="preserve"> tribunal insiste </w:t>
      </w:r>
      <w:r w:rsidR="00AE6580" w:rsidRPr="00BD22C2">
        <w:rPr>
          <w:rFonts w:eastAsia="Calibri"/>
          <w:lang w:val="fr-CA" w:eastAsia="en-US"/>
        </w:rPr>
        <w:t xml:space="preserve">lui aussi </w:t>
      </w:r>
      <w:r w:rsidR="00DB0A8A" w:rsidRPr="00BD22C2">
        <w:rPr>
          <w:rFonts w:eastAsia="Calibri"/>
          <w:lang w:val="fr-CA" w:eastAsia="en-US"/>
        </w:rPr>
        <w:t>sur l’apprentissage chez les enfants et les jeunes de la «</w:t>
      </w:r>
      <w:r w:rsidR="0051216B" w:rsidRPr="00BD22C2">
        <w:rPr>
          <w:rFonts w:eastAsia="Calibri"/>
          <w:lang w:val="fr-CA" w:eastAsia="en-US"/>
        </w:rPr>
        <w:t> </w:t>
      </w:r>
      <w:r w:rsidR="00DB0A8A" w:rsidRPr="00BD22C2">
        <w:rPr>
          <w:rFonts w:eastAsia="Calibri"/>
          <w:lang w:val="fr-CA" w:eastAsia="en-US"/>
        </w:rPr>
        <w:t>dissonance cognitive</w:t>
      </w:r>
      <w:r w:rsidR="0051216B" w:rsidRPr="00BD22C2">
        <w:rPr>
          <w:rFonts w:eastAsia="Calibri"/>
          <w:lang w:val="fr-CA" w:eastAsia="en-US"/>
        </w:rPr>
        <w:t> </w:t>
      </w:r>
      <w:r w:rsidR="00DB0A8A" w:rsidRPr="00BD22C2">
        <w:rPr>
          <w:rFonts w:eastAsia="Calibri"/>
          <w:lang w:val="fr-CA" w:eastAsia="en-US"/>
        </w:rPr>
        <w:t xml:space="preserve">» ainsi que sur le rôle de l’école à cet égard. Il s’agit </w:t>
      </w:r>
      <w:r w:rsidR="005E0F43" w:rsidRPr="00BD22C2">
        <w:rPr>
          <w:rFonts w:eastAsia="Calibri"/>
          <w:lang w:val="fr-CA" w:eastAsia="en-US"/>
        </w:rPr>
        <w:t>alors</w:t>
      </w:r>
      <w:r w:rsidR="00DB0A8A" w:rsidRPr="00BD22C2">
        <w:rPr>
          <w:rFonts w:eastAsia="Calibri"/>
          <w:lang w:val="fr-CA" w:eastAsia="en-US"/>
        </w:rPr>
        <w:t xml:space="preserve"> pour elle de promouvoir le principe de tolérance, en rappelant sa signification réelle, dans un contexte social marqué par la diversité</w:t>
      </w:r>
      <w:r w:rsidR="0051216B" w:rsidRPr="00BD22C2">
        <w:rPr>
          <w:rFonts w:eastAsia="Calibri"/>
          <w:lang w:val="fr-CA" w:eastAsia="en-US"/>
        </w:rPr>
        <w:t> </w:t>
      </w:r>
      <w:r w:rsidR="00DB0A8A" w:rsidRPr="00BD22C2">
        <w:rPr>
          <w:rFonts w:eastAsia="Calibri"/>
          <w:lang w:val="fr-CA" w:eastAsia="en-US"/>
        </w:rPr>
        <w:t xml:space="preserve">:  </w:t>
      </w:r>
    </w:p>
    <w:p w14:paraId="0C3E2C52" w14:textId="4B2C83ED" w:rsidR="00DB0A8A" w:rsidRPr="00910ECD" w:rsidRDefault="00DB0A8A" w:rsidP="00DB0A8A">
      <w:pPr>
        <w:pStyle w:val="Default"/>
        <w:ind w:left="706"/>
        <w:rPr>
          <w:rFonts w:eastAsia="Calibri"/>
          <w:sz w:val="20"/>
          <w:szCs w:val="20"/>
          <w:lang w:val="en-CA" w:eastAsia="en-US"/>
        </w:rPr>
      </w:pPr>
      <w:r w:rsidRPr="00910ECD">
        <w:rPr>
          <w:rFonts w:eastAsia="Calibri"/>
          <w:sz w:val="20"/>
          <w:szCs w:val="20"/>
          <w:lang w:val="en-CA" w:eastAsia="en-US"/>
        </w:rPr>
        <w:lastRenderedPageBreak/>
        <w:t>«</w:t>
      </w:r>
      <w:r w:rsidR="0051216B" w:rsidRPr="00910ECD">
        <w:rPr>
          <w:rFonts w:eastAsia="Calibri"/>
          <w:sz w:val="20"/>
          <w:szCs w:val="20"/>
          <w:lang w:val="en-CA" w:eastAsia="en-US"/>
        </w:rPr>
        <w:t> </w:t>
      </w:r>
      <w:r w:rsidRPr="00910ECD">
        <w:rPr>
          <w:sz w:val="20"/>
          <w:szCs w:val="20"/>
          <w:lang w:val="en-CA"/>
        </w:rPr>
        <w:t>When we ask people to be tolerant of others, we do not ask them to abandon their personal convictions. We merely ask them to respect the rights, values and ways of being of those who may not share those convictions. The belief that others are entitled to equal respect depends, not on the belief that their values are right, but on the belief that they have a claim to equal respect regardless of whether they are right. Learning about tolerance is therefore learning that other people’s entitlement to respect from us does not depend on whether their views accord with our own. Children cannot learn this unless they are exposed to views that differ from those they are taught at home.</w:t>
      </w:r>
      <w:r w:rsidR="0051216B" w:rsidRPr="00910ECD">
        <w:rPr>
          <w:rFonts w:eastAsia="Calibri"/>
          <w:sz w:val="20"/>
          <w:szCs w:val="20"/>
          <w:lang w:val="en-CA" w:eastAsia="en-US"/>
        </w:rPr>
        <w:t> </w:t>
      </w:r>
      <w:r w:rsidRPr="00910ECD">
        <w:rPr>
          <w:rFonts w:eastAsia="Calibri"/>
          <w:sz w:val="20"/>
          <w:szCs w:val="20"/>
          <w:lang w:val="en-CA" w:eastAsia="en-US"/>
        </w:rPr>
        <w:t>»</w:t>
      </w:r>
      <w:r w:rsidRPr="00BD22C2">
        <w:rPr>
          <w:rStyle w:val="Appeldenotedefin"/>
          <w:rFonts w:eastAsia="Calibri"/>
          <w:sz w:val="20"/>
          <w:szCs w:val="20"/>
          <w:lang w:eastAsia="en-US"/>
        </w:rPr>
        <w:endnoteReference w:id="520"/>
      </w:r>
    </w:p>
    <w:p w14:paraId="7C7B2A32" w14:textId="77777777" w:rsidR="00192074" w:rsidRPr="00910ECD" w:rsidRDefault="00192074" w:rsidP="00192074">
      <w:pPr>
        <w:pStyle w:val="Corpsdetexte"/>
        <w:rPr>
          <w:rFonts w:eastAsia="Calibri"/>
          <w:highlight w:val="lightGray"/>
          <w:lang w:val="en-CA" w:eastAsia="en-US"/>
        </w:rPr>
      </w:pPr>
    </w:p>
    <w:p w14:paraId="483709C0" w14:textId="3FDA3A20" w:rsidR="00DB0A8A" w:rsidRPr="00BD22C2" w:rsidRDefault="00192074" w:rsidP="009923A9">
      <w:pPr>
        <w:pStyle w:val="Corpsdetexte"/>
        <w:jc w:val="left"/>
        <w:rPr>
          <w:rFonts w:eastAsia="Calibri"/>
          <w:highlight w:val="lightGray"/>
          <w:lang w:eastAsia="en-US"/>
        </w:rPr>
      </w:pPr>
      <w:r w:rsidRPr="00BD22C2">
        <w:rPr>
          <w:rFonts w:eastAsia="Calibri"/>
          <w:lang w:eastAsia="en-US"/>
        </w:rPr>
        <w:t xml:space="preserve">La Commission </w:t>
      </w:r>
      <w:r w:rsidR="00400272" w:rsidRPr="00BD22C2">
        <w:rPr>
          <w:rFonts w:eastAsia="Calibri"/>
          <w:lang w:eastAsia="en-US"/>
        </w:rPr>
        <w:t>ne peut qu’abonder en ce sens. Elle</w:t>
      </w:r>
      <w:r w:rsidRPr="00BD22C2">
        <w:rPr>
          <w:rFonts w:eastAsia="Calibri"/>
          <w:lang w:eastAsia="en-US"/>
        </w:rPr>
        <w:t xml:space="preserve"> est </w:t>
      </w:r>
      <w:r w:rsidR="00DB3249" w:rsidRPr="00BD22C2">
        <w:rPr>
          <w:rFonts w:eastAsia="Calibri"/>
          <w:lang w:eastAsia="en-US"/>
        </w:rPr>
        <w:t xml:space="preserve">néanmoins </w:t>
      </w:r>
      <w:r w:rsidRPr="00BD22C2">
        <w:rPr>
          <w:rFonts w:eastAsia="Calibri"/>
          <w:lang w:eastAsia="en-US"/>
        </w:rPr>
        <w:t xml:space="preserve">consciente que </w:t>
      </w:r>
      <w:r w:rsidR="003512D4" w:rsidRPr="00BD22C2">
        <w:rPr>
          <w:rFonts w:eastAsia="Calibri"/>
          <w:lang w:eastAsia="en-US"/>
        </w:rPr>
        <w:t xml:space="preserve">le fait d’aborder à l’école </w:t>
      </w:r>
      <w:r w:rsidR="008A5598" w:rsidRPr="00BD22C2">
        <w:rPr>
          <w:rFonts w:eastAsia="Calibri"/>
          <w:lang w:eastAsia="en-US"/>
        </w:rPr>
        <w:t xml:space="preserve">de façon </w:t>
      </w:r>
      <w:r w:rsidR="0015294A" w:rsidRPr="00BD22C2">
        <w:rPr>
          <w:rFonts w:eastAsia="Calibri"/>
          <w:lang w:eastAsia="en-US"/>
        </w:rPr>
        <w:t>adaptée à l’âge de l’élève</w:t>
      </w:r>
      <w:r w:rsidR="003512D4" w:rsidRPr="00BD22C2">
        <w:rPr>
          <w:rFonts w:eastAsia="Calibri"/>
          <w:lang w:eastAsia="en-US"/>
        </w:rPr>
        <w:t xml:space="preserve"> les questions relatives à</w:t>
      </w:r>
      <w:r w:rsidRPr="00BD22C2">
        <w:rPr>
          <w:rFonts w:eastAsia="Calibri"/>
          <w:lang w:eastAsia="en-US"/>
        </w:rPr>
        <w:t xml:space="preserve"> l’identité et à l’expression de genre, ainsi qu’à la transphobie et à la cisnormativité</w:t>
      </w:r>
      <w:r w:rsidR="002F3923" w:rsidRPr="00BD22C2">
        <w:rPr>
          <w:rFonts w:eastAsia="Calibri"/>
          <w:lang w:eastAsia="en-US"/>
        </w:rPr>
        <w:t>,</w:t>
      </w:r>
      <w:r w:rsidRPr="00BD22C2">
        <w:rPr>
          <w:rFonts w:eastAsia="Calibri"/>
          <w:lang w:eastAsia="en-US"/>
        </w:rPr>
        <w:t xml:space="preserve"> </w:t>
      </w:r>
      <w:r w:rsidRPr="00BD22C2" w:rsidDel="00DB17A7">
        <w:rPr>
          <w:rFonts w:eastAsia="Calibri"/>
          <w:lang w:eastAsia="en-US"/>
        </w:rPr>
        <w:t>puisse</w:t>
      </w:r>
      <w:r w:rsidRPr="00BD22C2">
        <w:rPr>
          <w:rFonts w:eastAsia="Calibri"/>
          <w:lang w:eastAsia="en-US"/>
        </w:rPr>
        <w:t xml:space="preserve"> faire débat, être source d’inconfort, voire être l’objet de certaines oppositions dans la population et chez certains parents.</w:t>
      </w:r>
      <w:r w:rsidR="006F2D93" w:rsidRPr="00BD22C2">
        <w:rPr>
          <w:rFonts w:eastAsia="Calibri"/>
          <w:lang w:eastAsia="en-US"/>
        </w:rPr>
        <w:t xml:space="preserve"> </w:t>
      </w:r>
      <w:r w:rsidR="006C672A" w:rsidRPr="00BD22C2">
        <w:rPr>
          <w:rFonts w:eastAsia="Calibri"/>
          <w:lang w:eastAsia="en-US"/>
        </w:rPr>
        <w:t>La Commission</w:t>
      </w:r>
      <w:r w:rsidR="006F2D93" w:rsidRPr="00BD22C2">
        <w:rPr>
          <w:rFonts w:eastAsia="Calibri"/>
          <w:lang w:eastAsia="en-US"/>
        </w:rPr>
        <w:t xml:space="preserve"> est toutefois d’avis que c’est de la responsabilité de l’école de s’assurer que l</w:t>
      </w:r>
      <w:r w:rsidR="00DB0A8A" w:rsidRPr="00BD22C2">
        <w:rPr>
          <w:rFonts w:eastAsia="Calibri"/>
          <w:lang w:eastAsia="en-US"/>
        </w:rPr>
        <w:t xml:space="preserve">e contenu du programme scolaire </w:t>
      </w:r>
      <w:r w:rsidR="00EF6761" w:rsidRPr="00BD22C2">
        <w:rPr>
          <w:rFonts w:eastAsia="Calibri"/>
          <w:lang w:eastAsia="en-US"/>
        </w:rPr>
        <w:t>et</w:t>
      </w:r>
      <w:r w:rsidR="00DB0A8A" w:rsidRPr="00BD22C2">
        <w:rPr>
          <w:rFonts w:eastAsia="Calibri"/>
          <w:lang w:eastAsia="en-US"/>
        </w:rPr>
        <w:t xml:space="preserve"> son enseignement</w:t>
      </w:r>
      <w:r w:rsidR="006F2D93" w:rsidRPr="00BD22C2">
        <w:rPr>
          <w:rFonts w:eastAsia="Calibri"/>
          <w:lang w:eastAsia="en-US"/>
        </w:rPr>
        <w:t xml:space="preserve"> (</w:t>
      </w:r>
      <w:r w:rsidR="00DB0A8A" w:rsidRPr="00BD22C2">
        <w:rPr>
          <w:rFonts w:eastAsia="Calibri"/>
          <w:lang w:eastAsia="en-US"/>
        </w:rPr>
        <w:t>de même que les normes et pratiques de l’école</w:t>
      </w:r>
      <w:r w:rsidR="006F2D93" w:rsidRPr="00BD22C2">
        <w:rPr>
          <w:rFonts w:eastAsia="Calibri"/>
          <w:lang w:eastAsia="en-US"/>
        </w:rPr>
        <w:t>)</w:t>
      </w:r>
      <w:r w:rsidR="00DB0A8A" w:rsidRPr="00BD22C2">
        <w:rPr>
          <w:rFonts w:eastAsia="Calibri"/>
          <w:lang w:eastAsia="en-US"/>
        </w:rPr>
        <w:t xml:space="preserve"> tend</w:t>
      </w:r>
      <w:r w:rsidR="006F2D93" w:rsidRPr="00BD22C2">
        <w:rPr>
          <w:rFonts w:eastAsia="Calibri"/>
          <w:lang w:eastAsia="en-US"/>
        </w:rPr>
        <w:t>ent</w:t>
      </w:r>
      <w:r w:rsidR="00DB0A8A" w:rsidRPr="00BD22C2">
        <w:rPr>
          <w:rFonts w:eastAsia="Calibri"/>
          <w:lang w:eastAsia="en-US"/>
        </w:rPr>
        <w:t xml:space="preserve"> vers cet objectif de respect des différences et de tolérance</w:t>
      </w:r>
      <w:r w:rsidR="00465723" w:rsidRPr="00BD22C2">
        <w:rPr>
          <w:rFonts w:eastAsia="Calibri"/>
          <w:lang w:eastAsia="en-US"/>
        </w:rPr>
        <w:t>, tout particulièrement à l’égard de groupes vulnérables et marginalisé</w:t>
      </w:r>
      <w:r w:rsidR="00CF7FBC" w:rsidRPr="00BD22C2">
        <w:rPr>
          <w:rFonts w:eastAsia="Calibri"/>
          <w:lang w:eastAsia="en-US"/>
        </w:rPr>
        <w:t>s</w:t>
      </w:r>
      <w:r w:rsidR="00DB0A8A" w:rsidRPr="00BD22C2">
        <w:rPr>
          <w:rFonts w:eastAsia="Calibri"/>
          <w:lang w:eastAsia="en-US"/>
        </w:rPr>
        <w:t xml:space="preserve">. </w:t>
      </w:r>
    </w:p>
    <w:p w14:paraId="3539B5CB" w14:textId="5E34666D" w:rsidR="00DB0A8A" w:rsidRPr="00BD22C2" w:rsidRDefault="00DB0A8A" w:rsidP="00651EF8">
      <w:pPr>
        <w:pStyle w:val="Paragraphe"/>
        <w:rPr>
          <w:rFonts w:eastAsia="Calibri"/>
          <w:lang w:val="fr-CA" w:eastAsia="en-US"/>
        </w:rPr>
      </w:pPr>
      <w:r w:rsidRPr="00BD22C2">
        <w:rPr>
          <w:rFonts w:eastAsia="Calibri"/>
          <w:lang w:val="fr-CA" w:eastAsia="en-US"/>
        </w:rPr>
        <w:t xml:space="preserve">Quant à l’objectif plus spécifique d’aborder </w:t>
      </w:r>
      <w:r w:rsidR="00A10CC4" w:rsidRPr="00BD22C2">
        <w:rPr>
          <w:rFonts w:eastAsia="Calibri"/>
          <w:lang w:val="fr-CA" w:eastAsia="en-US"/>
        </w:rPr>
        <w:t xml:space="preserve">progressivement </w:t>
      </w:r>
      <w:r w:rsidRPr="00BD22C2">
        <w:rPr>
          <w:rFonts w:eastAsia="Calibri"/>
          <w:lang w:val="fr-CA" w:eastAsia="en-US"/>
        </w:rPr>
        <w:t xml:space="preserve">les enjeux liés à l’identité et à l’expression de genre à travers le cursus scolaire, il appelle en amont au développement de connaissances solides et à jour parmi les professionnels de l’éducation. On revient ici au rôle du personnel scolaire en matière d’éducation aux droits et libertés. </w:t>
      </w:r>
    </w:p>
    <w:p w14:paraId="041F29E7" w14:textId="6EFDC179" w:rsidR="003E3335" w:rsidRPr="00BD22C2" w:rsidRDefault="003E433A" w:rsidP="00FB6B0E">
      <w:pPr>
        <w:pStyle w:val="Paragraphe"/>
        <w:rPr>
          <w:rFonts w:eastAsia="Calibri"/>
          <w:lang w:val="fr-CA" w:eastAsia="en-US"/>
        </w:rPr>
      </w:pPr>
      <w:r w:rsidRPr="00BD22C2">
        <w:rPr>
          <w:rFonts w:eastAsia="Calibri"/>
          <w:lang w:val="fr-CA" w:eastAsia="en-US"/>
        </w:rPr>
        <w:t>Cela dit, une</w:t>
      </w:r>
      <w:r w:rsidR="004D384D" w:rsidRPr="00BD22C2">
        <w:rPr>
          <w:rFonts w:eastAsia="Calibri"/>
          <w:lang w:val="fr-CA" w:eastAsia="en-US"/>
        </w:rPr>
        <w:t xml:space="preserve"> manière forte d’affirmer le caractère obligatoire de l’enseignement relatif à l’éducation aux droits</w:t>
      </w:r>
      <w:r w:rsidR="00C60CDA" w:rsidRPr="00BD22C2">
        <w:rPr>
          <w:rFonts w:eastAsia="Calibri"/>
          <w:lang w:val="fr-CA" w:eastAsia="en-US"/>
        </w:rPr>
        <w:t>,</w:t>
      </w:r>
      <w:r w:rsidR="00DB63F2" w:rsidRPr="00BD22C2">
        <w:rPr>
          <w:rFonts w:eastAsia="Calibri"/>
          <w:lang w:val="fr-CA" w:eastAsia="en-US"/>
        </w:rPr>
        <w:t xml:space="preserve"> </w:t>
      </w:r>
      <w:r w:rsidR="00C60CDA" w:rsidRPr="00BD22C2">
        <w:rPr>
          <w:rFonts w:eastAsia="Calibri"/>
          <w:lang w:val="fr-CA" w:eastAsia="en-US"/>
        </w:rPr>
        <w:t>incluant</w:t>
      </w:r>
      <w:r w:rsidR="00DB63F2" w:rsidRPr="00BD22C2">
        <w:rPr>
          <w:rFonts w:eastAsia="Calibri"/>
          <w:lang w:val="fr-CA" w:eastAsia="en-US"/>
        </w:rPr>
        <w:t xml:space="preserve"> un volet sur l’éducation complète à la sexualité,</w:t>
      </w:r>
      <w:r w:rsidR="004D384D" w:rsidRPr="00BD22C2">
        <w:rPr>
          <w:rFonts w:eastAsia="Calibri"/>
          <w:lang w:val="fr-CA" w:eastAsia="en-US"/>
        </w:rPr>
        <w:t xml:space="preserve"> serait d’introduire cette notion dans la législation encadrant le milieu scolaire. C’est en ce sens que la Commission a recommandé à de multiples reprises de modifier à cette fin la </w:t>
      </w:r>
      <w:r w:rsidR="004D384D" w:rsidRPr="00BD22C2">
        <w:rPr>
          <w:rFonts w:eastAsia="Calibri"/>
          <w:i/>
          <w:iCs/>
          <w:lang w:val="fr-CA" w:eastAsia="en-US"/>
        </w:rPr>
        <w:t>Loi sur l’instruction publique</w:t>
      </w:r>
      <w:r w:rsidR="004D384D" w:rsidRPr="00BD22C2">
        <w:rPr>
          <w:rFonts w:eastAsia="Calibri"/>
          <w:lang w:val="fr-CA" w:eastAsia="en-US"/>
        </w:rPr>
        <w:t xml:space="preserve"> afin d’y inscrire formellement l’éducation aux droits</w:t>
      </w:r>
      <w:r w:rsidR="00D45645">
        <w:rPr>
          <w:rStyle w:val="Appeldenotedefin"/>
          <w:rFonts w:eastAsia="Calibri"/>
          <w:lang w:val="fr-CA" w:eastAsia="en-US"/>
        </w:rPr>
        <w:endnoteReference w:id="521"/>
      </w:r>
      <w:r w:rsidR="004D384D" w:rsidRPr="00BD22C2">
        <w:rPr>
          <w:rFonts w:eastAsia="Calibri"/>
          <w:lang w:val="fr-CA" w:eastAsia="en-US"/>
        </w:rPr>
        <w:t xml:space="preserve">. </w:t>
      </w:r>
      <w:r w:rsidR="0051549B" w:rsidRPr="00BD22C2">
        <w:rPr>
          <w:rFonts w:eastAsia="Calibri"/>
          <w:lang w:val="fr-CA" w:eastAsia="en-US"/>
        </w:rPr>
        <w:t xml:space="preserve">À la lumière des questions et enjeux traités dans ce mémoire et du rôle </w:t>
      </w:r>
      <w:r w:rsidR="00653A62" w:rsidRPr="00BD22C2">
        <w:rPr>
          <w:rFonts w:eastAsia="Calibri"/>
          <w:lang w:val="fr-CA" w:eastAsia="en-US"/>
        </w:rPr>
        <w:t>que</w:t>
      </w:r>
      <w:r w:rsidR="0051549B" w:rsidRPr="00BD22C2">
        <w:rPr>
          <w:rFonts w:eastAsia="Calibri"/>
          <w:lang w:val="fr-CA" w:eastAsia="en-US"/>
        </w:rPr>
        <w:t xml:space="preserve"> l’école doit jouer en matière de </w:t>
      </w:r>
      <w:r w:rsidR="001766CA" w:rsidRPr="00BD22C2">
        <w:rPr>
          <w:rFonts w:eastAsia="Calibri"/>
          <w:lang w:val="fr-CA" w:eastAsia="en-US"/>
        </w:rPr>
        <w:t xml:space="preserve">respect et de </w:t>
      </w:r>
      <w:r w:rsidR="0051549B" w:rsidRPr="00BD22C2">
        <w:rPr>
          <w:rFonts w:eastAsia="Calibri"/>
          <w:lang w:val="fr-CA" w:eastAsia="en-US"/>
        </w:rPr>
        <w:t xml:space="preserve">promotion </w:t>
      </w:r>
      <w:r w:rsidR="001766CA" w:rsidRPr="00BD22C2">
        <w:rPr>
          <w:rFonts w:eastAsia="Calibri"/>
          <w:lang w:val="fr-CA" w:eastAsia="en-US"/>
        </w:rPr>
        <w:t>des droits des personnes trans et non</w:t>
      </w:r>
      <w:r w:rsidR="003D4303" w:rsidRPr="00BD22C2">
        <w:rPr>
          <w:rFonts w:eastAsia="Calibri"/>
          <w:lang w:val="fr-CA" w:eastAsia="en-US"/>
        </w:rPr>
        <w:t xml:space="preserve"> </w:t>
      </w:r>
      <w:r w:rsidR="001766CA" w:rsidRPr="00BD22C2">
        <w:rPr>
          <w:rFonts w:eastAsia="Calibri"/>
          <w:lang w:val="fr-CA" w:eastAsia="en-US"/>
        </w:rPr>
        <w:t>binaires</w:t>
      </w:r>
      <w:r w:rsidR="00653A62" w:rsidRPr="00BD22C2">
        <w:rPr>
          <w:rFonts w:eastAsia="Calibri"/>
          <w:lang w:val="fr-CA" w:eastAsia="en-US"/>
        </w:rPr>
        <w:t>, cette</w:t>
      </w:r>
      <w:r w:rsidR="00B5631D" w:rsidRPr="00BD22C2">
        <w:rPr>
          <w:rFonts w:eastAsia="Calibri"/>
          <w:lang w:val="fr-CA" w:eastAsia="en-US"/>
        </w:rPr>
        <w:t xml:space="preserve"> recommandation </w:t>
      </w:r>
      <w:r w:rsidR="0051549B" w:rsidRPr="00BD22C2">
        <w:rPr>
          <w:rFonts w:eastAsia="Calibri"/>
          <w:lang w:val="fr-CA" w:eastAsia="en-US"/>
        </w:rPr>
        <w:t>conserve toute sa pertinence</w:t>
      </w:r>
      <w:r w:rsidR="003E3335" w:rsidRPr="00BD22C2">
        <w:rPr>
          <w:rFonts w:eastAsia="Calibri"/>
          <w:lang w:val="fr-CA" w:eastAsia="en-US"/>
        </w:rPr>
        <w:t>. C’est pourquoi la Commission demande au Comité de sages sur l’identité de genre de la porter auprès du gouvernement</w:t>
      </w:r>
      <w:r w:rsidR="0090592D" w:rsidRPr="00BD22C2">
        <w:rPr>
          <w:rFonts w:eastAsia="Calibri"/>
          <w:lang w:val="fr-CA" w:eastAsia="en-US"/>
        </w:rPr>
        <w:t>.</w:t>
      </w:r>
    </w:p>
    <w:p w14:paraId="7A23941A" w14:textId="424175FD" w:rsidR="0001127D" w:rsidRPr="00BD22C2" w:rsidRDefault="003E3335" w:rsidP="006E58ED">
      <w:pPr>
        <w:pStyle w:val="TitreRecommandation"/>
        <w:keepNext/>
        <w:keepLines/>
        <w:rPr>
          <w:rFonts w:eastAsia="Calibri"/>
          <w:lang w:eastAsia="en-US"/>
        </w:rPr>
      </w:pPr>
      <w:r w:rsidRPr="00BD22C2">
        <w:rPr>
          <w:rFonts w:eastAsia="Calibri"/>
          <w:lang w:eastAsia="en-US"/>
        </w:rPr>
        <w:lastRenderedPageBreak/>
        <w:t>Recommandation</w:t>
      </w:r>
      <w:r w:rsidR="00CC76DE" w:rsidRPr="00BD22C2">
        <w:rPr>
          <w:rFonts w:eastAsia="Calibri"/>
          <w:lang w:eastAsia="en-US"/>
        </w:rPr>
        <w:t> </w:t>
      </w:r>
      <w:r w:rsidR="0014682B" w:rsidRPr="00BD22C2">
        <w:rPr>
          <w:rFonts w:eastAsia="Calibri"/>
          <w:lang w:eastAsia="en-US"/>
        </w:rPr>
        <w:t>18</w:t>
      </w:r>
    </w:p>
    <w:p w14:paraId="11234199" w14:textId="741D6281" w:rsidR="004D384D" w:rsidRPr="00BD22C2" w:rsidRDefault="00C46D73" w:rsidP="006E58ED">
      <w:pPr>
        <w:pStyle w:val="Texterecommandation"/>
        <w:keepNext/>
        <w:keepLines/>
        <w:ind w:left="706" w:firstLine="3"/>
        <w:rPr>
          <w:lang w:eastAsia="en-US"/>
        </w:rPr>
      </w:pPr>
      <w:r w:rsidRPr="00BD22C2">
        <w:t xml:space="preserve">La Commission recommande </w:t>
      </w:r>
      <w:r w:rsidR="006428B2" w:rsidRPr="00BD22C2">
        <w:rPr>
          <w:bCs/>
        </w:rPr>
        <w:t xml:space="preserve">au Comité de </w:t>
      </w:r>
      <w:r w:rsidR="00EE233D" w:rsidRPr="00BD22C2">
        <w:rPr>
          <w:bCs/>
        </w:rPr>
        <w:t>s</w:t>
      </w:r>
      <w:r w:rsidR="006428B2" w:rsidRPr="00BD22C2">
        <w:rPr>
          <w:bCs/>
        </w:rPr>
        <w:t>ages sur l’identité de genre</w:t>
      </w:r>
      <w:r w:rsidR="005A674C" w:rsidRPr="00BD22C2">
        <w:rPr>
          <w:bCs/>
        </w:rPr>
        <w:t xml:space="preserve"> de</w:t>
      </w:r>
      <w:r w:rsidR="006428B2" w:rsidRPr="00BD22C2">
        <w:rPr>
          <w:bCs/>
        </w:rPr>
        <w:t xml:space="preserve"> </w:t>
      </w:r>
      <w:r w:rsidR="00B9203B" w:rsidRPr="00BD22C2">
        <w:rPr>
          <w:bCs/>
        </w:rPr>
        <w:t>demande</w:t>
      </w:r>
      <w:r w:rsidR="005A674C" w:rsidRPr="00BD22C2">
        <w:rPr>
          <w:bCs/>
        </w:rPr>
        <w:t>r</w:t>
      </w:r>
      <w:r w:rsidR="00B9203B" w:rsidRPr="00BD22C2">
        <w:rPr>
          <w:bCs/>
        </w:rPr>
        <w:t xml:space="preserve"> au gouvernement </w:t>
      </w:r>
      <w:r w:rsidRPr="00BD22C2">
        <w:t xml:space="preserve">que l’éducation aux droits et libertés prévus à la </w:t>
      </w:r>
      <w:r w:rsidRPr="00BD22C2">
        <w:rPr>
          <w:i/>
        </w:rPr>
        <w:t xml:space="preserve">Charte </w:t>
      </w:r>
      <w:r w:rsidR="0048069E" w:rsidRPr="00BD22C2">
        <w:rPr>
          <w:i/>
        </w:rPr>
        <w:t>des droits et libert</w:t>
      </w:r>
      <w:r w:rsidR="0048069E" w:rsidRPr="00BD22C2">
        <w:rPr>
          <w:rFonts w:hint="eastAsia"/>
          <w:i/>
        </w:rPr>
        <w:t>é</w:t>
      </w:r>
      <w:r w:rsidR="0048069E" w:rsidRPr="00BD22C2">
        <w:rPr>
          <w:i/>
        </w:rPr>
        <w:t>s de la personne</w:t>
      </w:r>
      <w:r w:rsidR="0048069E" w:rsidRPr="00BD22C2">
        <w:t xml:space="preserve"> </w:t>
      </w:r>
      <w:r w:rsidRPr="00BD22C2">
        <w:t xml:space="preserve">soit formellement inscrite dans la </w:t>
      </w:r>
      <w:r w:rsidRPr="00BD22C2">
        <w:rPr>
          <w:i/>
        </w:rPr>
        <w:t xml:space="preserve">Loi sur l’instruction </w:t>
      </w:r>
      <w:r w:rsidRPr="00BD22C2">
        <w:rPr>
          <w:bCs/>
          <w:i/>
          <w:iCs/>
        </w:rPr>
        <w:t>publique</w:t>
      </w:r>
      <w:r w:rsidRPr="00BD22C2">
        <w:t xml:space="preserve"> afin de favoriser la compréhension, par les élèves, des </w:t>
      </w:r>
      <w:r w:rsidR="002974AF" w:rsidRPr="00BD22C2">
        <w:t>facteurs</w:t>
      </w:r>
      <w:r w:rsidRPr="00BD22C2">
        <w:t xml:space="preserve"> qui contribuent à renforcer diverses formes de préjugés, d’exclusion et de discrimination</w:t>
      </w:r>
      <w:r w:rsidR="000C0F56" w:rsidRPr="00BD22C2">
        <w:t xml:space="preserve">, notamment </w:t>
      </w:r>
      <w:r w:rsidR="00E20C13" w:rsidRPr="00BD22C2">
        <w:rPr>
          <w:bCs/>
        </w:rPr>
        <w:t xml:space="preserve">celles </w:t>
      </w:r>
      <w:r w:rsidR="008C735B">
        <w:rPr>
          <w:bCs/>
        </w:rPr>
        <w:t>ciblant</w:t>
      </w:r>
      <w:r w:rsidR="007500DE" w:rsidRPr="00BD22C2">
        <w:t xml:space="preserve"> les</w:t>
      </w:r>
      <w:r w:rsidR="000C0F56" w:rsidRPr="00BD22C2">
        <w:t xml:space="preserve"> personnes trans et non</w:t>
      </w:r>
      <w:r w:rsidR="0073758E" w:rsidRPr="00BD22C2">
        <w:t xml:space="preserve"> </w:t>
      </w:r>
      <w:r w:rsidR="000C0F56" w:rsidRPr="00BD22C2">
        <w:t>binaires</w:t>
      </w:r>
      <w:r w:rsidR="00F665D0" w:rsidRPr="00BD22C2">
        <w:t>.</w:t>
      </w:r>
    </w:p>
    <w:p w14:paraId="31725D75" w14:textId="0DFFAC2B" w:rsidR="005C4DF4" w:rsidRPr="00BD22C2" w:rsidRDefault="00CD5C18" w:rsidP="001E26FD">
      <w:pPr>
        <w:pStyle w:val="Titre4"/>
      </w:pPr>
      <w:bookmarkStart w:id="208" w:name="_Toc165636140"/>
      <w:r w:rsidRPr="00BD22C2">
        <w:t>L’</w:t>
      </w:r>
      <w:r w:rsidR="006B3B17" w:rsidRPr="00BD22C2">
        <w:rPr>
          <w:iCs/>
        </w:rPr>
        <w:t>éducation</w:t>
      </w:r>
      <w:r w:rsidR="004D384D" w:rsidRPr="00BD22C2">
        <w:t xml:space="preserve"> aux droits </w:t>
      </w:r>
      <w:r w:rsidR="006B3B17" w:rsidRPr="00BD22C2">
        <w:t>et la prise en compte d</w:t>
      </w:r>
      <w:r w:rsidR="005C4DF4" w:rsidRPr="00BD22C2">
        <w:t>es questions relatives aux personnes trans et non</w:t>
      </w:r>
      <w:r w:rsidR="007F39E5" w:rsidRPr="00BD22C2">
        <w:t xml:space="preserve"> </w:t>
      </w:r>
      <w:r w:rsidR="005C4DF4" w:rsidRPr="00BD22C2">
        <w:t>binaires dans le nouveau programme de Culture et citoyenneté québécoise</w:t>
      </w:r>
      <w:bookmarkEnd w:id="208"/>
    </w:p>
    <w:p w14:paraId="5A6E6EEC" w14:textId="01A0F19A" w:rsidR="00A06302" w:rsidRPr="00BD22C2" w:rsidRDefault="004D384D" w:rsidP="00FB6B0E">
      <w:pPr>
        <w:pStyle w:val="Paragraphe"/>
        <w:rPr>
          <w:rFonts w:eastAsia="Calibri"/>
          <w:lang w:val="fr-CA" w:eastAsia="en-US"/>
        </w:rPr>
      </w:pPr>
      <w:r w:rsidRPr="00BD22C2">
        <w:rPr>
          <w:rFonts w:eastAsia="Calibri"/>
          <w:lang w:val="fr-CA" w:eastAsia="en-US"/>
        </w:rPr>
        <w:t>Dans ses commentaires sur le programme de Culture et citoyenneté québécoise</w:t>
      </w:r>
      <w:r w:rsidR="00231C3C" w:rsidRPr="00BD22C2">
        <w:rPr>
          <w:rFonts w:eastAsia="Calibri"/>
          <w:lang w:val="fr-CA" w:eastAsia="en-US"/>
        </w:rPr>
        <w:t xml:space="preserve"> (ci-après </w:t>
      </w:r>
      <w:r w:rsidR="003247A1" w:rsidRPr="00BD22C2">
        <w:rPr>
          <w:rFonts w:eastAsia="Calibri"/>
          <w:lang w:val="fr-CA" w:eastAsia="en-US"/>
        </w:rPr>
        <w:t>«</w:t>
      </w:r>
      <w:r w:rsidR="00444FEB">
        <w:rPr>
          <w:rFonts w:eastAsia="Calibri"/>
          <w:lang w:val="fr-CA" w:eastAsia="en-US"/>
        </w:rPr>
        <w:t> </w:t>
      </w:r>
      <w:r w:rsidR="00231C3C" w:rsidRPr="00BD22C2">
        <w:rPr>
          <w:rFonts w:eastAsia="Calibri"/>
          <w:lang w:val="fr-CA" w:eastAsia="en-US"/>
        </w:rPr>
        <w:t>programme de CCQ</w:t>
      </w:r>
      <w:r w:rsidR="00444FEB">
        <w:rPr>
          <w:rFonts w:eastAsia="Calibri"/>
          <w:lang w:val="fr-CA" w:eastAsia="en-US"/>
        </w:rPr>
        <w:t> </w:t>
      </w:r>
      <w:r w:rsidR="003247A1" w:rsidRPr="00BD22C2">
        <w:rPr>
          <w:rFonts w:eastAsia="Calibri"/>
          <w:lang w:val="fr-CA" w:eastAsia="en-US"/>
        </w:rPr>
        <w:t>»</w:t>
      </w:r>
      <w:r w:rsidR="00231C3C" w:rsidRPr="00BD22C2">
        <w:rPr>
          <w:rFonts w:eastAsia="Calibri"/>
          <w:lang w:val="fr-CA" w:eastAsia="en-US"/>
        </w:rPr>
        <w:t>)</w:t>
      </w:r>
      <w:r w:rsidRPr="00BD22C2">
        <w:rPr>
          <w:rFonts w:eastAsia="Calibri"/>
          <w:lang w:val="fr-CA" w:eastAsia="en-US"/>
        </w:rPr>
        <w:t>,</w:t>
      </w:r>
      <w:r w:rsidR="0057312E" w:rsidRPr="00BD22C2">
        <w:rPr>
          <w:rFonts w:eastAsia="Calibri"/>
          <w:lang w:val="fr-CA" w:eastAsia="en-US"/>
        </w:rPr>
        <w:t xml:space="preserve"> </w:t>
      </w:r>
      <w:r w:rsidRPr="00BD22C2">
        <w:rPr>
          <w:rFonts w:eastAsia="Calibri"/>
          <w:lang w:val="fr-CA" w:eastAsia="en-US"/>
        </w:rPr>
        <w:t xml:space="preserve">la Commission a </w:t>
      </w:r>
      <w:r w:rsidR="00CE26BE" w:rsidRPr="00BD22C2">
        <w:rPr>
          <w:rFonts w:eastAsia="Calibri"/>
          <w:lang w:val="fr-CA" w:eastAsia="en-US"/>
        </w:rPr>
        <w:t xml:space="preserve">également </w:t>
      </w:r>
      <w:r w:rsidRPr="00BD22C2">
        <w:rPr>
          <w:rFonts w:eastAsia="Calibri"/>
          <w:lang w:val="fr-CA" w:eastAsia="en-US"/>
        </w:rPr>
        <w:t>mis de l’avant l’éducation aux droits afin de structurer le contenu de ce dernier</w:t>
      </w:r>
      <w:r w:rsidR="00E96007" w:rsidRPr="00BD22C2">
        <w:rPr>
          <w:rFonts w:eastAsia="Calibri"/>
          <w:lang w:val="fr-CA" w:eastAsia="en-US"/>
        </w:rPr>
        <w:t xml:space="preserve"> </w:t>
      </w:r>
      <w:r w:rsidR="00351EB7" w:rsidRPr="00BD22C2">
        <w:rPr>
          <w:rFonts w:eastAsia="Calibri"/>
          <w:lang w:val="fr-CA" w:eastAsia="en-US"/>
        </w:rPr>
        <w:t xml:space="preserve">et </w:t>
      </w:r>
      <w:r w:rsidR="00E96007" w:rsidRPr="00BD22C2">
        <w:rPr>
          <w:rFonts w:eastAsia="Calibri"/>
          <w:lang w:val="fr-CA" w:eastAsia="en-US"/>
        </w:rPr>
        <w:t>afin de</w:t>
      </w:r>
      <w:r w:rsidR="00A06302" w:rsidRPr="00BD22C2">
        <w:rPr>
          <w:rStyle w:val="cf01"/>
          <w:lang w:val="fr-CA"/>
        </w:rPr>
        <w:t xml:space="preserve"> </w:t>
      </w:r>
      <w:r w:rsidR="00A06302" w:rsidRPr="00BD22C2">
        <w:rPr>
          <w:rFonts w:eastAsia="Calibri"/>
          <w:lang w:val="fr-CA" w:eastAsia="en-US"/>
        </w:rPr>
        <w:t xml:space="preserve">s’assurer que le contenu spécifique de la Charte soit nommé et intégré de manière transversale au nouveau programme, tant </w:t>
      </w:r>
      <w:proofErr w:type="gramStart"/>
      <w:r w:rsidR="00A06302" w:rsidRPr="00BD22C2">
        <w:rPr>
          <w:rFonts w:eastAsia="Calibri"/>
          <w:lang w:val="fr-CA" w:eastAsia="en-US"/>
        </w:rPr>
        <w:t>au</w:t>
      </w:r>
      <w:r w:rsidR="00DF43E4" w:rsidRPr="00BD22C2">
        <w:rPr>
          <w:rFonts w:eastAsia="Calibri"/>
          <w:lang w:val="fr-CA" w:eastAsia="en-US"/>
        </w:rPr>
        <w:t>x</w:t>
      </w:r>
      <w:r w:rsidR="00A06302" w:rsidRPr="00BD22C2">
        <w:rPr>
          <w:rFonts w:eastAsia="Calibri"/>
          <w:lang w:val="fr-CA" w:eastAsia="en-US"/>
        </w:rPr>
        <w:t xml:space="preserve"> niveau</w:t>
      </w:r>
      <w:r w:rsidR="00DF43E4" w:rsidRPr="00BD22C2">
        <w:rPr>
          <w:rFonts w:eastAsia="Calibri"/>
          <w:lang w:val="fr-CA" w:eastAsia="en-US"/>
        </w:rPr>
        <w:t>x</w:t>
      </w:r>
      <w:r w:rsidR="00A06302" w:rsidRPr="00BD22C2">
        <w:rPr>
          <w:rFonts w:eastAsia="Calibri"/>
          <w:lang w:val="fr-CA" w:eastAsia="en-US"/>
        </w:rPr>
        <w:t xml:space="preserve"> primaire</w:t>
      </w:r>
      <w:proofErr w:type="gramEnd"/>
      <w:r w:rsidR="00A06302" w:rsidRPr="00BD22C2">
        <w:rPr>
          <w:rFonts w:eastAsia="Calibri"/>
          <w:lang w:val="fr-CA" w:eastAsia="en-US"/>
        </w:rPr>
        <w:t xml:space="preserve"> que secondaire. </w:t>
      </w:r>
      <w:r w:rsidR="00B06DD2" w:rsidRPr="00BD22C2">
        <w:rPr>
          <w:rFonts w:eastAsia="Calibri"/>
          <w:lang w:val="fr-CA" w:eastAsia="en-US"/>
        </w:rPr>
        <w:t>Ainsi</w:t>
      </w:r>
      <w:r w:rsidR="00296D32" w:rsidRPr="00BD22C2">
        <w:rPr>
          <w:rFonts w:eastAsia="Calibri"/>
          <w:lang w:val="fr-CA" w:eastAsia="en-US"/>
        </w:rPr>
        <w:t xml:space="preserve">, </w:t>
      </w:r>
      <w:r w:rsidR="007D6A8F" w:rsidRPr="00BD22C2">
        <w:rPr>
          <w:rFonts w:eastAsia="Calibri"/>
          <w:lang w:val="fr-CA" w:eastAsia="en-US"/>
        </w:rPr>
        <w:t>alors qu’elle commentait la version provisoire du programme en décembre 2022</w:t>
      </w:r>
      <w:r w:rsidR="00296D32" w:rsidRPr="00BD22C2">
        <w:rPr>
          <w:rFonts w:eastAsia="Calibri"/>
          <w:lang w:val="fr-CA" w:eastAsia="en-US"/>
        </w:rPr>
        <w:t xml:space="preserve">, elle </w:t>
      </w:r>
      <w:r w:rsidR="00B06DD2" w:rsidRPr="00BD22C2">
        <w:rPr>
          <w:rFonts w:eastAsia="Calibri"/>
          <w:lang w:val="fr-CA" w:eastAsia="en-US"/>
        </w:rPr>
        <w:t>a suggéré l’ajout d’</w:t>
      </w:r>
      <w:r w:rsidR="00A06302" w:rsidRPr="00BD22C2">
        <w:rPr>
          <w:rFonts w:eastAsia="Calibri"/>
          <w:lang w:val="fr-CA" w:eastAsia="en-US"/>
        </w:rPr>
        <w:t>éléments de contenu</w:t>
      </w:r>
      <w:r w:rsidR="009F21FF" w:rsidRPr="00BD22C2">
        <w:rPr>
          <w:rFonts w:eastAsia="Calibri"/>
          <w:lang w:val="fr-CA" w:eastAsia="en-US"/>
        </w:rPr>
        <w:t>, tout en ayant la préoccupation d’adapter</w:t>
      </w:r>
      <w:r w:rsidR="00B06DD2" w:rsidRPr="00BD22C2">
        <w:rPr>
          <w:rFonts w:eastAsia="Calibri"/>
          <w:lang w:val="fr-CA" w:eastAsia="en-US"/>
        </w:rPr>
        <w:t xml:space="preserve"> </w:t>
      </w:r>
      <w:r w:rsidR="00A06302" w:rsidRPr="00BD22C2">
        <w:rPr>
          <w:rFonts w:eastAsia="Calibri"/>
          <w:lang w:val="fr-CA" w:eastAsia="en-US"/>
        </w:rPr>
        <w:t>les apprentissages selon le stade de développement de l’enfant</w:t>
      </w:r>
      <w:bookmarkStart w:id="209" w:name="_Ref166755895"/>
      <w:r w:rsidR="00661FF7" w:rsidRPr="00BD22C2">
        <w:rPr>
          <w:rStyle w:val="Appeldenotedefin"/>
          <w:rFonts w:eastAsia="Calibri"/>
          <w:lang w:val="fr-CA" w:eastAsia="en-US"/>
        </w:rPr>
        <w:endnoteReference w:id="522"/>
      </w:r>
      <w:bookmarkEnd w:id="209"/>
      <w:r w:rsidR="00A06302" w:rsidRPr="00BD22C2">
        <w:rPr>
          <w:rFonts w:eastAsia="Calibri"/>
          <w:lang w:val="fr-CA" w:eastAsia="en-US"/>
        </w:rPr>
        <w:t>.</w:t>
      </w:r>
    </w:p>
    <w:p w14:paraId="3C62D5B1" w14:textId="5EDDC67E" w:rsidR="004D384D" w:rsidRPr="00BD22C2" w:rsidRDefault="00232ED3" w:rsidP="00FB6B0E">
      <w:pPr>
        <w:pStyle w:val="Paragraphe"/>
        <w:rPr>
          <w:rFonts w:eastAsia="Calibri"/>
          <w:lang w:val="fr-CA" w:eastAsia="en-US"/>
        </w:rPr>
      </w:pPr>
      <w:r w:rsidRPr="00BD22C2">
        <w:rPr>
          <w:rFonts w:eastAsia="Calibri"/>
          <w:lang w:val="fr-CA" w:eastAsia="en-US"/>
        </w:rPr>
        <w:t>La</w:t>
      </w:r>
      <w:r w:rsidR="004D384D" w:rsidRPr="00BD22C2">
        <w:rPr>
          <w:rFonts w:eastAsia="Calibri"/>
          <w:lang w:val="fr-CA" w:eastAsia="en-US"/>
        </w:rPr>
        <w:t xml:space="preserve"> Commission a</w:t>
      </w:r>
      <w:r w:rsidR="004D384D" w:rsidRPr="00BD22C2" w:rsidDel="00623A2C">
        <w:rPr>
          <w:rFonts w:eastAsia="Calibri"/>
          <w:lang w:val="fr-CA" w:eastAsia="en-US"/>
        </w:rPr>
        <w:t xml:space="preserve"> </w:t>
      </w:r>
      <w:r w:rsidR="00623A2C" w:rsidRPr="00BD22C2">
        <w:rPr>
          <w:rFonts w:eastAsia="Calibri"/>
          <w:lang w:val="fr-CA" w:eastAsia="en-US"/>
        </w:rPr>
        <w:t>aussi</w:t>
      </w:r>
      <w:r w:rsidR="004D384D" w:rsidRPr="00BD22C2">
        <w:rPr>
          <w:rFonts w:eastAsia="Calibri"/>
          <w:lang w:val="fr-CA" w:eastAsia="en-US"/>
        </w:rPr>
        <w:t xml:space="preserve"> formulé des remarques plus spécifiques relativement aux enjeux touchant à la diversité sexuelle et à la pluralité des genres</w:t>
      </w:r>
      <w:r w:rsidR="00D14A41" w:rsidRPr="00BD22C2">
        <w:rPr>
          <w:rFonts w:eastAsia="Calibri"/>
          <w:lang w:val="fr-CA" w:eastAsia="en-US"/>
        </w:rPr>
        <w:t xml:space="preserve">, </w:t>
      </w:r>
      <w:r w:rsidR="001C504C" w:rsidRPr="00BD22C2">
        <w:rPr>
          <w:rFonts w:eastAsia="Calibri"/>
          <w:lang w:val="fr-CA" w:eastAsia="en-US"/>
        </w:rPr>
        <w:t>étant donné que</w:t>
      </w:r>
      <w:r w:rsidR="00D14A41" w:rsidRPr="00BD22C2">
        <w:rPr>
          <w:rFonts w:eastAsia="Calibri"/>
          <w:lang w:val="fr-CA" w:eastAsia="en-US"/>
        </w:rPr>
        <w:t xml:space="preserve"> ce programme </w:t>
      </w:r>
      <w:r w:rsidR="00CB16C7" w:rsidRPr="00BD22C2">
        <w:rPr>
          <w:rFonts w:eastAsia="Calibri"/>
          <w:lang w:val="fr-CA" w:eastAsia="en-US"/>
        </w:rPr>
        <w:t>«</w:t>
      </w:r>
      <w:r w:rsidR="0051216B" w:rsidRPr="00BD22C2">
        <w:rPr>
          <w:rFonts w:eastAsia="Calibri"/>
          <w:lang w:val="fr-CA" w:eastAsia="en-US"/>
        </w:rPr>
        <w:t> </w:t>
      </w:r>
      <w:r w:rsidR="00CB16C7" w:rsidRPr="00BD22C2">
        <w:rPr>
          <w:rFonts w:eastAsia="Calibri"/>
          <w:lang w:val="fr-CA" w:eastAsia="en-US"/>
        </w:rPr>
        <w:t>intègre formellement l’éducation à la sexualité</w:t>
      </w:r>
      <w:r w:rsidR="0051216B" w:rsidRPr="00BD22C2">
        <w:rPr>
          <w:rFonts w:eastAsia="Calibri"/>
          <w:lang w:val="fr-CA" w:eastAsia="en-US"/>
        </w:rPr>
        <w:t> </w:t>
      </w:r>
      <w:r w:rsidR="00CB16C7" w:rsidRPr="00BD22C2">
        <w:rPr>
          <w:rFonts w:eastAsia="Calibri"/>
          <w:lang w:val="fr-CA" w:eastAsia="en-US"/>
        </w:rPr>
        <w:t>»</w:t>
      </w:r>
      <w:r w:rsidR="00691DD5" w:rsidRPr="00BD22C2">
        <w:rPr>
          <w:rFonts w:eastAsia="Calibri"/>
          <w:lang w:val="fr-CA" w:eastAsia="en-US"/>
        </w:rPr>
        <w:t xml:space="preserve"> </w:t>
      </w:r>
      <w:r w:rsidR="008E4E70" w:rsidRPr="00BD22C2">
        <w:rPr>
          <w:rFonts w:eastAsia="Calibri"/>
          <w:lang w:val="fr-CA" w:eastAsia="en-US"/>
        </w:rPr>
        <w:t>comme</w:t>
      </w:r>
      <w:r w:rsidR="00D8724A" w:rsidRPr="00BD22C2">
        <w:rPr>
          <w:rFonts w:eastAsia="Calibri"/>
          <w:lang w:val="fr-CA" w:eastAsia="en-US"/>
        </w:rPr>
        <w:t xml:space="preserve"> le précise le plus récent Plan d’action gouvernemental de </w:t>
      </w:r>
      <w:r w:rsidR="00E47F43" w:rsidRPr="00BD22C2">
        <w:rPr>
          <w:rFonts w:eastAsia="Calibri"/>
          <w:lang w:val="fr-CA" w:eastAsia="en-US"/>
        </w:rPr>
        <w:t>lutte contre l’homophobie et la transphobie</w:t>
      </w:r>
      <w:r w:rsidR="00A273ED" w:rsidRPr="00BD22C2">
        <w:rPr>
          <w:rFonts w:eastAsia="Calibri"/>
          <w:lang w:val="fr-CA" w:eastAsia="en-US"/>
        </w:rPr>
        <w:t xml:space="preserve">, au nombre des initiatives, </w:t>
      </w:r>
      <w:r w:rsidR="007C766E" w:rsidRPr="00BD22C2">
        <w:rPr>
          <w:rFonts w:eastAsia="Calibri"/>
          <w:lang w:val="fr-CA" w:eastAsia="en-US"/>
        </w:rPr>
        <w:t>politiques et plans d’action en cours</w:t>
      </w:r>
      <w:r w:rsidR="00E25231" w:rsidRPr="00BD22C2">
        <w:rPr>
          <w:rStyle w:val="Appeldenotedefin"/>
          <w:rFonts w:eastAsia="Calibri"/>
          <w:lang w:val="fr-CA" w:eastAsia="en-US"/>
        </w:rPr>
        <w:endnoteReference w:id="523"/>
      </w:r>
      <w:r w:rsidR="004D384D" w:rsidRPr="00BD22C2">
        <w:rPr>
          <w:rFonts w:eastAsia="Calibri"/>
          <w:lang w:val="fr-CA" w:eastAsia="en-US"/>
        </w:rPr>
        <w:t xml:space="preserve">. </w:t>
      </w:r>
      <w:r w:rsidR="00E25231" w:rsidRPr="00BD22C2">
        <w:rPr>
          <w:rFonts w:eastAsia="Calibri"/>
          <w:lang w:val="fr-CA" w:eastAsia="en-US"/>
        </w:rPr>
        <w:t>La Commission</w:t>
      </w:r>
      <w:r w:rsidR="004D384D" w:rsidRPr="00BD22C2">
        <w:rPr>
          <w:rFonts w:eastAsia="Calibri"/>
          <w:lang w:val="fr-CA" w:eastAsia="en-US"/>
        </w:rPr>
        <w:t xml:space="preserve"> a entre autres soulevé </w:t>
      </w:r>
      <w:r w:rsidR="00D735A3" w:rsidRPr="00BD22C2">
        <w:rPr>
          <w:rFonts w:eastAsia="Calibri"/>
          <w:lang w:val="fr-CA" w:eastAsia="en-US"/>
        </w:rPr>
        <w:t xml:space="preserve">le fait </w:t>
      </w:r>
      <w:r w:rsidR="004D384D" w:rsidRPr="00BD22C2">
        <w:rPr>
          <w:rFonts w:eastAsia="Calibri"/>
          <w:lang w:val="fr-CA" w:eastAsia="en-US"/>
        </w:rPr>
        <w:t xml:space="preserve">que la notion d’expression de genre était absente du programme provisoire du primaire. Or, a-t-elle ajouté : </w:t>
      </w:r>
    </w:p>
    <w:p w14:paraId="36ACB9A6" w14:textId="35062AE9" w:rsidR="004D384D" w:rsidRPr="00BD22C2" w:rsidRDefault="004D384D" w:rsidP="00FB6B0E">
      <w:pPr>
        <w:pStyle w:val="Citation"/>
      </w:pPr>
      <w:r w:rsidRPr="00BD22C2">
        <w:t>«</w:t>
      </w:r>
      <w:r w:rsidR="00974BD5" w:rsidRPr="00BD22C2">
        <w:t> </w:t>
      </w:r>
      <w:r w:rsidRPr="00BD22C2">
        <w:t>L’expression de genre est pourtant un concept important pour comprendre la manière dont une personne exprime son genre (gestes, vêtements, etc.) et qui, avec l’identité de genre, est reconnue en tant que motif interdit de discrimination. Le contenu du programme devrait par conséquent y avoir recours de façon continue à travers les cycles et les niveaux.</w:t>
      </w:r>
      <w:r w:rsidR="00974BD5" w:rsidRPr="00BD22C2">
        <w:t> </w:t>
      </w:r>
      <w:r w:rsidRPr="00BD22C2">
        <w:t>»</w:t>
      </w:r>
      <w:r w:rsidRPr="00BD22C2">
        <w:rPr>
          <w:rStyle w:val="Appeldenotedefin"/>
          <w:rFonts w:cs="Arial"/>
          <w:color w:val="000000"/>
          <w:szCs w:val="20"/>
        </w:rPr>
        <w:endnoteReference w:id="524"/>
      </w:r>
    </w:p>
    <w:p w14:paraId="4FAA2474" w14:textId="5D7053DC" w:rsidR="00CD1661" w:rsidRPr="00BD22C2" w:rsidRDefault="00BA3FD5" w:rsidP="00FB6B0E">
      <w:pPr>
        <w:pStyle w:val="Paragraphe"/>
        <w:rPr>
          <w:rFonts w:eastAsia="Calibri"/>
          <w:lang w:val="fr-CA" w:eastAsia="en-US"/>
        </w:rPr>
      </w:pPr>
      <w:r w:rsidRPr="00BD22C2">
        <w:rPr>
          <w:rFonts w:eastAsia="Calibri"/>
          <w:lang w:val="fr-CA" w:eastAsia="en-US"/>
        </w:rPr>
        <w:t>Notons que c</w:t>
      </w:r>
      <w:r w:rsidR="004D384D" w:rsidRPr="00BD22C2">
        <w:rPr>
          <w:rFonts w:eastAsia="Calibri"/>
          <w:lang w:val="fr-CA" w:eastAsia="en-US"/>
        </w:rPr>
        <w:t xml:space="preserve">ette notion est désormais présente dans la version finale du programme primaire. </w:t>
      </w:r>
      <w:r w:rsidR="00884070" w:rsidRPr="00BD22C2">
        <w:rPr>
          <w:rFonts w:eastAsia="Calibri"/>
          <w:lang w:val="fr-CA" w:eastAsia="en-US"/>
        </w:rPr>
        <w:t>Par ailleurs</w:t>
      </w:r>
      <w:r w:rsidR="00FD453F" w:rsidRPr="00BD22C2">
        <w:rPr>
          <w:rFonts w:eastAsia="Calibri"/>
          <w:lang w:val="fr-CA" w:eastAsia="en-US"/>
        </w:rPr>
        <w:t>,</w:t>
      </w:r>
      <w:r w:rsidR="00317024" w:rsidRPr="00BD22C2">
        <w:rPr>
          <w:rFonts w:eastAsia="Calibri"/>
          <w:lang w:val="fr-CA" w:eastAsia="en-US"/>
        </w:rPr>
        <w:t xml:space="preserve"> certaines</w:t>
      </w:r>
      <w:r w:rsidR="00CA5236" w:rsidRPr="00BD22C2">
        <w:rPr>
          <w:rFonts w:eastAsia="Calibri"/>
          <w:lang w:val="fr-CA" w:eastAsia="en-US"/>
        </w:rPr>
        <w:t xml:space="preserve"> </w:t>
      </w:r>
      <w:r w:rsidR="00CD4790" w:rsidRPr="00BD22C2">
        <w:rPr>
          <w:rFonts w:eastAsia="Calibri"/>
          <w:lang w:val="fr-CA" w:eastAsia="en-US"/>
        </w:rPr>
        <w:t>«</w:t>
      </w:r>
      <w:r w:rsidR="0051216B" w:rsidRPr="00BD22C2">
        <w:rPr>
          <w:rFonts w:eastAsia="Calibri"/>
          <w:lang w:val="fr-CA" w:eastAsia="en-US"/>
        </w:rPr>
        <w:t> </w:t>
      </w:r>
      <w:r w:rsidR="00CD4790" w:rsidRPr="00BD22C2">
        <w:rPr>
          <w:rFonts w:eastAsia="Calibri"/>
          <w:lang w:val="fr-CA" w:eastAsia="en-US"/>
        </w:rPr>
        <w:t xml:space="preserve">notions qui </w:t>
      </w:r>
      <w:r w:rsidR="00CD4790" w:rsidRPr="00BD22C2">
        <w:rPr>
          <w:rFonts w:eastAsia="Calibri"/>
          <w:u w:val="single"/>
          <w:lang w:val="fr-CA" w:eastAsia="en-US"/>
        </w:rPr>
        <w:t>pourraient être</w:t>
      </w:r>
      <w:r w:rsidR="00CD4790" w:rsidRPr="00BD22C2">
        <w:rPr>
          <w:rFonts w:eastAsia="Calibri"/>
          <w:lang w:val="fr-CA" w:eastAsia="en-US"/>
        </w:rPr>
        <w:t xml:space="preserve"> a</w:t>
      </w:r>
      <w:r w:rsidR="006A27C6" w:rsidRPr="00BD22C2">
        <w:rPr>
          <w:rFonts w:eastAsia="Calibri"/>
          <w:lang w:val="fr-CA" w:eastAsia="en-US"/>
        </w:rPr>
        <w:t>bordées auprès des élèves</w:t>
      </w:r>
      <w:r w:rsidR="0051216B" w:rsidRPr="00BD22C2">
        <w:rPr>
          <w:rFonts w:eastAsia="Calibri"/>
          <w:lang w:val="fr-CA" w:eastAsia="en-US"/>
        </w:rPr>
        <w:t> </w:t>
      </w:r>
      <w:r w:rsidR="00954950" w:rsidRPr="00BD22C2">
        <w:rPr>
          <w:rFonts w:eastAsia="Calibri"/>
          <w:lang w:val="fr-CA" w:eastAsia="en-US"/>
        </w:rPr>
        <w:t xml:space="preserve">» </w:t>
      </w:r>
      <w:r w:rsidR="00E25F97" w:rsidRPr="00BD22C2">
        <w:rPr>
          <w:rFonts w:eastAsia="Calibri"/>
          <w:lang w:val="fr-CA" w:eastAsia="en-US"/>
        </w:rPr>
        <w:t>du</w:t>
      </w:r>
      <w:r w:rsidR="00D418A6" w:rsidRPr="00BD22C2">
        <w:rPr>
          <w:rFonts w:eastAsia="Calibri"/>
          <w:lang w:val="fr-CA" w:eastAsia="en-US"/>
        </w:rPr>
        <w:t xml:space="preserve"> primaire</w:t>
      </w:r>
      <w:r w:rsidR="00F20E94" w:rsidRPr="00BD22C2">
        <w:rPr>
          <w:rStyle w:val="Appeldenotedefin"/>
          <w:rFonts w:eastAsia="Calibri"/>
          <w:lang w:val="fr-CA" w:eastAsia="en-US"/>
        </w:rPr>
        <w:endnoteReference w:id="525"/>
      </w:r>
      <w:r w:rsidR="00031DEC" w:rsidRPr="00BD22C2">
        <w:rPr>
          <w:rFonts w:eastAsia="Calibri"/>
          <w:lang w:val="fr-CA" w:eastAsia="en-US"/>
        </w:rPr>
        <w:t xml:space="preserve"> </w:t>
      </w:r>
      <w:r w:rsidR="00C304BB" w:rsidRPr="00BD22C2">
        <w:rPr>
          <w:rFonts w:eastAsia="Calibri"/>
          <w:lang w:val="fr-CA" w:eastAsia="en-US"/>
        </w:rPr>
        <w:t>pourraient</w:t>
      </w:r>
      <w:r w:rsidR="00E26C2B" w:rsidRPr="00BD22C2">
        <w:rPr>
          <w:rFonts w:eastAsia="Calibri"/>
          <w:lang w:val="fr-CA" w:eastAsia="en-US"/>
        </w:rPr>
        <w:t xml:space="preserve"> </w:t>
      </w:r>
      <w:r w:rsidR="00CD1661" w:rsidRPr="00BD22C2">
        <w:rPr>
          <w:rFonts w:eastAsia="Calibri"/>
          <w:lang w:val="fr-CA" w:eastAsia="en-US"/>
        </w:rPr>
        <w:t>traiter de questions connexes à l’expression de genre,</w:t>
      </w:r>
      <w:r w:rsidR="00614706" w:rsidRPr="00BD22C2">
        <w:rPr>
          <w:rFonts w:eastAsia="Calibri"/>
          <w:lang w:val="fr-CA" w:eastAsia="en-US"/>
        </w:rPr>
        <w:t xml:space="preserve"> dont</w:t>
      </w:r>
      <w:r w:rsidR="00CD1661" w:rsidRPr="00BD22C2">
        <w:rPr>
          <w:rFonts w:eastAsia="Calibri"/>
          <w:lang w:val="fr-CA" w:eastAsia="en-US"/>
        </w:rPr>
        <w:t> :</w:t>
      </w:r>
    </w:p>
    <w:p w14:paraId="6E798CAB" w14:textId="3AC08836" w:rsidR="005E7FEA" w:rsidRPr="00BD22C2" w:rsidRDefault="00132F53" w:rsidP="00E27521">
      <w:pPr>
        <w:pStyle w:val="Paragraphe"/>
        <w:numPr>
          <w:ilvl w:val="0"/>
          <w:numId w:val="19"/>
        </w:numPr>
        <w:spacing w:before="0" w:after="0" w:line="240" w:lineRule="auto"/>
        <w:ind w:left="1134" w:hanging="357"/>
        <w:rPr>
          <w:rFonts w:cs="Arial"/>
          <w:strike/>
          <w:szCs w:val="22"/>
          <w:lang w:val="fr-CA"/>
        </w:rPr>
      </w:pPr>
      <w:r w:rsidRPr="00BD22C2">
        <w:rPr>
          <w:rFonts w:eastAsia="Calibri"/>
          <w:lang w:val="fr-CA" w:eastAsia="en-US"/>
        </w:rPr>
        <w:t>«</w:t>
      </w:r>
      <w:r w:rsidR="0051216B" w:rsidRPr="00BD22C2">
        <w:rPr>
          <w:rFonts w:eastAsia="Calibri"/>
          <w:lang w:val="fr-CA" w:eastAsia="en-US"/>
        </w:rPr>
        <w:t> </w:t>
      </w:r>
      <w:r w:rsidR="00082617" w:rsidRPr="00BD22C2">
        <w:rPr>
          <w:rFonts w:eastAsia="Calibri"/>
          <w:lang w:val="fr-CA" w:eastAsia="en-US"/>
        </w:rPr>
        <w:t xml:space="preserve">les </w:t>
      </w:r>
      <w:r w:rsidR="00C53077" w:rsidRPr="00BD22C2">
        <w:rPr>
          <w:rFonts w:eastAsia="Calibri"/>
          <w:lang w:val="fr-CA" w:eastAsia="en-US"/>
        </w:rPr>
        <w:t xml:space="preserve">représentations </w:t>
      </w:r>
      <w:r w:rsidRPr="00BD22C2">
        <w:rPr>
          <w:rFonts w:eastAsia="Calibri"/>
          <w:lang w:val="fr-CA" w:eastAsia="en-US"/>
        </w:rPr>
        <w:t>stéréotyp</w:t>
      </w:r>
      <w:r w:rsidR="00C53077" w:rsidRPr="00BD22C2">
        <w:rPr>
          <w:rFonts w:eastAsia="Calibri"/>
          <w:lang w:val="fr-CA" w:eastAsia="en-US"/>
        </w:rPr>
        <w:t>ée</w:t>
      </w:r>
      <w:r w:rsidRPr="00BD22C2">
        <w:rPr>
          <w:rFonts w:eastAsia="Calibri"/>
          <w:lang w:val="fr-CA" w:eastAsia="en-US"/>
        </w:rPr>
        <w:t xml:space="preserve">s </w:t>
      </w:r>
      <w:r w:rsidR="000B42BB" w:rsidRPr="00BD22C2">
        <w:rPr>
          <w:rFonts w:eastAsia="Calibri"/>
          <w:lang w:val="fr-CA" w:eastAsia="en-US"/>
        </w:rPr>
        <w:t xml:space="preserve">de la féminité </w:t>
      </w:r>
      <w:r w:rsidR="003A557A" w:rsidRPr="00BD22C2">
        <w:rPr>
          <w:rFonts w:eastAsia="Calibri"/>
          <w:lang w:val="fr-CA" w:eastAsia="en-US"/>
        </w:rPr>
        <w:t>et de la masculinité</w:t>
      </w:r>
      <w:r w:rsidR="0051216B" w:rsidRPr="00BD22C2">
        <w:rPr>
          <w:rFonts w:eastAsia="Calibri"/>
          <w:lang w:val="fr-CA" w:eastAsia="en-US"/>
        </w:rPr>
        <w:t> </w:t>
      </w:r>
      <w:r w:rsidR="00C644B4" w:rsidRPr="00BD22C2">
        <w:rPr>
          <w:rFonts w:eastAsia="Calibri"/>
          <w:lang w:val="fr-CA" w:eastAsia="en-US"/>
        </w:rPr>
        <w:t>»</w:t>
      </w:r>
      <w:r w:rsidR="007C731B" w:rsidRPr="00BD22C2">
        <w:rPr>
          <w:rFonts w:eastAsia="Calibri"/>
          <w:lang w:val="fr-CA" w:eastAsia="en-US"/>
        </w:rPr>
        <w:t xml:space="preserve"> (3</w:t>
      </w:r>
      <w:r w:rsidR="007C731B" w:rsidRPr="00BD22C2">
        <w:rPr>
          <w:rFonts w:eastAsia="Calibri"/>
          <w:vertAlign w:val="superscript"/>
          <w:lang w:val="fr-CA" w:eastAsia="en-US"/>
        </w:rPr>
        <w:t>e</w:t>
      </w:r>
      <w:r w:rsidR="009D3E22">
        <w:rPr>
          <w:rFonts w:eastAsia="Calibri"/>
          <w:lang w:val="fr-CA" w:eastAsia="en-US"/>
        </w:rPr>
        <w:t> </w:t>
      </w:r>
      <w:r w:rsidR="007C731B" w:rsidRPr="00BD22C2">
        <w:rPr>
          <w:rFonts w:eastAsia="Calibri"/>
          <w:lang w:val="fr-CA" w:eastAsia="en-US"/>
        </w:rPr>
        <w:t>année)</w:t>
      </w:r>
      <w:r w:rsidR="0051216B" w:rsidRPr="00BD22C2">
        <w:rPr>
          <w:rFonts w:eastAsia="Calibri"/>
          <w:lang w:val="fr-CA" w:eastAsia="en-US"/>
        </w:rPr>
        <w:t> </w:t>
      </w:r>
      <w:r w:rsidR="005E7FEA" w:rsidRPr="00BD22C2">
        <w:rPr>
          <w:rFonts w:eastAsia="Calibri"/>
          <w:lang w:val="fr-CA" w:eastAsia="en-US"/>
        </w:rPr>
        <w:t>;</w:t>
      </w:r>
    </w:p>
    <w:p w14:paraId="43D5E716" w14:textId="49D0BDA9" w:rsidR="005E7FEA" w:rsidRPr="00BD22C2" w:rsidRDefault="00C644B4" w:rsidP="00E27521">
      <w:pPr>
        <w:pStyle w:val="Paragraphe"/>
        <w:numPr>
          <w:ilvl w:val="0"/>
          <w:numId w:val="19"/>
        </w:numPr>
        <w:spacing w:before="0" w:after="0" w:line="240" w:lineRule="auto"/>
        <w:ind w:left="1134" w:hanging="357"/>
        <w:rPr>
          <w:rFonts w:cs="Arial"/>
          <w:strike/>
          <w:szCs w:val="22"/>
          <w:lang w:val="fr-CA"/>
        </w:rPr>
      </w:pPr>
      <w:r w:rsidRPr="00BD22C2">
        <w:rPr>
          <w:rFonts w:eastAsia="Calibri"/>
          <w:lang w:val="fr-CA" w:eastAsia="en-US"/>
        </w:rPr>
        <w:t>«</w:t>
      </w:r>
      <w:r w:rsidR="0051216B" w:rsidRPr="00BD22C2">
        <w:rPr>
          <w:rFonts w:eastAsia="Calibri"/>
          <w:lang w:val="fr-CA" w:eastAsia="en-US"/>
        </w:rPr>
        <w:t> </w:t>
      </w:r>
      <w:r w:rsidR="00E0548A" w:rsidRPr="00BD22C2">
        <w:rPr>
          <w:rFonts w:eastAsia="Calibri"/>
          <w:lang w:val="fr-CA" w:eastAsia="en-US"/>
        </w:rPr>
        <w:t>les effets de la non-conformité</w:t>
      </w:r>
      <w:r w:rsidR="0051216B" w:rsidRPr="00BD22C2">
        <w:rPr>
          <w:rFonts w:eastAsia="Calibri"/>
          <w:lang w:val="fr-CA" w:eastAsia="en-US"/>
        </w:rPr>
        <w:t> </w:t>
      </w:r>
      <w:r w:rsidR="00E0548A" w:rsidRPr="00BD22C2">
        <w:rPr>
          <w:rFonts w:eastAsia="Calibri"/>
          <w:lang w:val="fr-CA" w:eastAsia="en-US"/>
        </w:rPr>
        <w:t xml:space="preserve">» </w:t>
      </w:r>
      <w:r w:rsidR="000F3884" w:rsidRPr="00BD22C2">
        <w:rPr>
          <w:rFonts w:eastAsia="Calibri"/>
          <w:lang w:val="fr-CA" w:eastAsia="en-US"/>
        </w:rPr>
        <w:t>(3</w:t>
      </w:r>
      <w:r w:rsidR="000F3884" w:rsidRPr="00BD22C2">
        <w:rPr>
          <w:rFonts w:eastAsia="Calibri"/>
          <w:vertAlign w:val="superscript"/>
          <w:lang w:val="fr-CA" w:eastAsia="en-US"/>
        </w:rPr>
        <w:t>e</w:t>
      </w:r>
      <w:r w:rsidR="009D3E22">
        <w:rPr>
          <w:rFonts w:eastAsia="Calibri"/>
          <w:lang w:val="fr-CA" w:eastAsia="en-US"/>
        </w:rPr>
        <w:t> </w:t>
      </w:r>
      <w:r w:rsidR="000F3884" w:rsidRPr="00BD22C2">
        <w:rPr>
          <w:rFonts w:eastAsia="Calibri"/>
          <w:lang w:val="fr-CA" w:eastAsia="en-US"/>
        </w:rPr>
        <w:t>année)</w:t>
      </w:r>
      <w:r w:rsidR="0051216B" w:rsidRPr="00BD22C2">
        <w:rPr>
          <w:rFonts w:eastAsia="Calibri"/>
          <w:lang w:val="fr-CA" w:eastAsia="en-US"/>
        </w:rPr>
        <w:t> </w:t>
      </w:r>
      <w:r w:rsidR="005E684A" w:rsidRPr="00BD22C2">
        <w:rPr>
          <w:rFonts w:eastAsia="Calibri"/>
          <w:lang w:val="fr-CA" w:eastAsia="en-US"/>
        </w:rPr>
        <w:t>;</w:t>
      </w:r>
      <w:r w:rsidR="000F3884" w:rsidRPr="00BD22C2">
        <w:rPr>
          <w:rFonts w:eastAsia="Calibri"/>
          <w:lang w:val="fr-CA" w:eastAsia="en-US"/>
        </w:rPr>
        <w:t xml:space="preserve"> </w:t>
      </w:r>
    </w:p>
    <w:p w14:paraId="089B10B1" w14:textId="362C4C2D" w:rsidR="00CD1661" w:rsidRPr="006E191C" w:rsidRDefault="00E0548A" w:rsidP="200D37BA">
      <w:pPr>
        <w:pStyle w:val="Paragraphe"/>
        <w:numPr>
          <w:ilvl w:val="0"/>
          <w:numId w:val="19"/>
        </w:numPr>
        <w:spacing w:before="0" w:after="0" w:line="240" w:lineRule="auto"/>
        <w:ind w:left="1134" w:hanging="357"/>
        <w:rPr>
          <w:rFonts w:cs="Arial"/>
          <w:strike/>
          <w:lang w:val="fr-CA"/>
        </w:rPr>
      </w:pPr>
      <w:r w:rsidRPr="00594204">
        <w:rPr>
          <w:rFonts w:eastAsia="Calibri"/>
          <w:lang w:val="fr-CA" w:eastAsia="en-US"/>
        </w:rPr>
        <w:t>«</w:t>
      </w:r>
      <w:r w:rsidR="0051216B" w:rsidRPr="00594204">
        <w:rPr>
          <w:rFonts w:eastAsia="Calibri"/>
          <w:lang w:val="fr-CA" w:eastAsia="en-US"/>
        </w:rPr>
        <w:t> </w:t>
      </w:r>
      <w:r w:rsidR="00C929D6" w:rsidRPr="00594204">
        <w:rPr>
          <w:rFonts w:eastAsia="Calibri"/>
          <w:lang w:val="fr-CA" w:eastAsia="en-US"/>
        </w:rPr>
        <w:t xml:space="preserve">le </w:t>
      </w:r>
      <w:r w:rsidRPr="00594204">
        <w:rPr>
          <w:rFonts w:eastAsia="Calibri"/>
          <w:lang w:val="fr-CA" w:eastAsia="en-US"/>
        </w:rPr>
        <w:t>respect des différences </w:t>
      </w:r>
      <w:r w:rsidR="003345AC" w:rsidRPr="00594204">
        <w:rPr>
          <w:rFonts w:eastAsia="Calibri"/>
          <w:lang w:val="fr-CA" w:eastAsia="en-US"/>
        </w:rPr>
        <w:t>individuelles</w:t>
      </w:r>
      <w:r w:rsidR="00B41D67" w:rsidRPr="00594204">
        <w:rPr>
          <w:rFonts w:eastAsia="Calibri"/>
          <w:lang w:val="fr-CA" w:eastAsia="en-US"/>
        </w:rPr>
        <w:t> »</w:t>
      </w:r>
      <w:r w:rsidR="00F20E94" w:rsidRPr="00594204">
        <w:rPr>
          <w:rFonts w:eastAsia="Calibri"/>
          <w:lang w:val="fr-CA" w:eastAsia="en-US"/>
        </w:rPr>
        <w:t xml:space="preserve"> </w:t>
      </w:r>
      <w:r w:rsidR="00394273" w:rsidRPr="00594204">
        <w:rPr>
          <w:rFonts w:eastAsia="Calibri"/>
          <w:lang w:val="fr-CA" w:eastAsia="en-US"/>
        </w:rPr>
        <w:t>(3</w:t>
      </w:r>
      <w:r w:rsidR="00394273" w:rsidRPr="00594204">
        <w:rPr>
          <w:rFonts w:eastAsia="Calibri"/>
          <w:vertAlign w:val="superscript"/>
          <w:lang w:val="fr-CA" w:eastAsia="en-US"/>
        </w:rPr>
        <w:t>e</w:t>
      </w:r>
      <w:r w:rsidR="009D3E22">
        <w:rPr>
          <w:rFonts w:eastAsia="Calibri"/>
          <w:lang w:val="fr-CA" w:eastAsia="en-US"/>
        </w:rPr>
        <w:t> </w:t>
      </w:r>
      <w:r w:rsidR="00F20E94" w:rsidRPr="00594204">
        <w:rPr>
          <w:rFonts w:eastAsia="Calibri"/>
          <w:lang w:val="fr-CA" w:eastAsia="en-US"/>
        </w:rPr>
        <w:t>année</w:t>
      </w:r>
      <w:r w:rsidR="00394273" w:rsidRPr="00594204">
        <w:rPr>
          <w:rFonts w:eastAsia="Calibri"/>
          <w:lang w:val="fr-CA" w:eastAsia="en-US"/>
        </w:rPr>
        <w:t>)</w:t>
      </w:r>
      <w:r w:rsidR="0051216B" w:rsidRPr="00594204">
        <w:rPr>
          <w:rFonts w:eastAsia="Calibri"/>
          <w:lang w:val="fr-CA" w:eastAsia="en-US"/>
        </w:rPr>
        <w:t> </w:t>
      </w:r>
      <w:r w:rsidR="003646C4" w:rsidRPr="00594204">
        <w:rPr>
          <w:rFonts w:eastAsia="Calibri"/>
          <w:lang w:val="fr-CA" w:eastAsia="en-US"/>
        </w:rPr>
        <w:t>;</w:t>
      </w:r>
      <w:r w:rsidR="004B0FA5" w:rsidRPr="00594204">
        <w:rPr>
          <w:rFonts w:eastAsia="Calibri"/>
          <w:lang w:val="fr-CA" w:eastAsia="en-US"/>
        </w:rPr>
        <w:t xml:space="preserve"> </w:t>
      </w:r>
    </w:p>
    <w:p w14:paraId="4390B871" w14:textId="4A276CCD" w:rsidR="00061DA9" w:rsidRPr="00CD4047" w:rsidRDefault="00FC6489" w:rsidP="00E27521">
      <w:pPr>
        <w:pStyle w:val="Paragraphe"/>
        <w:numPr>
          <w:ilvl w:val="0"/>
          <w:numId w:val="19"/>
        </w:numPr>
        <w:spacing w:before="0" w:after="0" w:line="240" w:lineRule="auto"/>
        <w:ind w:left="1134" w:hanging="357"/>
        <w:rPr>
          <w:rFonts w:cs="Arial"/>
          <w:strike/>
          <w:lang w:val="fr-CA"/>
        </w:rPr>
      </w:pPr>
      <w:r w:rsidRPr="00CD4047">
        <w:rPr>
          <w:rFonts w:eastAsia="Calibri"/>
          <w:lang w:val="fr-CA" w:eastAsia="en-US"/>
        </w:rPr>
        <w:lastRenderedPageBreak/>
        <w:t>«</w:t>
      </w:r>
      <w:r w:rsidR="0051216B" w:rsidRPr="00CD4047">
        <w:rPr>
          <w:rFonts w:eastAsia="Calibri"/>
          <w:lang w:val="fr-CA" w:eastAsia="en-US"/>
        </w:rPr>
        <w:t> </w:t>
      </w:r>
      <w:r w:rsidRPr="00CD4047">
        <w:rPr>
          <w:rFonts w:eastAsia="Calibri"/>
          <w:lang w:val="fr-CA" w:eastAsia="en-US"/>
        </w:rPr>
        <w:t>les inégalités de genre</w:t>
      </w:r>
      <w:r w:rsidR="0051216B" w:rsidRPr="00CD4047">
        <w:rPr>
          <w:rFonts w:eastAsia="Calibri"/>
          <w:lang w:val="fr-CA" w:eastAsia="en-US"/>
        </w:rPr>
        <w:t> </w:t>
      </w:r>
      <w:r w:rsidRPr="00CD4047">
        <w:rPr>
          <w:rFonts w:eastAsia="Calibri"/>
          <w:lang w:val="fr-CA" w:eastAsia="en-US"/>
        </w:rPr>
        <w:t xml:space="preserve">» </w:t>
      </w:r>
      <w:r w:rsidR="00EF3636" w:rsidRPr="00CD4047">
        <w:rPr>
          <w:rFonts w:eastAsia="Calibri"/>
          <w:lang w:val="fr-CA" w:eastAsia="en-US"/>
        </w:rPr>
        <w:t>(</w:t>
      </w:r>
      <w:r w:rsidR="00394273" w:rsidRPr="00CD4047">
        <w:rPr>
          <w:rFonts w:eastAsia="Calibri"/>
          <w:lang w:val="fr-CA" w:eastAsia="en-US"/>
        </w:rPr>
        <w:t>4</w:t>
      </w:r>
      <w:r w:rsidR="00394273" w:rsidRPr="00CD4047">
        <w:rPr>
          <w:rFonts w:eastAsia="Calibri"/>
          <w:vertAlign w:val="superscript"/>
          <w:lang w:val="fr-CA" w:eastAsia="en-US"/>
        </w:rPr>
        <w:t>e</w:t>
      </w:r>
      <w:r w:rsidR="009D3E22">
        <w:rPr>
          <w:rFonts w:eastAsia="Calibri"/>
          <w:vertAlign w:val="superscript"/>
          <w:lang w:val="fr-CA" w:eastAsia="en-US"/>
        </w:rPr>
        <w:t> </w:t>
      </w:r>
      <w:r w:rsidRPr="00CD4047">
        <w:rPr>
          <w:rFonts w:eastAsia="Calibri"/>
          <w:lang w:val="fr-CA" w:eastAsia="en-US"/>
        </w:rPr>
        <w:t>année</w:t>
      </w:r>
      <w:r w:rsidR="00394273" w:rsidRPr="00CD4047">
        <w:rPr>
          <w:rFonts w:eastAsia="Calibri"/>
          <w:lang w:val="fr-CA" w:eastAsia="en-US"/>
        </w:rPr>
        <w:t>)</w:t>
      </w:r>
      <w:bookmarkStart w:id="211" w:name="_Ref166756263"/>
      <w:r w:rsidR="00B775A1" w:rsidRPr="4BB1F094">
        <w:rPr>
          <w:rStyle w:val="Appeldenotedefin"/>
          <w:rFonts w:eastAsia="Calibri"/>
          <w:lang w:eastAsia="en-US"/>
        </w:rPr>
        <w:endnoteReference w:id="526"/>
      </w:r>
      <w:bookmarkEnd w:id="211"/>
      <w:r w:rsidR="00C929D6" w:rsidRPr="00CD4047">
        <w:rPr>
          <w:rFonts w:eastAsia="Calibri"/>
          <w:lang w:val="fr-CA" w:eastAsia="en-US"/>
        </w:rPr>
        <w:t>.</w:t>
      </w:r>
      <w:r w:rsidR="00394273" w:rsidRPr="00CD4047">
        <w:rPr>
          <w:rFonts w:eastAsia="Calibri"/>
          <w:lang w:val="fr-CA" w:eastAsia="en-US"/>
        </w:rPr>
        <w:t xml:space="preserve"> </w:t>
      </w:r>
      <w:r w:rsidR="003646C4" w:rsidRPr="00CD4047">
        <w:rPr>
          <w:rFonts w:eastAsia="Calibri"/>
          <w:lang w:val="fr-CA" w:eastAsia="en-US"/>
        </w:rPr>
        <w:t xml:space="preserve"> </w:t>
      </w:r>
    </w:p>
    <w:p w14:paraId="7498776D" w14:textId="37218933" w:rsidR="002E1E08" w:rsidRPr="00BD22C2" w:rsidRDefault="00867AC9" w:rsidP="00CD1661">
      <w:pPr>
        <w:pStyle w:val="Paragraphe"/>
        <w:rPr>
          <w:rFonts w:eastAsia="Calibri"/>
          <w:lang w:val="fr-CA" w:eastAsia="en-US"/>
        </w:rPr>
      </w:pPr>
      <w:r w:rsidRPr="00BD22C2">
        <w:rPr>
          <w:rFonts w:eastAsia="Calibri"/>
          <w:lang w:val="fr-CA" w:eastAsia="en-US"/>
        </w:rPr>
        <w:t>De plus,</w:t>
      </w:r>
      <w:r w:rsidR="001B3AA1" w:rsidRPr="00BD22C2">
        <w:rPr>
          <w:rFonts w:eastAsia="Calibri"/>
          <w:lang w:val="fr-CA" w:eastAsia="en-US"/>
        </w:rPr>
        <w:t xml:space="preserve"> «</w:t>
      </w:r>
      <w:r w:rsidR="0051216B" w:rsidRPr="00BD22C2">
        <w:rPr>
          <w:rFonts w:eastAsia="Calibri"/>
          <w:lang w:val="fr-CA" w:eastAsia="en-US"/>
        </w:rPr>
        <w:t> </w:t>
      </w:r>
      <w:r w:rsidR="001B3AA1" w:rsidRPr="00BD22C2">
        <w:rPr>
          <w:rFonts w:eastAsia="Calibri"/>
          <w:lang w:val="fr-CA" w:eastAsia="en-US"/>
        </w:rPr>
        <w:t>l’identité de sexe et de genre</w:t>
      </w:r>
      <w:r w:rsidR="0051216B" w:rsidRPr="00BD22C2">
        <w:rPr>
          <w:rFonts w:eastAsia="Calibri"/>
          <w:lang w:val="fr-CA" w:eastAsia="en-US"/>
        </w:rPr>
        <w:t> </w:t>
      </w:r>
      <w:r w:rsidR="001B3AA1" w:rsidRPr="00BD22C2">
        <w:rPr>
          <w:rFonts w:eastAsia="Calibri"/>
          <w:lang w:val="fr-CA" w:eastAsia="en-US"/>
        </w:rPr>
        <w:t xml:space="preserve">» représente </w:t>
      </w:r>
      <w:r w:rsidR="00E908CF" w:rsidRPr="00BD22C2">
        <w:rPr>
          <w:rFonts w:eastAsia="Calibri"/>
          <w:lang w:val="fr-CA" w:eastAsia="en-US"/>
        </w:rPr>
        <w:t>un</w:t>
      </w:r>
      <w:r w:rsidR="001B3AA1" w:rsidRPr="00BD22C2">
        <w:rPr>
          <w:rFonts w:eastAsia="Calibri"/>
          <w:lang w:val="fr-CA" w:eastAsia="en-US"/>
        </w:rPr>
        <w:t xml:space="preserve"> élément de contenu spécifique en cinquième année du primaire</w:t>
      </w:r>
      <w:r w:rsidR="00AA04F2" w:rsidRPr="00BD22C2">
        <w:rPr>
          <w:rFonts w:eastAsia="Calibri"/>
          <w:lang w:val="fr-CA" w:eastAsia="en-US"/>
        </w:rPr>
        <w:t xml:space="preserve"> </w:t>
      </w:r>
      <w:r w:rsidR="00423DD1" w:rsidRPr="00BD22C2">
        <w:rPr>
          <w:rFonts w:eastAsia="Calibri"/>
          <w:lang w:val="fr-CA" w:eastAsia="en-US"/>
        </w:rPr>
        <w:t>tandis</w:t>
      </w:r>
      <w:r w:rsidR="00A33AC7" w:rsidRPr="00BD22C2">
        <w:rPr>
          <w:rFonts w:eastAsia="Calibri"/>
          <w:lang w:val="fr-CA" w:eastAsia="en-US"/>
        </w:rPr>
        <w:t xml:space="preserve"> </w:t>
      </w:r>
      <w:r w:rsidR="00423DD1" w:rsidRPr="00BD22C2">
        <w:rPr>
          <w:rFonts w:eastAsia="Calibri"/>
          <w:lang w:val="fr-CA" w:eastAsia="en-US"/>
        </w:rPr>
        <w:t>que « l’expression de son identité » constitue une</w:t>
      </w:r>
      <w:r w:rsidR="00F02350" w:rsidRPr="00BD22C2">
        <w:rPr>
          <w:rFonts w:eastAsia="Calibri"/>
          <w:lang w:val="fr-CA" w:eastAsia="en-US"/>
        </w:rPr>
        <w:t xml:space="preserve"> notion</w:t>
      </w:r>
      <w:r w:rsidR="00AA04F2" w:rsidRPr="00BD22C2">
        <w:rPr>
          <w:rFonts w:eastAsia="Calibri"/>
          <w:lang w:val="fr-CA" w:eastAsia="en-US"/>
        </w:rPr>
        <w:t xml:space="preserve"> </w:t>
      </w:r>
      <w:r w:rsidR="00284E9D" w:rsidRPr="00BD22C2">
        <w:rPr>
          <w:rFonts w:eastAsia="Calibri"/>
          <w:lang w:val="fr-CA" w:eastAsia="en-US"/>
        </w:rPr>
        <w:t xml:space="preserve">ou un exemple </w:t>
      </w:r>
      <w:r w:rsidR="00AA04F2" w:rsidRPr="00BD22C2">
        <w:rPr>
          <w:rFonts w:eastAsia="Calibri"/>
          <w:lang w:val="fr-CA" w:eastAsia="en-US"/>
        </w:rPr>
        <w:t>pouvant y être</w:t>
      </w:r>
      <w:r w:rsidR="00F02350" w:rsidRPr="00BD22C2">
        <w:rPr>
          <w:rFonts w:eastAsia="Calibri"/>
          <w:lang w:val="fr-CA" w:eastAsia="en-US"/>
        </w:rPr>
        <w:t xml:space="preserve"> associé</w:t>
      </w:r>
      <w:r w:rsidR="00BE4E28" w:rsidRPr="00BD22C2">
        <w:rPr>
          <w:rFonts w:eastAsia="Calibri"/>
          <w:lang w:val="fr-CA" w:eastAsia="en-US"/>
        </w:rPr>
        <w:t xml:space="preserve">. </w:t>
      </w:r>
      <w:r w:rsidR="00BA5422" w:rsidRPr="00BD22C2">
        <w:rPr>
          <w:rFonts w:eastAsia="Calibri"/>
          <w:lang w:val="fr-CA" w:eastAsia="en-US"/>
        </w:rPr>
        <w:t>Cette thématique</w:t>
      </w:r>
      <w:r w:rsidR="00447CE5" w:rsidRPr="00BD22C2">
        <w:rPr>
          <w:rFonts w:eastAsia="Calibri"/>
          <w:lang w:val="fr-CA" w:eastAsia="en-US"/>
        </w:rPr>
        <w:t xml:space="preserve"> demeure</w:t>
      </w:r>
      <w:r w:rsidR="001B3AA1" w:rsidRPr="00BD22C2">
        <w:rPr>
          <w:rFonts w:eastAsia="Calibri"/>
          <w:lang w:val="fr-CA" w:eastAsia="en-US"/>
        </w:rPr>
        <w:t xml:space="preserve"> </w:t>
      </w:r>
      <w:r w:rsidR="00B4110E" w:rsidRPr="00BD22C2">
        <w:rPr>
          <w:rFonts w:eastAsia="Calibri"/>
          <w:lang w:val="fr-CA" w:eastAsia="en-US"/>
        </w:rPr>
        <w:t>cependant</w:t>
      </w:r>
      <w:r w:rsidR="001B3AA1" w:rsidRPr="00BD22C2">
        <w:rPr>
          <w:rFonts w:eastAsia="Calibri"/>
          <w:lang w:val="fr-CA" w:eastAsia="en-US"/>
        </w:rPr>
        <w:t xml:space="preserve"> peu développé</w:t>
      </w:r>
      <w:r w:rsidR="00BA5422" w:rsidRPr="00BD22C2">
        <w:rPr>
          <w:rFonts w:eastAsia="Calibri"/>
          <w:lang w:val="fr-CA" w:eastAsia="en-US"/>
        </w:rPr>
        <w:t>e</w:t>
      </w:r>
      <w:r w:rsidR="001B3AA1" w:rsidRPr="00BD22C2">
        <w:rPr>
          <w:rFonts w:eastAsia="Calibri"/>
          <w:lang w:val="fr-CA" w:eastAsia="en-US"/>
        </w:rPr>
        <w:t xml:space="preserve"> en comparaison des deux autres </w:t>
      </w:r>
      <w:r w:rsidR="00E667E3" w:rsidRPr="00BD22C2">
        <w:rPr>
          <w:rFonts w:eastAsia="Calibri"/>
          <w:lang w:val="fr-CA" w:eastAsia="en-US"/>
        </w:rPr>
        <w:t>éléments de contenu</w:t>
      </w:r>
      <w:r w:rsidR="001F1DC8" w:rsidRPr="00BD22C2">
        <w:rPr>
          <w:rFonts w:eastAsia="Calibri"/>
          <w:lang w:val="fr-CA" w:eastAsia="en-US"/>
        </w:rPr>
        <w:t xml:space="preserve"> également</w:t>
      </w:r>
      <w:r w:rsidR="001B3AA1" w:rsidRPr="00BD22C2">
        <w:rPr>
          <w:rFonts w:eastAsia="Calibri"/>
          <w:lang w:val="fr-CA" w:eastAsia="en-US"/>
        </w:rPr>
        <w:t xml:space="preserve"> obligatoires</w:t>
      </w:r>
      <w:r w:rsidR="00BA5422" w:rsidRPr="00BD22C2">
        <w:rPr>
          <w:rFonts w:eastAsia="Calibri"/>
          <w:lang w:val="fr-CA" w:eastAsia="en-US"/>
        </w:rPr>
        <w:t xml:space="preserve"> (puberté et sécurité personnelle)</w:t>
      </w:r>
      <w:r w:rsidR="001B3AA1" w:rsidRPr="00BD22C2">
        <w:rPr>
          <w:rStyle w:val="Appeldenotedefin"/>
          <w:rFonts w:eastAsia="Calibri"/>
          <w:lang w:val="fr-CA" w:eastAsia="en-US"/>
        </w:rPr>
        <w:endnoteReference w:id="527"/>
      </w:r>
      <w:r w:rsidR="001B3AA1" w:rsidRPr="00BD22C2">
        <w:rPr>
          <w:rFonts w:eastAsia="Calibri"/>
          <w:lang w:val="fr-CA" w:eastAsia="en-US"/>
        </w:rPr>
        <w:t>.</w:t>
      </w:r>
      <w:r w:rsidR="00447CE5" w:rsidRPr="00BD22C2">
        <w:rPr>
          <w:rFonts w:eastAsia="Calibri"/>
          <w:lang w:val="fr-CA" w:eastAsia="en-US"/>
        </w:rPr>
        <w:t xml:space="preserve"> </w:t>
      </w:r>
    </w:p>
    <w:p w14:paraId="0003CEDE" w14:textId="5D075983" w:rsidR="004D384D" w:rsidRPr="00BD22C2" w:rsidRDefault="00CD1661" w:rsidP="00CD1661">
      <w:pPr>
        <w:pStyle w:val="Paragraphe"/>
        <w:rPr>
          <w:rFonts w:eastAsia="Calibri"/>
          <w:lang w:val="fr-CA" w:eastAsia="en-US"/>
        </w:rPr>
      </w:pPr>
      <w:r w:rsidRPr="00BD22C2">
        <w:rPr>
          <w:rFonts w:eastAsia="Calibri"/>
          <w:lang w:val="fr-CA" w:eastAsia="en-US"/>
        </w:rPr>
        <w:t>Cela dit, a</w:t>
      </w:r>
      <w:r w:rsidR="00526B64" w:rsidRPr="00BD22C2">
        <w:rPr>
          <w:rFonts w:eastAsia="Calibri"/>
          <w:lang w:val="fr-CA" w:eastAsia="en-US"/>
        </w:rPr>
        <w:t xml:space="preserve">vec </w:t>
      </w:r>
      <w:r w:rsidR="00565CE6" w:rsidRPr="00BD22C2">
        <w:rPr>
          <w:rFonts w:eastAsia="Calibri"/>
          <w:lang w:val="fr-CA" w:eastAsia="en-US"/>
        </w:rPr>
        <w:t>une</w:t>
      </w:r>
      <w:r w:rsidR="00C52311" w:rsidRPr="00BD22C2">
        <w:rPr>
          <w:rFonts w:eastAsia="Calibri"/>
          <w:lang w:val="fr-CA" w:eastAsia="en-US"/>
        </w:rPr>
        <w:t xml:space="preserve"> description </w:t>
      </w:r>
      <w:r w:rsidR="00526B64" w:rsidRPr="00BD22C2">
        <w:rPr>
          <w:rFonts w:eastAsia="Calibri"/>
          <w:lang w:val="fr-CA" w:eastAsia="en-US"/>
        </w:rPr>
        <w:t>relativement peu</w:t>
      </w:r>
      <w:r w:rsidR="00565CE6" w:rsidRPr="00BD22C2">
        <w:rPr>
          <w:rFonts w:eastAsia="Calibri"/>
          <w:lang w:val="fr-CA" w:eastAsia="en-US"/>
        </w:rPr>
        <w:t xml:space="preserve"> étoffée </w:t>
      </w:r>
      <w:r w:rsidR="008F2C1C" w:rsidRPr="00BD22C2">
        <w:rPr>
          <w:rFonts w:eastAsia="Calibri"/>
          <w:lang w:val="fr-CA" w:eastAsia="en-US"/>
        </w:rPr>
        <w:t xml:space="preserve">de </w:t>
      </w:r>
      <w:r w:rsidR="00B4110E" w:rsidRPr="00BD22C2">
        <w:rPr>
          <w:rFonts w:eastAsia="Calibri"/>
          <w:lang w:val="fr-CA" w:eastAsia="en-US"/>
        </w:rPr>
        <w:t xml:space="preserve">ce </w:t>
      </w:r>
      <w:r w:rsidR="008F2C1C" w:rsidRPr="00BD22C2">
        <w:rPr>
          <w:rFonts w:eastAsia="Calibri"/>
          <w:lang w:val="fr-CA" w:eastAsia="en-US"/>
        </w:rPr>
        <w:t xml:space="preserve">thème incontournable de </w:t>
      </w:r>
      <w:r w:rsidR="00CD6380" w:rsidRPr="00BD22C2">
        <w:rPr>
          <w:rFonts w:eastAsia="Calibri"/>
          <w:lang w:val="fr-CA" w:eastAsia="en-US"/>
        </w:rPr>
        <w:t xml:space="preserve">l’éducation </w:t>
      </w:r>
      <w:r w:rsidR="000D099A" w:rsidRPr="00BD22C2">
        <w:rPr>
          <w:rFonts w:eastAsia="Calibri"/>
          <w:lang w:val="fr-CA" w:eastAsia="en-US"/>
        </w:rPr>
        <w:t>à la sexualité</w:t>
      </w:r>
      <w:r w:rsidR="008F2C1C" w:rsidRPr="00BD22C2">
        <w:rPr>
          <w:rFonts w:eastAsia="Calibri"/>
          <w:lang w:val="fr-CA" w:eastAsia="en-US"/>
        </w:rPr>
        <w:t xml:space="preserve"> </w:t>
      </w:r>
      <w:r w:rsidR="005901DE" w:rsidRPr="00BD22C2">
        <w:rPr>
          <w:rFonts w:eastAsia="Calibri"/>
          <w:lang w:val="fr-CA" w:eastAsia="en-US"/>
        </w:rPr>
        <w:t xml:space="preserve">et </w:t>
      </w:r>
      <w:r w:rsidR="00B4110E" w:rsidRPr="00BD22C2">
        <w:rPr>
          <w:rFonts w:eastAsia="Calibri"/>
          <w:lang w:val="fr-CA" w:eastAsia="en-US"/>
        </w:rPr>
        <w:t xml:space="preserve">devant </w:t>
      </w:r>
      <w:r w:rsidR="00447CE5" w:rsidRPr="00BD22C2">
        <w:rPr>
          <w:rFonts w:eastAsia="Calibri"/>
          <w:lang w:val="fr-CA" w:eastAsia="en-US"/>
        </w:rPr>
        <w:t xml:space="preserve">un ensemble de </w:t>
      </w:r>
      <w:r w:rsidR="005901DE" w:rsidRPr="00BD22C2">
        <w:rPr>
          <w:rFonts w:eastAsia="Calibri"/>
          <w:lang w:val="fr-CA" w:eastAsia="en-US"/>
        </w:rPr>
        <w:t>notions</w:t>
      </w:r>
      <w:r w:rsidR="0031299A" w:rsidRPr="00BD22C2">
        <w:rPr>
          <w:rFonts w:eastAsia="Calibri"/>
          <w:lang w:val="fr-CA" w:eastAsia="en-US"/>
        </w:rPr>
        <w:t xml:space="preserve"> </w:t>
      </w:r>
      <w:r w:rsidR="00493DCB" w:rsidRPr="00BD22C2">
        <w:rPr>
          <w:rFonts w:eastAsia="Calibri"/>
          <w:lang w:val="fr-CA" w:eastAsia="en-US"/>
        </w:rPr>
        <w:t>optionnelles</w:t>
      </w:r>
      <w:r w:rsidR="0081016A" w:rsidRPr="00BD22C2">
        <w:rPr>
          <w:rFonts w:eastAsia="Calibri"/>
          <w:lang w:val="fr-CA" w:eastAsia="en-US"/>
        </w:rPr>
        <w:t xml:space="preserve"> q</w:t>
      </w:r>
      <w:r w:rsidR="004C7160" w:rsidRPr="00BD22C2">
        <w:rPr>
          <w:rFonts w:eastAsia="Calibri"/>
          <w:lang w:val="fr-CA" w:eastAsia="en-US"/>
        </w:rPr>
        <w:t>ui pourrait être enseigné</w:t>
      </w:r>
      <w:r w:rsidR="008D092B" w:rsidRPr="00BD22C2">
        <w:rPr>
          <w:rFonts w:eastAsia="Calibri"/>
          <w:lang w:val="fr-CA" w:eastAsia="en-US"/>
        </w:rPr>
        <w:t xml:space="preserve"> selon la discrétion des enseignants</w:t>
      </w:r>
      <w:r w:rsidR="00CD6380" w:rsidRPr="00BD22C2">
        <w:rPr>
          <w:rFonts w:eastAsia="Calibri"/>
          <w:lang w:val="fr-CA" w:eastAsia="en-US"/>
        </w:rPr>
        <w:t>,</w:t>
      </w:r>
      <w:r w:rsidR="00C77CAA" w:rsidRPr="00BD22C2">
        <w:rPr>
          <w:rFonts w:eastAsia="Calibri"/>
          <w:lang w:val="fr-CA" w:eastAsia="en-US"/>
        </w:rPr>
        <w:t xml:space="preserve"> </w:t>
      </w:r>
      <w:r w:rsidR="002A7AC5" w:rsidRPr="00BD22C2">
        <w:rPr>
          <w:rFonts w:eastAsia="Calibri"/>
          <w:lang w:val="fr-CA" w:eastAsia="en-US"/>
        </w:rPr>
        <w:t xml:space="preserve">on </w:t>
      </w:r>
      <w:r w:rsidR="00447CE5" w:rsidRPr="00BD22C2">
        <w:rPr>
          <w:rFonts w:eastAsia="Calibri"/>
          <w:lang w:val="fr-CA" w:eastAsia="en-US"/>
        </w:rPr>
        <w:t>peut</w:t>
      </w:r>
      <w:r w:rsidR="00946EBA" w:rsidRPr="00BD22C2">
        <w:rPr>
          <w:rFonts w:eastAsia="Calibri"/>
          <w:lang w:val="fr-CA" w:eastAsia="en-US"/>
        </w:rPr>
        <w:t xml:space="preserve"> s’interroger</w:t>
      </w:r>
      <w:r w:rsidR="005F7FB7" w:rsidRPr="00BD22C2">
        <w:rPr>
          <w:rFonts w:eastAsia="Calibri"/>
          <w:lang w:val="fr-CA" w:eastAsia="en-US"/>
        </w:rPr>
        <w:t xml:space="preserve"> </w:t>
      </w:r>
      <w:r w:rsidR="00863197" w:rsidRPr="00BD22C2">
        <w:rPr>
          <w:rFonts w:eastAsia="Calibri"/>
          <w:lang w:val="fr-CA" w:eastAsia="en-US"/>
        </w:rPr>
        <w:t xml:space="preserve">sur la capacité réelle qu’aura </w:t>
      </w:r>
      <w:r w:rsidR="00BD1007" w:rsidRPr="00BD22C2">
        <w:rPr>
          <w:rFonts w:eastAsia="Calibri"/>
          <w:lang w:val="fr-CA" w:eastAsia="en-US"/>
        </w:rPr>
        <w:t>l</w:t>
      </w:r>
      <w:r w:rsidR="00863197" w:rsidRPr="00BD22C2">
        <w:rPr>
          <w:rFonts w:eastAsia="Calibri"/>
          <w:lang w:val="fr-CA" w:eastAsia="en-US"/>
        </w:rPr>
        <w:t>e</w:t>
      </w:r>
      <w:r w:rsidR="00946EBA" w:rsidRPr="00BD22C2">
        <w:rPr>
          <w:rFonts w:eastAsia="Calibri"/>
          <w:lang w:val="fr-CA" w:eastAsia="en-US"/>
        </w:rPr>
        <w:t xml:space="preserve"> </w:t>
      </w:r>
      <w:r w:rsidR="00004A10" w:rsidRPr="00BD22C2">
        <w:rPr>
          <w:rFonts w:eastAsia="Calibri"/>
          <w:lang w:val="fr-CA" w:eastAsia="en-US"/>
        </w:rPr>
        <w:t xml:space="preserve">nouveau </w:t>
      </w:r>
      <w:r w:rsidR="00946EBA" w:rsidRPr="00BD22C2">
        <w:rPr>
          <w:rFonts w:eastAsia="Calibri"/>
          <w:lang w:val="fr-CA" w:eastAsia="en-US"/>
        </w:rPr>
        <w:t xml:space="preserve">programme de </w:t>
      </w:r>
      <w:r w:rsidR="00427389" w:rsidRPr="00BD22C2">
        <w:rPr>
          <w:rFonts w:eastAsia="Calibri"/>
          <w:lang w:val="fr-CA" w:eastAsia="en-US"/>
        </w:rPr>
        <w:t>CCQ</w:t>
      </w:r>
      <w:r w:rsidR="00946EBA" w:rsidRPr="00BD22C2">
        <w:rPr>
          <w:rFonts w:eastAsia="Calibri"/>
          <w:lang w:val="fr-CA" w:eastAsia="en-US"/>
        </w:rPr>
        <w:t xml:space="preserve"> </w:t>
      </w:r>
      <w:r w:rsidR="00863197" w:rsidRPr="00BD22C2">
        <w:rPr>
          <w:rFonts w:eastAsia="Calibri"/>
          <w:lang w:val="fr-CA" w:eastAsia="en-US"/>
        </w:rPr>
        <w:t xml:space="preserve">à </w:t>
      </w:r>
      <w:r w:rsidR="00401BE1" w:rsidRPr="00BD22C2">
        <w:rPr>
          <w:rFonts w:eastAsia="Calibri"/>
          <w:lang w:val="fr-CA" w:eastAsia="en-US"/>
        </w:rPr>
        <w:t>cerner</w:t>
      </w:r>
      <w:r w:rsidR="00A700CB" w:rsidRPr="00BD22C2">
        <w:rPr>
          <w:rFonts w:eastAsia="Calibri"/>
          <w:lang w:val="fr-CA" w:eastAsia="en-US"/>
        </w:rPr>
        <w:t xml:space="preserve"> d</w:t>
      </w:r>
      <w:r w:rsidR="00863197" w:rsidRPr="00BD22C2">
        <w:rPr>
          <w:rFonts w:eastAsia="Calibri"/>
          <w:lang w:val="fr-CA" w:eastAsia="en-US"/>
        </w:rPr>
        <w:t>e</w:t>
      </w:r>
      <w:r w:rsidR="00426E70" w:rsidRPr="00BD22C2">
        <w:rPr>
          <w:rFonts w:eastAsia="Calibri"/>
          <w:lang w:val="fr-CA" w:eastAsia="en-US"/>
        </w:rPr>
        <w:t xml:space="preserve"> façon complète</w:t>
      </w:r>
      <w:r w:rsidR="00A61EA8" w:rsidRPr="00BD22C2">
        <w:rPr>
          <w:rFonts w:eastAsia="Calibri"/>
          <w:lang w:val="fr-CA" w:eastAsia="en-US"/>
        </w:rPr>
        <w:t xml:space="preserve"> </w:t>
      </w:r>
      <w:r w:rsidR="00863197" w:rsidRPr="00BD22C2">
        <w:rPr>
          <w:rFonts w:eastAsia="Calibri"/>
          <w:lang w:val="fr-CA" w:eastAsia="en-US"/>
        </w:rPr>
        <w:t>l</w:t>
      </w:r>
      <w:r w:rsidR="00CA0136" w:rsidRPr="00BD22C2">
        <w:rPr>
          <w:rFonts w:eastAsia="Calibri"/>
          <w:lang w:val="fr-CA" w:eastAsia="en-US"/>
        </w:rPr>
        <w:t>e</w:t>
      </w:r>
      <w:r w:rsidR="00941A98" w:rsidRPr="00BD22C2">
        <w:rPr>
          <w:rFonts w:eastAsia="Calibri"/>
          <w:lang w:val="fr-CA" w:eastAsia="en-US"/>
        </w:rPr>
        <w:t xml:space="preserve">s </w:t>
      </w:r>
      <w:r w:rsidR="00863197" w:rsidRPr="00BD22C2">
        <w:rPr>
          <w:rFonts w:eastAsia="Calibri"/>
          <w:lang w:val="fr-CA" w:eastAsia="en-US"/>
        </w:rPr>
        <w:t xml:space="preserve">différentes </w:t>
      </w:r>
      <w:r w:rsidR="00941A98" w:rsidRPr="00BD22C2">
        <w:rPr>
          <w:rFonts w:eastAsia="Calibri"/>
          <w:lang w:val="fr-CA" w:eastAsia="en-US"/>
        </w:rPr>
        <w:t xml:space="preserve">facettes </w:t>
      </w:r>
      <w:r w:rsidR="00CA0136" w:rsidRPr="00BD22C2">
        <w:rPr>
          <w:rFonts w:eastAsia="Calibri"/>
          <w:lang w:val="fr-CA" w:eastAsia="en-US"/>
        </w:rPr>
        <w:t>de l’expression de genre</w:t>
      </w:r>
      <w:r w:rsidR="00C21694" w:rsidRPr="00BD22C2">
        <w:rPr>
          <w:rFonts w:eastAsia="Calibri"/>
          <w:lang w:val="fr-CA" w:eastAsia="en-US"/>
        </w:rPr>
        <w:t xml:space="preserve"> et plus largement</w:t>
      </w:r>
      <w:r w:rsidR="00EE406D" w:rsidRPr="00BD22C2">
        <w:rPr>
          <w:rFonts w:eastAsia="Calibri"/>
          <w:lang w:val="fr-CA" w:eastAsia="en-US"/>
        </w:rPr>
        <w:t xml:space="preserve"> de la diversité sexuelle et de genre</w:t>
      </w:r>
      <w:r w:rsidR="00BA6D97" w:rsidRPr="00BD22C2">
        <w:rPr>
          <w:rFonts w:eastAsia="Calibri"/>
          <w:lang w:val="fr-CA" w:eastAsia="en-US"/>
        </w:rPr>
        <w:t>,</w:t>
      </w:r>
      <w:r w:rsidR="00C21694" w:rsidRPr="00BD22C2">
        <w:rPr>
          <w:rFonts w:eastAsia="Calibri"/>
          <w:lang w:val="fr-CA" w:eastAsia="en-US"/>
        </w:rPr>
        <w:t xml:space="preserve"> </w:t>
      </w:r>
      <w:r w:rsidR="00BA6D97" w:rsidRPr="00BD22C2">
        <w:rPr>
          <w:rFonts w:eastAsia="Calibri"/>
          <w:lang w:val="fr-CA" w:eastAsia="en-US"/>
        </w:rPr>
        <w:t xml:space="preserve">comme </w:t>
      </w:r>
      <w:r w:rsidR="003B6CAA" w:rsidRPr="00BD22C2">
        <w:rPr>
          <w:rFonts w:eastAsia="Calibri"/>
          <w:lang w:val="fr-CA" w:eastAsia="en-US"/>
        </w:rPr>
        <w:t xml:space="preserve">le </w:t>
      </w:r>
      <w:r w:rsidR="002A7AC5" w:rsidRPr="00BD22C2">
        <w:rPr>
          <w:rFonts w:eastAsia="Calibri"/>
          <w:lang w:val="fr-CA" w:eastAsia="en-US"/>
        </w:rPr>
        <w:t>souhaite</w:t>
      </w:r>
      <w:r w:rsidR="00BA6D97" w:rsidRPr="00BD22C2">
        <w:rPr>
          <w:rFonts w:eastAsia="Calibri"/>
          <w:lang w:val="fr-CA" w:eastAsia="en-US"/>
        </w:rPr>
        <w:t xml:space="preserve"> </w:t>
      </w:r>
      <w:r w:rsidR="00E92268" w:rsidRPr="00BD22C2">
        <w:rPr>
          <w:rFonts w:eastAsia="Calibri"/>
          <w:lang w:val="fr-CA" w:eastAsia="en-US"/>
        </w:rPr>
        <w:t>d’ailleurs</w:t>
      </w:r>
      <w:r w:rsidR="00657037" w:rsidRPr="00BD22C2">
        <w:rPr>
          <w:rFonts w:eastAsia="Calibri"/>
          <w:lang w:val="fr-CA" w:eastAsia="en-US"/>
        </w:rPr>
        <w:t xml:space="preserve"> </w:t>
      </w:r>
      <w:r w:rsidR="00BA6D97" w:rsidRPr="00BD22C2">
        <w:rPr>
          <w:rFonts w:eastAsia="Calibri"/>
          <w:lang w:val="fr-CA" w:eastAsia="en-US"/>
        </w:rPr>
        <w:t xml:space="preserve">le Plan d’action gouvernemental </w:t>
      </w:r>
      <w:r w:rsidR="0081542B" w:rsidRPr="00BD22C2">
        <w:rPr>
          <w:rFonts w:eastAsia="Calibri"/>
          <w:lang w:val="fr-CA" w:eastAsia="en-US"/>
        </w:rPr>
        <w:t xml:space="preserve">de lutte </w:t>
      </w:r>
      <w:r w:rsidR="00BA6D97" w:rsidRPr="00BD22C2">
        <w:rPr>
          <w:rFonts w:eastAsia="Calibri"/>
          <w:lang w:val="fr-CA" w:eastAsia="en-US"/>
        </w:rPr>
        <w:t>contre l’homophobie et la transphobie 2023-2028</w:t>
      </w:r>
      <w:r w:rsidR="008B3D50" w:rsidRPr="00BD22C2">
        <w:rPr>
          <w:rFonts w:eastAsia="Calibri"/>
          <w:lang w:val="fr-CA" w:eastAsia="en-US"/>
        </w:rPr>
        <w:t>.</w:t>
      </w:r>
      <w:r w:rsidR="00904E3D" w:rsidRPr="00BD22C2">
        <w:rPr>
          <w:rStyle w:val="Appeldenotedefin"/>
          <w:rFonts w:eastAsia="Calibri"/>
          <w:lang w:val="fr-CA" w:eastAsia="en-US"/>
        </w:rPr>
        <w:endnoteReference w:id="528"/>
      </w:r>
    </w:p>
    <w:p w14:paraId="2D23CD4D" w14:textId="276F891B" w:rsidR="004D384D" w:rsidRPr="00BD22C2" w:rsidRDefault="004D384D" w:rsidP="00FB6B0E">
      <w:pPr>
        <w:pStyle w:val="Paragraphe"/>
        <w:rPr>
          <w:rFonts w:cs="Arial"/>
          <w:szCs w:val="22"/>
          <w:lang w:val="fr-CA"/>
        </w:rPr>
      </w:pPr>
      <w:r w:rsidRPr="00BD22C2">
        <w:rPr>
          <w:rFonts w:cs="Arial"/>
          <w:szCs w:val="22"/>
          <w:lang w:val="fr-CA"/>
        </w:rPr>
        <w:t xml:space="preserve">Toujours dans </w:t>
      </w:r>
      <w:r w:rsidR="002D0FEC" w:rsidRPr="00BD22C2">
        <w:rPr>
          <w:rFonts w:cs="Arial"/>
          <w:szCs w:val="22"/>
          <w:lang w:val="fr-CA"/>
        </w:rPr>
        <w:t>ses</w:t>
      </w:r>
      <w:r w:rsidR="00DA3025" w:rsidRPr="00BD22C2">
        <w:rPr>
          <w:rFonts w:cs="Arial"/>
          <w:szCs w:val="22"/>
          <w:lang w:val="fr-CA"/>
        </w:rPr>
        <w:t xml:space="preserve"> commentaires</w:t>
      </w:r>
      <w:r w:rsidRPr="00BD22C2">
        <w:rPr>
          <w:rFonts w:cs="Arial"/>
          <w:szCs w:val="22"/>
          <w:lang w:val="fr-CA"/>
        </w:rPr>
        <w:t xml:space="preserve"> </w:t>
      </w:r>
      <w:r w:rsidR="001E68C0" w:rsidRPr="00BD22C2">
        <w:rPr>
          <w:rFonts w:cs="Arial"/>
          <w:szCs w:val="22"/>
          <w:lang w:val="fr-CA"/>
        </w:rPr>
        <w:t>formulé</w:t>
      </w:r>
      <w:r w:rsidR="002D0FEC" w:rsidRPr="00BD22C2">
        <w:rPr>
          <w:rFonts w:cs="Arial"/>
          <w:szCs w:val="22"/>
          <w:lang w:val="fr-CA"/>
        </w:rPr>
        <w:t xml:space="preserve">s </w:t>
      </w:r>
      <w:r w:rsidRPr="00BD22C2">
        <w:rPr>
          <w:rFonts w:cs="Arial"/>
          <w:szCs w:val="22"/>
          <w:lang w:val="fr-CA"/>
        </w:rPr>
        <w:t xml:space="preserve">au </w:t>
      </w:r>
      <w:r w:rsidR="00231C3C" w:rsidRPr="00BD22C2">
        <w:rPr>
          <w:rFonts w:cs="Arial"/>
          <w:szCs w:val="22"/>
          <w:lang w:val="fr-CA"/>
        </w:rPr>
        <w:t xml:space="preserve">sujet du programme </w:t>
      </w:r>
      <w:r w:rsidRPr="00BD22C2">
        <w:rPr>
          <w:rFonts w:cs="Arial"/>
          <w:szCs w:val="22"/>
          <w:lang w:val="fr-CA"/>
        </w:rPr>
        <w:t xml:space="preserve">de </w:t>
      </w:r>
      <w:r w:rsidR="00231C3C" w:rsidRPr="00BD22C2">
        <w:rPr>
          <w:rFonts w:cs="Arial"/>
          <w:szCs w:val="22"/>
          <w:lang w:val="fr-CA"/>
        </w:rPr>
        <w:t>CCQ</w:t>
      </w:r>
      <w:r w:rsidRPr="00BD22C2">
        <w:rPr>
          <w:rFonts w:cs="Arial"/>
          <w:szCs w:val="22"/>
          <w:lang w:val="fr-CA"/>
        </w:rPr>
        <w:t xml:space="preserve">, la Commission a </w:t>
      </w:r>
      <w:r w:rsidR="00F236C2" w:rsidRPr="00BD22C2">
        <w:rPr>
          <w:rFonts w:cs="Arial"/>
          <w:szCs w:val="22"/>
          <w:lang w:val="fr-CA"/>
        </w:rPr>
        <w:t xml:space="preserve">soulevé </w:t>
      </w:r>
      <w:r w:rsidRPr="00BD22C2">
        <w:rPr>
          <w:rFonts w:cs="Arial"/>
          <w:szCs w:val="22"/>
          <w:lang w:val="fr-CA"/>
        </w:rPr>
        <w:t xml:space="preserve">que, tant au primaire qu’au secondaire, les enjeux relatifs à la non-binarité demeuraient absents </w:t>
      </w:r>
      <w:r w:rsidR="00051BA5" w:rsidRPr="00BD22C2">
        <w:rPr>
          <w:rFonts w:cs="Arial"/>
          <w:szCs w:val="22"/>
          <w:lang w:val="fr-CA"/>
        </w:rPr>
        <w:t>de sa version</w:t>
      </w:r>
      <w:r w:rsidRPr="00BD22C2">
        <w:rPr>
          <w:rFonts w:cs="Arial"/>
          <w:szCs w:val="22"/>
          <w:lang w:val="fr-CA"/>
        </w:rPr>
        <w:t xml:space="preserve"> provisoire, tout comme </w:t>
      </w:r>
      <w:r w:rsidR="00B1407C" w:rsidRPr="00BD22C2">
        <w:rPr>
          <w:rFonts w:cs="Arial"/>
          <w:szCs w:val="22"/>
          <w:lang w:val="fr-CA"/>
        </w:rPr>
        <w:t xml:space="preserve">les </w:t>
      </w:r>
      <w:r w:rsidRPr="00BD22C2">
        <w:rPr>
          <w:rFonts w:cs="Arial"/>
          <w:szCs w:val="22"/>
          <w:lang w:val="fr-CA"/>
        </w:rPr>
        <w:t>réalité</w:t>
      </w:r>
      <w:r w:rsidR="00051BA5" w:rsidRPr="00BD22C2">
        <w:rPr>
          <w:rFonts w:cs="Arial"/>
          <w:szCs w:val="22"/>
          <w:lang w:val="fr-CA"/>
        </w:rPr>
        <w:t>s</w:t>
      </w:r>
      <w:r w:rsidRPr="00BD22C2">
        <w:rPr>
          <w:rFonts w:cs="Arial"/>
          <w:szCs w:val="22"/>
          <w:lang w:val="fr-CA"/>
        </w:rPr>
        <w:t xml:space="preserve"> des personnes intersexes</w:t>
      </w:r>
      <w:r w:rsidR="00E55A38" w:rsidRPr="00BD22C2">
        <w:rPr>
          <w:rFonts w:cs="Arial"/>
          <w:szCs w:val="22"/>
          <w:lang w:val="fr-CA"/>
        </w:rPr>
        <w:t xml:space="preserve"> qui </w:t>
      </w:r>
      <w:r w:rsidR="00B1407C" w:rsidRPr="00BD22C2">
        <w:rPr>
          <w:rFonts w:cs="Arial"/>
          <w:szCs w:val="22"/>
          <w:lang w:val="fr-CA"/>
        </w:rPr>
        <w:t>sont</w:t>
      </w:r>
      <w:r w:rsidR="00E55A38" w:rsidRPr="00BD22C2">
        <w:rPr>
          <w:rFonts w:cs="Arial"/>
          <w:szCs w:val="22"/>
          <w:lang w:val="fr-CA"/>
        </w:rPr>
        <w:t xml:space="preserve"> </w:t>
      </w:r>
      <w:r w:rsidR="00DF74F5" w:rsidRPr="00BD22C2">
        <w:rPr>
          <w:rFonts w:cs="Arial"/>
          <w:szCs w:val="22"/>
          <w:lang w:val="fr-CA"/>
        </w:rPr>
        <w:t>trop</w:t>
      </w:r>
      <w:r w:rsidR="00E55A38" w:rsidRPr="00BD22C2">
        <w:rPr>
          <w:rFonts w:cs="Arial"/>
          <w:szCs w:val="22"/>
          <w:lang w:val="fr-CA"/>
        </w:rPr>
        <w:t xml:space="preserve"> souvent </w:t>
      </w:r>
      <w:r w:rsidR="00212ED9" w:rsidRPr="00BD22C2">
        <w:rPr>
          <w:rFonts w:cs="Arial"/>
          <w:szCs w:val="22"/>
          <w:lang w:val="fr-CA"/>
        </w:rPr>
        <w:t>omise</w:t>
      </w:r>
      <w:r w:rsidR="00B1407C" w:rsidRPr="00BD22C2">
        <w:rPr>
          <w:rFonts w:cs="Arial"/>
          <w:szCs w:val="22"/>
          <w:lang w:val="fr-CA"/>
        </w:rPr>
        <w:t>s</w:t>
      </w:r>
      <w:r w:rsidR="00212ED9" w:rsidRPr="00BD22C2">
        <w:rPr>
          <w:rFonts w:cs="Arial"/>
          <w:szCs w:val="22"/>
          <w:lang w:val="fr-CA"/>
        </w:rPr>
        <w:t xml:space="preserve"> de </w:t>
      </w:r>
      <w:r w:rsidR="008E46A8" w:rsidRPr="00BD22C2">
        <w:rPr>
          <w:rFonts w:cs="Arial"/>
          <w:szCs w:val="22"/>
          <w:lang w:val="fr-CA"/>
        </w:rPr>
        <w:t>l’éducation à la sexualité</w:t>
      </w:r>
      <w:r w:rsidR="007A6DF1" w:rsidRPr="00BD22C2">
        <w:rPr>
          <w:rStyle w:val="Appeldenotedefin"/>
          <w:rFonts w:cs="Arial"/>
          <w:szCs w:val="22"/>
          <w:lang w:val="fr-CA"/>
        </w:rPr>
        <w:endnoteReference w:id="529"/>
      </w:r>
      <w:r w:rsidR="00B1407C" w:rsidRPr="00BD22C2">
        <w:rPr>
          <w:rFonts w:cs="Arial"/>
          <w:szCs w:val="22"/>
          <w:lang w:val="fr-CA"/>
        </w:rPr>
        <w:t xml:space="preserve">. </w:t>
      </w:r>
      <w:r w:rsidR="00C93326" w:rsidRPr="00BD22C2">
        <w:rPr>
          <w:rFonts w:cs="Arial"/>
          <w:szCs w:val="22"/>
          <w:lang w:val="fr-CA"/>
        </w:rPr>
        <w:t>Ce</w:t>
      </w:r>
      <w:r w:rsidR="00051BA5" w:rsidRPr="00BD22C2">
        <w:rPr>
          <w:rFonts w:cs="Arial"/>
          <w:szCs w:val="22"/>
          <w:lang w:val="fr-CA"/>
        </w:rPr>
        <w:t>s</w:t>
      </w:r>
      <w:r w:rsidR="00C93326" w:rsidRPr="00BD22C2">
        <w:rPr>
          <w:rFonts w:cs="Arial"/>
          <w:szCs w:val="22"/>
          <w:lang w:val="fr-CA"/>
        </w:rPr>
        <w:t xml:space="preserve"> aspect</w:t>
      </w:r>
      <w:r w:rsidR="00CF37C2" w:rsidRPr="00BD22C2">
        <w:rPr>
          <w:rFonts w:cs="Arial"/>
          <w:szCs w:val="22"/>
          <w:lang w:val="fr-CA"/>
        </w:rPr>
        <w:t>s</w:t>
      </w:r>
      <w:r w:rsidR="00A867BC" w:rsidRPr="00BD22C2">
        <w:rPr>
          <w:rFonts w:cs="Arial"/>
          <w:szCs w:val="22"/>
          <w:lang w:val="fr-CA"/>
        </w:rPr>
        <w:t xml:space="preserve"> </w:t>
      </w:r>
      <w:r w:rsidR="00CF37C2" w:rsidRPr="00BD22C2">
        <w:rPr>
          <w:rFonts w:cs="Arial"/>
          <w:szCs w:val="22"/>
          <w:lang w:val="fr-CA"/>
        </w:rPr>
        <w:t>n’ont pas été intégrés à</w:t>
      </w:r>
      <w:r w:rsidR="008E46A8" w:rsidRPr="00BD22C2">
        <w:rPr>
          <w:rFonts w:cs="Arial"/>
          <w:szCs w:val="22"/>
          <w:lang w:val="fr-CA"/>
        </w:rPr>
        <w:t xml:space="preserve"> la version finale du programme</w:t>
      </w:r>
      <w:r w:rsidRPr="00BD22C2">
        <w:rPr>
          <w:rFonts w:cs="Arial"/>
          <w:szCs w:val="22"/>
          <w:lang w:val="fr-CA"/>
        </w:rPr>
        <w:t xml:space="preserve">. </w:t>
      </w:r>
    </w:p>
    <w:p w14:paraId="5187D4B8" w14:textId="148A25B2" w:rsidR="004D384D" w:rsidRPr="00BD22C2" w:rsidRDefault="004D384D" w:rsidP="00FB6B0E">
      <w:pPr>
        <w:pStyle w:val="Paragraphe"/>
        <w:rPr>
          <w:rFonts w:cs="Arial"/>
          <w:szCs w:val="22"/>
          <w:lang w:val="fr-CA"/>
        </w:rPr>
      </w:pPr>
      <w:r w:rsidRPr="00BD22C2">
        <w:rPr>
          <w:rFonts w:cs="Arial"/>
          <w:szCs w:val="22"/>
          <w:lang w:val="fr-CA"/>
        </w:rPr>
        <w:t xml:space="preserve">De façon similaire, bien que la Commission reconnaisse que les manifestations de la transphobie et leurs effets soient énoncés </w:t>
      </w:r>
      <w:r w:rsidRPr="00BD22C2" w:rsidDel="008D3ADB">
        <w:rPr>
          <w:rFonts w:cs="Arial"/>
          <w:szCs w:val="22"/>
          <w:lang w:val="fr-CA"/>
        </w:rPr>
        <w:t xml:space="preserve">dans </w:t>
      </w:r>
      <w:r w:rsidR="00673CE9" w:rsidRPr="00BD22C2">
        <w:rPr>
          <w:rFonts w:cs="Arial"/>
          <w:szCs w:val="22"/>
          <w:lang w:val="fr-CA"/>
        </w:rPr>
        <w:t>le cadre de</w:t>
      </w:r>
      <w:r w:rsidRPr="00BD22C2" w:rsidDel="008D3ADB">
        <w:rPr>
          <w:rFonts w:cs="Arial"/>
          <w:szCs w:val="22"/>
          <w:lang w:val="fr-CA"/>
        </w:rPr>
        <w:t xml:space="preserve"> </w:t>
      </w:r>
      <w:r w:rsidRPr="00BD22C2">
        <w:rPr>
          <w:rFonts w:cs="Arial"/>
          <w:szCs w:val="22"/>
          <w:lang w:val="fr-CA"/>
        </w:rPr>
        <w:t>l’éducation à la sexualité au primaire</w:t>
      </w:r>
      <w:r w:rsidRPr="00BD22C2">
        <w:rPr>
          <w:rStyle w:val="Appeldenotedefin"/>
          <w:rFonts w:cs="Arial"/>
          <w:szCs w:val="22"/>
          <w:lang w:val="fr-CA"/>
        </w:rPr>
        <w:endnoteReference w:id="530"/>
      </w:r>
      <w:r w:rsidRPr="00BD22C2">
        <w:rPr>
          <w:rFonts w:cs="Arial"/>
          <w:szCs w:val="22"/>
          <w:lang w:val="fr-CA"/>
        </w:rPr>
        <w:t>, la Commission a questionné le fait que les personnes trans ou le processus de transition ne soient pas nommés directement</w:t>
      </w:r>
      <w:r w:rsidR="00BE587A" w:rsidRPr="00BD22C2">
        <w:rPr>
          <w:rFonts w:cs="Arial"/>
          <w:szCs w:val="22"/>
          <w:lang w:val="fr-CA"/>
        </w:rPr>
        <w:t xml:space="preserve"> dans le programme provisoire</w:t>
      </w:r>
      <w:r w:rsidRPr="00BD22C2">
        <w:rPr>
          <w:rFonts w:cs="Arial"/>
          <w:szCs w:val="22"/>
          <w:lang w:val="fr-CA"/>
        </w:rPr>
        <w:t>. Elle ajoutait que :</w:t>
      </w:r>
    </w:p>
    <w:p w14:paraId="62F88506" w14:textId="7D4A8328" w:rsidR="004D384D" w:rsidRPr="00BD22C2" w:rsidRDefault="004D384D" w:rsidP="004D384D">
      <w:pPr>
        <w:pStyle w:val="NormalWeb"/>
        <w:ind w:left="706"/>
        <w:rPr>
          <w:rFonts w:ascii="Arial" w:hAnsi="Arial" w:cs="Arial"/>
          <w:color w:val="000000"/>
          <w:sz w:val="20"/>
          <w:szCs w:val="20"/>
        </w:rPr>
      </w:pPr>
      <w:r w:rsidRPr="00BD22C2">
        <w:rPr>
          <w:rFonts w:ascii="Arial" w:hAnsi="Arial" w:cs="Arial"/>
          <w:color w:val="000000"/>
          <w:sz w:val="20"/>
          <w:szCs w:val="20"/>
        </w:rPr>
        <w:t>«</w:t>
      </w:r>
      <w:r w:rsidR="00974BD5" w:rsidRPr="00BD22C2">
        <w:rPr>
          <w:rFonts w:ascii="Arial" w:hAnsi="Arial" w:cs="Arial"/>
          <w:color w:val="000000"/>
          <w:sz w:val="20"/>
          <w:szCs w:val="20"/>
        </w:rPr>
        <w:t> </w:t>
      </w:r>
      <w:r w:rsidRPr="00BD22C2">
        <w:rPr>
          <w:rFonts w:ascii="Arial" w:hAnsi="Arial" w:cs="Arial"/>
          <w:color w:val="000000"/>
          <w:sz w:val="20"/>
          <w:szCs w:val="20"/>
        </w:rPr>
        <w:t>Ces éléments de contenus et les enjeux qui s’y rapportent apparaissent pourtant incontournables, alors que chez les plus jeunes générations, on s’identifie aujourd’hui davantage comme personne non-binaire</w:t>
      </w:r>
      <w:r w:rsidR="00717952" w:rsidRPr="00BD22C2">
        <w:rPr>
          <w:rFonts w:ascii="Arial" w:hAnsi="Arial" w:cs="Arial"/>
          <w:color w:val="000000"/>
          <w:sz w:val="20"/>
          <w:szCs w:val="20"/>
        </w:rPr>
        <w:t>s</w:t>
      </w:r>
      <w:r w:rsidRPr="00BD22C2">
        <w:rPr>
          <w:rFonts w:ascii="Arial" w:hAnsi="Arial" w:cs="Arial"/>
          <w:color w:val="000000"/>
          <w:sz w:val="20"/>
          <w:szCs w:val="20"/>
        </w:rPr>
        <w:t xml:space="preserve"> et trans que parmi les générations précédentes. Il importe donc d’inscrire ces réalités à l’intérieur du libellé du programme, et ce, afin de s’assurer qu’elles soient prises en compte adéquatement dans le curriculum.</w:t>
      </w:r>
      <w:r w:rsidR="00974BD5" w:rsidRPr="00BD22C2">
        <w:rPr>
          <w:rFonts w:ascii="Arial" w:hAnsi="Arial" w:cs="Arial"/>
          <w:color w:val="000000"/>
          <w:sz w:val="20"/>
          <w:szCs w:val="20"/>
        </w:rPr>
        <w:t> </w:t>
      </w:r>
      <w:r w:rsidRPr="00BD22C2">
        <w:rPr>
          <w:rFonts w:ascii="Arial" w:hAnsi="Arial" w:cs="Arial"/>
          <w:color w:val="000000"/>
          <w:sz w:val="20"/>
          <w:szCs w:val="20"/>
        </w:rPr>
        <w:t>»</w:t>
      </w:r>
      <w:r w:rsidRPr="00BD22C2">
        <w:rPr>
          <w:rStyle w:val="Appeldenotedefin"/>
          <w:rFonts w:ascii="Arial" w:hAnsi="Arial" w:cs="Arial"/>
          <w:color w:val="000000"/>
          <w:sz w:val="20"/>
          <w:szCs w:val="20"/>
        </w:rPr>
        <w:endnoteReference w:id="531"/>
      </w:r>
    </w:p>
    <w:p w14:paraId="6C87BB56" w14:textId="27C757B5" w:rsidR="00951F2A" w:rsidRPr="00BD22C2" w:rsidRDefault="00A15BA6" w:rsidP="68B52335">
      <w:pPr>
        <w:pStyle w:val="Paragraphe"/>
        <w:rPr>
          <w:rFonts w:eastAsia="Calibri"/>
          <w:lang w:val="fr-CA" w:eastAsia="en-US"/>
        </w:rPr>
      </w:pPr>
      <w:r w:rsidRPr="00BD22C2">
        <w:rPr>
          <w:rFonts w:eastAsia="Calibri"/>
          <w:lang w:val="fr-CA" w:eastAsia="en-US"/>
        </w:rPr>
        <w:t>Malgré ces commentaires, les</w:t>
      </w:r>
      <w:r w:rsidR="02B91FE1" w:rsidRPr="00BD22C2">
        <w:rPr>
          <w:rFonts w:eastAsia="Calibri"/>
          <w:lang w:val="fr-CA" w:eastAsia="en-US"/>
        </w:rPr>
        <w:t xml:space="preserve"> personnes trans </w:t>
      </w:r>
      <w:r w:rsidR="007C395B" w:rsidRPr="00BD22C2">
        <w:rPr>
          <w:rFonts w:eastAsia="Calibri"/>
          <w:lang w:val="fr-CA" w:eastAsia="en-US"/>
        </w:rPr>
        <w:t>et</w:t>
      </w:r>
      <w:r w:rsidR="02B91FE1" w:rsidRPr="00BD22C2">
        <w:rPr>
          <w:rFonts w:eastAsia="Calibri"/>
          <w:lang w:val="fr-CA" w:eastAsia="en-US"/>
        </w:rPr>
        <w:t xml:space="preserve"> le processus de transition demeurent </w:t>
      </w:r>
      <w:r w:rsidR="00607767" w:rsidRPr="00BD22C2">
        <w:rPr>
          <w:rFonts w:eastAsia="Calibri"/>
          <w:lang w:val="fr-CA" w:eastAsia="en-US"/>
        </w:rPr>
        <w:t>invisibilis</w:t>
      </w:r>
      <w:r w:rsidR="00CB1F42" w:rsidRPr="00BD22C2">
        <w:rPr>
          <w:rFonts w:eastAsia="Calibri"/>
          <w:lang w:val="fr-CA" w:eastAsia="en-US"/>
        </w:rPr>
        <w:t>és</w:t>
      </w:r>
      <w:r w:rsidR="02B91FE1" w:rsidRPr="00BD22C2">
        <w:rPr>
          <w:rFonts w:eastAsia="Calibri"/>
          <w:lang w:val="fr-CA" w:eastAsia="en-US"/>
        </w:rPr>
        <w:t xml:space="preserve"> dans la version finale du programme. </w:t>
      </w:r>
      <w:r w:rsidR="1FF3BF8E" w:rsidRPr="00BD22C2">
        <w:rPr>
          <w:rFonts w:eastAsia="Calibri"/>
          <w:lang w:val="fr-CA" w:eastAsia="en-US"/>
        </w:rPr>
        <w:t xml:space="preserve">La Commission </w:t>
      </w:r>
      <w:r w:rsidR="4312B86A" w:rsidRPr="00BD22C2">
        <w:rPr>
          <w:rFonts w:eastAsia="Calibri"/>
          <w:lang w:val="fr-CA" w:eastAsia="en-US"/>
        </w:rPr>
        <w:t>suggère</w:t>
      </w:r>
      <w:r w:rsidR="1FF3BF8E" w:rsidRPr="00BD22C2">
        <w:rPr>
          <w:rFonts w:eastAsia="Calibri"/>
          <w:lang w:val="fr-CA" w:eastAsia="en-US"/>
        </w:rPr>
        <w:t xml:space="preserve"> </w:t>
      </w:r>
      <w:r w:rsidR="0016788C" w:rsidRPr="00BD22C2">
        <w:rPr>
          <w:rFonts w:eastAsia="Calibri"/>
          <w:lang w:val="fr-CA" w:eastAsia="en-US"/>
        </w:rPr>
        <w:t xml:space="preserve">ainsi </w:t>
      </w:r>
      <w:r w:rsidR="1FF3BF8E" w:rsidRPr="00BD22C2">
        <w:rPr>
          <w:rFonts w:eastAsia="Calibri"/>
          <w:lang w:val="fr-CA" w:eastAsia="en-US"/>
        </w:rPr>
        <w:t xml:space="preserve">que </w:t>
      </w:r>
      <w:r w:rsidR="2989C4D3" w:rsidRPr="00BD22C2">
        <w:rPr>
          <w:rFonts w:eastAsia="Calibri"/>
          <w:lang w:val="fr-CA" w:eastAsia="en-US"/>
        </w:rPr>
        <w:t xml:space="preserve">les thèmes </w:t>
      </w:r>
      <w:r w:rsidR="31534855" w:rsidRPr="00BD22C2">
        <w:rPr>
          <w:rFonts w:eastAsia="Calibri"/>
          <w:lang w:val="fr-CA" w:eastAsia="en-US"/>
        </w:rPr>
        <w:t xml:space="preserve">du programme </w:t>
      </w:r>
      <w:r w:rsidR="47D5AD37" w:rsidRPr="00BD22C2">
        <w:rPr>
          <w:rFonts w:eastAsia="Calibri"/>
          <w:lang w:val="fr-CA" w:eastAsia="en-US"/>
        </w:rPr>
        <w:t>énonçant la</w:t>
      </w:r>
      <w:r w:rsidR="2989C4D3" w:rsidRPr="00BD22C2">
        <w:rPr>
          <w:rFonts w:eastAsia="Calibri"/>
          <w:lang w:val="fr-CA" w:eastAsia="en-US"/>
        </w:rPr>
        <w:t xml:space="preserve"> «</w:t>
      </w:r>
      <w:r w:rsidR="0051216B" w:rsidRPr="00BD22C2">
        <w:rPr>
          <w:rFonts w:eastAsia="Calibri"/>
          <w:lang w:val="fr-CA" w:eastAsia="en-US"/>
        </w:rPr>
        <w:t> </w:t>
      </w:r>
      <w:r w:rsidR="2989C4D3" w:rsidRPr="00BD22C2">
        <w:rPr>
          <w:rFonts w:eastAsia="Calibri"/>
          <w:lang w:val="fr-CA" w:eastAsia="en-US"/>
        </w:rPr>
        <w:t xml:space="preserve">socialisation de </w:t>
      </w:r>
      <w:r w:rsidR="758617C8" w:rsidRPr="00BD22C2">
        <w:rPr>
          <w:rFonts w:eastAsia="Calibri"/>
          <w:lang w:val="fr-CA" w:eastAsia="en-US"/>
        </w:rPr>
        <w:t>genre</w:t>
      </w:r>
      <w:r w:rsidR="0051216B" w:rsidRPr="00BD22C2">
        <w:rPr>
          <w:rFonts w:eastAsia="Calibri"/>
          <w:lang w:val="fr-CA" w:eastAsia="en-US"/>
        </w:rPr>
        <w:t> </w:t>
      </w:r>
      <w:r w:rsidR="758617C8" w:rsidRPr="00BD22C2">
        <w:rPr>
          <w:rFonts w:eastAsia="Calibri"/>
          <w:lang w:val="fr-CA" w:eastAsia="en-US"/>
        </w:rPr>
        <w:t>»</w:t>
      </w:r>
      <w:r w:rsidR="778E72F6" w:rsidRPr="00BD22C2">
        <w:rPr>
          <w:rFonts w:eastAsia="Calibri"/>
          <w:lang w:val="fr-CA" w:eastAsia="en-US"/>
        </w:rPr>
        <w:t xml:space="preserve">, </w:t>
      </w:r>
      <w:r w:rsidR="47D5AD37" w:rsidRPr="00BD22C2">
        <w:rPr>
          <w:rFonts w:eastAsia="Calibri"/>
          <w:lang w:val="fr-CA" w:eastAsia="en-US"/>
        </w:rPr>
        <w:t>l</w:t>
      </w:r>
      <w:r w:rsidR="778E72F6" w:rsidRPr="00BD22C2">
        <w:rPr>
          <w:rFonts w:eastAsia="Calibri"/>
          <w:lang w:val="fr-CA" w:eastAsia="en-US"/>
        </w:rPr>
        <w:t>e «</w:t>
      </w:r>
      <w:r w:rsidR="0051216B" w:rsidRPr="00BD22C2">
        <w:rPr>
          <w:rFonts w:eastAsia="Calibri"/>
          <w:lang w:val="fr-CA" w:eastAsia="en-US"/>
        </w:rPr>
        <w:t> </w:t>
      </w:r>
      <w:r w:rsidR="778E72F6" w:rsidRPr="00BD22C2">
        <w:rPr>
          <w:rFonts w:eastAsia="Calibri"/>
          <w:lang w:val="fr-CA" w:eastAsia="en-US"/>
        </w:rPr>
        <w:t>respect de soi</w:t>
      </w:r>
      <w:r w:rsidR="0051216B" w:rsidRPr="00BD22C2">
        <w:rPr>
          <w:rFonts w:eastAsia="Calibri"/>
          <w:lang w:val="fr-CA" w:eastAsia="en-US"/>
        </w:rPr>
        <w:t> </w:t>
      </w:r>
      <w:r w:rsidR="47D5AD37" w:rsidRPr="00BD22C2">
        <w:rPr>
          <w:rFonts w:eastAsia="Calibri"/>
          <w:lang w:val="fr-CA" w:eastAsia="en-US"/>
        </w:rPr>
        <w:t xml:space="preserve">» </w:t>
      </w:r>
      <w:r w:rsidR="00F375B1" w:rsidRPr="00BD22C2">
        <w:rPr>
          <w:rFonts w:eastAsia="Calibri"/>
          <w:lang w:val="fr-CA" w:eastAsia="en-US"/>
        </w:rPr>
        <w:t xml:space="preserve">de même </w:t>
      </w:r>
      <w:r w:rsidR="47D5AD37" w:rsidRPr="00BD22C2">
        <w:rPr>
          <w:rFonts w:eastAsia="Calibri"/>
          <w:lang w:val="fr-CA" w:eastAsia="en-US"/>
        </w:rPr>
        <w:t>que l</w:t>
      </w:r>
      <w:proofErr w:type="gramStart"/>
      <w:r w:rsidR="47D5AD37" w:rsidRPr="00BD22C2">
        <w:rPr>
          <w:rFonts w:eastAsia="Calibri"/>
          <w:lang w:val="fr-CA" w:eastAsia="en-US"/>
        </w:rPr>
        <w:t>’«</w:t>
      </w:r>
      <w:proofErr w:type="gramEnd"/>
      <w:r w:rsidR="0051216B" w:rsidRPr="00BD22C2">
        <w:rPr>
          <w:rFonts w:eastAsia="Calibri"/>
          <w:lang w:val="fr-CA" w:eastAsia="en-US"/>
        </w:rPr>
        <w:t> </w:t>
      </w:r>
      <w:r w:rsidR="47D5AD37" w:rsidRPr="00BD22C2">
        <w:rPr>
          <w:rFonts w:eastAsia="Calibri"/>
          <w:lang w:val="fr-CA" w:eastAsia="en-US"/>
        </w:rPr>
        <w:t>affirmation de soi</w:t>
      </w:r>
      <w:r w:rsidR="0051216B" w:rsidRPr="00BD22C2">
        <w:rPr>
          <w:rFonts w:eastAsia="Calibri"/>
          <w:lang w:val="fr-CA" w:eastAsia="en-US"/>
        </w:rPr>
        <w:t> </w:t>
      </w:r>
      <w:r w:rsidR="47D5AD37" w:rsidRPr="00BD22C2">
        <w:rPr>
          <w:rFonts w:eastAsia="Calibri"/>
          <w:lang w:val="fr-CA" w:eastAsia="en-US"/>
        </w:rPr>
        <w:t xml:space="preserve">» </w:t>
      </w:r>
      <w:r w:rsidR="31534855" w:rsidRPr="00BD22C2">
        <w:rPr>
          <w:rFonts w:eastAsia="Calibri"/>
          <w:lang w:val="fr-CA" w:eastAsia="en-US"/>
        </w:rPr>
        <w:t>prévoi</w:t>
      </w:r>
      <w:r w:rsidR="005826D7" w:rsidRPr="00BD22C2">
        <w:rPr>
          <w:rFonts w:eastAsia="Calibri"/>
          <w:lang w:val="fr-CA" w:eastAsia="en-US"/>
        </w:rPr>
        <w:t>ent</w:t>
      </w:r>
      <w:r w:rsidR="31534855" w:rsidRPr="00BD22C2">
        <w:rPr>
          <w:rFonts w:eastAsia="Calibri"/>
          <w:lang w:val="fr-CA" w:eastAsia="en-US"/>
        </w:rPr>
        <w:t xml:space="preserve"> des éléments de contenus </w:t>
      </w:r>
      <w:r w:rsidR="46CC87BA" w:rsidRPr="00BD22C2">
        <w:rPr>
          <w:rFonts w:eastAsia="Calibri"/>
          <w:lang w:val="fr-CA" w:eastAsia="en-US"/>
        </w:rPr>
        <w:t xml:space="preserve">associés aux personnes trans et à la </w:t>
      </w:r>
      <w:r w:rsidR="46CC87BA" w:rsidRPr="00BD22C2">
        <w:rPr>
          <w:rFonts w:eastAsia="Calibri"/>
          <w:lang w:val="fr-CA" w:eastAsia="en-US"/>
        </w:rPr>
        <w:lastRenderedPageBreak/>
        <w:t>transition</w:t>
      </w:r>
      <w:r w:rsidR="611FFAA5" w:rsidRPr="00BD22C2">
        <w:rPr>
          <w:rFonts w:eastAsia="Calibri"/>
          <w:lang w:val="fr-CA" w:eastAsia="en-US"/>
        </w:rPr>
        <w:t>,</w:t>
      </w:r>
      <w:r w:rsidR="00E51133" w:rsidRPr="00BD22C2">
        <w:rPr>
          <w:rFonts w:eastAsia="Calibri"/>
          <w:lang w:val="fr-CA" w:eastAsia="en-US"/>
        </w:rPr>
        <w:t xml:space="preserve"> </w:t>
      </w:r>
      <w:r w:rsidR="00CD1647" w:rsidRPr="00BD22C2">
        <w:rPr>
          <w:rFonts w:eastAsia="Calibri"/>
          <w:lang w:val="fr-CA" w:eastAsia="en-US"/>
        </w:rPr>
        <w:t>afin de</w:t>
      </w:r>
      <w:r w:rsidR="611FFAA5" w:rsidRPr="00BD22C2">
        <w:rPr>
          <w:rFonts w:eastAsia="Calibri"/>
          <w:lang w:val="fr-CA" w:eastAsia="en-US"/>
        </w:rPr>
        <w:t xml:space="preserve"> pré</w:t>
      </w:r>
      <w:r w:rsidR="7B5AC22B" w:rsidRPr="00BD22C2">
        <w:rPr>
          <w:rFonts w:eastAsia="Calibri"/>
          <w:lang w:val="fr-CA" w:eastAsia="en-US"/>
        </w:rPr>
        <w:t xml:space="preserve">parer des interventions calibrées </w:t>
      </w:r>
      <w:r w:rsidR="3E24D631" w:rsidRPr="00BD22C2">
        <w:rPr>
          <w:rFonts w:eastAsia="Calibri"/>
          <w:lang w:val="fr-CA" w:eastAsia="en-US"/>
        </w:rPr>
        <w:t xml:space="preserve">en classe sur ces </w:t>
      </w:r>
      <w:r w:rsidR="5D5844AF" w:rsidRPr="00BD22C2">
        <w:rPr>
          <w:rFonts w:eastAsia="Calibri"/>
          <w:lang w:val="fr-CA" w:eastAsia="en-US"/>
        </w:rPr>
        <w:t>questions sensibles</w:t>
      </w:r>
      <w:r w:rsidR="1199662F" w:rsidRPr="00BD22C2">
        <w:rPr>
          <w:rFonts w:eastAsia="Calibri"/>
          <w:lang w:val="fr-CA" w:eastAsia="en-US"/>
        </w:rPr>
        <w:t xml:space="preserve"> </w:t>
      </w:r>
      <w:r w:rsidR="005832CC" w:rsidRPr="00BD22C2">
        <w:rPr>
          <w:rFonts w:eastAsia="Calibri"/>
          <w:lang w:val="fr-CA" w:eastAsia="en-US"/>
        </w:rPr>
        <w:t>dont plusieurs</w:t>
      </w:r>
      <w:r w:rsidR="136673E1" w:rsidRPr="00BD22C2">
        <w:rPr>
          <w:rFonts w:eastAsia="Calibri"/>
          <w:lang w:val="fr-CA" w:eastAsia="en-US"/>
        </w:rPr>
        <w:t xml:space="preserve"> élèves</w:t>
      </w:r>
      <w:r w:rsidR="59ED81B0" w:rsidRPr="00BD22C2">
        <w:rPr>
          <w:rFonts w:eastAsia="Calibri"/>
          <w:lang w:val="fr-CA" w:eastAsia="en-US"/>
        </w:rPr>
        <w:t xml:space="preserve"> </w:t>
      </w:r>
      <w:r w:rsidR="005832CC" w:rsidRPr="00BD22C2">
        <w:rPr>
          <w:rFonts w:eastAsia="Calibri"/>
          <w:lang w:val="fr-CA" w:eastAsia="en-US"/>
        </w:rPr>
        <w:t>se préoccupent aujourd’hui.</w:t>
      </w:r>
    </w:p>
    <w:p w14:paraId="7314282B" w14:textId="05D5633B" w:rsidR="004D384D" w:rsidRPr="00BD22C2" w:rsidRDefault="004D1BBB" w:rsidP="00FB6B0E">
      <w:pPr>
        <w:pStyle w:val="Paragraphe"/>
        <w:rPr>
          <w:rFonts w:eastAsia="Calibri"/>
          <w:lang w:val="fr-CA" w:eastAsia="en-US"/>
        </w:rPr>
      </w:pPr>
      <w:r w:rsidRPr="00BD22C2">
        <w:rPr>
          <w:rFonts w:eastAsia="Calibri"/>
          <w:lang w:val="fr-CA" w:eastAsia="en-US"/>
        </w:rPr>
        <w:t>À ce sujet, la</w:t>
      </w:r>
      <w:r w:rsidR="004D384D" w:rsidRPr="00BD22C2">
        <w:rPr>
          <w:rFonts w:eastAsia="Calibri"/>
          <w:lang w:val="fr-CA" w:eastAsia="en-US"/>
        </w:rPr>
        <w:t xml:space="preserve"> Commission concluait s</w:t>
      </w:r>
      <w:r w:rsidR="00BF7B0C" w:rsidRPr="00BD22C2">
        <w:rPr>
          <w:rFonts w:eastAsia="Calibri"/>
          <w:lang w:val="fr-CA" w:eastAsia="en-US"/>
        </w:rPr>
        <w:t xml:space="preserve">es commentaires sur le programme provisoire de </w:t>
      </w:r>
      <w:r w:rsidR="00464524" w:rsidRPr="00BD22C2">
        <w:rPr>
          <w:rFonts w:eastAsia="Calibri"/>
          <w:lang w:val="fr-CA" w:eastAsia="en-US"/>
        </w:rPr>
        <w:t>CCQ</w:t>
      </w:r>
      <w:r w:rsidR="00BF7B0C" w:rsidRPr="00BD22C2">
        <w:rPr>
          <w:rFonts w:eastAsia="Calibri"/>
          <w:lang w:val="fr-CA" w:eastAsia="en-US"/>
        </w:rPr>
        <w:t xml:space="preserve"> </w:t>
      </w:r>
      <w:r w:rsidR="004D384D" w:rsidRPr="00BD22C2">
        <w:rPr>
          <w:rFonts w:eastAsia="Calibri"/>
          <w:lang w:val="fr-CA" w:eastAsia="en-US"/>
        </w:rPr>
        <w:t xml:space="preserve">en invitant le gouvernement à s’assurer </w:t>
      </w:r>
      <w:r w:rsidR="00746ABC" w:rsidRPr="00BD22C2">
        <w:rPr>
          <w:rFonts w:eastAsia="Calibri"/>
          <w:lang w:val="fr-CA" w:eastAsia="en-US"/>
        </w:rPr>
        <w:t>que la</w:t>
      </w:r>
      <w:r w:rsidR="004D384D" w:rsidRPr="00BD22C2">
        <w:rPr>
          <w:rFonts w:eastAsia="Calibri"/>
          <w:lang w:val="fr-CA" w:eastAsia="en-US"/>
        </w:rPr>
        <w:t xml:space="preserve"> formation des maîtres </w:t>
      </w:r>
      <w:r w:rsidR="00370A90" w:rsidRPr="00BD22C2">
        <w:rPr>
          <w:rFonts w:eastAsia="Calibri"/>
          <w:lang w:val="fr-CA" w:eastAsia="en-US"/>
        </w:rPr>
        <w:t xml:space="preserve">ainsi que la formation en cours d’emploi </w:t>
      </w:r>
      <w:r w:rsidR="004D384D" w:rsidRPr="00BD22C2">
        <w:rPr>
          <w:rFonts w:eastAsia="Calibri"/>
          <w:lang w:val="fr-CA" w:eastAsia="en-US"/>
        </w:rPr>
        <w:t>permettent de couvrir l’étendue et la complexité des enjeux abordés dans le futur programme</w:t>
      </w:r>
      <w:r w:rsidR="00E8063A" w:rsidRPr="00BD22C2">
        <w:rPr>
          <w:rFonts w:eastAsia="Calibri"/>
          <w:lang w:val="fr-CA" w:eastAsia="en-US"/>
        </w:rPr>
        <w:t> </w:t>
      </w:r>
      <w:r w:rsidR="004D384D" w:rsidRPr="00BD22C2">
        <w:rPr>
          <w:rFonts w:eastAsia="Calibri"/>
          <w:lang w:val="fr-CA" w:eastAsia="en-US"/>
        </w:rPr>
        <w:t xml:space="preserve">: </w:t>
      </w:r>
    </w:p>
    <w:p w14:paraId="6755F686" w14:textId="64E3D155" w:rsidR="004D384D" w:rsidRPr="00BD22C2" w:rsidRDefault="004D384D" w:rsidP="004D384D">
      <w:pPr>
        <w:pStyle w:val="NormalWeb"/>
        <w:spacing w:before="0" w:beforeAutospacing="0" w:after="0" w:afterAutospacing="0"/>
        <w:ind w:left="709"/>
        <w:rPr>
          <w:rFonts w:ascii="Arial" w:hAnsi="Arial" w:cs="Arial"/>
          <w:color w:val="000000"/>
          <w:sz w:val="20"/>
          <w:szCs w:val="20"/>
        </w:rPr>
      </w:pPr>
      <w:r w:rsidRPr="00BD22C2">
        <w:rPr>
          <w:rFonts w:ascii="Arial" w:hAnsi="Arial" w:cs="Arial"/>
          <w:color w:val="000000"/>
          <w:sz w:val="20"/>
          <w:szCs w:val="20"/>
        </w:rPr>
        <w:t>«</w:t>
      </w:r>
      <w:r w:rsidR="00974BD5" w:rsidRPr="00BD22C2">
        <w:rPr>
          <w:rFonts w:ascii="Arial" w:hAnsi="Arial" w:cs="Arial"/>
          <w:color w:val="000000"/>
          <w:sz w:val="20"/>
          <w:szCs w:val="20"/>
        </w:rPr>
        <w:t> </w:t>
      </w:r>
      <w:r w:rsidRPr="00BD22C2">
        <w:rPr>
          <w:rFonts w:ascii="Arial" w:hAnsi="Arial" w:cs="Arial"/>
          <w:color w:val="000000"/>
          <w:sz w:val="20"/>
          <w:szCs w:val="20"/>
        </w:rPr>
        <w:t xml:space="preserve">[…] notons que le programme provisoire de Culture et citoyenneté québécoise est vaste. </w:t>
      </w:r>
      <w:r w:rsidRPr="00BD22C2">
        <w:rPr>
          <w:rFonts w:ascii="Arial" w:hAnsi="Arial" w:cs="Arial"/>
          <w:color w:val="000000"/>
          <w:sz w:val="20"/>
          <w:szCs w:val="20"/>
          <w:u w:val="single"/>
        </w:rPr>
        <w:t>Il donne effectivement à voir une variété de thèmes et d’enjeux, dont plusieurs appellent une solide formation des maîtres et un accompagnement, avec formations d’appoints</w:t>
      </w:r>
      <w:r w:rsidRPr="008446E9">
        <w:rPr>
          <w:rFonts w:ascii="Arial" w:hAnsi="Arial" w:cs="Arial"/>
          <w:color w:val="000000"/>
          <w:sz w:val="20"/>
          <w:szCs w:val="20"/>
        </w:rPr>
        <w:t>, qui permettent d’aborder une multiplicité de sujets, dont plusieurs sont complexes ou sensibles du fait entre autres, des luttes idéologiques dont ils font l’objet</w:t>
      </w:r>
      <w:r w:rsidRPr="00BD22C2">
        <w:rPr>
          <w:rFonts w:ascii="Arial" w:hAnsi="Arial" w:cs="Arial"/>
          <w:color w:val="000000"/>
          <w:sz w:val="20"/>
          <w:szCs w:val="20"/>
        </w:rPr>
        <w:t>.</w:t>
      </w:r>
      <w:r w:rsidR="00974BD5" w:rsidRPr="00BD22C2">
        <w:rPr>
          <w:rFonts w:ascii="Arial" w:hAnsi="Arial" w:cs="Arial"/>
          <w:color w:val="000000"/>
          <w:sz w:val="20"/>
          <w:szCs w:val="20"/>
        </w:rPr>
        <w:t> </w:t>
      </w:r>
      <w:r w:rsidRPr="00BD22C2">
        <w:rPr>
          <w:rFonts w:ascii="Arial" w:hAnsi="Arial" w:cs="Arial"/>
          <w:color w:val="000000"/>
          <w:sz w:val="20"/>
          <w:szCs w:val="20"/>
        </w:rPr>
        <w:t>»</w:t>
      </w:r>
      <w:r w:rsidRPr="00BD22C2">
        <w:rPr>
          <w:rStyle w:val="Appeldenotedefin"/>
          <w:rFonts w:ascii="Arial" w:hAnsi="Arial" w:cs="Arial"/>
          <w:color w:val="000000"/>
          <w:sz w:val="20"/>
          <w:szCs w:val="20"/>
        </w:rPr>
        <w:endnoteReference w:id="532"/>
      </w:r>
    </w:p>
    <w:p w14:paraId="753B0A96" w14:textId="262464DF" w:rsidR="00061FAC" w:rsidRPr="00BD22C2" w:rsidRDefault="00872378" w:rsidP="00FB6B0E">
      <w:pPr>
        <w:pStyle w:val="Paragraphe"/>
        <w:rPr>
          <w:lang w:val="fr-CA"/>
        </w:rPr>
      </w:pPr>
      <w:r w:rsidRPr="00BD22C2">
        <w:rPr>
          <w:lang w:val="fr-CA"/>
        </w:rPr>
        <w:t>Cette préoccupation de la Commission conserve toute sa pertinence</w:t>
      </w:r>
      <w:r w:rsidR="00061FAC" w:rsidRPr="00BD22C2">
        <w:rPr>
          <w:lang w:val="fr-CA"/>
        </w:rPr>
        <w:t xml:space="preserve">. Le </w:t>
      </w:r>
      <w:r w:rsidR="004B4A53" w:rsidRPr="00BD22C2">
        <w:rPr>
          <w:lang w:val="fr-CA"/>
        </w:rPr>
        <w:t xml:space="preserve">ministère de l’Éducation reconnaît d’ailleurs les défis inhérents à l’enseignement du </w:t>
      </w:r>
      <w:r w:rsidR="00061FAC" w:rsidRPr="00BD22C2">
        <w:rPr>
          <w:lang w:val="fr-CA"/>
        </w:rPr>
        <w:t xml:space="preserve">programme de </w:t>
      </w:r>
      <w:r w:rsidR="001216D4" w:rsidRPr="00BD22C2">
        <w:rPr>
          <w:lang w:val="fr-CA"/>
        </w:rPr>
        <w:t>CCQ</w:t>
      </w:r>
      <w:r w:rsidR="006342E2" w:rsidRPr="00BD22C2">
        <w:rPr>
          <w:lang w:val="fr-CA"/>
        </w:rPr>
        <w:t xml:space="preserve"> et </w:t>
      </w:r>
      <w:r w:rsidR="00522CB8" w:rsidRPr="00BD22C2">
        <w:rPr>
          <w:lang w:val="fr-CA"/>
        </w:rPr>
        <w:t>en appelle à la rigueur</w:t>
      </w:r>
      <w:r w:rsidR="006342E2" w:rsidRPr="00BD22C2">
        <w:rPr>
          <w:lang w:val="fr-CA"/>
        </w:rPr>
        <w:t xml:space="preserve"> </w:t>
      </w:r>
      <w:r w:rsidR="00522CB8" w:rsidRPr="00BD22C2">
        <w:rPr>
          <w:lang w:val="fr-CA"/>
        </w:rPr>
        <w:t>et au décentrement</w:t>
      </w:r>
      <w:r w:rsidR="006342E2" w:rsidRPr="00BD22C2">
        <w:rPr>
          <w:lang w:val="fr-CA"/>
        </w:rPr>
        <w:t xml:space="preserve"> </w:t>
      </w:r>
      <w:r w:rsidR="00B06628" w:rsidRPr="00BD22C2">
        <w:rPr>
          <w:lang w:val="fr-CA"/>
        </w:rPr>
        <w:t>des enseignantes et enseignants</w:t>
      </w:r>
      <w:r w:rsidR="0051216B" w:rsidRPr="00BD22C2">
        <w:rPr>
          <w:lang w:val="fr-CA"/>
        </w:rPr>
        <w:t> </w:t>
      </w:r>
      <w:r w:rsidR="004B4A53" w:rsidRPr="00BD22C2">
        <w:rPr>
          <w:lang w:val="fr-CA"/>
        </w:rPr>
        <w:t>:</w:t>
      </w:r>
    </w:p>
    <w:p w14:paraId="265D6F38" w14:textId="55D9E8EC" w:rsidR="004B4A53" w:rsidRPr="00BD22C2" w:rsidRDefault="00CA3A18" w:rsidP="00356F8A">
      <w:pPr>
        <w:pStyle w:val="Corpsdetexte"/>
        <w:spacing w:line="240" w:lineRule="auto"/>
        <w:ind w:left="706"/>
        <w:rPr>
          <w:sz w:val="20"/>
          <w:szCs w:val="20"/>
        </w:rPr>
      </w:pPr>
      <w:r w:rsidRPr="00BD22C2">
        <w:rPr>
          <w:sz w:val="20"/>
          <w:szCs w:val="20"/>
        </w:rPr>
        <w:t>«</w:t>
      </w:r>
      <w:r w:rsidR="0051216B" w:rsidRPr="00BD22C2">
        <w:rPr>
          <w:sz w:val="20"/>
          <w:szCs w:val="20"/>
        </w:rPr>
        <w:t> </w:t>
      </w:r>
      <w:r w:rsidR="004B4A53" w:rsidRPr="00BD22C2">
        <w:rPr>
          <w:sz w:val="20"/>
          <w:szCs w:val="20"/>
        </w:rPr>
        <w:t>Comme les réalités culturelles abordées dans le programme sont complexes, les enseignantes et enseignants doivent faire preuve de rigueur lorsqu’elles sont traitées en classe. Ils font l’effort de distinguer leurs connaissances de sens commun des connaissances validées sur lesquelles ils peuvent appuyer leur enseignement. Puisque le programme demande aux élèves de développer une distance critique par rapport à leurs conceptions du monde pour les valider, les remettre en question ou les faire évoluer à travers le dialogue, les enseignantes et enseignants doivent eux aussi faire preuve d’humilité et de distance critique à l’égard de leurs propres conceptions du monde, notamment de leurs convictions, de leurs valeurs et de leurs croyances</w:t>
      </w:r>
      <w:r w:rsidRPr="00BD22C2">
        <w:rPr>
          <w:sz w:val="20"/>
          <w:szCs w:val="20"/>
        </w:rPr>
        <w:t>.</w:t>
      </w:r>
      <w:r w:rsidR="0051216B" w:rsidRPr="00BD22C2">
        <w:rPr>
          <w:sz w:val="20"/>
          <w:szCs w:val="20"/>
        </w:rPr>
        <w:t> </w:t>
      </w:r>
      <w:r w:rsidRPr="00BD22C2">
        <w:rPr>
          <w:sz w:val="20"/>
          <w:szCs w:val="20"/>
        </w:rPr>
        <w:t>»</w:t>
      </w:r>
      <w:r w:rsidR="00E55EED" w:rsidRPr="00BD22C2">
        <w:rPr>
          <w:rStyle w:val="Appeldenotedefin"/>
          <w:sz w:val="20"/>
          <w:szCs w:val="20"/>
        </w:rPr>
        <w:endnoteReference w:id="533"/>
      </w:r>
    </w:p>
    <w:p w14:paraId="6757E58B" w14:textId="0DCED974" w:rsidR="00A13067" w:rsidRPr="00BD22C2" w:rsidRDefault="00E46638" w:rsidP="00FB6B0E">
      <w:pPr>
        <w:pStyle w:val="Paragraphe"/>
        <w:rPr>
          <w:lang w:val="fr-CA"/>
        </w:rPr>
      </w:pPr>
      <w:r w:rsidRPr="00BD22C2">
        <w:rPr>
          <w:lang w:val="fr-CA"/>
        </w:rPr>
        <w:t xml:space="preserve">Outre la responsabilité des enseignantes et enseignants, la reconnaissance de cette difficulté appelle également les responsabilités </w:t>
      </w:r>
      <w:r w:rsidR="00D477BD" w:rsidRPr="00BD22C2">
        <w:rPr>
          <w:lang w:val="fr-CA"/>
        </w:rPr>
        <w:t>gouvernementales en matière de formation initiale et continue.</w:t>
      </w:r>
      <w:r w:rsidR="00872378" w:rsidRPr="00BD22C2">
        <w:rPr>
          <w:lang w:val="fr-CA"/>
        </w:rPr>
        <w:t xml:space="preserve"> </w:t>
      </w:r>
      <w:r w:rsidR="00952CA0" w:rsidRPr="00BD22C2">
        <w:rPr>
          <w:lang w:val="fr-CA"/>
        </w:rPr>
        <w:t>Certes, comme on a vu précédemment, les derniers Plans d’action</w:t>
      </w:r>
      <w:r w:rsidR="00AB3F98" w:rsidRPr="00BD22C2">
        <w:rPr>
          <w:lang w:val="fr-CA"/>
        </w:rPr>
        <w:t xml:space="preserve"> </w:t>
      </w:r>
      <w:r w:rsidR="00686069" w:rsidRPr="00BD22C2">
        <w:rPr>
          <w:lang w:val="fr-CA"/>
        </w:rPr>
        <w:t xml:space="preserve">gouvernementaux </w:t>
      </w:r>
      <w:r w:rsidR="00163FCD" w:rsidRPr="00BD22C2">
        <w:rPr>
          <w:lang w:val="fr-CA"/>
        </w:rPr>
        <w:t xml:space="preserve">de lutte </w:t>
      </w:r>
      <w:r w:rsidR="00686069" w:rsidRPr="00BD22C2">
        <w:rPr>
          <w:lang w:val="fr-CA"/>
        </w:rPr>
        <w:t xml:space="preserve">contre </w:t>
      </w:r>
      <w:r w:rsidR="00315806" w:rsidRPr="00BD22C2">
        <w:rPr>
          <w:lang w:val="fr-CA"/>
        </w:rPr>
        <w:t>l’homophobie et</w:t>
      </w:r>
      <w:r w:rsidR="00686069" w:rsidRPr="00BD22C2">
        <w:rPr>
          <w:lang w:val="fr-CA"/>
        </w:rPr>
        <w:t xml:space="preserve"> la transphobie ont prévu des mesures en lien avec la</w:t>
      </w:r>
      <w:r w:rsidR="00823E69" w:rsidRPr="00BD22C2">
        <w:rPr>
          <w:lang w:val="fr-CA"/>
        </w:rPr>
        <w:t xml:space="preserve"> </w:t>
      </w:r>
      <w:r w:rsidR="00361F1E" w:rsidRPr="00BD22C2">
        <w:rPr>
          <w:lang w:val="fr-CA"/>
        </w:rPr>
        <w:t xml:space="preserve">formation initiale et continue des enseignantes et enseignants. </w:t>
      </w:r>
      <w:r w:rsidR="00823E69" w:rsidRPr="00BD22C2">
        <w:rPr>
          <w:lang w:val="fr-CA"/>
        </w:rPr>
        <w:t xml:space="preserve"> </w:t>
      </w:r>
      <w:r w:rsidR="00361F1E" w:rsidRPr="00BD22C2">
        <w:rPr>
          <w:lang w:val="fr-CA"/>
        </w:rPr>
        <w:t xml:space="preserve"> </w:t>
      </w:r>
    </w:p>
    <w:p w14:paraId="009540B8" w14:textId="49C0799B" w:rsidR="00DD684D" w:rsidRPr="00BD22C2" w:rsidRDefault="009A4E08" w:rsidP="00DD684D">
      <w:pPr>
        <w:pStyle w:val="Paragraphe"/>
        <w:rPr>
          <w:rFonts w:eastAsia="Calibri"/>
          <w:lang w:val="fr-CA" w:eastAsia="en-US"/>
        </w:rPr>
      </w:pPr>
      <w:r w:rsidRPr="00BD22C2">
        <w:rPr>
          <w:lang w:val="fr-CA"/>
        </w:rPr>
        <w:t xml:space="preserve">Ces </w:t>
      </w:r>
      <w:r w:rsidR="00E6064B" w:rsidRPr="00BD22C2">
        <w:rPr>
          <w:lang w:val="fr-CA"/>
        </w:rPr>
        <w:t>engagement</w:t>
      </w:r>
      <w:r w:rsidRPr="00BD22C2">
        <w:rPr>
          <w:lang w:val="fr-CA"/>
        </w:rPr>
        <w:t>s</w:t>
      </w:r>
      <w:r w:rsidR="00E6064B" w:rsidRPr="00BD22C2">
        <w:rPr>
          <w:lang w:val="fr-CA"/>
        </w:rPr>
        <w:t xml:space="preserve"> </w:t>
      </w:r>
      <w:r w:rsidRPr="00BD22C2">
        <w:rPr>
          <w:lang w:val="fr-CA"/>
        </w:rPr>
        <w:t>sont</w:t>
      </w:r>
      <w:r w:rsidR="00E6064B" w:rsidRPr="00BD22C2">
        <w:rPr>
          <w:lang w:val="fr-CA"/>
        </w:rPr>
        <w:t xml:space="preserve"> important</w:t>
      </w:r>
      <w:r w:rsidRPr="00BD22C2">
        <w:rPr>
          <w:lang w:val="fr-CA"/>
        </w:rPr>
        <w:t>s</w:t>
      </w:r>
      <w:r w:rsidR="00E6064B" w:rsidRPr="00BD22C2">
        <w:rPr>
          <w:lang w:val="fr-CA"/>
        </w:rPr>
        <w:t xml:space="preserve"> </w:t>
      </w:r>
      <w:r w:rsidRPr="00BD22C2">
        <w:rPr>
          <w:lang w:val="fr-CA"/>
        </w:rPr>
        <w:t>pour l’enseignement</w:t>
      </w:r>
      <w:r w:rsidR="00642692" w:rsidRPr="00BD22C2">
        <w:rPr>
          <w:lang w:val="fr-CA"/>
        </w:rPr>
        <w:t xml:space="preserve"> de </w:t>
      </w:r>
      <w:r w:rsidRPr="00BD22C2">
        <w:rPr>
          <w:lang w:val="fr-CA"/>
        </w:rPr>
        <w:t>l’</w:t>
      </w:r>
      <w:r w:rsidR="00043F50" w:rsidRPr="00BD22C2">
        <w:rPr>
          <w:lang w:val="fr-CA"/>
        </w:rPr>
        <w:t>éducation à la sexualité</w:t>
      </w:r>
      <w:r w:rsidR="00642692" w:rsidRPr="00BD22C2">
        <w:rPr>
          <w:lang w:val="fr-CA"/>
        </w:rPr>
        <w:t xml:space="preserve">, </w:t>
      </w:r>
      <w:r w:rsidR="0078356E" w:rsidRPr="00BD22C2">
        <w:rPr>
          <w:lang w:val="fr-CA"/>
        </w:rPr>
        <w:t>étant donné</w:t>
      </w:r>
      <w:r w:rsidR="00BD761D" w:rsidRPr="00BD22C2">
        <w:rPr>
          <w:lang w:val="fr-CA"/>
        </w:rPr>
        <w:t xml:space="preserve"> que cette</w:t>
      </w:r>
      <w:r w:rsidR="009A1DA5" w:rsidRPr="00BD22C2">
        <w:rPr>
          <w:lang w:val="fr-CA"/>
        </w:rPr>
        <w:t xml:space="preserve"> responsabilité</w:t>
      </w:r>
      <w:r w:rsidR="0011306E" w:rsidRPr="00BD22C2">
        <w:rPr>
          <w:lang w:val="fr-CA"/>
        </w:rPr>
        <w:t xml:space="preserve"> </w:t>
      </w:r>
      <w:r w:rsidR="004D384D" w:rsidRPr="00BD22C2">
        <w:rPr>
          <w:lang w:val="fr-CA"/>
        </w:rPr>
        <w:t xml:space="preserve">n’est pas du ressort </w:t>
      </w:r>
      <w:r w:rsidR="00DA62B6" w:rsidRPr="00BD22C2">
        <w:rPr>
          <w:lang w:val="fr-CA"/>
        </w:rPr>
        <w:t>d’un seul programme</w:t>
      </w:r>
      <w:r w:rsidR="007F0058" w:rsidRPr="00BD22C2">
        <w:rPr>
          <w:lang w:val="fr-CA"/>
        </w:rPr>
        <w:t xml:space="preserve"> d’enseignement</w:t>
      </w:r>
      <w:r w:rsidR="00E43668" w:rsidRPr="00BD22C2">
        <w:rPr>
          <w:lang w:val="fr-CA"/>
        </w:rPr>
        <w:t>. En effet, l’éducation à la sexualité</w:t>
      </w:r>
      <w:r w:rsidR="007918B8" w:rsidRPr="00BD22C2">
        <w:rPr>
          <w:lang w:val="fr-CA"/>
        </w:rPr>
        <w:t xml:space="preserve"> </w:t>
      </w:r>
      <w:r w:rsidR="004D384D" w:rsidRPr="00BD22C2">
        <w:rPr>
          <w:rFonts w:eastAsia="Calibri"/>
          <w:lang w:val="fr-CA" w:eastAsia="en-US"/>
        </w:rPr>
        <w:t xml:space="preserve">est assurée </w:t>
      </w:r>
      <w:r w:rsidR="0011306E" w:rsidRPr="00BD22C2">
        <w:rPr>
          <w:rFonts w:eastAsia="Calibri"/>
          <w:lang w:val="fr-CA" w:eastAsia="en-US"/>
        </w:rPr>
        <w:t xml:space="preserve">plutôt </w:t>
      </w:r>
      <w:r w:rsidR="004D384D" w:rsidRPr="00BD22C2">
        <w:rPr>
          <w:rFonts w:eastAsia="Calibri"/>
          <w:lang w:val="fr-CA" w:eastAsia="en-US"/>
        </w:rPr>
        <w:t>par une variété d’interventions du personnel de l</w:t>
      </w:r>
      <w:r w:rsidR="003B361F" w:rsidRPr="00BD22C2">
        <w:rPr>
          <w:rFonts w:eastAsia="Calibri"/>
          <w:lang w:val="fr-CA" w:eastAsia="en-US"/>
        </w:rPr>
        <w:t>’</w:t>
      </w:r>
      <w:r w:rsidR="004D384D" w:rsidRPr="00BD22C2">
        <w:rPr>
          <w:rFonts w:eastAsia="Calibri"/>
          <w:lang w:val="fr-CA" w:eastAsia="en-US"/>
        </w:rPr>
        <w:t>école</w:t>
      </w:r>
      <w:r w:rsidR="007918B8" w:rsidRPr="00BD22C2">
        <w:rPr>
          <w:rFonts w:eastAsia="Calibri"/>
          <w:lang w:val="fr-CA" w:eastAsia="en-US"/>
        </w:rPr>
        <w:t> depuis le</w:t>
      </w:r>
      <w:r w:rsidR="005A182C" w:rsidRPr="00BD22C2">
        <w:rPr>
          <w:rFonts w:eastAsia="Calibri"/>
          <w:lang w:val="fr-CA" w:eastAsia="en-US"/>
        </w:rPr>
        <w:t xml:space="preserve"> début des années</w:t>
      </w:r>
      <w:r w:rsidR="0091080B">
        <w:rPr>
          <w:rFonts w:eastAsia="Calibri"/>
          <w:lang w:val="fr-CA" w:eastAsia="en-US"/>
        </w:rPr>
        <w:t> </w:t>
      </w:r>
      <w:r w:rsidR="005A182C" w:rsidRPr="00BD22C2">
        <w:rPr>
          <w:rFonts w:eastAsia="Calibri"/>
          <w:lang w:val="fr-CA" w:eastAsia="en-US"/>
        </w:rPr>
        <w:t>2000</w:t>
      </w:r>
      <w:r w:rsidR="0011306E" w:rsidRPr="00BD22C2">
        <w:rPr>
          <w:rFonts w:eastAsia="Calibri"/>
          <w:lang w:val="fr-CA" w:eastAsia="en-US"/>
        </w:rPr>
        <w:t xml:space="preserve"> au Québec</w:t>
      </w:r>
      <w:r w:rsidR="007918B8" w:rsidRPr="00BD22C2">
        <w:rPr>
          <w:rStyle w:val="Appeldenotedefin"/>
          <w:rFonts w:eastAsia="Calibri" w:cs="Arial"/>
          <w:szCs w:val="22"/>
          <w:lang w:val="fr-CA" w:eastAsia="en-US"/>
        </w:rPr>
        <w:endnoteReference w:id="534"/>
      </w:r>
      <w:r w:rsidR="007918B8" w:rsidRPr="00BD22C2">
        <w:rPr>
          <w:rFonts w:eastAsia="Calibri"/>
          <w:lang w:val="fr-CA" w:eastAsia="en-US"/>
        </w:rPr>
        <w:t xml:space="preserve">. </w:t>
      </w:r>
      <w:r w:rsidR="00C402A5" w:rsidRPr="00BD22C2">
        <w:rPr>
          <w:rFonts w:eastAsia="Calibri"/>
          <w:lang w:val="fr-CA" w:eastAsia="en-US"/>
        </w:rPr>
        <w:t>Ainsi, les</w:t>
      </w:r>
      <w:r w:rsidR="004D384D" w:rsidRPr="00BD22C2">
        <w:rPr>
          <w:rFonts w:eastAsia="Calibri"/>
          <w:lang w:val="fr-CA" w:eastAsia="en-US"/>
        </w:rPr>
        <w:t xml:space="preserve"> </w:t>
      </w:r>
      <w:r w:rsidR="007F53F4" w:rsidRPr="00BD22C2">
        <w:rPr>
          <w:rFonts w:eastAsia="Calibri"/>
          <w:lang w:val="fr-CA" w:eastAsia="en-US"/>
        </w:rPr>
        <w:t>éléments de contenu spécifiques et</w:t>
      </w:r>
      <w:r w:rsidR="00C402A5" w:rsidRPr="00BD22C2">
        <w:rPr>
          <w:rFonts w:eastAsia="Calibri"/>
          <w:lang w:val="fr-CA" w:eastAsia="en-US"/>
        </w:rPr>
        <w:t xml:space="preserve"> les</w:t>
      </w:r>
      <w:r w:rsidR="004D384D" w:rsidRPr="00BD22C2">
        <w:rPr>
          <w:rFonts w:eastAsia="Calibri"/>
          <w:lang w:val="fr-CA" w:eastAsia="en-US"/>
        </w:rPr>
        <w:t xml:space="preserve"> notions </w:t>
      </w:r>
      <w:r w:rsidR="009E2DA2" w:rsidRPr="00BD22C2">
        <w:rPr>
          <w:rFonts w:eastAsia="Calibri"/>
          <w:lang w:val="fr-CA" w:eastAsia="en-US"/>
        </w:rPr>
        <w:t xml:space="preserve">qui y sont </w:t>
      </w:r>
      <w:r w:rsidR="004D384D" w:rsidRPr="00BD22C2">
        <w:rPr>
          <w:rFonts w:eastAsia="Calibri"/>
          <w:lang w:val="fr-CA" w:eastAsia="en-US"/>
        </w:rPr>
        <w:t>rattachés peuvent être présentés à travers différent</w:t>
      </w:r>
      <w:r w:rsidR="00C255E7" w:rsidRPr="00BD22C2">
        <w:rPr>
          <w:rFonts w:eastAsia="Calibri"/>
          <w:lang w:val="fr-CA" w:eastAsia="en-US"/>
        </w:rPr>
        <w:t>e</w:t>
      </w:r>
      <w:r w:rsidR="004D384D" w:rsidRPr="00BD22C2">
        <w:rPr>
          <w:rFonts w:eastAsia="Calibri"/>
          <w:lang w:val="fr-CA" w:eastAsia="en-US"/>
        </w:rPr>
        <w:t xml:space="preserve">s </w:t>
      </w:r>
      <w:r w:rsidR="00C255E7" w:rsidRPr="00BD22C2">
        <w:rPr>
          <w:rFonts w:eastAsia="Calibri"/>
          <w:lang w:val="fr-CA" w:eastAsia="en-US"/>
        </w:rPr>
        <w:t>matières</w:t>
      </w:r>
      <w:r w:rsidR="00565AA8" w:rsidRPr="00BD22C2">
        <w:rPr>
          <w:rFonts w:eastAsia="Calibri"/>
          <w:lang w:val="fr-CA" w:eastAsia="en-US"/>
        </w:rPr>
        <w:t xml:space="preserve"> </w:t>
      </w:r>
      <w:r w:rsidR="005A60D7" w:rsidRPr="00BD22C2">
        <w:rPr>
          <w:rFonts w:eastAsia="Calibri"/>
          <w:lang w:val="fr-CA" w:eastAsia="en-US"/>
        </w:rPr>
        <w:t xml:space="preserve">(histoire, </w:t>
      </w:r>
      <w:r w:rsidR="00166ECA" w:rsidRPr="00BD22C2">
        <w:rPr>
          <w:rFonts w:eastAsia="Calibri"/>
          <w:lang w:val="fr-CA" w:eastAsia="en-US"/>
        </w:rPr>
        <w:t>français, biologie, etc.)</w:t>
      </w:r>
      <w:r w:rsidR="00565AA8" w:rsidRPr="00BD22C2">
        <w:rPr>
          <w:rFonts w:eastAsia="Calibri"/>
          <w:lang w:val="fr-CA" w:eastAsia="en-US"/>
        </w:rPr>
        <w:t xml:space="preserve"> et </w:t>
      </w:r>
      <w:r w:rsidR="004D384D" w:rsidRPr="00BD22C2">
        <w:rPr>
          <w:rFonts w:eastAsia="Calibri"/>
          <w:lang w:val="fr-CA" w:eastAsia="en-US"/>
        </w:rPr>
        <w:t>par différents enseignants</w:t>
      </w:r>
      <w:r w:rsidR="00823A2E" w:rsidRPr="00BD22C2">
        <w:rPr>
          <w:rFonts w:eastAsia="Calibri"/>
          <w:lang w:val="fr-CA" w:eastAsia="en-US"/>
        </w:rPr>
        <w:t>.</w:t>
      </w:r>
    </w:p>
    <w:p w14:paraId="67DF6B16" w14:textId="353295DA" w:rsidR="004D384D" w:rsidRPr="00BD22C2" w:rsidRDefault="00DD684D" w:rsidP="00FB6B0E">
      <w:pPr>
        <w:pStyle w:val="Paragraphe"/>
        <w:rPr>
          <w:rFonts w:eastAsia="Calibri"/>
          <w:lang w:val="fr-CA" w:eastAsia="en-US"/>
        </w:rPr>
      </w:pPr>
      <w:r w:rsidRPr="00BD22C2">
        <w:rPr>
          <w:rFonts w:eastAsia="Calibri"/>
          <w:lang w:val="fr-CA" w:eastAsia="en-US"/>
        </w:rPr>
        <w:lastRenderedPageBreak/>
        <w:t>Ce choix nous interroge sur le nombre d’heures d’enseignement qui ser</w:t>
      </w:r>
      <w:r w:rsidR="00C85192" w:rsidRPr="00BD22C2">
        <w:rPr>
          <w:rFonts w:eastAsia="Calibri"/>
          <w:lang w:val="fr-CA" w:eastAsia="en-US"/>
        </w:rPr>
        <w:t>a</w:t>
      </w:r>
      <w:r w:rsidRPr="00BD22C2">
        <w:rPr>
          <w:rFonts w:eastAsia="Calibri"/>
          <w:lang w:val="fr-CA" w:eastAsia="en-US"/>
        </w:rPr>
        <w:t xml:space="preserve"> </w:t>
      </w:r>
      <w:r w:rsidR="00EA0FE3" w:rsidRPr="00BD22C2">
        <w:rPr>
          <w:rFonts w:eastAsia="Calibri"/>
          <w:lang w:val="fr-CA" w:eastAsia="en-US"/>
        </w:rPr>
        <w:t>effecti</w:t>
      </w:r>
      <w:r w:rsidR="007F5DB1" w:rsidRPr="00BD22C2">
        <w:rPr>
          <w:rFonts w:eastAsia="Calibri"/>
          <w:lang w:val="fr-CA" w:eastAsia="en-US"/>
        </w:rPr>
        <w:t>vement</w:t>
      </w:r>
      <w:r w:rsidR="00EA0FE3" w:rsidRPr="00BD22C2">
        <w:rPr>
          <w:rFonts w:eastAsia="Calibri"/>
          <w:lang w:val="fr-CA" w:eastAsia="en-US"/>
        </w:rPr>
        <w:t xml:space="preserve"> </w:t>
      </w:r>
      <w:r w:rsidRPr="00BD22C2">
        <w:rPr>
          <w:rFonts w:eastAsia="Calibri"/>
          <w:lang w:val="fr-CA" w:eastAsia="en-US"/>
        </w:rPr>
        <w:t xml:space="preserve">consacré annuellement dans les écoles du Québec à l’éducation à la sexualité, </w:t>
      </w:r>
      <w:r w:rsidR="00E77B39" w:rsidRPr="00BD22C2">
        <w:rPr>
          <w:rFonts w:eastAsia="Calibri"/>
          <w:lang w:val="fr-CA" w:eastAsia="en-US"/>
        </w:rPr>
        <w:t xml:space="preserve">une matière obligatoire depuis </w:t>
      </w:r>
      <w:r w:rsidR="0021243C" w:rsidRPr="00BD22C2">
        <w:rPr>
          <w:rFonts w:eastAsia="Calibri"/>
          <w:lang w:val="fr-CA" w:eastAsia="en-US"/>
        </w:rPr>
        <w:t>la rentrée 2018-2019</w:t>
      </w:r>
      <w:r w:rsidRPr="00BD22C2">
        <w:rPr>
          <w:rFonts w:eastAsia="Calibri"/>
          <w:lang w:val="fr-CA" w:eastAsia="en-US"/>
        </w:rPr>
        <w:t>, et plus particulièrement aux thèmes et notions liés à l’identité et l’expression de genre ou encore à l’homophobie et à la transphobie. Il</w:t>
      </w:r>
      <w:r w:rsidR="004E2807" w:rsidRPr="00BD22C2">
        <w:rPr>
          <w:rFonts w:eastAsia="Calibri"/>
          <w:lang w:val="fr-CA" w:eastAsia="en-US"/>
        </w:rPr>
        <w:t xml:space="preserve"> pose plus largement la question de la capacité réelle de tous les enseignantes et enseignants à traiter de questions </w:t>
      </w:r>
      <w:r w:rsidR="00B430EF" w:rsidRPr="00BD22C2">
        <w:rPr>
          <w:rFonts w:eastAsia="Calibri"/>
          <w:lang w:val="fr-CA" w:eastAsia="en-US"/>
        </w:rPr>
        <w:t xml:space="preserve">relatives à </w:t>
      </w:r>
      <w:r w:rsidR="003B1641" w:rsidRPr="00BD22C2">
        <w:rPr>
          <w:rFonts w:eastAsia="Calibri"/>
          <w:lang w:val="fr-CA" w:eastAsia="en-US"/>
        </w:rPr>
        <w:t>l’éducation complète à la sexualité</w:t>
      </w:r>
      <w:r w:rsidRPr="00BD22C2">
        <w:rPr>
          <w:rFonts w:eastAsia="Calibri"/>
          <w:lang w:val="fr-CA" w:eastAsia="en-US"/>
        </w:rPr>
        <w:t xml:space="preserve"> </w:t>
      </w:r>
      <w:r w:rsidR="004E2807" w:rsidRPr="00BD22C2">
        <w:rPr>
          <w:rFonts w:eastAsia="Calibri"/>
          <w:lang w:val="fr-CA" w:eastAsia="en-US"/>
        </w:rPr>
        <w:t>qui peuvent être complexes et délicates.</w:t>
      </w:r>
    </w:p>
    <w:p w14:paraId="260ACEC5" w14:textId="3DF08298" w:rsidR="00CF1125" w:rsidRPr="00CD4047" w:rsidRDefault="1CF138E3" w:rsidP="00E4185E">
      <w:pPr>
        <w:pStyle w:val="Paragraphe"/>
        <w:rPr>
          <w:rFonts w:eastAsia="Calibri"/>
          <w:lang w:val="fr-CA" w:eastAsia="en-US"/>
        </w:rPr>
      </w:pPr>
      <w:r w:rsidRPr="00CD4047">
        <w:rPr>
          <w:rFonts w:eastAsia="Calibri"/>
          <w:lang w:val="fr-CA" w:eastAsia="en-US"/>
        </w:rPr>
        <w:t xml:space="preserve">À ce sujet, l’UNESCO </w:t>
      </w:r>
      <w:r w:rsidR="23C0E893" w:rsidRPr="00CD4047">
        <w:rPr>
          <w:rFonts w:eastAsia="Calibri"/>
          <w:lang w:val="fr-CA" w:eastAsia="en-US"/>
        </w:rPr>
        <w:t>rappelle à juste titre</w:t>
      </w:r>
      <w:r w:rsidRPr="00CD4047">
        <w:rPr>
          <w:rFonts w:eastAsia="Calibri"/>
          <w:lang w:val="fr-CA" w:eastAsia="en-US"/>
        </w:rPr>
        <w:t xml:space="preserve"> que m</w:t>
      </w:r>
      <w:r w:rsidR="73CCD025" w:rsidRPr="00CD4047">
        <w:rPr>
          <w:rFonts w:eastAsia="Calibri"/>
          <w:lang w:val="fr-CA" w:eastAsia="en-US"/>
        </w:rPr>
        <w:t>ême en présence d’un programme d</w:t>
      </w:r>
      <w:r w:rsidR="76104C66" w:rsidRPr="00CD4047">
        <w:rPr>
          <w:rFonts w:eastAsia="Calibri"/>
          <w:lang w:val="fr-CA" w:eastAsia="en-US"/>
        </w:rPr>
        <w:t>’éducation co</w:t>
      </w:r>
      <w:r w:rsidR="2A5209C1" w:rsidRPr="00CD4047">
        <w:rPr>
          <w:rFonts w:eastAsia="Calibri"/>
          <w:lang w:val="fr-CA" w:eastAsia="en-US"/>
        </w:rPr>
        <w:t>mpl</w:t>
      </w:r>
      <w:r w:rsidR="00353BC7" w:rsidRPr="00CD4047">
        <w:rPr>
          <w:rFonts w:eastAsia="Calibri"/>
          <w:lang w:val="fr-CA" w:eastAsia="en-US"/>
        </w:rPr>
        <w:t>ète</w:t>
      </w:r>
      <w:r w:rsidR="2A5209C1" w:rsidRPr="00CD4047">
        <w:rPr>
          <w:rFonts w:eastAsia="Calibri"/>
          <w:lang w:val="fr-CA" w:eastAsia="en-US"/>
        </w:rPr>
        <w:t xml:space="preserve"> à la sexualité, </w:t>
      </w:r>
      <w:r w:rsidR="4830F7BC" w:rsidRPr="00CD4047">
        <w:rPr>
          <w:rFonts w:eastAsia="Calibri"/>
          <w:lang w:val="fr-CA" w:eastAsia="en-US"/>
        </w:rPr>
        <w:t xml:space="preserve">les </w:t>
      </w:r>
      <w:r w:rsidR="008D4C3F" w:rsidRPr="00CD4047">
        <w:rPr>
          <w:rFonts w:eastAsia="Calibri"/>
          <w:lang w:val="fr-CA" w:eastAsia="en-US"/>
        </w:rPr>
        <w:t xml:space="preserve">enseignantes et </w:t>
      </w:r>
      <w:r w:rsidR="4830F7BC" w:rsidRPr="00CD4047">
        <w:rPr>
          <w:rFonts w:eastAsia="Calibri"/>
          <w:lang w:val="fr-CA" w:eastAsia="en-US"/>
        </w:rPr>
        <w:t xml:space="preserve">enseignants </w:t>
      </w:r>
      <w:r w:rsidR="2EF0BC8C" w:rsidRPr="00CD4047">
        <w:rPr>
          <w:rFonts w:eastAsia="Calibri"/>
          <w:lang w:val="fr-CA" w:eastAsia="en-US"/>
        </w:rPr>
        <w:t xml:space="preserve">peuvent </w:t>
      </w:r>
      <w:r w:rsidR="2C7430C0" w:rsidRPr="00CD4047">
        <w:rPr>
          <w:rFonts w:eastAsia="Calibri"/>
          <w:lang w:val="fr-CA" w:eastAsia="en-US"/>
        </w:rPr>
        <w:t xml:space="preserve">éviter </w:t>
      </w:r>
      <w:r w:rsidR="55857225" w:rsidRPr="00CD4047">
        <w:rPr>
          <w:rFonts w:eastAsia="Calibri"/>
          <w:lang w:val="fr-CA" w:eastAsia="en-US"/>
        </w:rPr>
        <w:t xml:space="preserve">et minimiser </w:t>
      </w:r>
      <w:r w:rsidR="2C7430C0" w:rsidRPr="00CD4047">
        <w:rPr>
          <w:rFonts w:eastAsia="Calibri"/>
          <w:lang w:val="fr-CA" w:eastAsia="en-US"/>
        </w:rPr>
        <w:t xml:space="preserve">certains sujets </w:t>
      </w:r>
      <w:r w:rsidR="06C1B04C" w:rsidRPr="00CD4047">
        <w:rPr>
          <w:rFonts w:eastAsia="Calibri"/>
          <w:lang w:val="fr-CA" w:eastAsia="en-US"/>
        </w:rPr>
        <w:t>qui les mettent mal à l’aise</w:t>
      </w:r>
      <w:r w:rsidR="5D2639E4" w:rsidRPr="00CD4047">
        <w:rPr>
          <w:rFonts w:eastAsia="Calibri"/>
          <w:lang w:val="fr-CA" w:eastAsia="en-US"/>
        </w:rPr>
        <w:t xml:space="preserve">, </w:t>
      </w:r>
      <w:r w:rsidR="548F0BD0" w:rsidRPr="00CD4047">
        <w:rPr>
          <w:rFonts w:eastAsia="Calibri"/>
          <w:lang w:val="fr-CA" w:eastAsia="en-US"/>
        </w:rPr>
        <w:t xml:space="preserve">sans compter </w:t>
      </w:r>
      <w:r w:rsidR="376EB434" w:rsidRPr="00CD4047">
        <w:rPr>
          <w:rFonts w:eastAsia="Calibri"/>
          <w:lang w:val="fr-CA" w:eastAsia="en-US"/>
        </w:rPr>
        <w:t>qu’</w:t>
      </w:r>
      <w:r w:rsidR="008D4C3F" w:rsidRPr="00CD4047">
        <w:rPr>
          <w:rFonts w:eastAsia="Calibri"/>
          <w:lang w:val="fr-CA" w:eastAsia="en-US"/>
        </w:rPr>
        <w:t>elles et ils</w:t>
      </w:r>
      <w:r w:rsidR="376EB434" w:rsidRPr="00CD4047">
        <w:rPr>
          <w:rFonts w:eastAsia="Calibri"/>
          <w:lang w:val="fr-CA" w:eastAsia="en-US"/>
        </w:rPr>
        <w:t xml:space="preserve"> n’ont pas nécessairement</w:t>
      </w:r>
      <w:r w:rsidR="2CAB5DA9" w:rsidRPr="00CD4047">
        <w:rPr>
          <w:rFonts w:eastAsia="Calibri"/>
          <w:lang w:val="fr-CA" w:eastAsia="en-US"/>
        </w:rPr>
        <w:t xml:space="preserve"> </w:t>
      </w:r>
      <w:r w:rsidR="71225B23" w:rsidRPr="00CD4047">
        <w:rPr>
          <w:rFonts w:eastAsia="Calibri"/>
          <w:lang w:val="fr-CA" w:eastAsia="en-US"/>
        </w:rPr>
        <w:t>le «</w:t>
      </w:r>
      <w:r w:rsidR="0051216B" w:rsidRPr="00CD4047">
        <w:rPr>
          <w:rFonts w:eastAsia="Calibri"/>
          <w:lang w:val="fr-CA" w:eastAsia="en-US"/>
        </w:rPr>
        <w:t> </w:t>
      </w:r>
      <w:r w:rsidR="08DBF047" w:rsidRPr="00CD4047">
        <w:rPr>
          <w:rFonts w:eastAsia="Calibri"/>
          <w:lang w:val="fr-CA" w:eastAsia="en-US"/>
        </w:rPr>
        <w:t>savoir</w:t>
      </w:r>
      <w:r w:rsidR="71225B23" w:rsidRPr="00CD4047">
        <w:rPr>
          <w:rFonts w:eastAsia="Calibri"/>
          <w:lang w:val="fr-CA" w:eastAsia="en-US"/>
        </w:rPr>
        <w:t>-faire</w:t>
      </w:r>
      <w:r w:rsidR="0051216B" w:rsidRPr="00CD4047">
        <w:rPr>
          <w:rFonts w:eastAsia="Calibri"/>
          <w:lang w:val="fr-CA" w:eastAsia="en-US"/>
        </w:rPr>
        <w:t> </w:t>
      </w:r>
      <w:r w:rsidR="08DBF047" w:rsidRPr="00CD4047">
        <w:rPr>
          <w:rFonts w:eastAsia="Calibri"/>
          <w:lang w:val="fr-CA" w:eastAsia="en-US"/>
        </w:rPr>
        <w:t>»</w:t>
      </w:r>
      <w:r w:rsidRPr="00CD4047">
        <w:rPr>
          <w:rFonts w:eastAsia="Calibri"/>
          <w:lang w:val="fr-CA" w:eastAsia="en-US"/>
        </w:rPr>
        <w:t>,</w:t>
      </w:r>
      <w:r w:rsidR="08DBF047" w:rsidRPr="00CD4047">
        <w:rPr>
          <w:rFonts w:eastAsia="Calibri"/>
          <w:lang w:val="fr-CA" w:eastAsia="en-US"/>
        </w:rPr>
        <w:t xml:space="preserve"> l</w:t>
      </w:r>
      <w:proofErr w:type="gramStart"/>
      <w:r w:rsidR="08DBF047" w:rsidRPr="00CD4047">
        <w:rPr>
          <w:rFonts w:eastAsia="Calibri"/>
          <w:lang w:val="fr-CA" w:eastAsia="en-US"/>
        </w:rPr>
        <w:t>’«</w:t>
      </w:r>
      <w:proofErr w:type="gramEnd"/>
      <w:r w:rsidR="0051216B" w:rsidRPr="00CD4047">
        <w:rPr>
          <w:rFonts w:eastAsia="Calibri"/>
          <w:lang w:val="fr-CA" w:eastAsia="en-US"/>
        </w:rPr>
        <w:t> </w:t>
      </w:r>
      <w:r w:rsidR="08DBF047" w:rsidRPr="00CD4047">
        <w:rPr>
          <w:rFonts w:eastAsia="Calibri"/>
          <w:lang w:val="fr-CA" w:eastAsia="en-US"/>
        </w:rPr>
        <w:t>expérience</w:t>
      </w:r>
      <w:r w:rsidR="0051216B" w:rsidRPr="00CD4047">
        <w:rPr>
          <w:rFonts w:eastAsia="Calibri"/>
          <w:lang w:val="fr-CA" w:eastAsia="en-US"/>
        </w:rPr>
        <w:t> </w:t>
      </w:r>
      <w:r w:rsidR="08DBF047" w:rsidRPr="00CD4047">
        <w:rPr>
          <w:rFonts w:eastAsia="Calibri"/>
          <w:lang w:val="fr-CA" w:eastAsia="en-US"/>
        </w:rPr>
        <w:t xml:space="preserve">» </w:t>
      </w:r>
      <w:r w:rsidRPr="00CD4047">
        <w:rPr>
          <w:rFonts w:eastAsia="Calibri"/>
          <w:lang w:val="fr-CA" w:eastAsia="en-US"/>
        </w:rPr>
        <w:t>ou même la formation</w:t>
      </w:r>
      <w:r w:rsidR="08DBF047" w:rsidRPr="00CD4047">
        <w:rPr>
          <w:rFonts w:eastAsia="Calibri"/>
          <w:lang w:val="fr-CA" w:eastAsia="en-US"/>
        </w:rPr>
        <w:t xml:space="preserve"> </w:t>
      </w:r>
      <w:r w:rsidR="2E62C312" w:rsidRPr="00CD4047">
        <w:rPr>
          <w:rFonts w:eastAsia="Calibri"/>
          <w:lang w:val="fr-CA" w:eastAsia="en-US"/>
        </w:rPr>
        <w:t>leur permettant d</w:t>
      </w:r>
      <w:r w:rsidR="22B92545" w:rsidRPr="00CD4047">
        <w:rPr>
          <w:rFonts w:eastAsia="Calibri"/>
          <w:lang w:val="fr-CA" w:eastAsia="en-US"/>
        </w:rPr>
        <w:t>’aborder des</w:t>
      </w:r>
      <w:r w:rsidR="2E62C312" w:rsidRPr="00CD4047">
        <w:rPr>
          <w:rFonts w:eastAsia="Calibri"/>
          <w:lang w:val="fr-CA" w:eastAsia="en-US"/>
        </w:rPr>
        <w:t xml:space="preserve"> </w:t>
      </w:r>
      <w:r w:rsidR="484A7AD4" w:rsidRPr="00CD4047">
        <w:rPr>
          <w:rFonts w:eastAsia="Calibri"/>
          <w:lang w:val="fr-CA" w:eastAsia="en-US"/>
        </w:rPr>
        <w:t>«</w:t>
      </w:r>
      <w:r w:rsidR="0051216B" w:rsidRPr="00CD4047">
        <w:rPr>
          <w:rFonts w:eastAsia="Calibri"/>
          <w:lang w:val="fr-CA" w:eastAsia="en-US"/>
        </w:rPr>
        <w:t> </w:t>
      </w:r>
      <w:r w:rsidR="484A7AD4" w:rsidRPr="00CD4047">
        <w:rPr>
          <w:rFonts w:eastAsia="Calibri"/>
          <w:lang w:val="fr-CA" w:eastAsia="en-US"/>
        </w:rPr>
        <w:t xml:space="preserve">sujets </w:t>
      </w:r>
      <w:r w:rsidR="5A2D80A5" w:rsidRPr="00CD4047">
        <w:rPr>
          <w:rFonts w:eastAsia="Calibri"/>
          <w:lang w:val="fr-CA" w:eastAsia="en-US"/>
        </w:rPr>
        <w:t>sensibles et contro</w:t>
      </w:r>
      <w:r w:rsidR="1EB18109" w:rsidRPr="00CD4047">
        <w:rPr>
          <w:rFonts w:eastAsia="Calibri"/>
          <w:lang w:val="fr-CA" w:eastAsia="en-US"/>
        </w:rPr>
        <w:t>versés</w:t>
      </w:r>
      <w:r w:rsidR="0051216B" w:rsidRPr="00CD4047">
        <w:rPr>
          <w:rFonts w:eastAsia="Calibri"/>
          <w:lang w:val="fr-CA" w:eastAsia="en-US"/>
        </w:rPr>
        <w:t> </w:t>
      </w:r>
      <w:r w:rsidR="14626FFE" w:rsidRPr="00CD4047">
        <w:rPr>
          <w:rFonts w:eastAsia="Calibri"/>
          <w:lang w:val="fr-CA" w:eastAsia="en-US"/>
        </w:rPr>
        <w:t>»</w:t>
      </w:r>
      <w:r w:rsidR="00EC3668" w:rsidRPr="4BB1F094">
        <w:rPr>
          <w:rStyle w:val="Appeldenotedefin"/>
          <w:rFonts w:eastAsia="Calibri"/>
          <w:lang w:eastAsia="en-US"/>
        </w:rPr>
        <w:endnoteReference w:id="535"/>
      </w:r>
      <w:r w:rsidR="1EB18109" w:rsidRPr="00CD4047">
        <w:rPr>
          <w:rFonts w:eastAsia="Calibri"/>
          <w:lang w:val="fr-CA" w:eastAsia="en-US"/>
        </w:rPr>
        <w:t>.</w:t>
      </w:r>
      <w:r w:rsidR="2A5209C1" w:rsidRPr="00CD4047">
        <w:rPr>
          <w:rFonts w:eastAsia="Calibri"/>
          <w:lang w:val="fr-CA" w:eastAsia="en-US"/>
        </w:rPr>
        <w:t xml:space="preserve"> </w:t>
      </w:r>
      <w:r w:rsidR="6D1C4D28" w:rsidRPr="00CD4047">
        <w:rPr>
          <w:rFonts w:eastAsia="Calibri"/>
          <w:lang w:val="fr-CA" w:eastAsia="en-US"/>
        </w:rPr>
        <w:t xml:space="preserve"> </w:t>
      </w:r>
    </w:p>
    <w:p w14:paraId="72F70C85" w14:textId="3B31A296" w:rsidR="00196A9F" w:rsidRPr="00BD22C2" w:rsidRDefault="00527A49" w:rsidP="00FB6B0E">
      <w:pPr>
        <w:pStyle w:val="Paragraphe"/>
        <w:rPr>
          <w:rFonts w:eastAsia="Calibri"/>
          <w:lang w:val="fr-CA" w:eastAsia="en-US"/>
        </w:rPr>
      </w:pPr>
      <w:r w:rsidRPr="00BD22C2">
        <w:rPr>
          <w:rFonts w:eastAsia="Calibri"/>
          <w:lang w:val="fr-CA" w:eastAsia="en-US"/>
        </w:rPr>
        <w:t>I</w:t>
      </w:r>
      <w:r w:rsidR="43DEAAE4" w:rsidRPr="00BD22C2">
        <w:rPr>
          <w:rFonts w:eastAsia="Calibri"/>
          <w:lang w:val="fr-CA" w:eastAsia="en-US"/>
        </w:rPr>
        <w:t xml:space="preserve">l </w:t>
      </w:r>
      <w:r w:rsidR="118828DD" w:rsidRPr="00BD22C2">
        <w:rPr>
          <w:rFonts w:eastAsia="Calibri"/>
          <w:lang w:val="fr-CA" w:eastAsia="en-US"/>
        </w:rPr>
        <w:t>apparaît</w:t>
      </w:r>
      <w:r w:rsidRPr="00BD22C2">
        <w:rPr>
          <w:rFonts w:eastAsia="Calibri"/>
          <w:lang w:val="fr-CA" w:eastAsia="en-US"/>
        </w:rPr>
        <w:t xml:space="preserve"> pourtant</w:t>
      </w:r>
      <w:r w:rsidR="118828DD" w:rsidRPr="00BD22C2">
        <w:rPr>
          <w:rFonts w:eastAsia="Calibri"/>
          <w:lang w:val="fr-CA" w:eastAsia="en-US"/>
        </w:rPr>
        <w:t xml:space="preserve"> primordial que</w:t>
      </w:r>
      <w:r w:rsidR="00E477DF" w:rsidRPr="00BD22C2">
        <w:rPr>
          <w:rFonts w:eastAsia="Calibri"/>
          <w:lang w:val="fr-CA" w:eastAsia="en-US"/>
        </w:rPr>
        <w:t>, de manière graduelle,</w:t>
      </w:r>
      <w:r w:rsidR="118828DD" w:rsidRPr="00BD22C2">
        <w:rPr>
          <w:rFonts w:eastAsia="Calibri"/>
          <w:lang w:val="fr-CA" w:eastAsia="en-US"/>
        </w:rPr>
        <w:t xml:space="preserve"> l’éducation à la sexualité</w:t>
      </w:r>
      <w:r w:rsidR="43DEAAE4" w:rsidRPr="00BD22C2">
        <w:rPr>
          <w:rFonts w:eastAsia="Calibri"/>
          <w:lang w:val="fr-CA" w:eastAsia="en-US"/>
        </w:rPr>
        <w:t xml:space="preserve"> </w:t>
      </w:r>
      <w:r w:rsidR="03ED47F6" w:rsidRPr="00BD22C2">
        <w:rPr>
          <w:rFonts w:eastAsia="Calibri"/>
          <w:lang w:val="fr-CA" w:eastAsia="en-US"/>
        </w:rPr>
        <w:t>«</w:t>
      </w:r>
      <w:r w:rsidR="0051216B" w:rsidRPr="00BD22C2">
        <w:rPr>
          <w:rFonts w:eastAsia="Calibri"/>
          <w:lang w:val="fr-CA" w:eastAsia="en-US"/>
        </w:rPr>
        <w:t> </w:t>
      </w:r>
      <w:r w:rsidR="03ED47F6" w:rsidRPr="00BD22C2">
        <w:rPr>
          <w:rFonts w:eastAsia="Calibri"/>
          <w:lang w:val="fr-CA" w:eastAsia="en-US"/>
        </w:rPr>
        <w:t xml:space="preserve">couvre la totalité des thèmes </w:t>
      </w:r>
      <w:r w:rsidR="45AF00DD" w:rsidRPr="00BD22C2">
        <w:rPr>
          <w:rFonts w:eastAsia="Calibri"/>
          <w:lang w:val="fr-CA" w:eastAsia="en-US"/>
        </w:rPr>
        <w:t>que les apprenants doivent connaître</w:t>
      </w:r>
      <w:r w:rsidR="3243E5B9" w:rsidRPr="00BD22C2">
        <w:rPr>
          <w:rFonts w:eastAsia="Calibri"/>
          <w:lang w:val="fr-CA" w:eastAsia="en-US"/>
        </w:rPr>
        <w:t xml:space="preserve">, y compris </w:t>
      </w:r>
      <w:r w:rsidR="5AD3F4F1" w:rsidRPr="00BD22C2">
        <w:rPr>
          <w:rFonts w:eastAsia="Calibri"/>
          <w:lang w:val="fr-CA" w:eastAsia="en-US"/>
        </w:rPr>
        <w:t xml:space="preserve">ceux qui peuvent </w:t>
      </w:r>
      <w:r w:rsidR="171A13FC" w:rsidRPr="00BD22C2">
        <w:rPr>
          <w:rFonts w:eastAsia="Calibri"/>
          <w:lang w:val="fr-CA" w:eastAsia="en-US"/>
        </w:rPr>
        <w:t xml:space="preserve">poser </w:t>
      </w:r>
      <w:proofErr w:type="gramStart"/>
      <w:r w:rsidR="3D21DE6B" w:rsidRPr="00BD22C2">
        <w:rPr>
          <w:rFonts w:eastAsia="Calibri"/>
          <w:lang w:val="fr-CA" w:eastAsia="en-US"/>
        </w:rPr>
        <w:t>problème</w:t>
      </w:r>
      <w:proofErr w:type="gramEnd"/>
      <w:r w:rsidR="3D21DE6B" w:rsidRPr="00BD22C2">
        <w:rPr>
          <w:rFonts w:eastAsia="Calibri"/>
          <w:lang w:val="fr-CA" w:eastAsia="en-US"/>
        </w:rPr>
        <w:t xml:space="preserve"> dans certains contextes sociaux et culturels</w:t>
      </w:r>
      <w:r w:rsidR="0051216B" w:rsidRPr="00BD22C2">
        <w:rPr>
          <w:rFonts w:eastAsia="Calibri"/>
          <w:lang w:val="fr-CA" w:eastAsia="en-US"/>
        </w:rPr>
        <w:t> </w:t>
      </w:r>
      <w:r w:rsidR="3D21DE6B" w:rsidRPr="00BD22C2">
        <w:rPr>
          <w:rFonts w:eastAsia="Calibri"/>
          <w:lang w:val="fr-CA" w:eastAsia="en-US"/>
        </w:rPr>
        <w:t>»</w:t>
      </w:r>
      <w:r w:rsidR="00206668" w:rsidRPr="00BD22C2">
        <w:rPr>
          <w:rStyle w:val="Appeldenotedefin"/>
          <w:rFonts w:eastAsia="Calibri"/>
          <w:lang w:val="fr-CA" w:eastAsia="en-US"/>
        </w:rPr>
        <w:endnoteReference w:id="536"/>
      </w:r>
      <w:r w:rsidR="3D21DE6B" w:rsidRPr="00BD22C2">
        <w:rPr>
          <w:rFonts w:eastAsia="Calibri"/>
          <w:lang w:val="fr-CA" w:eastAsia="en-US"/>
        </w:rPr>
        <w:t xml:space="preserve">. </w:t>
      </w:r>
      <w:r w:rsidR="3F8F21D8" w:rsidRPr="00BD22C2">
        <w:rPr>
          <w:rFonts w:eastAsia="Calibri"/>
          <w:lang w:val="fr-CA" w:eastAsia="en-US"/>
        </w:rPr>
        <w:t xml:space="preserve">Pour </w:t>
      </w:r>
      <w:r w:rsidR="1AA69639" w:rsidRPr="00BD22C2">
        <w:rPr>
          <w:rFonts w:eastAsia="Calibri"/>
          <w:lang w:val="fr-CA" w:eastAsia="en-US"/>
        </w:rPr>
        <w:t xml:space="preserve">contrecarrer ces </w:t>
      </w:r>
      <w:r w:rsidR="0EEC4FBB" w:rsidRPr="00BD22C2">
        <w:rPr>
          <w:rFonts w:eastAsia="Calibri"/>
          <w:lang w:val="fr-CA" w:eastAsia="en-US"/>
        </w:rPr>
        <w:t>difficultés</w:t>
      </w:r>
      <w:r w:rsidR="3F8F21D8" w:rsidRPr="00BD22C2">
        <w:rPr>
          <w:rFonts w:eastAsia="Calibri"/>
          <w:lang w:val="fr-CA" w:eastAsia="en-US"/>
        </w:rPr>
        <w:t>, l</w:t>
      </w:r>
      <w:r w:rsidR="788CF764" w:rsidRPr="00BD22C2">
        <w:rPr>
          <w:rFonts w:eastAsia="Calibri"/>
          <w:lang w:val="fr-CA" w:eastAsia="en-US"/>
        </w:rPr>
        <w:t xml:space="preserve">es </w:t>
      </w:r>
      <w:r w:rsidR="75A1B5CC" w:rsidRPr="00BD22C2">
        <w:rPr>
          <w:rFonts w:eastAsia="Calibri"/>
          <w:lang w:val="fr-CA" w:eastAsia="en-US"/>
        </w:rPr>
        <w:t>P</w:t>
      </w:r>
      <w:r w:rsidR="788CF764" w:rsidRPr="00BD22C2">
        <w:rPr>
          <w:rFonts w:eastAsia="Calibri"/>
          <w:lang w:val="fr-CA" w:eastAsia="en-US"/>
        </w:rPr>
        <w:t xml:space="preserve">rincipes directeurs internationaux sur l’éducation à la sexualité </w:t>
      </w:r>
      <w:r w:rsidR="75A1B5CC" w:rsidRPr="00BD22C2">
        <w:rPr>
          <w:rFonts w:eastAsia="Calibri"/>
          <w:lang w:val="fr-CA" w:eastAsia="en-US"/>
        </w:rPr>
        <w:t xml:space="preserve">placent </w:t>
      </w:r>
      <w:r w:rsidR="7AE1C0AD" w:rsidRPr="00BD22C2">
        <w:rPr>
          <w:rFonts w:eastAsia="Calibri"/>
          <w:lang w:val="fr-CA" w:eastAsia="en-US"/>
        </w:rPr>
        <w:t xml:space="preserve">d’ailleurs </w:t>
      </w:r>
      <w:r w:rsidR="7A990846" w:rsidRPr="00BD22C2">
        <w:rPr>
          <w:rFonts w:eastAsia="Calibri"/>
          <w:lang w:val="fr-CA" w:eastAsia="en-US"/>
        </w:rPr>
        <w:t xml:space="preserve">au cœur de l’enseignement </w:t>
      </w:r>
      <w:r w:rsidR="04DF1795" w:rsidRPr="00BD22C2">
        <w:rPr>
          <w:rFonts w:eastAsia="Calibri"/>
          <w:lang w:val="fr-CA" w:eastAsia="en-US"/>
        </w:rPr>
        <w:t>l</w:t>
      </w:r>
      <w:r w:rsidR="72503B11" w:rsidRPr="00BD22C2">
        <w:rPr>
          <w:rFonts w:eastAsia="Calibri"/>
          <w:lang w:val="fr-CA" w:eastAsia="en-US"/>
        </w:rPr>
        <w:t>es «</w:t>
      </w:r>
      <w:r w:rsidR="0051216B" w:rsidRPr="00BD22C2">
        <w:rPr>
          <w:rFonts w:eastAsia="Calibri"/>
          <w:lang w:val="fr-CA" w:eastAsia="en-US"/>
        </w:rPr>
        <w:t> </w:t>
      </w:r>
      <w:r w:rsidR="72503B11" w:rsidRPr="00BD22C2">
        <w:rPr>
          <w:rFonts w:eastAsia="Calibri"/>
          <w:lang w:val="fr-CA" w:eastAsia="en-US"/>
        </w:rPr>
        <w:t xml:space="preserve">cadres et </w:t>
      </w:r>
      <w:r w:rsidR="6EC4677C" w:rsidRPr="00BD22C2">
        <w:rPr>
          <w:rFonts w:eastAsia="Calibri"/>
          <w:lang w:val="fr-CA" w:eastAsia="en-US"/>
        </w:rPr>
        <w:t>normes en matière d’égalité des genres et de droits humains</w:t>
      </w:r>
      <w:r w:rsidR="0051216B" w:rsidRPr="00BD22C2">
        <w:rPr>
          <w:rFonts w:eastAsia="Calibri"/>
          <w:lang w:val="fr-CA" w:eastAsia="en-US"/>
        </w:rPr>
        <w:t> </w:t>
      </w:r>
      <w:r w:rsidR="1A683912" w:rsidRPr="00BD22C2">
        <w:rPr>
          <w:rFonts w:eastAsia="Calibri"/>
          <w:lang w:val="fr-CA" w:eastAsia="en-US"/>
        </w:rPr>
        <w:t>»</w:t>
      </w:r>
      <w:r w:rsidR="3F8F21D8" w:rsidRPr="00BD22C2">
        <w:rPr>
          <w:rFonts w:eastAsia="Calibri"/>
          <w:lang w:val="fr-CA" w:eastAsia="en-US"/>
        </w:rPr>
        <w:t xml:space="preserve">, </w:t>
      </w:r>
      <w:r w:rsidR="2521492D" w:rsidRPr="00BD22C2">
        <w:rPr>
          <w:rFonts w:eastAsia="Calibri"/>
          <w:lang w:val="fr-CA" w:eastAsia="en-US"/>
        </w:rPr>
        <w:t>ainsi que l’utilisation</w:t>
      </w:r>
      <w:r w:rsidR="0F5DD386" w:rsidRPr="00BD22C2">
        <w:rPr>
          <w:rFonts w:eastAsia="Calibri"/>
          <w:lang w:val="fr-CA" w:eastAsia="en-US"/>
        </w:rPr>
        <w:t xml:space="preserve"> </w:t>
      </w:r>
      <w:r w:rsidR="34749CFC" w:rsidRPr="00BD22C2">
        <w:rPr>
          <w:rFonts w:eastAsia="Calibri"/>
          <w:lang w:val="fr-CA" w:eastAsia="en-US"/>
        </w:rPr>
        <w:t>des</w:t>
      </w:r>
      <w:r w:rsidR="0F5DD386" w:rsidRPr="00BD22C2">
        <w:rPr>
          <w:rFonts w:eastAsia="Calibri"/>
          <w:lang w:val="fr-CA" w:eastAsia="en-US"/>
        </w:rPr>
        <w:t xml:space="preserve"> données </w:t>
      </w:r>
      <w:r w:rsidR="0A386708" w:rsidRPr="00BD22C2">
        <w:rPr>
          <w:rFonts w:eastAsia="Calibri"/>
          <w:lang w:val="fr-CA" w:eastAsia="en-US"/>
        </w:rPr>
        <w:t xml:space="preserve">factuelles qui sont </w:t>
      </w:r>
      <w:r w:rsidR="0F5DD386" w:rsidRPr="00BD22C2">
        <w:rPr>
          <w:rFonts w:eastAsia="Calibri"/>
          <w:lang w:val="fr-CA" w:eastAsia="en-US"/>
        </w:rPr>
        <w:t>scientifique</w:t>
      </w:r>
      <w:r w:rsidR="0A386708" w:rsidRPr="00BD22C2">
        <w:rPr>
          <w:rFonts w:eastAsia="Calibri"/>
          <w:lang w:val="fr-CA" w:eastAsia="en-US"/>
        </w:rPr>
        <w:t>ment fondée</w:t>
      </w:r>
      <w:r w:rsidR="0F5DD386" w:rsidRPr="00BD22C2">
        <w:rPr>
          <w:rFonts w:eastAsia="Calibri"/>
          <w:lang w:val="fr-CA" w:eastAsia="en-US"/>
        </w:rPr>
        <w:t>s</w:t>
      </w:r>
      <w:r w:rsidR="00771433" w:rsidRPr="00BD22C2">
        <w:rPr>
          <w:rStyle w:val="Appeldenotedefin"/>
          <w:rFonts w:eastAsia="Calibri"/>
          <w:lang w:val="fr-CA" w:eastAsia="en-US"/>
        </w:rPr>
        <w:endnoteReference w:id="537"/>
      </w:r>
      <w:r w:rsidR="0F5DD386" w:rsidRPr="00BD22C2">
        <w:rPr>
          <w:rFonts w:eastAsia="Calibri"/>
          <w:lang w:val="fr-CA" w:eastAsia="en-US"/>
        </w:rPr>
        <w:t xml:space="preserve">. </w:t>
      </w:r>
    </w:p>
    <w:p w14:paraId="0AA84E6B" w14:textId="7A9068A6" w:rsidR="001967F9" w:rsidRPr="00BD22C2" w:rsidRDefault="008553A9" w:rsidP="00E4185E">
      <w:pPr>
        <w:pStyle w:val="Corpsdetexte"/>
        <w:rPr>
          <w:rFonts w:eastAsia="Calibri"/>
          <w:lang w:eastAsia="en-US"/>
        </w:rPr>
      </w:pPr>
      <w:r w:rsidRPr="00BD22C2">
        <w:rPr>
          <w:rFonts w:eastAsia="Calibri"/>
          <w:lang w:eastAsia="en-US"/>
        </w:rPr>
        <w:t>Ce</w:t>
      </w:r>
      <w:r w:rsidR="00021D21" w:rsidRPr="00BD22C2">
        <w:rPr>
          <w:rFonts w:eastAsia="Calibri"/>
          <w:lang w:eastAsia="en-US"/>
        </w:rPr>
        <w:t xml:space="preserve"> double</w:t>
      </w:r>
      <w:r w:rsidRPr="00BD22C2">
        <w:rPr>
          <w:rFonts w:eastAsia="Calibri"/>
          <w:lang w:eastAsia="en-US"/>
        </w:rPr>
        <w:t xml:space="preserve"> ancrage qui est proposé</w:t>
      </w:r>
      <w:r w:rsidR="004D384D" w:rsidRPr="00BD22C2">
        <w:rPr>
          <w:rFonts w:eastAsia="Calibri"/>
          <w:lang w:eastAsia="en-US"/>
        </w:rPr>
        <w:t xml:space="preserve"> nous amène aussi à nouveau à interroger l’espace occupé par l’éducation aux droits et libertés</w:t>
      </w:r>
      <w:r w:rsidR="00196A9F" w:rsidRPr="00BD22C2">
        <w:rPr>
          <w:rFonts w:eastAsia="Calibri"/>
          <w:lang w:eastAsia="en-US"/>
        </w:rPr>
        <w:t>, incluant les droits des enfants,</w:t>
      </w:r>
      <w:r w:rsidR="004D384D" w:rsidRPr="00BD22C2">
        <w:rPr>
          <w:rFonts w:eastAsia="Calibri"/>
          <w:lang w:eastAsia="en-US"/>
        </w:rPr>
        <w:t xml:space="preserve"> à l’intérieur de la formation initiale et de la formation en cours d’emploi</w:t>
      </w:r>
      <w:r w:rsidR="00ED63BE" w:rsidRPr="00BD22C2">
        <w:rPr>
          <w:rFonts w:eastAsia="Calibri"/>
          <w:lang w:eastAsia="en-US"/>
        </w:rPr>
        <w:t xml:space="preserve"> du personnel enseignant</w:t>
      </w:r>
      <w:r w:rsidR="0067239B" w:rsidRPr="00BD22C2">
        <w:rPr>
          <w:rFonts w:eastAsia="Calibri"/>
          <w:lang w:eastAsia="en-US"/>
        </w:rPr>
        <w:t>,</w:t>
      </w:r>
      <w:r w:rsidR="00ED63BE" w:rsidRPr="00BD22C2">
        <w:rPr>
          <w:rFonts w:eastAsia="Calibri"/>
          <w:lang w:eastAsia="en-US"/>
        </w:rPr>
        <w:t xml:space="preserve"> et ce</w:t>
      </w:r>
      <w:r w:rsidR="0067239B" w:rsidRPr="00BD22C2">
        <w:rPr>
          <w:rFonts w:eastAsia="Calibri"/>
          <w:lang w:eastAsia="en-US"/>
        </w:rPr>
        <w:t xml:space="preserve">, </w:t>
      </w:r>
      <w:r w:rsidR="00A2382B" w:rsidRPr="00BD22C2">
        <w:rPr>
          <w:rFonts w:eastAsia="Calibri"/>
          <w:lang w:eastAsia="en-US"/>
        </w:rPr>
        <w:t>afin</w:t>
      </w:r>
      <w:r w:rsidR="0067239B" w:rsidRPr="00BD22C2">
        <w:rPr>
          <w:rFonts w:eastAsia="Calibri"/>
          <w:lang w:eastAsia="en-US"/>
        </w:rPr>
        <w:t xml:space="preserve"> </w:t>
      </w:r>
      <w:r w:rsidR="00A2382B" w:rsidRPr="00BD22C2">
        <w:rPr>
          <w:rFonts w:eastAsia="Calibri"/>
          <w:lang w:eastAsia="en-US"/>
        </w:rPr>
        <w:t>d’</w:t>
      </w:r>
      <w:r w:rsidR="0067239B" w:rsidRPr="00BD22C2">
        <w:rPr>
          <w:rFonts w:eastAsia="Calibri"/>
          <w:lang w:eastAsia="en-US"/>
        </w:rPr>
        <w:t xml:space="preserve">assurer </w:t>
      </w:r>
      <w:r w:rsidR="00307101" w:rsidRPr="00BD22C2">
        <w:rPr>
          <w:rFonts w:eastAsia="Calibri"/>
          <w:lang w:eastAsia="en-US"/>
        </w:rPr>
        <w:t>la</w:t>
      </w:r>
      <w:r w:rsidR="0067239B" w:rsidRPr="00BD22C2">
        <w:rPr>
          <w:rFonts w:eastAsia="Calibri"/>
          <w:lang w:eastAsia="en-US"/>
        </w:rPr>
        <w:t xml:space="preserve"> </w:t>
      </w:r>
      <w:r w:rsidR="0010333E" w:rsidRPr="00BD22C2">
        <w:rPr>
          <w:rFonts w:eastAsia="Calibri"/>
          <w:lang w:eastAsia="en-US"/>
        </w:rPr>
        <w:t xml:space="preserve">réelle </w:t>
      </w:r>
      <w:r w:rsidR="0067239B" w:rsidRPr="00BD22C2">
        <w:rPr>
          <w:rFonts w:eastAsia="Calibri"/>
          <w:lang w:eastAsia="en-US"/>
        </w:rPr>
        <w:t xml:space="preserve">mise en œuvre </w:t>
      </w:r>
      <w:r w:rsidR="00307101" w:rsidRPr="00BD22C2">
        <w:rPr>
          <w:rFonts w:eastAsia="Calibri"/>
          <w:lang w:eastAsia="en-US"/>
        </w:rPr>
        <w:t>de l’éd</w:t>
      </w:r>
      <w:r w:rsidR="00EA28C7" w:rsidRPr="00BD22C2">
        <w:rPr>
          <w:rFonts w:eastAsia="Calibri"/>
          <w:lang w:eastAsia="en-US"/>
        </w:rPr>
        <w:t xml:space="preserve">ucation </w:t>
      </w:r>
      <w:r w:rsidR="00721440" w:rsidRPr="00BD22C2">
        <w:rPr>
          <w:rFonts w:eastAsia="Calibri"/>
          <w:lang w:eastAsia="en-US"/>
        </w:rPr>
        <w:t>à la sexualité</w:t>
      </w:r>
      <w:r w:rsidR="00337E09" w:rsidRPr="00BD22C2">
        <w:rPr>
          <w:rFonts w:eastAsia="Calibri"/>
          <w:lang w:eastAsia="en-US"/>
        </w:rPr>
        <w:t xml:space="preserve"> et</w:t>
      </w:r>
      <w:r w:rsidR="00A2382B" w:rsidRPr="00BD22C2">
        <w:rPr>
          <w:rFonts w:eastAsia="Calibri"/>
          <w:lang w:eastAsia="en-US"/>
        </w:rPr>
        <w:t xml:space="preserve"> </w:t>
      </w:r>
      <w:r w:rsidR="008715E6" w:rsidRPr="00BD22C2">
        <w:rPr>
          <w:rFonts w:eastAsia="Calibri"/>
          <w:lang w:eastAsia="en-US"/>
        </w:rPr>
        <w:t>de g</w:t>
      </w:r>
      <w:r w:rsidR="00337E09" w:rsidRPr="00BD22C2">
        <w:rPr>
          <w:rFonts w:eastAsia="Calibri"/>
          <w:lang w:eastAsia="en-US"/>
        </w:rPr>
        <w:t xml:space="preserve">arantir pleinement </w:t>
      </w:r>
      <w:r w:rsidR="00366CFB" w:rsidRPr="00BD22C2">
        <w:rPr>
          <w:rFonts w:eastAsia="Calibri"/>
          <w:lang w:eastAsia="en-US"/>
        </w:rPr>
        <w:t xml:space="preserve">à tous </w:t>
      </w:r>
      <w:r w:rsidR="00D55230" w:rsidRPr="00BD22C2">
        <w:rPr>
          <w:rFonts w:eastAsia="Calibri"/>
          <w:lang w:eastAsia="en-US"/>
        </w:rPr>
        <w:t xml:space="preserve">élèves </w:t>
      </w:r>
      <w:r w:rsidR="00337E09" w:rsidRPr="00BD22C2">
        <w:rPr>
          <w:rFonts w:eastAsia="Calibri"/>
          <w:lang w:eastAsia="en-US"/>
        </w:rPr>
        <w:t xml:space="preserve">le droit à la santé, à l’éducation, </w:t>
      </w:r>
      <w:r w:rsidR="004C0960" w:rsidRPr="00BD22C2">
        <w:rPr>
          <w:rFonts w:eastAsia="Calibri"/>
          <w:lang w:eastAsia="en-US"/>
        </w:rPr>
        <w:t>à l’information</w:t>
      </w:r>
      <w:r w:rsidR="00732DBA" w:rsidRPr="00BD22C2">
        <w:rPr>
          <w:rFonts w:eastAsia="Calibri"/>
          <w:lang w:eastAsia="en-US"/>
        </w:rPr>
        <w:t xml:space="preserve"> et à la non-discrimination</w:t>
      </w:r>
      <w:r w:rsidR="002A46D8" w:rsidRPr="00BD22C2">
        <w:rPr>
          <w:rFonts w:eastAsia="Calibri"/>
          <w:lang w:eastAsia="en-US"/>
        </w:rPr>
        <w:t xml:space="preserve"> </w:t>
      </w:r>
      <w:r w:rsidR="00D55230" w:rsidRPr="00BD22C2">
        <w:rPr>
          <w:rFonts w:eastAsia="Calibri"/>
          <w:lang w:eastAsia="en-US"/>
        </w:rPr>
        <w:t xml:space="preserve"> </w:t>
      </w:r>
      <w:r w:rsidR="001967F9" w:rsidRPr="00BD22C2">
        <w:rPr>
          <w:rFonts w:eastAsia="Calibri"/>
          <w:lang w:eastAsia="en-US"/>
        </w:rPr>
        <w:t> :</w:t>
      </w:r>
      <w:r w:rsidR="00700EF6" w:rsidRPr="00BD22C2">
        <w:rPr>
          <w:rFonts w:eastAsia="Calibri"/>
          <w:lang w:eastAsia="en-US"/>
        </w:rPr>
        <w:t xml:space="preserve"> </w:t>
      </w:r>
    </w:p>
    <w:p w14:paraId="75D51B56" w14:textId="3777F531" w:rsidR="004D384D" w:rsidRDefault="001967F9" w:rsidP="00D33933">
      <w:pPr>
        <w:pStyle w:val="Paragraphe"/>
        <w:spacing w:line="240" w:lineRule="auto"/>
        <w:ind w:left="706"/>
        <w:rPr>
          <w:rFonts w:eastAsia="Calibri"/>
          <w:sz w:val="20"/>
          <w:szCs w:val="20"/>
          <w:lang w:val="fr-CA" w:eastAsia="en-US"/>
        </w:rPr>
      </w:pPr>
      <w:r w:rsidRPr="00BD22C2">
        <w:rPr>
          <w:rFonts w:eastAsia="Calibri"/>
          <w:sz w:val="20"/>
          <w:szCs w:val="20"/>
          <w:lang w:val="fr-CA" w:eastAsia="en-US"/>
        </w:rPr>
        <w:t>«</w:t>
      </w:r>
      <w:r w:rsidR="0051216B" w:rsidRPr="00BD22C2">
        <w:rPr>
          <w:rFonts w:eastAsia="Calibri"/>
          <w:sz w:val="20"/>
          <w:szCs w:val="20"/>
          <w:lang w:val="fr-CA" w:eastAsia="en-US"/>
        </w:rPr>
        <w:t> </w:t>
      </w:r>
      <w:r w:rsidR="0021451C" w:rsidRPr="00BD22C2">
        <w:rPr>
          <w:rStyle w:val="CitationCar"/>
          <w:rFonts w:eastAsia="Calibri"/>
          <w:szCs w:val="20"/>
          <w:lang w:val="fr-CA"/>
        </w:rPr>
        <w:t>Recourir à une démarche inspirée des droits humains dans le contexte de [l’éducation complète à la sexualité</w:t>
      </w:r>
      <w:r w:rsidR="008F6B36" w:rsidRPr="00BD22C2">
        <w:rPr>
          <w:rStyle w:val="CitationCar"/>
          <w:rFonts w:eastAsia="Calibri"/>
          <w:szCs w:val="20"/>
          <w:lang w:val="fr-CA"/>
        </w:rPr>
        <w:t>]</w:t>
      </w:r>
      <w:r w:rsidR="009B647A" w:rsidRPr="00BD22C2">
        <w:rPr>
          <w:rStyle w:val="CitationCar"/>
          <w:rFonts w:eastAsia="Calibri"/>
          <w:szCs w:val="20"/>
          <w:lang w:val="fr-CA"/>
        </w:rPr>
        <w:t xml:space="preserve"> implique en outre </w:t>
      </w:r>
      <w:r w:rsidR="005A0A7E" w:rsidRPr="00BD22C2">
        <w:rPr>
          <w:rStyle w:val="CitationCar"/>
          <w:rFonts w:eastAsia="Calibri"/>
          <w:szCs w:val="20"/>
          <w:lang w:val="fr-CA"/>
        </w:rPr>
        <w:t>de sensibiliser</w:t>
      </w:r>
      <w:r w:rsidR="00893013" w:rsidRPr="00BD22C2">
        <w:rPr>
          <w:rStyle w:val="CitationCar"/>
          <w:rFonts w:eastAsia="Calibri"/>
          <w:szCs w:val="20"/>
          <w:lang w:val="fr-CA"/>
        </w:rPr>
        <w:t xml:space="preserve"> </w:t>
      </w:r>
      <w:r w:rsidR="0043159B" w:rsidRPr="00BD22C2">
        <w:rPr>
          <w:rStyle w:val="CitationCar"/>
          <w:rFonts w:eastAsia="Calibri"/>
          <w:szCs w:val="20"/>
          <w:lang w:val="fr-CA"/>
        </w:rPr>
        <w:t>les jeunes</w:t>
      </w:r>
      <w:r w:rsidR="00CC523D" w:rsidRPr="00BD22C2">
        <w:rPr>
          <w:rStyle w:val="CitationCar"/>
          <w:rFonts w:eastAsia="Calibri"/>
          <w:szCs w:val="20"/>
          <w:lang w:val="fr-CA"/>
        </w:rPr>
        <w:t xml:space="preserve">, en les encourageant </w:t>
      </w:r>
      <w:r w:rsidR="00132239" w:rsidRPr="00BD22C2">
        <w:rPr>
          <w:rStyle w:val="CitationCar"/>
          <w:rFonts w:eastAsia="Calibri"/>
          <w:szCs w:val="20"/>
          <w:lang w:val="fr-CA"/>
        </w:rPr>
        <w:t xml:space="preserve">à prendre conscience de leurs </w:t>
      </w:r>
      <w:r w:rsidR="00E425BA" w:rsidRPr="00BD22C2">
        <w:rPr>
          <w:rStyle w:val="CitationCar"/>
          <w:rFonts w:eastAsia="Calibri"/>
          <w:szCs w:val="20"/>
          <w:lang w:val="fr-CA"/>
        </w:rPr>
        <w:t xml:space="preserve">droits, à reconnaître et respecter les droits des autres, et à défendre </w:t>
      </w:r>
      <w:r w:rsidR="00440424" w:rsidRPr="00BD22C2">
        <w:rPr>
          <w:rStyle w:val="CitationCar"/>
          <w:rFonts w:eastAsia="Calibri"/>
          <w:szCs w:val="20"/>
          <w:lang w:val="fr-CA"/>
        </w:rPr>
        <w:t xml:space="preserve">ceux </w:t>
      </w:r>
      <w:r w:rsidR="000C1CF4" w:rsidRPr="00BD22C2">
        <w:rPr>
          <w:rStyle w:val="CitationCar"/>
          <w:rFonts w:eastAsia="Calibri"/>
          <w:szCs w:val="20"/>
          <w:lang w:val="fr-CA"/>
        </w:rPr>
        <w:t>dont les droits sont</w:t>
      </w:r>
      <w:r w:rsidR="00337E09" w:rsidRPr="00BD22C2">
        <w:rPr>
          <w:rStyle w:val="CitationCar"/>
          <w:rFonts w:eastAsia="Calibri"/>
          <w:szCs w:val="20"/>
          <w:lang w:val="fr-CA"/>
        </w:rPr>
        <w:t xml:space="preserve"> </w:t>
      </w:r>
      <w:r w:rsidR="005B68B8" w:rsidRPr="00BD22C2">
        <w:rPr>
          <w:rStyle w:val="CitationCar"/>
          <w:rFonts w:eastAsia="Calibri"/>
          <w:szCs w:val="20"/>
          <w:lang w:val="fr-CA"/>
        </w:rPr>
        <w:t>violés. Donner accès aux jeunes</w:t>
      </w:r>
      <w:r w:rsidR="00946E8B" w:rsidRPr="00BD22C2">
        <w:rPr>
          <w:rStyle w:val="CitationCar"/>
          <w:rFonts w:eastAsia="Calibri"/>
          <w:szCs w:val="20"/>
          <w:lang w:val="fr-CA"/>
        </w:rPr>
        <w:t>, sur un pied d’égalité, à [l’éducation complète à la sexualité]</w:t>
      </w:r>
      <w:r w:rsidR="00337E09" w:rsidRPr="00BD22C2">
        <w:rPr>
          <w:rStyle w:val="CitationCar"/>
          <w:rFonts w:eastAsia="Calibri"/>
          <w:szCs w:val="20"/>
          <w:lang w:val="fr-CA"/>
        </w:rPr>
        <w:t xml:space="preserve"> </w:t>
      </w:r>
      <w:r w:rsidR="00E10758" w:rsidRPr="00BD22C2">
        <w:rPr>
          <w:rStyle w:val="CitationCar"/>
          <w:rFonts w:eastAsia="Calibri"/>
          <w:szCs w:val="20"/>
          <w:lang w:val="fr-CA"/>
        </w:rPr>
        <w:t xml:space="preserve">est conforme à leur droit au meilleur état de santé susceptible </w:t>
      </w:r>
      <w:r w:rsidR="00B55A25" w:rsidRPr="00BD22C2">
        <w:rPr>
          <w:rStyle w:val="CitationCar"/>
          <w:rFonts w:eastAsia="Calibri"/>
          <w:szCs w:val="20"/>
          <w:lang w:val="fr-CA"/>
        </w:rPr>
        <w:t>d’être atteint</w:t>
      </w:r>
      <w:r w:rsidR="00457424" w:rsidRPr="00BD22C2">
        <w:rPr>
          <w:rStyle w:val="CitationCar"/>
          <w:rFonts w:eastAsia="Calibri"/>
          <w:szCs w:val="20"/>
          <w:lang w:val="fr-CA"/>
        </w:rPr>
        <w:t>, ce qui inclut la possibilité de faire des choix sexu</w:t>
      </w:r>
      <w:r w:rsidR="009A7240" w:rsidRPr="00BD22C2">
        <w:rPr>
          <w:rStyle w:val="CitationCar"/>
          <w:rFonts w:eastAsia="Calibri"/>
          <w:szCs w:val="20"/>
          <w:lang w:val="fr-CA"/>
        </w:rPr>
        <w:t>els sûrs, responsables, respectueux et libre</w:t>
      </w:r>
      <w:r w:rsidR="005F7AC7" w:rsidRPr="00BD22C2">
        <w:rPr>
          <w:rStyle w:val="CitationCar"/>
          <w:rFonts w:eastAsia="Calibri"/>
          <w:szCs w:val="20"/>
          <w:lang w:val="fr-CA"/>
        </w:rPr>
        <w:t>s de toute contrainte</w:t>
      </w:r>
      <w:r w:rsidR="006E492C" w:rsidRPr="00BD22C2">
        <w:rPr>
          <w:rStyle w:val="CitationCar"/>
          <w:rFonts w:eastAsia="Calibri"/>
          <w:szCs w:val="20"/>
          <w:lang w:val="fr-CA"/>
        </w:rPr>
        <w:t xml:space="preserve"> et violence, </w:t>
      </w:r>
      <w:r w:rsidR="006E492C" w:rsidRPr="00BD22C2" w:rsidDel="00E17561">
        <w:rPr>
          <w:rStyle w:val="CitationCar"/>
          <w:rFonts w:eastAsia="Calibri"/>
          <w:szCs w:val="20"/>
          <w:lang w:val="fr-CA"/>
        </w:rPr>
        <w:t>ains</w:t>
      </w:r>
      <w:r w:rsidR="00E17561" w:rsidRPr="00BD22C2">
        <w:rPr>
          <w:rStyle w:val="CitationCar"/>
          <w:rFonts w:eastAsia="Calibri"/>
          <w:szCs w:val="20"/>
          <w:lang w:val="fr-CA"/>
        </w:rPr>
        <w:t>i</w:t>
      </w:r>
      <w:r w:rsidR="006E492C" w:rsidRPr="00BD22C2">
        <w:rPr>
          <w:rStyle w:val="CitationCar"/>
          <w:rFonts w:eastAsia="Calibri"/>
          <w:szCs w:val="20"/>
          <w:lang w:val="fr-CA"/>
        </w:rPr>
        <w:t xml:space="preserve"> que leur droit d’accéder aux informations dont ils ont besoin pour gérer efficacement leur santé.</w:t>
      </w:r>
      <w:r w:rsidR="0051216B" w:rsidRPr="00BD22C2">
        <w:rPr>
          <w:rStyle w:val="CitationCar"/>
          <w:rFonts w:eastAsia="Calibri"/>
          <w:szCs w:val="20"/>
          <w:lang w:val="fr-CA"/>
        </w:rPr>
        <w:t xml:space="preserve"> </w:t>
      </w:r>
      <w:r w:rsidR="00FA72EA" w:rsidRPr="00BD22C2">
        <w:rPr>
          <w:rStyle w:val="CitationCar"/>
          <w:rFonts w:eastAsia="Calibri"/>
          <w:szCs w:val="20"/>
          <w:lang w:val="fr-CA"/>
        </w:rPr>
        <w:t xml:space="preserve">[…] </w:t>
      </w:r>
      <w:r w:rsidR="007D54AF" w:rsidRPr="00BD22C2">
        <w:rPr>
          <w:rStyle w:val="CitationCar"/>
          <w:rFonts w:eastAsia="Calibri"/>
          <w:szCs w:val="20"/>
          <w:lang w:val="fr-CA"/>
        </w:rPr>
        <w:t>[Cette éduc</w:t>
      </w:r>
      <w:r w:rsidR="00E246EB" w:rsidRPr="00BD22C2">
        <w:rPr>
          <w:rStyle w:val="CitationCar"/>
          <w:rFonts w:eastAsia="Calibri"/>
          <w:szCs w:val="20"/>
          <w:lang w:val="fr-CA"/>
        </w:rPr>
        <w:t>a</w:t>
      </w:r>
      <w:r w:rsidR="007D54AF" w:rsidRPr="00BD22C2">
        <w:rPr>
          <w:rStyle w:val="CitationCar"/>
          <w:rFonts w:eastAsia="Calibri"/>
          <w:szCs w:val="20"/>
          <w:lang w:val="fr-CA"/>
        </w:rPr>
        <w:t>tion à la sexualité] renforce les capacités et les attitudes qui permettent aux jeunes de traiter</w:t>
      </w:r>
      <w:r w:rsidR="007B18D9" w:rsidRPr="00BD22C2">
        <w:rPr>
          <w:rStyle w:val="CitationCar"/>
          <w:rFonts w:eastAsia="Calibri"/>
          <w:szCs w:val="20"/>
          <w:lang w:val="fr-CA"/>
        </w:rPr>
        <w:t xml:space="preserve"> les autres </w:t>
      </w:r>
      <w:r w:rsidR="00A80AC4" w:rsidRPr="00BD22C2">
        <w:rPr>
          <w:rStyle w:val="CitationCar"/>
          <w:rFonts w:eastAsia="Calibri"/>
          <w:szCs w:val="20"/>
          <w:lang w:val="fr-CA"/>
        </w:rPr>
        <w:t>avec respect, acceptation</w:t>
      </w:r>
      <w:r w:rsidR="00626FD9" w:rsidRPr="00BD22C2">
        <w:rPr>
          <w:rStyle w:val="CitationCar"/>
          <w:rFonts w:eastAsia="Calibri"/>
          <w:szCs w:val="20"/>
          <w:lang w:val="fr-CA"/>
        </w:rPr>
        <w:t xml:space="preserve">, tolérance </w:t>
      </w:r>
      <w:r w:rsidR="00A97093" w:rsidRPr="00BD22C2">
        <w:rPr>
          <w:rStyle w:val="CitationCar"/>
          <w:rFonts w:eastAsia="Calibri"/>
          <w:szCs w:val="20"/>
          <w:lang w:val="fr-CA"/>
        </w:rPr>
        <w:t>et compassion, sans tenir compte de l’</w:t>
      </w:r>
      <w:r w:rsidR="00A32B99" w:rsidRPr="00BD22C2">
        <w:rPr>
          <w:rStyle w:val="CitationCar"/>
          <w:rFonts w:eastAsia="Calibri"/>
          <w:szCs w:val="20"/>
          <w:lang w:val="fr-CA"/>
        </w:rPr>
        <w:t xml:space="preserve">origine </w:t>
      </w:r>
      <w:r w:rsidR="00A74027" w:rsidRPr="00BD22C2">
        <w:rPr>
          <w:rStyle w:val="CitationCar"/>
          <w:rFonts w:eastAsia="Calibri"/>
          <w:szCs w:val="20"/>
          <w:lang w:val="fr-CA"/>
        </w:rPr>
        <w:t>ethnique, raciale, sociale</w:t>
      </w:r>
      <w:r w:rsidR="002C6FE6" w:rsidRPr="00BD22C2">
        <w:rPr>
          <w:rStyle w:val="CitationCar"/>
          <w:rFonts w:eastAsia="Calibri"/>
          <w:szCs w:val="20"/>
          <w:lang w:val="fr-CA"/>
        </w:rPr>
        <w:t xml:space="preserve"> ou </w:t>
      </w:r>
      <w:r w:rsidR="002C6FE6" w:rsidRPr="00BD22C2">
        <w:rPr>
          <w:rStyle w:val="CitationCar"/>
          <w:rFonts w:eastAsia="Calibri"/>
          <w:szCs w:val="20"/>
          <w:lang w:val="fr-CA"/>
        </w:rPr>
        <w:lastRenderedPageBreak/>
        <w:t>économique, ni du statut d’immigrant, de la religion, du handicap, de l’orientation sexuelle, de l’identité ou de l’expression de genre, ou des caractéristiques sexuelles</w:t>
      </w:r>
      <w:r w:rsidR="002C6FE6" w:rsidRPr="00BD22C2">
        <w:rPr>
          <w:rFonts w:eastAsia="Calibri"/>
          <w:sz w:val="20"/>
          <w:szCs w:val="20"/>
          <w:lang w:val="fr-CA" w:eastAsia="en-US"/>
        </w:rPr>
        <w:t>.</w:t>
      </w:r>
      <w:r w:rsidR="0051216B" w:rsidRPr="00BD22C2">
        <w:rPr>
          <w:rFonts w:eastAsia="Calibri"/>
          <w:sz w:val="20"/>
          <w:szCs w:val="20"/>
          <w:lang w:val="fr-CA" w:eastAsia="en-US"/>
        </w:rPr>
        <w:t> </w:t>
      </w:r>
      <w:r w:rsidR="006E492C" w:rsidRPr="00BD22C2">
        <w:rPr>
          <w:rFonts w:eastAsia="Calibri"/>
          <w:sz w:val="20"/>
          <w:szCs w:val="20"/>
          <w:lang w:val="fr-CA" w:eastAsia="en-US"/>
        </w:rPr>
        <w:t>»</w:t>
      </w:r>
      <w:r w:rsidR="00D33933" w:rsidRPr="00BD22C2">
        <w:rPr>
          <w:rStyle w:val="Appeldenotedefin"/>
          <w:rFonts w:eastAsia="Calibri"/>
          <w:sz w:val="20"/>
          <w:szCs w:val="20"/>
          <w:lang w:val="fr-CA" w:eastAsia="en-US"/>
        </w:rPr>
        <w:endnoteReference w:id="538"/>
      </w:r>
    </w:p>
    <w:p w14:paraId="6A12E607" w14:textId="249823DA" w:rsidR="00F74B15" w:rsidRDefault="00F74B15">
      <w:pPr>
        <w:spacing w:line="240" w:lineRule="auto"/>
        <w:jc w:val="left"/>
        <w:rPr>
          <w:lang w:eastAsia="en-US"/>
        </w:rPr>
      </w:pPr>
      <w:r>
        <w:rPr>
          <w:lang w:eastAsia="en-US"/>
        </w:rPr>
        <w:br w:type="page"/>
      </w:r>
    </w:p>
    <w:p w14:paraId="77F02544" w14:textId="3C65ADCA" w:rsidR="006925C6" w:rsidRPr="00BD22C2" w:rsidRDefault="006925C6" w:rsidP="00D254F3">
      <w:pPr>
        <w:pStyle w:val="Titre"/>
        <w:rPr>
          <w:rFonts w:eastAsia="Calibri"/>
        </w:rPr>
      </w:pPr>
      <w:bookmarkStart w:id="212" w:name="_Toc42091631"/>
      <w:bookmarkStart w:id="213" w:name="_Toc98163896"/>
      <w:bookmarkStart w:id="214" w:name="_Toc165301053"/>
      <w:bookmarkStart w:id="215" w:name="_Toc165636141"/>
      <w:bookmarkStart w:id="216" w:name="_Hlk102745777"/>
      <w:bookmarkEnd w:id="165"/>
      <w:bookmarkEnd w:id="166"/>
      <w:bookmarkEnd w:id="167"/>
      <w:bookmarkEnd w:id="168"/>
      <w:bookmarkEnd w:id="169"/>
      <w:r w:rsidRPr="00BD22C2">
        <w:rPr>
          <w:rFonts w:eastAsia="Calibri"/>
        </w:rPr>
        <w:lastRenderedPageBreak/>
        <w:t>Conclusio</w:t>
      </w:r>
      <w:bookmarkEnd w:id="212"/>
      <w:bookmarkEnd w:id="213"/>
      <w:r w:rsidR="00704477" w:rsidRPr="00BD22C2">
        <w:rPr>
          <w:rFonts w:eastAsia="Calibri"/>
        </w:rPr>
        <w:t>n</w:t>
      </w:r>
      <w:bookmarkEnd w:id="214"/>
      <w:bookmarkEnd w:id="215"/>
    </w:p>
    <w:bookmarkEnd w:id="216"/>
    <w:p w14:paraId="51ED719E" w14:textId="5C12992E" w:rsidR="004639E4" w:rsidRPr="00BD22C2" w:rsidRDefault="004639E4" w:rsidP="004639E4">
      <w:pPr>
        <w:pStyle w:val="Paragraphe"/>
        <w:rPr>
          <w:rFonts w:eastAsia="Calibri"/>
          <w:lang w:val="fr-CA"/>
        </w:rPr>
      </w:pPr>
      <w:r w:rsidRPr="00BD22C2">
        <w:rPr>
          <w:rFonts w:eastAsia="Calibri"/>
          <w:lang w:val="fr-CA"/>
        </w:rPr>
        <w:t>Le Québec a fait d’importantes avancées au cours des dernières décennies dans la reconnaissance des droits des personnes trans et non binaires. Dans un moment où ceux-ci sont remis en question un peu partout dans le monde, la Commission appelle le Comité de sages et le gouvernement à réaffirmer l’engagement du Québec en faveur du respect des droits de ces personnes et à poursuivre la mise en œuvre de mesures visant la pleine réalisation de leurs droits. Le chemin à parcourir vers l’égalité réelle demeure long, mais la Commission estime que la Charte et l’approche des droits de l’enfant fournissent tous les outils nécessaires pour guider la société québécoise sur celui-ci.</w:t>
      </w:r>
    </w:p>
    <w:p w14:paraId="3D5E6694" w14:textId="21D9EC6F" w:rsidR="00A14168" w:rsidRPr="00BD22C2" w:rsidRDefault="00B46739">
      <w:pPr>
        <w:pStyle w:val="Paragraphe"/>
        <w:rPr>
          <w:rFonts w:eastAsia="Calibri"/>
          <w:lang w:val="fr-CA"/>
        </w:rPr>
      </w:pPr>
      <w:r w:rsidRPr="00BD22C2">
        <w:rPr>
          <w:rFonts w:eastAsia="Calibri"/>
          <w:lang w:val="fr-CA"/>
        </w:rPr>
        <w:t>L</w:t>
      </w:r>
      <w:r w:rsidR="004639E4" w:rsidRPr="00BD22C2">
        <w:rPr>
          <w:rFonts w:eastAsia="Calibri"/>
          <w:lang w:val="fr-CA"/>
        </w:rPr>
        <w:t>a Commission</w:t>
      </w:r>
      <w:r w:rsidR="004F4A33" w:rsidRPr="00BD22C2">
        <w:rPr>
          <w:rFonts w:eastAsia="Calibri"/>
          <w:lang w:val="fr-CA"/>
        </w:rPr>
        <w:t xml:space="preserve"> </w:t>
      </w:r>
      <w:r w:rsidR="00C72C38" w:rsidRPr="00BD22C2">
        <w:rPr>
          <w:rFonts w:eastAsia="Calibri"/>
          <w:lang w:val="fr-CA"/>
        </w:rPr>
        <w:t>note</w:t>
      </w:r>
      <w:r w:rsidR="00691571" w:rsidRPr="00BD22C2">
        <w:rPr>
          <w:rFonts w:eastAsia="Calibri"/>
          <w:lang w:val="fr-CA"/>
        </w:rPr>
        <w:t xml:space="preserve"> </w:t>
      </w:r>
      <w:r w:rsidR="004F4A33" w:rsidRPr="00BD22C2">
        <w:rPr>
          <w:rFonts w:eastAsia="Calibri"/>
          <w:lang w:val="fr-CA"/>
        </w:rPr>
        <w:t>ainsi l’importance de</w:t>
      </w:r>
      <w:r w:rsidR="004639E4" w:rsidRPr="00BD22C2">
        <w:rPr>
          <w:rFonts w:eastAsia="Calibri"/>
          <w:lang w:val="fr-CA"/>
        </w:rPr>
        <w:t xml:space="preserve"> traiter des questions liées à l’identité de genre, y compris dans le discours public, en prenant appui sur le cadre des droits de la personne. </w:t>
      </w:r>
    </w:p>
    <w:p w14:paraId="4ADD1277" w14:textId="405020C9" w:rsidR="00AD0A0C" w:rsidRPr="00BD22C2" w:rsidRDefault="004639E4">
      <w:pPr>
        <w:pStyle w:val="Paragraphe"/>
        <w:rPr>
          <w:rFonts w:eastAsia="Calibri"/>
          <w:lang w:val="fr-CA"/>
        </w:rPr>
      </w:pPr>
      <w:r w:rsidRPr="00BD22C2">
        <w:rPr>
          <w:rFonts w:eastAsia="Calibri"/>
          <w:lang w:val="fr-CA"/>
        </w:rPr>
        <w:t xml:space="preserve">Concrètement, cela passe notamment par le rappel que les droits des personnes trans et non binaires sont protégés par la Charte et qu’ils sont indissociables et intimement liés à ceux d’autres groupes. Il s’agit par exemple de penser à tous les groupes qui se voient marginalisés, infériorisés et invisibilisés en raison des normes dominantes de genre et de sexualités, dont les femmes et les personnes appartenant aux minorités sexuelles et de genre. Le discours public sur l’identité de genre doit par ailleurs éviter le recours aux propos discriminatoires et haineux, notamment transphobes, et se tenir loin des stéréotypes, entre autres ceux qui pathologisent les personnes trans et non binaires, voire qui déconsidèrent leur existence. </w:t>
      </w:r>
    </w:p>
    <w:p w14:paraId="6CB19657" w14:textId="0D2F7F91" w:rsidR="00DE6BEB" w:rsidRPr="00BD22C2" w:rsidRDefault="00005CCB" w:rsidP="00183889">
      <w:pPr>
        <w:pStyle w:val="Paragraphe"/>
        <w:rPr>
          <w:rFonts w:eastAsia="Calibri"/>
          <w:lang w:val="fr-CA"/>
        </w:rPr>
      </w:pPr>
      <w:r w:rsidRPr="00BD22C2">
        <w:rPr>
          <w:rStyle w:val="ui-provider"/>
          <w:lang w:val="fr-CA"/>
        </w:rPr>
        <w:t>Finalement, préoccupée par les effets qu’engendre</w:t>
      </w:r>
      <w:r w:rsidR="00822E55" w:rsidRPr="00BD22C2">
        <w:rPr>
          <w:rStyle w:val="ui-provider"/>
          <w:lang w:val="fr-CA"/>
        </w:rPr>
        <w:t>nt</w:t>
      </w:r>
      <w:r w:rsidRPr="00BD22C2">
        <w:rPr>
          <w:rStyle w:val="ui-provider"/>
          <w:lang w:val="fr-CA"/>
        </w:rPr>
        <w:t xml:space="preserve"> les controverses sur l’identité de genre, la Commission tient à souligner que celles-ci ne sont pas sans entraîner d’importantes conséquences quant à la réalisation effective des droits des personnes concernées, particulièrement de leur droit à l’égalité. </w:t>
      </w:r>
      <w:r w:rsidR="00164381" w:rsidRPr="00BD22C2">
        <w:rPr>
          <w:rStyle w:val="ui-provider"/>
          <w:lang w:val="fr-CA"/>
        </w:rPr>
        <w:t>Ajoutons</w:t>
      </w:r>
      <w:r w:rsidRPr="00BD22C2">
        <w:rPr>
          <w:rStyle w:val="ui-provider"/>
          <w:lang w:val="fr-CA"/>
        </w:rPr>
        <w:t xml:space="preserve"> qu’il n’est pas question uniquement de concepts, mais bien de vies de personnes qui peinent déjà à bénéficier du soutien dont elles ont besoin, que ce soit de leurs proches ou des institutions, à avoir accès en toute égalité aux services et, dans trop de cas, à subvenir à leurs besoins. En plus de mesures pour assurer la réalisation de leurs droits, la société québécoise doit offrir un climat social propice à leur épanouissement.</w:t>
      </w:r>
      <w:r w:rsidR="00DE6BEB" w:rsidRPr="00BD22C2">
        <w:rPr>
          <w:rFonts w:eastAsia="Calibri"/>
          <w:lang w:val="fr-CA"/>
        </w:rPr>
        <w:br w:type="page"/>
      </w:r>
    </w:p>
    <w:p w14:paraId="6A5BA8C8" w14:textId="56CFF83E" w:rsidR="00C118D1" w:rsidRPr="00335951" w:rsidRDefault="009E5CC1" w:rsidP="00183889">
      <w:pPr>
        <w:pStyle w:val="Titre"/>
        <w:rPr>
          <w:rFonts w:eastAsia="Calibri"/>
          <w:lang w:eastAsia="en-US"/>
        </w:rPr>
      </w:pPr>
      <w:bookmarkStart w:id="217" w:name="_Toc165301054"/>
      <w:bookmarkStart w:id="218" w:name="_Toc165636142"/>
      <w:r w:rsidRPr="00335951">
        <w:rPr>
          <w:rFonts w:eastAsia="Calibri"/>
          <w:lang w:eastAsia="en-US"/>
        </w:rPr>
        <w:lastRenderedPageBreak/>
        <w:t>A</w:t>
      </w:r>
      <w:r w:rsidR="00DE6BEB" w:rsidRPr="00335951">
        <w:rPr>
          <w:rFonts w:eastAsia="Calibri"/>
          <w:lang w:eastAsia="en-US"/>
        </w:rPr>
        <w:t>nnexe</w:t>
      </w:r>
      <w:r w:rsidR="00CC76DE" w:rsidRPr="00335951">
        <w:rPr>
          <w:rFonts w:eastAsia="Calibri"/>
          <w:lang w:eastAsia="en-US"/>
        </w:rPr>
        <w:t> </w:t>
      </w:r>
      <w:r w:rsidR="00DE6BEB" w:rsidRPr="00335951">
        <w:rPr>
          <w:rFonts w:eastAsia="Calibri"/>
          <w:lang w:eastAsia="en-US"/>
        </w:rPr>
        <w:t>1</w:t>
      </w:r>
      <w:r w:rsidR="00183889" w:rsidRPr="00335951">
        <w:rPr>
          <w:rFonts w:eastAsia="Calibri"/>
          <w:lang w:eastAsia="en-US"/>
        </w:rPr>
        <w:t xml:space="preserve"> — </w:t>
      </w:r>
      <w:r w:rsidR="00E811A0" w:rsidRPr="00335951">
        <w:rPr>
          <w:rFonts w:eastAsia="Calibri"/>
          <w:lang w:eastAsia="en-US"/>
        </w:rPr>
        <w:t>Liste de documents produits par la Commission sur les droits des personnes LGBTQ+</w:t>
      </w:r>
      <w:bookmarkEnd w:id="217"/>
      <w:bookmarkEnd w:id="218"/>
    </w:p>
    <w:p w14:paraId="4616E828" w14:textId="6B9B1B27" w:rsidR="00DE6BEB" w:rsidRPr="00BD22C2" w:rsidRDefault="008D5DC8" w:rsidP="009E5CC1">
      <w:pPr>
        <w:pStyle w:val="Paragraphe"/>
        <w:rPr>
          <w:rFonts w:eastAsia="Calibri"/>
          <w:b/>
          <w:lang w:val="fr-CA"/>
        </w:rPr>
      </w:pPr>
      <w:r w:rsidRPr="00BD22C2">
        <w:rPr>
          <w:rFonts w:eastAsia="Calibri"/>
          <w:b/>
          <w:lang w:val="fr-CA"/>
        </w:rPr>
        <w:t>Avis, mémoires</w:t>
      </w:r>
      <w:r w:rsidR="009B0DFE" w:rsidRPr="00BD22C2">
        <w:rPr>
          <w:rFonts w:eastAsia="Calibri"/>
          <w:b/>
          <w:lang w:val="fr-CA"/>
        </w:rPr>
        <w:t>,</w:t>
      </w:r>
      <w:r w:rsidRPr="00BD22C2">
        <w:rPr>
          <w:rFonts w:eastAsia="Calibri"/>
          <w:b/>
          <w:lang w:val="fr-CA"/>
        </w:rPr>
        <w:t xml:space="preserve"> rapports</w:t>
      </w:r>
      <w:r w:rsidR="00AC34C2" w:rsidRPr="00BD22C2">
        <w:rPr>
          <w:rFonts w:eastAsia="Calibri"/>
          <w:b/>
          <w:lang w:val="fr-CA"/>
        </w:rPr>
        <w:t xml:space="preserve">, déclarations </w:t>
      </w:r>
      <w:r w:rsidR="009B0DFE" w:rsidRPr="00BD22C2">
        <w:rPr>
          <w:rFonts w:eastAsia="Calibri"/>
          <w:b/>
          <w:lang w:val="fr-CA"/>
        </w:rPr>
        <w:t>et lettres</w:t>
      </w:r>
    </w:p>
    <w:p w14:paraId="4AB24352" w14:textId="096F0B0C" w:rsidR="00620A14" w:rsidRPr="00BD22C2" w:rsidRDefault="00230BF4" w:rsidP="00EF35FA">
      <w:pPr>
        <w:pStyle w:val="NDBP"/>
        <w:rPr>
          <w:rFonts w:eastAsia="Calibri"/>
          <w:lang w:val="fr-CA"/>
        </w:rPr>
      </w:pPr>
      <w:r w:rsidRPr="00BD22C2">
        <w:rPr>
          <w:rFonts w:cs="Arial"/>
          <w:smallCaps/>
          <w:lang w:val="fr-CA"/>
        </w:rPr>
        <w:tab/>
      </w:r>
      <w:r w:rsidR="00C5714E" w:rsidRPr="00BD22C2">
        <w:rPr>
          <w:rFonts w:cs="Arial"/>
          <w:smallCaps/>
          <w:lang w:val="fr-CA"/>
        </w:rPr>
        <w:t>Commission des droits de la personne et des droits de la jeunesse</w:t>
      </w:r>
      <w:r w:rsidR="00C5714E" w:rsidRPr="00BD22C2">
        <w:rPr>
          <w:lang w:val="fr-CA"/>
        </w:rPr>
        <w:t xml:space="preserve">, </w:t>
      </w:r>
      <w:r w:rsidR="00C5714E" w:rsidRPr="009F312D">
        <w:rPr>
          <w:i/>
          <w:iCs/>
          <w:lang w:val="fr-CA"/>
        </w:rPr>
        <w:t>De l’illégalité à l’égalité : Rapport de la consultation publique sur la violence et la discrimination envers les gais et lesbiennes</w:t>
      </w:r>
      <w:r w:rsidR="00C5714E" w:rsidRPr="00BD22C2">
        <w:rPr>
          <w:lang w:val="fr-CA"/>
        </w:rPr>
        <w:t xml:space="preserve">, 1994, [En ligne]. </w:t>
      </w:r>
      <w:hyperlink r:id="rId42" w:history="1">
        <w:r w:rsidR="00C5714E" w:rsidRPr="00BD22C2">
          <w:rPr>
            <w:rStyle w:val="Lienhypertexte"/>
            <w:szCs w:val="22"/>
            <w:lang w:val="fr-CA"/>
          </w:rPr>
          <w:t>https://www.cdpdj.qc.ca/fr/publications/de-lillacgalitac-a-lacgalit</w:t>
        </w:r>
      </w:hyperlink>
      <w:r w:rsidR="00C5714E" w:rsidRPr="00BD22C2">
        <w:rPr>
          <w:lang w:val="fr-CA"/>
        </w:rPr>
        <w:t> </w:t>
      </w:r>
    </w:p>
    <w:p w14:paraId="1C3600E0" w14:textId="1AA26817" w:rsidR="00230BF4" w:rsidRPr="00BD22C2" w:rsidRDefault="00230BF4" w:rsidP="00EF35FA">
      <w:pPr>
        <w:pStyle w:val="NDBP"/>
        <w:rPr>
          <w:lang w:val="fr-CA"/>
        </w:rPr>
      </w:pPr>
      <w:r w:rsidRPr="00BD22C2">
        <w:rPr>
          <w:lang w:val="fr-CA"/>
        </w:rPr>
        <w:tab/>
      </w:r>
      <w:r w:rsidR="00EF1CB2" w:rsidRPr="00BD22C2">
        <w:rPr>
          <w:rFonts w:cs="Arial"/>
          <w:smallCaps/>
          <w:lang w:val="fr-CA"/>
        </w:rPr>
        <w:t>Commission des droits de la personne et des droits de la jeunesse</w:t>
      </w:r>
      <w:r w:rsidR="00620A14" w:rsidRPr="00BD22C2">
        <w:rPr>
          <w:lang w:val="fr-CA"/>
        </w:rPr>
        <w:t xml:space="preserve">, </w:t>
      </w:r>
      <w:r w:rsidR="00E22B7C" w:rsidRPr="00B1614A">
        <w:rPr>
          <w:i/>
          <w:iCs/>
          <w:lang w:val="fr-CA"/>
        </w:rPr>
        <w:t>Mémoire à la commission des institutions sur le projet de loi n</w:t>
      </w:r>
      <w:r w:rsidR="00E22B7C" w:rsidRPr="00B1614A">
        <w:rPr>
          <w:rFonts w:cs="Arial"/>
          <w:i/>
          <w:iCs/>
          <w:lang w:val="fr-CA"/>
        </w:rPr>
        <w:t>°</w:t>
      </w:r>
      <w:r w:rsidR="0091080B">
        <w:rPr>
          <w:i/>
          <w:iCs/>
          <w:lang w:val="fr-CA"/>
        </w:rPr>
        <w:t> </w:t>
      </w:r>
      <w:r w:rsidR="00E22B7C" w:rsidRPr="00B1614A">
        <w:rPr>
          <w:i/>
          <w:iCs/>
          <w:lang w:val="fr-CA"/>
        </w:rPr>
        <w:t>133, Loi modifiant la charte des droits et libertés de la personne et d</w:t>
      </w:r>
      <w:r w:rsidR="0051216B" w:rsidRPr="00B1614A">
        <w:rPr>
          <w:i/>
          <w:iCs/>
          <w:lang w:val="fr-CA"/>
        </w:rPr>
        <w:t>’</w:t>
      </w:r>
      <w:r w:rsidR="00E22B7C" w:rsidRPr="00B1614A">
        <w:rPr>
          <w:i/>
          <w:iCs/>
          <w:lang w:val="fr-CA"/>
        </w:rPr>
        <w:t>autres dispositions législatives</w:t>
      </w:r>
      <w:r w:rsidR="00CE57C5" w:rsidRPr="00BD22C2">
        <w:rPr>
          <w:lang w:val="fr-CA"/>
        </w:rPr>
        <w:t xml:space="preserve">, </w:t>
      </w:r>
      <w:r w:rsidRPr="00BD22C2">
        <w:rPr>
          <w:lang w:val="fr-CA"/>
        </w:rPr>
        <w:t>(</w:t>
      </w:r>
      <w:r w:rsidR="00746297" w:rsidRPr="00BD22C2">
        <w:rPr>
          <w:lang w:val="fr-CA"/>
        </w:rPr>
        <w:t>Cat. 2.</w:t>
      </w:r>
      <w:r w:rsidR="004E01DA" w:rsidRPr="00BD22C2">
        <w:rPr>
          <w:lang w:val="fr-CA"/>
        </w:rPr>
        <w:t>412-80.1</w:t>
      </w:r>
      <w:r w:rsidRPr="00BD22C2">
        <w:rPr>
          <w:lang w:val="fr-CA"/>
        </w:rPr>
        <w:t>)</w:t>
      </w:r>
      <w:r w:rsidR="004E01DA" w:rsidRPr="00BD22C2">
        <w:rPr>
          <w:lang w:val="fr-CA"/>
        </w:rPr>
        <w:t>,</w:t>
      </w:r>
      <w:r w:rsidR="00CE57C5" w:rsidRPr="00BD22C2">
        <w:rPr>
          <w:lang w:val="fr-CA"/>
        </w:rPr>
        <w:t xml:space="preserve"> 1996</w:t>
      </w:r>
      <w:r w:rsidR="004E01DA" w:rsidRPr="00BD22C2">
        <w:rPr>
          <w:lang w:val="fr-CA"/>
        </w:rPr>
        <w:t xml:space="preserve">, [En ligne]. </w:t>
      </w:r>
      <w:hyperlink r:id="rId43" w:history="1">
        <w:r w:rsidRPr="00BD22C2">
          <w:rPr>
            <w:rStyle w:val="Lienhypertexte"/>
            <w:lang w:val="fr-CA"/>
          </w:rPr>
          <w:t>https://www.cdpdj.qc.ca/storage/app/media/publications/pl133_memoire.pdf</w:t>
        </w:r>
      </w:hyperlink>
    </w:p>
    <w:p w14:paraId="3963E4B7" w14:textId="581D4707" w:rsidR="00230BF4" w:rsidRPr="00BD22C2" w:rsidRDefault="00230BF4" w:rsidP="00EF35FA">
      <w:pPr>
        <w:pStyle w:val="NDBP"/>
        <w:rPr>
          <w:lang w:val="fr-CA"/>
        </w:rPr>
      </w:pPr>
      <w:r w:rsidRPr="00BD22C2">
        <w:rPr>
          <w:rFonts w:cs="Arial"/>
          <w:smallCaps/>
          <w:lang w:val="fr-CA"/>
        </w:rPr>
        <w:tab/>
      </w:r>
      <w:r w:rsidR="00620A14" w:rsidRPr="00BD22C2">
        <w:rPr>
          <w:rFonts w:cs="Arial"/>
          <w:smallCaps/>
          <w:lang w:val="fr-CA"/>
        </w:rPr>
        <w:t>Commission des droits de la personne et des droits de la jeunesse</w:t>
      </w:r>
      <w:r w:rsidR="00620A14" w:rsidRPr="00BD22C2">
        <w:rPr>
          <w:lang w:val="fr-CA"/>
        </w:rPr>
        <w:t xml:space="preserve">, </w:t>
      </w:r>
      <w:r w:rsidR="00E22B7C" w:rsidRPr="00B1614A">
        <w:rPr>
          <w:i/>
          <w:iCs/>
          <w:lang w:val="fr-CA"/>
        </w:rPr>
        <w:t>Mémoire à la commission des institutions</w:t>
      </w:r>
      <w:r w:rsidR="00481A0B" w:rsidRPr="00B1614A">
        <w:rPr>
          <w:i/>
          <w:iCs/>
          <w:lang w:val="fr-CA"/>
        </w:rPr>
        <w:t>, A</w:t>
      </w:r>
      <w:r w:rsidR="00E22B7C" w:rsidRPr="00B1614A">
        <w:rPr>
          <w:i/>
          <w:iCs/>
          <w:lang w:val="fr-CA"/>
        </w:rPr>
        <w:t>vant-projet de loi instituant l</w:t>
      </w:r>
      <w:r w:rsidR="0051216B" w:rsidRPr="00B1614A">
        <w:rPr>
          <w:i/>
          <w:iCs/>
          <w:lang w:val="fr-CA"/>
        </w:rPr>
        <w:t>’</w:t>
      </w:r>
      <w:r w:rsidR="00E22B7C" w:rsidRPr="00B1614A">
        <w:rPr>
          <w:i/>
          <w:iCs/>
          <w:lang w:val="fr-CA"/>
        </w:rPr>
        <w:t xml:space="preserve">union civile des personnes de même sexe et modifiant le </w:t>
      </w:r>
      <w:r w:rsidR="00BD3DD3">
        <w:rPr>
          <w:i/>
          <w:iCs/>
          <w:lang w:val="fr-CA"/>
        </w:rPr>
        <w:t>C</w:t>
      </w:r>
      <w:r w:rsidR="00E22B7C" w:rsidRPr="00B1614A">
        <w:rPr>
          <w:i/>
          <w:iCs/>
          <w:lang w:val="fr-CA"/>
        </w:rPr>
        <w:t>ode civil et d</w:t>
      </w:r>
      <w:r w:rsidR="0051216B" w:rsidRPr="00B1614A">
        <w:rPr>
          <w:i/>
          <w:iCs/>
          <w:lang w:val="fr-CA"/>
        </w:rPr>
        <w:t>’</w:t>
      </w:r>
      <w:r w:rsidR="00E22B7C" w:rsidRPr="00B1614A">
        <w:rPr>
          <w:i/>
          <w:iCs/>
          <w:lang w:val="fr-CA"/>
        </w:rPr>
        <w:t>autres dispositions législatives</w:t>
      </w:r>
      <w:r w:rsidR="00424FED" w:rsidRPr="00BD22C2">
        <w:rPr>
          <w:lang w:val="fr-CA"/>
        </w:rPr>
        <w:t xml:space="preserve">, </w:t>
      </w:r>
      <w:r w:rsidRPr="00BD22C2">
        <w:rPr>
          <w:lang w:val="fr-CA"/>
        </w:rPr>
        <w:t>(</w:t>
      </w:r>
      <w:r w:rsidR="00F0268A" w:rsidRPr="00BD22C2">
        <w:rPr>
          <w:lang w:val="fr-CA"/>
        </w:rPr>
        <w:t>Cat. 2.412.95</w:t>
      </w:r>
      <w:r w:rsidRPr="00BD22C2">
        <w:rPr>
          <w:lang w:val="fr-CA"/>
        </w:rPr>
        <w:t>)</w:t>
      </w:r>
      <w:r w:rsidR="00F0268A" w:rsidRPr="00BD22C2">
        <w:rPr>
          <w:lang w:val="fr-CA"/>
        </w:rPr>
        <w:t xml:space="preserve">, </w:t>
      </w:r>
      <w:r w:rsidR="00424FED" w:rsidRPr="00BD22C2">
        <w:rPr>
          <w:lang w:val="fr-CA"/>
        </w:rPr>
        <w:t>2002</w:t>
      </w:r>
      <w:r w:rsidR="00DB4E91" w:rsidRPr="00BD22C2">
        <w:rPr>
          <w:lang w:val="fr-CA"/>
        </w:rPr>
        <w:t xml:space="preserve">, </w:t>
      </w:r>
      <w:r w:rsidR="00F0268A" w:rsidRPr="00BD22C2">
        <w:rPr>
          <w:lang w:val="fr-CA"/>
        </w:rPr>
        <w:t>[En ligne]</w:t>
      </w:r>
      <w:r w:rsidR="000E5C51" w:rsidRPr="00BD22C2">
        <w:rPr>
          <w:lang w:val="fr-CA"/>
        </w:rPr>
        <w:t xml:space="preserve">. </w:t>
      </w:r>
      <w:hyperlink r:id="rId44" w:history="1">
        <w:r w:rsidRPr="00BD22C2">
          <w:rPr>
            <w:rStyle w:val="Lienhypertexte"/>
            <w:lang w:val="fr-CA"/>
          </w:rPr>
          <w:t>https://www.cdpdj.qc.ca/storage/app/media/publications/union_civile.pdf</w:t>
        </w:r>
      </w:hyperlink>
    </w:p>
    <w:p w14:paraId="038E0B0D" w14:textId="231698C9" w:rsidR="00181787" w:rsidRPr="00BD22C2" w:rsidRDefault="00230BF4" w:rsidP="00EF35FA">
      <w:pPr>
        <w:pStyle w:val="NDBP"/>
        <w:rPr>
          <w:lang w:val="fr-CA"/>
        </w:rPr>
      </w:pPr>
      <w:r w:rsidRPr="00BD22C2">
        <w:rPr>
          <w:rFonts w:cs="Arial"/>
          <w:smallCaps/>
          <w:lang w:val="fr-CA"/>
        </w:rPr>
        <w:tab/>
      </w:r>
      <w:r w:rsidR="00103AC2" w:rsidRPr="00BD22C2">
        <w:rPr>
          <w:rFonts w:cs="Arial"/>
          <w:smallCaps/>
          <w:lang w:val="fr-CA"/>
        </w:rPr>
        <w:t>Commission des droits de la personne et des droits de la jeunesse</w:t>
      </w:r>
      <w:r w:rsidR="00103AC2" w:rsidRPr="00BD22C2">
        <w:rPr>
          <w:lang w:val="fr-CA"/>
        </w:rPr>
        <w:t xml:space="preserve">, </w:t>
      </w:r>
      <w:r w:rsidR="00103AC2" w:rsidRPr="00BE50A5">
        <w:rPr>
          <w:i/>
          <w:iCs/>
          <w:lang w:val="fr-CA"/>
        </w:rPr>
        <w:t>De l’égalité juridique à l’égalité sociale : vers une stratégie nationale de lutte contre l’homophobie, Rapport de consultation du Groupe de travail mixte contre l’homophobie</w:t>
      </w:r>
      <w:r w:rsidR="00103AC2" w:rsidRPr="00BD22C2">
        <w:rPr>
          <w:lang w:val="fr-CA"/>
        </w:rPr>
        <w:t xml:space="preserve">, 2007, [En ligne]. </w:t>
      </w:r>
      <w:hyperlink r:id="rId45" w:history="1">
        <w:r w:rsidR="00103AC2" w:rsidRPr="00BD22C2">
          <w:rPr>
            <w:rStyle w:val="Lienhypertexte"/>
            <w:lang w:val="fr-CA"/>
          </w:rPr>
          <w:t>https://www.cdpdj.qc.ca/fr/publications/de-lacgalitac-juridique-a-l</w:t>
        </w:r>
      </w:hyperlink>
      <w:r w:rsidR="00103AC2" w:rsidRPr="00BD22C2">
        <w:rPr>
          <w:lang w:val="fr-CA"/>
        </w:rPr>
        <w:t xml:space="preserve"> </w:t>
      </w:r>
    </w:p>
    <w:p w14:paraId="500A7465" w14:textId="41AAE9D2" w:rsidR="002B7F31" w:rsidRPr="00BD22C2" w:rsidRDefault="00230BF4" w:rsidP="00EF35FA">
      <w:pPr>
        <w:pStyle w:val="NDBP"/>
        <w:rPr>
          <w:lang w:val="fr-CA"/>
        </w:rPr>
      </w:pPr>
      <w:r w:rsidRPr="00BD22C2">
        <w:rPr>
          <w:rFonts w:cs="Arial"/>
          <w:smallCaps/>
          <w:lang w:val="fr-CA"/>
        </w:rPr>
        <w:tab/>
      </w:r>
      <w:r w:rsidR="00EF1CB2" w:rsidRPr="00BD22C2">
        <w:rPr>
          <w:rFonts w:cs="Arial"/>
          <w:smallCaps/>
          <w:lang w:val="fr-CA"/>
        </w:rPr>
        <w:t>Commission des droits de la personne et des droits de la jeunesse</w:t>
      </w:r>
      <w:r w:rsidR="00620A14" w:rsidRPr="00BD22C2">
        <w:rPr>
          <w:lang w:val="fr-CA"/>
        </w:rPr>
        <w:t xml:space="preserve">, </w:t>
      </w:r>
      <w:r w:rsidR="0060774D" w:rsidRPr="00EA58A6">
        <w:rPr>
          <w:i/>
          <w:iCs/>
          <w:lang w:val="fr-CA"/>
        </w:rPr>
        <w:t>Commentaires sur le projet loi n°</w:t>
      </w:r>
      <w:r w:rsidR="0091080B">
        <w:rPr>
          <w:i/>
          <w:iCs/>
          <w:lang w:val="fr-CA"/>
        </w:rPr>
        <w:t> </w:t>
      </w:r>
      <w:r w:rsidR="0060774D" w:rsidRPr="00EA58A6">
        <w:rPr>
          <w:i/>
          <w:iCs/>
          <w:lang w:val="fr-CA"/>
        </w:rPr>
        <w:t>70, loi facilitant les actions civiles des victimes d’actes criminels et l’exercice de certains autres droits</w:t>
      </w:r>
      <w:r w:rsidR="002B7F31" w:rsidRPr="00BD22C2">
        <w:rPr>
          <w:lang w:val="fr-CA"/>
        </w:rPr>
        <w:t xml:space="preserve">, </w:t>
      </w:r>
      <w:r w:rsidR="00436051">
        <w:rPr>
          <w:lang w:val="fr-CA"/>
        </w:rPr>
        <w:t>(</w:t>
      </w:r>
      <w:r w:rsidR="00D07D62" w:rsidRPr="00BD22C2">
        <w:rPr>
          <w:lang w:val="fr-CA"/>
        </w:rPr>
        <w:t>Cat. 2.412.118</w:t>
      </w:r>
      <w:r w:rsidR="00436051">
        <w:rPr>
          <w:lang w:val="fr-CA"/>
        </w:rPr>
        <w:t>)</w:t>
      </w:r>
      <w:r w:rsidR="00D07D62" w:rsidRPr="00BD22C2">
        <w:rPr>
          <w:lang w:val="fr-CA"/>
        </w:rPr>
        <w:t xml:space="preserve">, </w:t>
      </w:r>
      <w:r w:rsidR="002B7F31" w:rsidRPr="00BD22C2">
        <w:rPr>
          <w:lang w:val="fr-CA"/>
        </w:rPr>
        <w:t>2012</w:t>
      </w:r>
      <w:r w:rsidR="00B01F2F" w:rsidRPr="00BD22C2">
        <w:rPr>
          <w:lang w:val="fr-CA"/>
        </w:rPr>
        <w:t>, [En ligne],</w:t>
      </w:r>
      <w:r w:rsidR="00C45680" w:rsidRPr="00BD22C2">
        <w:rPr>
          <w:lang w:val="fr-CA"/>
        </w:rPr>
        <w:t xml:space="preserve"> </w:t>
      </w:r>
      <w:hyperlink r:id="rId46" w:history="1">
        <w:r w:rsidRPr="00BD22C2">
          <w:rPr>
            <w:rStyle w:val="Lienhypertexte"/>
            <w:lang w:val="fr-CA"/>
          </w:rPr>
          <w:t>https://www.cdpdj.qc.ca/storage/app/media/publications/Commentaires_PL_70_Victimes_actes_criminels.pdf</w:t>
        </w:r>
      </w:hyperlink>
      <w:r w:rsidR="00C45680" w:rsidRPr="00BD22C2">
        <w:rPr>
          <w:lang w:val="fr-CA"/>
        </w:rPr>
        <w:t xml:space="preserve"> </w:t>
      </w:r>
    </w:p>
    <w:p w14:paraId="47CB4BD3" w14:textId="23FD6E1C" w:rsidR="00230BF4" w:rsidRPr="00BD22C2" w:rsidRDefault="00230BF4" w:rsidP="00EF35FA">
      <w:pPr>
        <w:pStyle w:val="NDBP"/>
        <w:rPr>
          <w:lang w:val="fr-CA"/>
        </w:rPr>
      </w:pPr>
      <w:r w:rsidRPr="00BD22C2">
        <w:rPr>
          <w:smallCaps/>
          <w:lang w:val="fr-CA"/>
        </w:rPr>
        <w:tab/>
      </w:r>
      <w:r w:rsidR="00222788" w:rsidRPr="00BD22C2">
        <w:rPr>
          <w:smallCaps/>
          <w:lang w:val="fr-CA"/>
        </w:rPr>
        <w:t>Commission des droits de la personne et des droits de la jeunesse</w:t>
      </w:r>
      <w:r w:rsidR="00222788" w:rsidRPr="00BD22C2">
        <w:rPr>
          <w:lang w:val="fr-CA"/>
        </w:rPr>
        <w:t xml:space="preserve">, </w:t>
      </w:r>
      <w:r w:rsidR="00222788" w:rsidRPr="00D62BC5">
        <w:rPr>
          <w:i/>
          <w:lang w:val="fr-CA"/>
        </w:rPr>
        <w:t>Commentaires sur le projet de loi n°</w:t>
      </w:r>
      <w:r w:rsidR="0091080B">
        <w:rPr>
          <w:i/>
          <w:lang w:val="fr-CA"/>
        </w:rPr>
        <w:t> </w:t>
      </w:r>
      <w:r w:rsidR="00222788" w:rsidRPr="00D62BC5">
        <w:rPr>
          <w:i/>
          <w:lang w:val="fr-CA"/>
        </w:rPr>
        <w:t>56, Loi visant à lutter contre l’intimidation à l’école</w:t>
      </w:r>
      <w:r w:rsidR="00222788" w:rsidRPr="00BD22C2">
        <w:rPr>
          <w:lang w:val="fr-CA"/>
        </w:rPr>
        <w:t>, (Cat. 2.412.117), 2012</w:t>
      </w:r>
      <w:r w:rsidR="007D184E" w:rsidRPr="00BD22C2">
        <w:rPr>
          <w:lang w:val="fr-CA"/>
        </w:rPr>
        <w:t xml:space="preserve">, </w:t>
      </w:r>
      <w:r w:rsidR="00A25880" w:rsidRPr="00BD22C2">
        <w:rPr>
          <w:lang w:val="fr-CA"/>
        </w:rPr>
        <w:t>[En ligne</w:t>
      </w:r>
      <w:r w:rsidR="0036677B" w:rsidRPr="00BD22C2">
        <w:rPr>
          <w:lang w:val="fr-CA"/>
        </w:rPr>
        <w:t xml:space="preserve">]. </w:t>
      </w:r>
      <w:hyperlink r:id="rId47" w:history="1">
        <w:r w:rsidRPr="00BD22C2">
          <w:rPr>
            <w:rStyle w:val="Lienhypertexte"/>
            <w:lang w:val="fr-CA"/>
          </w:rPr>
          <w:t>https://www.cdpdj.qc.ca/storage/app/media/publications/memoire_PL_56_intimidation_violence_ecole.pdf</w:t>
        </w:r>
      </w:hyperlink>
    </w:p>
    <w:p w14:paraId="1315078C" w14:textId="61D6F132" w:rsidR="00230BF4" w:rsidRPr="00BD22C2" w:rsidRDefault="00230BF4" w:rsidP="00EF35FA">
      <w:pPr>
        <w:pStyle w:val="NDBP"/>
        <w:rPr>
          <w:lang w:val="fr-CA"/>
        </w:rPr>
      </w:pPr>
      <w:r w:rsidRPr="00BD22C2">
        <w:rPr>
          <w:smallCaps/>
          <w:lang w:val="fr-CA"/>
        </w:rPr>
        <w:tab/>
      </w:r>
      <w:r w:rsidR="00D5002C" w:rsidRPr="00BD22C2">
        <w:rPr>
          <w:smallCaps/>
          <w:lang w:val="fr-CA"/>
        </w:rPr>
        <w:t>Commission des droits de la personne et des droits de la jeunesse</w:t>
      </w:r>
      <w:r w:rsidR="00EF1CB2" w:rsidRPr="00BD22C2">
        <w:rPr>
          <w:smallCaps/>
          <w:lang w:val="fr-CA"/>
        </w:rPr>
        <w:t>,</w:t>
      </w:r>
      <w:r w:rsidR="00D5002C" w:rsidRPr="00BD22C2">
        <w:rPr>
          <w:lang w:val="fr-CA"/>
        </w:rPr>
        <w:t xml:space="preserve"> </w:t>
      </w:r>
      <w:r w:rsidR="00653105" w:rsidRPr="00D62BC5">
        <w:rPr>
          <w:i/>
          <w:iCs/>
          <w:lang w:val="fr-CA"/>
        </w:rPr>
        <w:t>Commentaires sur le projet loi n°</w:t>
      </w:r>
      <w:r w:rsidR="0091080B">
        <w:rPr>
          <w:i/>
          <w:iCs/>
          <w:lang w:val="fr-CA"/>
        </w:rPr>
        <w:t> </w:t>
      </w:r>
      <w:r w:rsidR="00653105" w:rsidRPr="00D62BC5">
        <w:rPr>
          <w:i/>
          <w:iCs/>
          <w:lang w:val="fr-CA"/>
        </w:rPr>
        <w:t>35, Loi modifiant le Code civil en matière d’état civil, de successions et de publicité des droits</w:t>
      </w:r>
      <w:r w:rsidR="00653105" w:rsidRPr="00BD22C2">
        <w:rPr>
          <w:lang w:val="fr-CA"/>
        </w:rPr>
        <w:t xml:space="preserve">, </w:t>
      </w:r>
      <w:r w:rsidR="00EF1CB2" w:rsidRPr="00BD22C2">
        <w:rPr>
          <w:lang w:val="fr-CA"/>
        </w:rPr>
        <w:t>(</w:t>
      </w:r>
      <w:r w:rsidR="00653105" w:rsidRPr="00BD22C2">
        <w:rPr>
          <w:lang w:val="fr-CA"/>
        </w:rPr>
        <w:t xml:space="preserve">Cat. </w:t>
      </w:r>
      <w:r w:rsidR="00D5002C" w:rsidRPr="00BD22C2">
        <w:rPr>
          <w:lang w:val="fr-CA"/>
        </w:rPr>
        <w:t>2.412.118.1</w:t>
      </w:r>
      <w:r w:rsidR="00EF1CB2" w:rsidRPr="00BD22C2">
        <w:rPr>
          <w:lang w:val="fr-CA"/>
        </w:rPr>
        <w:t>)</w:t>
      </w:r>
      <w:r w:rsidR="00D5002C" w:rsidRPr="00BD22C2">
        <w:rPr>
          <w:lang w:val="fr-CA"/>
        </w:rPr>
        <w:t xml:space="preserve">, </w:t>
      </w:r>
      <w:r w:rsidR="00653105" w:rsidRPr="00BD22C2">
        <w:rPr>
          <w:lang w:val="fr-CA"/>
        </w:rPr>
        <w:t>2013</w:t>
      </w:r>
      <w:r w:rsidR="00D5002C" w:rsidRPr="00BD22C2">
        <w:rPr>
          <w:lang w:val="fr-CA"/>
        </w:rPr>
        <w:t xml:space="preserve">, [En ligne]. </w:t>
      </w:r>
      <w:hyperlink r:id="rId48" w:history="1">
        <w:r w:rsidRPr="00BD22C2">
          <w:rPr>
            <w:rStyle w:val="Lienhypertexte"/>
            <w:lang w:val="fr-CA"/>
          </w:rPr>
          <w:t>https://www.cdpdj.qc.ca/storage/app/media/publications/commentaires_PL35_Code_civil_trans_testament_sourd.pdf</w:t>
        </w:r>
      </w:hyperlink>
    </w:p>
    <w:p w14:paraId="19A6DB2E" w14:textId="236CDE37" w:rsidR="00A771EE" w:rsidRPr="00BD22C2" w:rsidRDefault="00230BF4" w:rsidP="00EF35FA">
      <w:pPr>
        <w:pStyle w:val="NDBP"/>
        <w:rPr>
          <w:lang w:val="fr-CA"/>
        </w:rPr>
      </w:pPr>
      <w:r w:rsidRPr="00BD22C2">
        <w:rPr>
          <w:smallCaps/>
          <w:lang w:val="fr-CA"/>
        </w:rPr>
        <w:tab/>
      </w:r>
      <w:r w:rsidR="00C30600" w:rsidRPr="00BD22C2">
        <w:rPr>
          <w:smallCaps/>
          <w:lang w:val="fr-CA"/>
        </w:rPr>
        <w:t>Commission des droits de la personne et des droits de la jeunesse</w:t>
      </w:r>
      <w:r w:rsidR="00C30600" w:rsidRPr="00BD22C2">
        <w:rPr>
          <w:rStyle w:val="NotesBasPageCar"/>
          <w:szCs w:val="18"/>
          <w:lang w:val="fr-CA"/>
        </w:rPr>
        <w:t xml:space="preserve">, </w:t>
      </w:r>
      <w:r w:rsidR="00C30600" w:rsidRPr="00BD22C2">
        <w:rPr>
          <w:rStyle w:val="NotesBasPageCar"/>
          <w:i/>
          <w:szCs w:val="18"/>
          <w:lang w:val="fr-CA"/>
        </w:rPr>
        <w:t>Commentaires sur le Projet de règlement modifiant le Règlement relatif au changement de nom et d’autres qualités de l’état civil</w:t>
      </w:r>
      <w:r w:rsidR="00C30600" w:rsidRPr="00BD22C2">
        <w:rPr>
          <w:rStyle w:val="NotesBasPageCar"/>
          <w:szCs w:val="18"/>
          <w:lang w:val="fr-CA"/>
        </w:rPr>
        <w:t>, (Cat. 2.412.118.2), 2015,</w:t>
      </w:r>
      <w:r w:rsidR="004C505D" w:rsidRPr="00BD22C2">
        <w:rPr>
          <w:rStyle w:val="NotesBasPageCar"/>
          <w:szCs w:val="18"/>
          <w:lang w:val="fr-CA"/>
        </w:rPr>
        <w:t xml:space="preserve"> [En ligne]. </w:t>
      </w:r>
      <w:hyperlink r:id="rId49" w:history="1">
        <w:r w:rsidRPr="00BD22C2">
          <w:rPr>
            <w:rStyle w:val="Lienhypertexte"/>
            <w:lang w:val="fr-CA"/>
          </w:rPr>
          <w:t>https://www.cdpdj.qc.ca/storage/app/media/publications/commentaires_etat-civil_trans.pdf</w:t>
        </w:r>
      </w:hyperlink>
    </w:p>
    <w:p w14:paraId="49E8E90B" w14:textId="25561846" w:rsidR="009977D9" w:rsidRPr="00BD22C2" w:rsidRDefault="00230BF4" w:rsidP="00EF35FA">
      <w:pPr>
        <w:pStyle w:val="NDBP"/>
        <w:rPr>
          <w:lang w:val="fr-CA"/>
        </w:rPr>
      </w:pPr>
      <w:r w:rsidRPr="00BD22C2">
        <w:rPr>
          <w:lang w:val="fr-CA"/>
        </w:rPr>
        <w:tab/>
      </w:r>
      <w:r w:rsidR="009977D9" w:rsidRPr="00614C83">
        <w:rPr>
          <w:smallCaps/>
          <w:lang w:val="fr-CA"/>
        </w:rPr>
        <w:t>Commission des droits de la personne et des droits de la jeunesse</w:t>
      </w:r>
      <w:r w:rsidR="009977D9" w:rsidRPr="00BD22C2">
        <w:rPr>
          <w:lang w:val="fr-CA"/>
        </w:rPr>
        <w:t xml:space="preserve">, </w:t>
      </w:r>
      <w:r w:rsidR="009977D9" w:rsidRPr="00614C83">
        <w:rPr>
          <w:i/>
          <w:iCs/>
          <w:lang w:val="fr-CA"/>
        </w:rPr>
        <w:t>Mémoire à la Commission des institutions de l’Assemblée nationale sur le Projet de loi n°</w:t>
      </w:r>
      <w:r w:rsidR="0091080B">
        <w:rPr>
          <w:i/>
          <w:iCs/>
          <w:lang w:val="fr-CA"/>
        </w:rPr>
        <w:t> </w:t>
      </w:r>
      <w:r w:rsidR="009977D9" w:rsidRPr="00614C83">
        <w:rPr>
          <w:i/>
          <w:iCs/>
          <w:lang w:val="fr-CA"/>
        </w:rPr>
        <w:t>59, Loi édictant la Loi concernant la prévention et la lutte contre les discours haineux et les discours incitant à la violence et apportant diverses modifications législatives pour renforcer la protection des personnes</w:t>
      </w:r>
      <w:r w:rsidR="009977D9" w:rsidRPr="00BD22C2">
        <w:rPr>
          <w:lang w:val="fr-CA"/>
        </w:rPr>
        <w:t xml:space="preserve">, </w:t>
      </w:r>
      <w:r w:rsidR="00436051">
        <w:rPr>
          <w:lang w:val="fr-CA"/>
        </w:rPr>
        <w:t>(</w:t>
      </w:r>
      <w:r w:rsidR="009977D9" w:rsidRPr="00BD22C2">
        <w:rPr>
          <w:lang w:val="fr-CA"/>
        </w:rPr>
        <w:t>Cat. 2.412.122</w:t>
      </w:r>
      <w:r w:rsidR="00436051">
        <w:rPr>
          <w:lang w:val="fr-CA"/>
        </w:rPr>
        <w:t>)</w:t>
      </w:r>
      <w:r w:rsidR="009977D9" w:rsidRPr="00BD22C2">
        <w:rPr>
          <w:lang w:val="fr-CA"/>
        </w:rPr>
        <w:t xml:space="preserve">, 2015, [En ligne]. </w:t>
      </w:r>
      <w:hyperlink r:id="rId50" w:history="1">
        <w:r w:rsidR="009977D9" w:rsidRPr="00BD22C2">
          <w:rPr>
            <w:rStyle w:val="Lienhypertexte"/>
            <w:smallCaps/>
            <w:lang w:val="fr-CA"/>
          </w:rPr>
          <w:t>Mémoire à la Commission des institutions de l’Assemblée nationale Projet de loi n°</w:t>
        </w:r>
        <w:r w:rsidR="0091080B">
          <w:rPr>
            <w:rStyle w:val="Lienhypertexte"/>
            <w:smallCaps/>
            <w:lang w:val="fr-CA"/>
          </w:rPr>
          <w:t> </w:t>
        </w:r>
        <w:r w:rsidR="009977D9" w:rsidRPr="00BD22C2">
          <w:rPr>
            <w:rStyle w:val="Lienhypertexte"/>
            <w:smallCaps/>
            <w:lang w:val="fr-CA"/>
          </w:rPr>
          <w:t>59, Loi édictant la loi concernant la prévention et la lutte contre les discours haineux et les discours incitant à la violence et apportant diverses modifications législatives pour renforcer la protection des personnes (cdpdj.qc.ca)</w:t>
        </w:r>
      </w:hyperlink>
    </w:p>
    <w:p w14:paraId="3F006DB5" w14:textId="2CDBD4A5" w:rsidR="00646663" w:rsidRPr="00BD22C2" w:rsidRDefault="009977D9" w:rsidP="00EF35FA">
      <w:pPr>
        <w:pStyle w:val="NDBP"/>
        <w:rPr>
          <w:rStyle w:val="Lienhypertexte"/>
          <w:lang w:val="fr-CA"/>
        </w:rPr>
      </w:pPr>
      <w:r w:rsidRPr="00BD22C2">
        <w:rPr>
          <w:smallCaps/>
          <w:lang w:val="fr-CA"/>
        </w:rPr>
        <w:tab/>
      </w:r>
      <w:r w:rsidR="00A771EE" w:rsidRPr="00BD22C2">
        <w:rPr>
          <w:smallCaps/>
          <w:lang w:val="fr-CA"/>
        </w:rPr>
        <w:t>Commission des droits de la personne et des droits de la jeunesse</w:t>
      </w:r>
      <w:r w:rsidR="00A771EE" w:rsidRPr="00BD22C2">
        <w:rPr>
          <w:lang w:val="fr-CA"/>
        </w:rPr>
        <w:t xml:space="preserve">, </w:t>
      </w:r>
      <w:r w:rsidR="00A771EE" w:rsidRPr="002A7D8A">
        <w:rPr>
          <w:i/>
          <w:iCs/>
          <w:lang w:val="fr-CA"/>
        </w:rPr>
        <w:t>Lettre à la ministre responsable de la lutte contre l’homophobie et la transphobie sur le Plan d’action contre l’homophobie et la transphobie</w:t>
      </w:r>
      <w:r w:rsidR="0091080B">
        <w:rPr>
          <w:i/>
          <w:iCs/>
          <w:lang w:val="fr-CA"/>
        </w:rPr>
        <w:t> </w:t>
      </w:r>
      <w:r w:rsidR="00A771EE" w:rsidRPr="002A7D8A">
        <w:rPr>
          <w:i/>
          <w:iCs/>
          <w:lang w:val="fr-CA"/>
        </w:rPr>
        <w:t>2017-2022</w:t>
      </w:r>
      <w:r w:rsidR="00641573" w:rsidRPr="00BD22C2">
        <w:rPr>
          <w:lang w:val="fr-CA"/>
        </w:rPr>
        <w:t>, 31</w:t>
      </w:r>
      <w:r w:rsidR="00762FE8">
        <w:rPr>
          <w:lang w:val="fr-CA"/>
        </w:rPr>
        <w:t> </w:t>
      </w:r>
      <w:r w:rsidR="00641573" w:rsidRPr="00BD22C2">
        <w:rPr>
          <w:lang w:val="fr-CA"/>
        </w:rPr>
        <w:t>août 2016,</w:t>
      </w:r>
      <w:r w:rsidR="00305191" w:rsidRPr="00BD22C2">
        <w:rPr>
          <w:lang w:val="fr-CA"/>
        </w:rPr>
        <w:t xml:space="preserve"> [En ligne]. </w:t>
      </w:r>
      <w:hyperlink r:id="rId51" w:history="1">
        <w:r w:rsidR="00646663" w:rsidRPr="00BD22C2">
          <w:rPr>
            <w:rStyle w:val="Lienhypertexte"/>
            <w:lang w:val="fr-CA"/>
          </w:rPr>
          <w:t>https://www.cdpdj.qc.ca/fr/actualites/lettre-a-la-ministre-responsa-4</w:t>
        </w:r>
      </w:hyperlink>
    </w:p>
    <w:p w14:paraId="37C7E852" w14:textId="7B9A65C2" w:rsidR="0007168F" w:rsidRPr="00BD22C2" w:rsidRDefault="00646663" w:rsidP="00EF35FA">
      <w:pPr>
        <w:pStyle w:val="NDBP"/>
        <w:rPr>
          <w:lang w:val="fr-CA"/>
        </w:rPr>
      </w:pPr>
      <w:r w:rsidRPr="00BD22C2">
        <w:rPr>
          <w:smallCaps/>
          <w:lang w:val="fr-CA"/>
        </w:rPr>
        <w:tab/>
      </w:r>
      <w:r w:rsidR="002C1224" w:rsidRPr="00BD22C2">
        <w:rPr>
          <w:smallCaps/>
          <w:lang w:val="fr-CA"/>
        </w:rPr>
        <w:t>Commission des droits de la personne et des droits de la jeunesse</w:t>
      </w:r>
      <w:r w:rsidR="002C1224" w:rsidRPr="00BD22C2">
        <w:rPr>
          <w:lang w:val="fr-CA"/>
        </w:rPr>
        <w:t xml:space="preserve">, </w:t>
      </w:r>
      <w:r w:rsidR="002C1224" w:rsidRPr="002A7D8A">
        <w:rPr>
          <w:i/>
          <w:iCs/>
          <w:lang w:val="fr-CA"/>
        </w:rPr>
        <w:t>Lettre au président de la Commission des relations avec les citoyens sur le Projet de loi n° 103, Loi visant à renforcer la lutte contre la transphobie et à améliorer notamment la situation des mineurs transgenres</w:t>
      </w:r>
      <w:r w:rsidR="003D1948" w:rsidRPr="00BD22C2">
        <w:rPr>
          <w:lang w:val="fr-CA"/>
        </w:rPr>
        <w:t xml:space="preserve">, </w:t>
      </w:r>
      <w:r w:rsidR="009908BB" w:rsidRPr="00BD22C2">
        <w:rPr>
          <w:lang w:val="fr-CA"/>
        </w:rPr>
        <w:t>26</w:t>
      </w:r>
      <w:r w:rsidR="00762FE8">
        <w:rPr>
          <w:lang w:val="fr-CA"/>
        </w:rPr>
        <w:t> </w:t>
      </w:r>
      <w:r w:rsidR="009908BB" w:rsidRPr="00BD22C2">
        <w:rPr>
          <w:lang w:val="fr-CA"/>
        </w:rPr>
        <w:t xml:space="preserve">septembre </w:t>
      </w:r>
      <w:r w:rsidR="003D1948" w:rsidRPr="00BD22C2">
        <w:rPr>
          <w:lang w:val="fr-CA"/>
        </w:rPr>
        <w:t>2016</w:t>
      </w:r>
      <w:r w:rsidR="009908BB" w:rsidRPr="00BD22C2">
        <w:rPr>
          <w:lang w:val="fr-CA"/>
        </w:rPr>
        <w:t xml:space="preserve">, [En ligne]. </w:t>
      </w:r>
      <w:hyperlink r:id="rId52" w:history="1">
        <w:r w:rsidRPr="00BD22C2">
          <w:rPr>
            <w:rStyle w:val="Lienhypertexte"/>
            <w:lang w:val="fr-CA"/>
          </w:rPr>
          <w:t>https://www.cdpdj.qc.ca/fr/actualites/lettre-au-pracsident-de-la-com-7</w:t>
        </w:r>
      </w:hyperlink>
    </w:p>
    <w:p w14:paraId="4F2E5FF6" w14:textId="377C5679" w:rsidR="00646663" w:rsidRPr="00BD22C2" w:rsidRDefault="00646663" w:rsidP="00EF35FA">
      <w:pPr>
        <w:pStyle w:val="NDBP"/>
        <w:rPr>
          <w:rStyle w:val="Lienhypertexte"/>
          <w:color w:val="auto"/>
          <w:lang w:val="fr-CA"/>
        </w:rPr>
      </w:pPr>
      <w:r w:rsidRPr="00BD22C2">
        <w:rPr>
          <w:smallCaps/>
          <w:lang w:val="fr-CA"/>
        </w:rPr>
        <w:tab/>
      </w:r>
      <w:r w:rsidR="0007168F" w:rsidRPr="00BD22C2">
        <w:rPr>
          <w:smallCaps/>
          <w:lang w:val="fr-CA"/>
        </w:rPr>
        <w:t>C</w:t>
      </w:r>
      <w:r w:rsidR="00480BD6" w:rsidRPr="00BD22C2">
        <w:rPr>
          <w:smallCaps/>
          <w:lang w:val="fr-CA"/>
        </w:rPr>
        <w:t xml:space="preserve">ommission des droits de la personne et des droits de la jeunesse, </w:t>
      </w:r>
      <w:r w:rsidR="00480BD6" w:rsidRPr="00C676B4">
        <w:rPr>
          <w:i/>
          <w:iCs/>
          <w:lang w:val="fr-CA"/>
        </w:rPr>
        <w:t xml:space="preserve">Notes pour la présentation </w:t>
      </w:r>
      <w:r w:rsidR="00702702" w:rsidRPr="00C676B4">
        <w:rPr>
          <w:i/>
          <w:iCs/>
          <w:lang w:val="fr-CA"/>
        </w:rPr>
        <w:t xml:space="preserve">devant la Commission sur les relations avec les citoyens </w:t>
      </w:r>
      <w:r w:rsidR="00480BD6" w:rsidRPr="00C676B4">
        <w:rPr>
          <w:i/>
          <w:iCs/>
          <w:lang w:val="fr-CA"/>
        </w:rPr>
        <w:t>sur le projet de loi n°</w:t>
      </w:r>
      <w:r w:rsidR="0091080B">
        <w:rPr>
          <w:i/>
          <w:iCs/>
          <w:lang w:val="fr-CA"/>
        </w:rPr>
        <w:t> </w:t>
      </w:r>
      <w:r w:rsidR="00480BD6" w:rsidRPr="00C676B4">
        <w:rPr>
          <w:i/>
          <w:iCs/>
          <w:lang w:val="fr-CA"/>
        </w:rPr>
        <w:t xml:space="preserve">70, </w:t>
      </w:r>
      <w:r w:rsidR="00CA3F10" w:rsidRPr="00C676B4">
        <w:rPr>
          <w:i/>
          <w:iCs/>
          <w:lang w:val="fr-CA"/>
        </w:rPr>
        <w:t>L</w:t>
      </w:r>
      <w:r w:rsidR="00480BD6" w:rsidRPr="00C676B4">
        <w:rPr>
          <w:i/>
          <w:iCs/>
          <w:lang w:val="fr-CA"/>
        </w:rPr>
        <w:t>oi visant à protéger les personnes contre les thérapies de conversion dispensées pour changer leur orientation sexuelle, leur identité de genre</w:t>
      </w:r>
      <w:r w:rsidR="00480BD6" w:rsidRPr="00BD22C2">
        <w:rPr>
          <w:lang w:val="fr-CA"/>
        </w:rPr>
        <w:t xml:space="preserve"> </w:t>
      </w:r>
      <w:r w:rsidR="00480BD6" w:rsidRPr="00C676B4">
        <w:rPr>
          <w:i/>
          <w:iCs/>
          <w:lang w:val="fr-CA"/>
        </w:rPr>
        <w:lastRenderedPageBreak/>
        <w:t>ou leur expression de genre</w:t>
      </w:r>
      <w:r w:rsidR="004D5D5B" w:rsidRPr="00BD22C2">
        <w:rPr>
          <w:lang w:val="fr-CA"/>
        </w:rPr>
        <w:t xml:space="preserve">, </w:t>
      </w:r>
      <w:r w:rsidR="00EF1CB2" w:rsidRPr="00BD22C2">
        <w:rPr>
          <w:lang w:val="fr-CA"/>
        </w:rPr>
        <w:t>(</w:t>
      </w:r>
      <w:r w:rsidR="004D5D5B" w:rsidRPr="00BD22C2">
        <w:rPr>
          <w:lang w:val="fr-CA"/>
        </w:rPr>
        <w:t>Cat. 2.412.137</w:t>
      </w:r>
      <w:r w:rsidR="00EF1CB2" w:rsidRPr="00BD22C2">
        <w:rPr>
          <w:lang w:val="fr-CA"/>
        </w:rPr>
        <w:t>)</w:t>
      </w:r>
      <w:r w:rsidR="00023B6F" w:rsidRPr="00BD22C2">
        <w:rPr>
          <w:lang w:val="fr-CA"/>
        </w:rPr>
        <w:t>, 2020</w:t>
      </w:r>
      <w:r w:rsidR="00702702" w:rsidRPr="00BD22C2">
        <w:rPr>
          <w:lang w:val="fr-CA"/>
        </w:rPr>
        <w:t xml:space="preserve">, [En ligne]. </w:t>
      </w:r>
      <w:hyperlink r:id="rId53" w:history="1">
        <w:r w:rsidRPr="00BD22C2">
          <w:rPr>
            <w:rStyle w:val="Lienhypertexte"/>
            <w:lang w:val="fr-CA"/>
          </w:rPr>
          <w:t>https://www.cdpdj.qc.ca/storage/app/media/publications/notes_PL70_therapies_conversion.pdf</w:t>
        </w:r>
      </w:hyperlink>
    </w:p>
    <w:p w14:paraId="2FD27303" w14:textId="13B26575" w:rsidR="001C0DF3" w:rsidRPr="00BD22C2" w:rsidRDefault="00646663" w:rsidP="00EF35FA">
      <w:pPr>
        <w:pStyle w:val="NDBP"/>
        <w:rPr>
          <w:lang w:val="fr-CA"/>
        </w:rPr>
      </w:pPr>
      <w:r w:rsidRPr="00BD22C2">
        <w:rPr>
          <w:smallCaps/>
          <w:lang w:val="fr-CA"/>
        </w:rPr>
        <w:tab/>
      </w:r>
      <w:r w:rsidR="00482A15" w:rsidRPr="00BD22C2">
        <w:rPr>
          <w:smallCaps/>
          <w:lang w:val="fr-CA"/>
        </w:rPr>
        <w:t>Commission des droits de la personne et des droits de la jeunesse</w:t>
      </w:r>
      <w:r w:rsidR="005941EE" w:rsidRPr="00BD22C2">
        <w:rPr>
          <w:lang w:val="fr-CA"/>
        </w:rPr>
        <w:t xml:space="preserve">, </w:t>
      </w:r>
      <w:r w:rsidR="005941EE" w:rsidRPr="00BD22C2">
        <w:rPr>
          <w:i/>
          <w:lang w:val="fr-CA"/>
        </w:rPr>
        <w:t>Mémoire au Comité consultatif sur la réalité policière</w:t>
      </w:r>
      <w:r w:rsidR="005941EE" w:rsidRPr="00BD22C2">
        <w:rPr>
          <w:lang w:val="fr-CA"/>
        </w:rPr>
        <w:t>, (Cat. 2.412-62.4), 2020, p.</w:t>
      </w:r>
      <w:r w:rsidR="0091080B">
        <w:rPr>
          <w:lang w:val="fr-CA"/>
        </w:rPr>
        <w:t> </w:t>
      </w:r>
      <w:r w:rsidR="005941EE" w:rsidRPr="00BD22C2">
        <w:rPr>
          <w:lang w:val="fr-CA"/>
        </w:rPr>
        <w:t xml:space="preserve">17 et 18, [En ligne]. </w:t>
      </w:r>
      <w:hyperlink r:id="rId54" w:history="1">
        <w:r w:rsidR="009908BB" w:rsidRPr="00BD22C2">
          <w:rPr>
            <w:rStyle w:val="Lienhypertexte"/>
            <w:lang w:val="fr-CA"/>
          </w:rPr>
          <w:t>https://www.cdpdj.qc.ca/storage/app/media/publications/memoire_consultation-police_CCRP.pdf</w:t>
        </w:r>
      </w:hyperlink>
      <w:r w:rsidR="009908BB" w:rsidRPr="00BD22C2">
        <w:rPr>
          <w:lang w:val="fr-CA"/>
        </w:rPr>
        <w:t xml:space="preserve"> </w:t>
      </w:r>
    </w:p>
    <w:p w14:paraId="485BBEBE" w14:textId="106A053F" w:rsidR="0059482E" w:rsidRPr="00BD22C2" w:rsidRDefault="00EF1CB2" w:rsidP="00EF35FA">
      <w:pPr>
        <w:pStyle w:val="NDBP"/>
        <w:rPr>
          <w:rFonts w:eastAsia="Calibri"/>
          <w:color w:val="0000FF"/>
          <w:u w:val="single"/>
          <w:lang w:val="fr-CA"/>
        </w:rPr>
      </w:pPr>
      <w:r w:rsidRPr="00BD22C2">
        <w:rPr>
          <w:smallCaps/>
          <w:lang w:val="fr-CA"/>
        </w:rPr>
        <w:tab/>
      </w:r>
      <w:r w:rsidR="001C0DF3" w:rsidRPr="00BD22C2">
        <w:rPr>
          <w:smallCaps/>
          <w:lang w:val="fr-CA"/>
        </w:rPr>
        <w:t>Commission des droits de la personne et des droits de la jeunesse</w:t>
      </w:r>
      <w:r w:rsidR="001C0DF3" w:rsidRPr="00BD22C2">
        <w:rPr>
          <w:lang w:val="fr-CA"/>
        </w:rPr>
        <w:t xml:space="preserve">, </w:t>
      </w:r>
      <w:r w:rsidR="001C0DF3" w:rsidRPr="00592C62">
        <w:rPr>
          <w:i/>
          <w:iCs/>
          <w:lang w:val="fr-CA"/>
        </w:rPr>
        <w:t>Mémoire à la Commission des institutions, Projet de loi n</w:t>
      </w:r>
      <w:r w:rsidR="001C0DF3" w:rsidRPr="00592C62">
        <w:rPr>
          <w:i/>
          <w:iCs/>
          <w:vertAlign w:val="superscript"/>
          <w:lang w:val="fr-CA"/>
        </w:rPr>
        <w:t>o</w:t>
      </w:r>
      <w:r w:rsidR="001C0DF3" w:rsidRPr="00592C62">
        <w:rPr>
          <w:i/>
          <w:iCs/>
          <w:lang w:val="fr-CA"/>
        </w:rPr>
        <w:t> 2, Loi portant sur la réforme du droit de la famille en matière de filiation et modifiant le Code civil en matière de droits de la personnalité et d’état civil</w:t>
      </w:r>
      <w:r w:rsidR="001C0DF3" w:rsidRPr="00BD22C2">
        <w:rPr>
          <w:lang w:val="fr-CA"/>
        </w:rPr>
        <w:t xml:space="preserve">, (Cat. 2.412.140), 2022, p. 96-98, [En ligne], </w:t>
      </w:r>
      <w:hyperlink r:id="rId55" w:history="1">
        <w:r w:rsidR="001C0DF3" w:rsidRPr="00BD22C2">
          <w:rPr>
            <w:rStyle w:val="Lienhypertexte"/>
            <w:rFonts w:eastAsia="Calibri"/>
            <w:lang w:val="fr-CA"/>
          </w:rPr>
          <w:t>https://www.cdpdj.qc.ca/fr/publications/reforme-droit-famille-memoire</w:t>
        </w:r>
      </w:hyperlink>
    </w:p>
    <w:p w14:paraId="132EB397" w14:textId="1ABDA935" w:rsidR="00EF1CB2" w:rsidRPr="00BD22C2" w:rsidRDefault="00EF1CB2" w:rsidP="00EF35FA">
      <w:pPr>
        <w:pStyle w:val="NDBP"/>
        <w:rPr>
          <w:rFonts w:eastAsia="Calibri"/>
          <w:lang w:val="fr-CA"/>
        </w:rPr>
      </w:pPr>
      <w:r w:rsidRPr="00BD22C2">
        <w:rPr>
          <w:smallCaps/>
          <w:lang w:val="fr-CA"/>
        </w:rPr>
        <w:tab/>
      </w:r>
      <w:r w:rsidR="00E13FCF" w:rsidRPr="00BD22C2">
        <w:rPr>
          <w:smallCaps/>
          <w:lang w:val="fr-CA"/>
        </w:rPr>
        <w:t>Commission des droits de la personne et des droits de la jeunesse</w:t>
      </w:r>
      <w:r w:rsidR="00E13FCF" w:rsidRPr="00BD22C2">
        <w:rPr>
          <w:lang w:val="fr-CA"/>
        </w:rPr>
        <w:t xml:space="preserve">, </w:t>
      </w:r>
      <w:r w:rsidR="00E13FCF" w:rsidRPr="00592C62">
        <w:rPr>
          <w:i/>
          <w:iCs/>
          <w:lang w:val="fr-CA"/>
        </w:rPr>
        <w:t>Commentaires généraux sur le contenu du Programme d’études primaire et secondaire provisoire : Culture et citoyenneté québécoise, Lettre à l’attention de Madame Marie-Dominique Taillon, sous-ministre adjointe au Secteur de l’excellence scolaire et de la pédagogie, ministère de l’Éducation</w:t>
      </w:r>
      <w:r w:rsidR="00E13FCF" w:rsidRPr="00BD22C2">
        <w:rPr>
          <w:lang w:val="fr-CA"/>
        </w:rPr>
        <w:t>, 22</w:t>
      </w:r>
      <w:r w:rsidR="00762FE8">
        <w:rPr>
          <w:lang w:val="fr-CA"/>
        </w:rPr>
        <w:t> </w:t>
      </w:r>
      <w:r w:rsidR="00E13FCF" w:rsidRPr="00BD22C2">
        <w:rPr>
          <w:lang w:val="fr-CA"/>
        </w:rPr>
        <w:t>décembre 2022</w:t>
      </w:r>
      <w:r w:rsidR="00480904" w:rsidRPr="00BD22C2">
        <w:rPr>
          <w:lang w:val="fr-CA"/>
        </w:rPr>
        <w:t xml:space="preserve">, [En ligne]. </w:t>
      </w:r>
      <w:hyperlink r:id="rId56" w:history="1">
        <w:r w:rsidRPr="00BD22C2">
          <w:rPr>
            <w:rStyle w:val="Lienhypertexte"/>
            <w:lang w:val="fr-CA"/>
          </w:rPr>
          <w:t>https://www.cdpdj.qc.ca/storage/app/media/publications/2022-12-22%20ENVOI%20Taillon_Lettre_Prog%20prov_Culture_citoyennet%C3%A9_qu%C3%A9b%C3%A9coise.pdf</w:t>
        </w:r>
      </w:hyperlink>
    </w:p>
    <w:p w14:paraId="711F9D26" w14:textId="1DFF98FD" w:rsidR="00AC34C2" w:rsidRPr="00BD22C2" w:rsidRDefault="00EF1CB2" w:rsidP="00332EE1">
      <w:pPr>
        <w:pStyle w:val="Corpsdetexte"/>
        <w:tabs>
          <w:tab w:val="left" w:pos="567"/>
        </w:tabs>
        <w:spacing w:line="240" w:lineRule="auto"/>
        <w:ind w:left="567" w:hanging="426"/>
        <w:rPr>
          <w:rFonts w:eastAsia="Calibri"/>
          <w:sz w:val="18"/>
          <w:szCs w:val="18"/>
        </w:rPr>
      </w:pPr>
      <w:r w:rsidRPr="00BD22C2">
        <w:rPr>
          <w:smallCaps/>
          <w:sz w:val="18"/>
          <w:szCs w:val="18"/>
        </w:rPr>
        <w:tab/>
      </w:r>
      <w:r w:rsidR="00AC34C2" w:rsidRPr="00BD22C2">
        <w:rPr>
          <w:smallCaps/>
          <w:sz w:val="18"/>
          <w:szCs w:val="18"/>
        </w:rPr>
        <w:t>Commission des droits de la personne et des droits de la jeunesse</w:t>
      </w:r>
      <w:r w:rsidR="00AC34C2" w:rsidRPr="00BD22C2">
        <w:rPr>
          <w:sz w:val="18"/>
          <w:szCs w:val="18"/>
        </w:rPr>
        <w:t xml:space="preserve">, </w:t>
      </w:r>
      <w:r w:rsidR="00AC34C2" w:rsidRPr="00BD22C2">
        <w:rPr>
          <w:i/>
          <w:sz w:val="18"/>
          <w:szCs w:val="18"/>
        </w:rPr>
        <w:t>Déclaration : La Charte des droits et libertés du Québec protège les personnes issues de la diversité sexuelle et de genre</w:t>
      </w:r>
      <w:r w:rsidR="00AC34C2" w:rsidRPr="00BD22C2">
        <w:rPr>
          <w:sz w:val="18"/>
          <w:szCs w:val="18"/>
        </w:rPr>
        <w:t>, 21</w:t>
      </w:r>
      <w:r w:rsidR="00762FE8">
        <w:rPr>
          <w:sz w:val="18"/>
          <w:szCs w:val="18"/>
        </w:rPr>
        <w:t> </w:t>
      </w:r>
      <w:r w:rsidR="00AC34C2" w:rsidRPr="00BD22C2">
        <w:rPr>
          <w:sz w:val="18"/>
          <w:szCs w:val="18"/>
        </w:rPr>
        <w:t xml:space="preserve">septembre 2023, [En ligne]. </w:t>
      </w:r>
      <w:hyperlink r:id="rId57" w:history="1">
        <w:r w:rsidR="00AC34C2" w:rsidRPr="00BD22C2">
          <w:rPr>
            <w:rStyle w:val="Lienhypertexte"/>
            <w:sz w:val="18"/>
            <w:szCs w:val="18"/>
          </w:rPr>
          <w:t>https://www.cdpdj.qc.ca/fr/actualites/declaration-propos-transphobes</w:t>
        </w:r>
      </w:hyperlink>
    </w:p>
    <w:p w14:paraId="50E6A745" w14:textId="7F2EFCA6" w:rsidR="00222788" w:rsidRPr="00BD22C2" w:rsidRDefault="00EF1CB2" w:rsidP="00332EE1">
      <w:pPr>
        <w:pStyle w:val="Corpsdetexte"/>
        <w:tabs>
          <w:tab w:val="left" w:pos="426"/>
          <w:tab w:val="left" w:pos="567"/>
        </w:tabs>
        <w:spacing w:line="240" w:lineRule="auto"/>
        <w:ind w:left="567" w:hanging="426"/>
        <w:rPr>
          <w:rStyle w:val="Lienhypertexte"/>
          <w:rFonts w:eastAsia="Calibri"/>
          <w:sz w:val="18"/>
          <w:szCs w:val="18"/>
        </w:rPr>
      </w:pPr>
      <w:r w:rsidRPr="00BD22C2">
        <w:rPr>
          <w:smallCaps/>
          <w:sz w:val="18"/>
          <w:szCs w:val="18"/>
        </w:rPr>
        <w:tab/>
      </w:r>
      <w:r w:rsidRPr="00BD22C2">
        <w:rPr>
          <w:smallCaps/>
          <w:sz w:val="18"/>
          <w:szCs w:val="18"/>
        </w:rPr>
        <w:tab/>
      </w:r>
      <w:r w:rsidR="009B0DFE" w:rsidRPr="00BD22C2">
        <w:rPr>
          <w:smallCaps/>
          <w:sz w:val="18"/>
          <w:szCs w:val="18"/>
        </w:rPr>
        <w:t>Commission des droits de la personne et des droits de la jeunesse</w:t>
      </w:r>
      <w:r w:rsidR="009B0DFE" w:rsidRPr="00BD22C2">
        <w:rPr>
          <w:sz w:val="18"/>
          <w:szCs w:val="18"/>
        </w:rPr>
        <w:t xml:space="preserve">, </w:t>
      </w:r>
      <w:r w:rsidR="009B0DFE" w:rsidRPr="00BD22C2">
        <w:rPr>
          <w:i/>
          <w:sz w:val="18"/>
          <w:szCs w:val="18"/>
        </w:rPr>
        <w:t>Lettre du 19</w:t>
      </w:r>
      <w:r w:rsidR="00762FE8">
        <w:rPr>
          <w:i/>
          <w:sz w:val="18"/>
          <w:szCs w:val="18"/>
        </w:rPr>
        <w:t> </w:t>
      </w:r>
      <w:r w:rsidR="009B0DFE" w:rsidRPr="00BD22C2">
        <w:rPr>
          <w:i/>
          <w:sz w:val="18"/>
          <w:szCs w:val="18"/>
        </w:rPr>
        <w:t xml:space="preserve">janvier 2024 adressée à madame Diane </w:t>
      </w:r>
      <w:proofErr w:type="spellStart"/>
      <w:r w:rsidR="009B0DFE" w:rsidRPr="00BD22C2">
        <w:rPr>
          <w:i/>
          <w:sz w:val="18"/>
          <w:szCs w:val="18"/>
        </w:rPr>
        <w:t>Lavallée</w:t>
      </w:r>
      <w:proofErr w:type="spellEnd"/>
      <w:r w:rsidR="009B0DFE" w:rsidRPr="00BD22C2">
        <w:rPr>
          <w:i/>
          <w:sz w:val="18"/>
          <w:szCs w:val="18"/>
        </w:rPr>
        <w:t>, présidente du Comité de sages sur l’identité de genre, ayant pour objet « Suite de notre rencontre du 15</w:t>
      </w:r>
      <w:r w:rsidR="00762FE8">
        <w:rPr>
          <w:i/>
          <w:sz w:val="18"/>
          <w:szCs w:val="18"/>
        </w:rPr>
        <w:t> </w:t>
      </w:r>
      <w:r w:rsidR="009B0DFE" w:rsidRPr="00BD22C2">
        <w:rPr>
          <w:i/>
          <w:sz w:val="18"/>
          <w:szCs w:val="18"/>
        </w:rPr>
        <w:t>janvier 2024 »</w:t>
      </w:r>
      <w:r w:rsidR="009B0DFE" w:rsidRPr="00BD22C2">
        <w:rPr>
          <w:sz w:val="18"/>
          <w:szCs w:val="18"/>
        </w:rPr>
        <w:t xml:space="preserve">, [En ligne]. </w:t>
      </w:r>
      <w:hyperlink r:id="rId58" w:history="1">
        <w:r w:rsidR="009B0DFE" w:rsidRPr="00BD22C2">
          <w:rPr>
            <w:rStyle w:val="Lienhypertexte"/>
            <w:sz w:val="18"/>
            <w:szCs w:val="18"/>
          </w:rPr>
          <w:t>https://www.cdpdj.qc.ca/fr/publications/lettre-identite-genre</w:t>
        </w:r>
      </w:hyperlink>
    </w:p>
    <w:p w14:paraId="54E2572B" w14:textId="7B8908B6" w:rsidR="00222788" w:rsidRPr="00BD22C2" w:rsidRDefault="00EF1CB2" w:rsidP="00EF35FA">
      <w:pPr>
        <w:pStyle w:val="NDBP"/>
        <w:rPr>
          <w:lang w:val="fr-CA"/>
        </w:rPr>
      </w:pPr>
      <w:r w:rsidRPr="00BD22C2">
        <w:rPr>
          <w:smallCaps/>
          <w:lang w:val="fr-CA"/>
        </w:rPr>
        <w:tab/>
      </w:r>
      <w:r w:rsidR="00222788" w:rsidRPr="00BD22C2">
        <w:rPr>
          <w:smallCaps/>
          <w:lang w:val="fr-CA"/>
        </w:rPr>
        <w:t>Commission des droits de la personne et des droits de la jeunesse</w:t>
      </w:r>
      <w:r w:rsidR="00222788" w:rsidRPr="00BD22C2">
        <w:rPr>
          <w:lang w:val="fr-CA"/>
        </w:rPr>
        <w:t xml:space="preserve">, </w:t>
      </w:r>
      <w:r w:rsidR="00222788" w:rsidRPr="00BD22C2">
        <w:rPr>
          <w:i/>
          <w:lang w:val="fr-CA"/>
        </w:rPr>
        <w:t>Lettre sur le Projet de loi n°</w:t>
      </w:r>
      <w:r w:rsidR="0091080B">
        <w:rPr>
          <w:i/>
          <w:lang w:val="fr-CA"/>
        </w:rPr>
        <w:t> </w:t>
      </w:r>
      <w:r w:rsidR="00222788" w:rsidRPr="00BD22C2">
        <w:rPr>
          <w:i/>
          <w:lang w:val="fr-CA"/>
        </w:rPr>
        <w:t>47, Loi visant à renforcer la protection des élèves</w:t>
      </w:r>
      <w:r w:rsidR="00DD344A" w:rsidRPr="00BD22C2">
        <w:rPr>
          <w:lang w:val="fr-CA"/>
        </w:rPr>
        <w:t>,</w:t>
      </w:r>
      <w:r w:rsidR="00222788" w:rsidRPr="00BD22C2">
        <w:rPr>
          <w:lang w:val="fr-CA"/>
        </w:rPr>
        <w:t xml:space="preserve"> 2024</w:t>
      </w:r>
      <w:r w:rsidR="00DD344A" w:rsidRPr="00BD22C2">
        <w:rPr>
          <w:lang w:val="fr-CA"/>
        </w:rPr>
        <w:t xml:space="preserve">, [En ligne]. </w:t>
      </w:r>
      <w:hyperlink r:id="rId59" w:history="1">
        <w:r w:rsidRPr="00BD22C2">
          <w:rPr>
            <w:rStyle w:val="Lienhypertexte"/>
            <w:lang w:val="fr-CA"/>
          </w:rPr>
          <w:t>https://www.cdpdj.qc.ca/fr/actualites/lettre-PL47-protection-eleves</w:t>
        </w:r>
      </w:hyperlink>
    </w:p>
    <w:p w14:paraId="6DF1F7AA" w14:textId="77777777" w:rsidR="00EF1CB2" w:rsidRPr="00BD22C2" w:rsidRDefault="00EF1CB2" w:rsidP="00EF1CB2">
      <w:pPr>
        <w:rPr>
          <w:rFonts w:eastAsia="Calibri"/>
        </w:rPr>
      </w:pPr>
    </w:p>
    <w:p w14:paraId="6A99DA7F" w14:textId="1B2535CC" w:rsidR="008D5DC8" w:rsidRPr="00BD22C2" w:rsidRDefault="008D5DC8" w:rsidP="001E26FD">
      <w:pPr>
        <w:rPr>
          <w:rFonts w:eastAsia="Calibri"/>
          <w:b/>
          <w:bCs/>
        </w:rPr>
      </w:pPr>
      <w:r w:rsidRPr="00BD22C2">
        <w:rPr>
          <w:rFonts w:eastAsia="Calibri"/>
          <w:b/>
          <w:bCs/>
        </w:rPr>
        <w:t>Guides et modules d’autoformation</w:t>
      </w:r>
    </w:p>
    <w:p w14:paraId="3B0E947B" w14:textId="322A3195" w:rsidR="00EF1CB2" w:rsidRPr="00BD22C2" w:rsidRDefault="00EF1CB2" w:rsidP="00EF35FA">
      <w:pPr>
        <w:pStyle w:val="NDBP"/>
        <w:rPr>
          <w:lang w:val="fr-CA"/>
        </w:rPr>
      </w:pPr>
      <w:r w:rsidRPr="00BD22C2">
        <w:rPr>
          <w:smallCaps/>
          <w:lang w:val="fr-CA"/>
        </w:rPr>
        <w:tab/>
      </w:r>
      <w:r w:rsidR="00AA51BA" w:rsidRPr="00BD22C2">
        <w:rPr>
          <w:smallCaps/>
          <w:lang w:val="fr-CA"/>
        </w:rPr>
        <w:t xml:space="preserve">Commission des droits de la personne et des droits de la jeunesse, </w:t>
      </w:r>
      <w:r w:rsidR="006354C0" w:rsidRPr="00BD22C2">
        <w:rPr>
          <w:i/>
          <w:lang w:val="fr-CA"/>
        </w:rPr>
        <w:t>S’allier pour l’égalité des personnes LGBTQI+</w:t>
      </w:r>
      <w:r w:rsidR="00961208" w:rsidRPr="00BD22C2">
        <w:rPr>
          <w:i/>
          <w:lang w:val="fr-CA"/>
        </w:rPr>
        <w:t>, Module de formation</w:t>
      </w:r>
      <w:r w:rsidR="00961208" w:rsidRPr="00BD22C2">
        <w:rPr>
          <w:lang w:val="fr-CA"/>
        </w:rPr>
        <w:t xml:space="preserve">, </w:t>
      </w:r>
      <w:r w:rsidR="00467474" w:rsidRPr="00BD22C2">
        <w:rPr>
          <w:lang w:val="fr-CA"/>
        </w:rPr>
        <w:t xml:space="preserve">2020, [En ligne]. </w:t>
      </w:r>
      <w:hyperlink r:id="rId60" w:history="1">
        <w:r w:rsidRPr="00BD22C2">
          <w:rPr>
            <w:rStyle w:val="Lienhypertexte"/>
            <w:lang w:val="fr-CA"/>
          </w:rPr>
          <w:t>https://www.cdpdj.qc.ca/fr/publications/module-genre</w:t>
        </w:r>
      </w:hyperlink>
    </w:p>
    <w:p w14:paraId="11A29D21" w14:textId="57A4F79D" w:rsidR="00DD344A" w:rsidRPr="00BD22C2" w:rsidRDefault="00EF1CB2" w:rsidP="00EF35FA">
      <w:pPr>
        <w:pStyle w:val="NDBP"/>
        <w:rPr>
          <w:lang w:val="fr-CA"/>
        </w:rPr>
      </w:pPr>
      <w:r w:rsidRPr="00BD22C2">
        <w:rPr>
          <w:smallCaps/>
          <w:lang w:val="fr-CA"/>
        </w:rPr>
        <w:tab/>
      </w:r>
      <w:r w:rsidR="00DD344A" w:rsidRPr="00BD22C2">
        <w:rPr>
          <w:smallCaps/>
          <w:lang w:val="fr-CA"/>
        </w:rPr>
        <w:t>Commission des droits de la personne et des droits de la jeunesse</w:t>
      </w:r>
      <w:r w:rsidR="00DD344A" w:rsidRPr="00BD22C2">
        <w:rPr>
          <w:rStyle w:val="NbpCar"/>
          <w:szCs w:val="18"/>
          <w:lang w:val="fr-CA"/>
        </w:rPr>
        <w:t xml:space="preserve">, </w:t>
      </w:r>
      <w:r w:rsidR="00DD344A" w:rsidRPr="00BD22C2">
        <w:rPr>
          <w:rStyle w:val="NbpCar"/>
          <w:i/>
          <w:szCs w:val="18"/>
          <w:lang w:val="fr-CA"/>
        </w:rPr>
        <w:t>Guide d’accompagnement, Traitement d’une demande d’accommodement</w:t>
      </w:r>
      <w:r w:rsidR="00DD344A" w:rsidRPr="00BD22C2">
        <w:rPr>
          <w:rStyle w:val="NbpCar"/>
          <w:szCs w:val="18"/>
          <w:lang w:val="fr-CA"/>
        </w:rPr>
        <w:t>, 2012 (2018), 32</w:t>
      </w:r>
      <w:r w:rsidR="009D3E22">
        <w:rPr>
          <w:rStyle w:val="NbpCar"/>
          <w:szCs w:val="18"/>
          <w:lang w:val="fr-CA"/>
        </w:rPr>
        <w:t> </w:t>
      </w:r>
      <w:r w:rsidR="00DD344A" w:rsidRPr="00BD22C2">
        <w:rPr>
          <w:rStyle w:val="NbpCar"/>
          <w:szCs w:val="18"/>
          <w:lang w:val="fr-CA"/>
        </w:rPr>
        <w:t xml:space="preserve">p., en ligne : </w:t>
      </w:r>
      <w:hyperlink r:id="rId61" w:history="1">
        <w:r w:rsidR="00DD344A" w:rsidRPr="00BD22C2">
          <w:rPr>
            <w:rStyle w:val="Lienhypertexte"/>
            <w:lang w:val="fr-CA"/>
          </w:rPr>
          <w:t>https://cdpdj.qc.ca/storage/app/media/blocs-informations/pour-en-savoir-plus-accommodement-raisonnable/Guide_virtuel_accommodement.pdf</w:t>
        </w:r>
      </w:hyperlink>
    </w:p>
    <w:p w14:paraId="2D240D88" w14:textId="77777777" w:rsidR="00C118D1" w:rsidRPr="00BD22C2" w:rsidRDefault="00C118D1" w:rsidP="00C118D1">
      <w:pPr>
        <w:pStyle w:val="Corpsdetexte"/>
        <w:rPr>
          <w:rFonts w:eastAsia="Calibri"/>
          <w:sz w:val="18"/>
          <w:szCs w:val="18"/>
        </w:rPr>
      </w:pPr>
    </w:p>
    <w:p w14:paraId="26536C40" w14:textId="580AFC8A" w:rsidR="00F87AF5" w:rsidRPr="00BD22C2" w:rsidRDefault="00F87AF5">
      <w:pPr>
        <w:spacing w:line="240" w:lineRule="auto"/>
        <w:jc w:val="left"/>
        <w:rPr>
          <w:rFonts w:eastAsia="Calibri"/>
          <w:sz w:val="18"/>
          <w:szCs w:val="18"/>
        </w:rPr>
      </w:pPr>
      <w:r w:rsidRPr="00BD22C2">
        <w:rPr>
          <w:rFonts w:eastAsia="Calibri"/>
          <w:sz w:val="18"/>
          <w:szCs w:val="18"/>
        </w:rPr>
        <w:br w:type="page"/>
      </w:r>
    </w:p>
    <w:p w14:paraId="72534784" w14:textId="0333881C" w:rsidR="00D923DC" w:rsidRPr="00F21BD8" w:rsidRDefault="009E5CC1" w:rsidP="00183889">
      <w:pPr>
        <w:pStyle w:val="Titre"/>
        <w:rPr>
          <w:rFonts w:eastAsia="Calibri"/>
          <w:lang w:eastAsia="en-US"/>
        </w:rPr>
      </w:pPr>
      <w:bookmarkStart w:id="219" w:name="_Toc165301055"/>
      <w:bookmarkStart w:id="220" w:name="_Toc165636143"/>
      <w:r w:rsidRPr="00F0392B">
        <w:rPr>
          <w:rFonts w:eastAsia="Calibri"/>
          <w:lang w:eastAsia="en-US"/>
        </w:rPr>
        <w:lastRenderedPageBreak/>
        <w:t>A</w:t>
      </w:r>
      <w:r w:rsidR="00F87AF5" w:rsidRPr="00F0392B">
        <w:rPr>
          <w:rFonts w:eastAsia="Calibri"/>
          <w:lang w:eastAsia="en-US"/>
        </w:rPr>
        <w:t>nnexe</w:t>
      </w:r>
      <w:r w:rsidR="00CC76DE" w:rsidRPr="00F0392B">
        <w:rPr>
          <w:rFonts w:eastAsia="Calibri"/>
          <w:lang w:eastAsia="en-US"/>
        </w:rPr>
        <w:t> </w:t>
      </w:r>
      <w:r w:rsidR="00F87AF5" w:rsidRPr="00F0392B">
        <w:rPr>
          <w:rFonts w:eastAsia="Calibri"/>
          <w:lang w:eastAsia="en-US"/>
        </w:rPr>
        <w:t>2</w:t>
      </w:r>
      <w:r w:rsidR="00183889" w:rsidRPr="00F0392B">
        <w:rPr>
          <w:rFonts w:eastAsia="Calibri"/>
          <w:lang w:eastAsia="en-US"/>
        </w:rPr>
        <w:t xml:space="preserve"> — </w:t>
      </w:r>
      <w:r w:rsidR="001E26FD" w:rsidRPr="00F0392B">
        <w:rPr>
          <w:rFonts w:eastAsia="Calibri"/>
          <w:lang w:eastAsia="en-US"/>
        </w:rPr>
        <w:t>P</w:t>
      </w:r>
      <w:r w:rsidR="00E811A0" w:rsidRPr="00F0392B">
        <w:rPr>
          <w:rFonts w:eastAsia="Calibri"/>
          <w:lang w:eastAsia="en-US"/>
        </w:rPr>
        <w:t xml:space="preserve">laintes reçues par la Commission pour discrimination sur la base de l’identité ou l’expression de </w:t>
      </w:r>
      <w:bookmarkEnd w:id="219"/>
      <w:r w:rsidR="00E811A0" w:rsidRPr="00F0392B">
        <w:rPr>
          <w:rFonts w:eastAsia="Calibri"/>
          <w:lang w:eastAsia="en-US"/>
        </w:rPr>
        <w:t>genre</w:t>
      </w:r>
      <w:bookmarkEnd w:id="220"/>
    </w:p>
    <w:p w14:paraId="5FE96312" w14:textId="127BAA1C" w:rsidR="009E39F1" w:rsidRDefault="009E39F1" w:rsidP="005F4FED">
      <w:pPr>
        <w:spacing w:line="240" w:lineRule="auto"/>
        <w:ind w:left="1418" w:hanging="1418"/>
        <w:rPr>
          <w:rFonts w:cs="Arial"/>
          <w:b/>
          <w:bCs/>
          <w:sz w:val="20"/>
          <w:szCs w:val="20"/>
        </w:rPr>
      </w:pPr>
      <w:r w:rsidRPr="00BD22C2">
        <w:rPr>
          <w:rFonts w:cs="Arial"/>
          <w:b/>
          <w:bCs/>
          <w:sz w:val="20"/>
          <w:szCs w:val="20"/>
        </w:rPr>
        <w:t>Tableau</w:t>
      </w:r>
      <w:r w:rsidR="0091080B">
        <w:rPr>
          <w:rFonts w:cs="Arial"/>
          <w:b/>
          <w:bCs/>
          <w:sz w:val="20"/>
          <w:szCs w:val="20"/>
        </w:rPr>
        <w:t> </w:t>
      </w:r>
      <w:r w:rsidRPr="00BD22C2">
        <w:rPr>
          <w:rFonts w:cs="Arial"/>
          <w:b/>
          <w:bCs/>
          <w:sz w:val="20"/>
          <w:szCs w:val="20"/>
        </w:rPr>
        <w:t>1</w:t>
      </w:r>
    </w:p>
    <w:p w14:paraId="7D765766" w14:textId="77777777" w:rsidR="00256E75" w:rsidRPr="003C1A57" w:rsidRDefault="00256E75" w:rsidP="00256E75">
      <w:pPr>
        <w:rPr>
          <w:rFonts w:cs="Arial"/>
          <w:sz w:val="20"/>
          <w:szCs w:val="20"/>
        </w:rPr>
      </w:pPr>
      <w:r w:rsidRPr="003C1A57">
        <w:rPr>
          <w:rFonts w:cs="Arial"/>
          <w:sz w:val="20"/>
          <w:szCs w:val="20"/>
        </w:rPr>
        <w:t xml:space="preserve">Nombre de </w:t>
      </w:r>
      <w:r w:rsidRPr="003C1A57">
        <w:rPr>
          <w:rFonts w:cs="Arial"/>
          <w:b/>
          <w:bCs/>
          <w:sz w:val="20"/>
          <w:szCs w:val="20"/>
        </w:rPr>
        <w:t>plaintes reçues</w:t>
      </w:r>
      <w:r w:rsidRPr="003C1A57">
        <w:rPr>
          <w:rFonts w:cs="Arial"/>
          <w:sz w:val="20"/>
          <w:szCs w:val="20"/>
        </w:rPr>
        <w:t xml:space="preserve"> pour les 14 motifs de discrimination de 2016 à 2023</w:t>
      </w:r>
    </w:p>
    <w:p w14:paraId="0023EE37" w14:textId="77777777" w:rsidR="00256E75" w:rsidRPr="00BD22C2" w:rsidRDefault="00256E75" w:rsidP="005F4FED">
      <w:pPr>
        <w:spacing w:line="240" w:lineRule="auto"/>
        <w:ind w:left="1418" w:hanging="1418"/>
        <w:rPr>
          <w:rFonts w:cs="Arial"/>
          <w:b/>
          <w:bCs/>
          <w:sz w:val="20"/>
          <w:szCs w:val="20"/>
        </w:rPr>
      </w:pPr>
    </w:p>
    <w:tbl>
      <w:tblPr>
        <w:tblStyle w:val="TableauGrille4-Accentuation1"/>
        <w:tblW w:w="10483" w:type="dxa"/>
        <w:tblBorders>
          <w:top w:val="single" w:sz="4" w:space="0" w:color="4F81BD" w:themeColor="accent1"/>
          <w:left w:val="dotted" w:sz="4" w:space="0" w:color="1B9BC3"/>
          <w:right w:val="dotted" w:sz="4" w:space="0" w:color="1B9BC3"/>
          <w:insideH w:val="dotted" w:sz="4" w:space="0" w:color="1B9BC3"/>
          <w:insideV w:val="dotted" w:sz="4" w:space="0" w:color="1B9BC3"/>
        </w:tblBorders>
        <w:tblLayout w:type="fixed"/>
        <w:tblCellMar>
          <w:top w:w="28" w:type="dxa"/>
          <w:bottom w:w="28" w:type="dxa"/>
        </w:tblCellMar>
        <w:tblLook w:val="04A0" w:firstRow="1" w:lastRow="0" w:firstColumn="1" w:lastColumn="0" w:noHBand="0" w:noVBand="1"/>
      </w:tblPr>
      <w:tblGrid>
        <w:gridCol w:w="2049"/>
        <w:gridCol w:w="899"/>
        <w:gridCol w:w="899"/>
        <w:gridCol w:w="899"/>
        <w:gridCol w:w="899"/>
        <w:gridCol w:w="899"/>
        <w:gridCol w:w="899"/>
        <w:gridCol w:w="899"/>
        <w:gridCol w:w="899"/>
        <w:gridCol w:w="1242"/>
      </w:tblGrid>
      <w:tr w:rsidR="009E39F1" w:rsidRPr="00BD22C2" w14:paraId="009BFAE3" w14:textId="77777777" w:rsidTr="0072117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049" w:type="dxa"/>
            <w:vMerge w:val="restart"/>
            <w:shd w:val="clear" w:color="auto" w:fill="1B9BC3"/>
            <w:noWrap/>
            <w:vAlign w:val="center"/>
            <w:hideMark/>
          </w:tcPr>
          <w:p w14:paraId="178A8FD2" w14:textId="7D8D934A"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color w:val="000000" w:themeColor="text1"/>
                <w:kern w:val="0"/>
                <w:sz w:val="20"/>
                <w:szCs w:val="20"/>
                <w:lang w:eastAsia="fr-CA"/>
                <w14:ligatures w14:val="none"/>
              </w:rPr>
              <w:t>Motif de discrimination</w:t>
            </w:r>
          </w:p>
        </w:tc>
        <w:tc>
          <w:tcPr>
            <w:tcW w:w="8434" w:type="dxa"/>
            <w:gridSpan w:val="9"/>
            <w:shd w:val="clear" w:color="auto" w:fill="1B9BC3"/>
            <w:noWrap/>
            <w:vAlign w:val="center"/>
            <w:hideMark/>
          </w:tcPr>
          <w:p w14:paraId="39BC1C71" w14:textId="77777777" w:rsidR="009E39F1" w:rsidRPr="00BD22C2" w:rsidRDefault="009E39F1" w:rsidP="005F4FE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color w:val="auto"/>
                <w:kern w:val="0"/>
                <w:sz w:val="20"/>
                <w:szCs w:val="20"/>
                <w:lang w:eastAsia="fr-CA"/>
                <w14:ligatures w14:val="none"/>
              </w:rPr>
              <w:t>Année</w:t>
            </w:r>
          </w:p>
        </w:tc>
      </w:tr>
      <w:tr w:rsidR="00E4081A" w:rsidRPr="00BD22C2" w14:paraId="2A754422" w14:textId="77777777" w:rsidTr="0072117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049" w:type="dxa"/>
            <w:vMerge/>
            <w:noWrap/>
            <w:hideMark/>
          </w:tcPr>
          <w:p w14:paraId="7AF49627" w14:textId="77777777" w:rsidR="009E39F1" w:rsidRPr="00BD22C2" w:rsidRDefault="009E39F1" w:rsidP="005F4FED">
            <w:pPr>
              <w:spacing w:line="240" w:lineRule="auto"/>
              <w:rPr>
                <w:rFonts w:eastAsia="Times New Roman" w:cs="Arial"/>
                <w:kern w:val="0"/>
                <w:sz w:val="20"/>
                <w:szCs w:val="20"/>
                <w:lang w:eastAsia="fr-CA"/>
                <w14:ligatures w14:val="none"/>
              </w:rPr>
            </w:pPr>
          </w:p>
        </w:tc>
        <w:tc>
          <w:tcPr>
            <w:tcW w:w="899" w:type="dxa"/>
            <w:shd w:val="clear" w:color="auto" w:fill="DDD9C3" w:themeFill="background2" w:themeFillShade="E6"/>
            <w:noWrap/>
            <w:vAlign w:val="center"/>
            <w:hideMark/>
          </w:tcPr>
          <w:p w14:paraId="14313F26"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2016</w:t>
            </w:r>
          </w:p>
        </w:tc>
        <w:tc>
          <w:tcPr>
            <w:tcW w:w="899" w:type="dxa"/>
            <w:shd w:val="clear" w:color="auto" w:fill="DDD9C3" w:themeFill="background2" w:themeFillShade="E6"/>
            <w:noWrap/>
            <w:vAlign w:val="center"/>
            <w:hideMark/>
          </w:tcPr>
          <w:p w14:paraId="40503FE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2017</w:t>
            </w:r>
          </w:p>
        </w:tc>
        <w:tc>
          <w:tcPr>
            <w:tcW w:w="899" w:type="dxa"/>
            <w:shd w:val="clear" w:color="auto" w:fill="DDD9C3" w:themeFill="background2" w:themeFillShade="E6"/>
            <w:noWrap/>
            <w:vAlign w:val="center"/>
            <w:hideMark/>
          </w:tcPr>
          <w:p w14:paraId="61AFD25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2018</w:t>
            </w:r>
          </w:p>
        </w:tc>
        <w:tc>
          <w:tcPr>
            <w:tcW w:w="899" w:type="dxa"/>
            <w:shd w:val="clear" w:color="auto" w:fill="DDD9C3" w:themeFill="background2" w:themeFillShade="E6"/>
            <w:noWrap/>
            <w:vAlign w:val="center"/>
            <w:hideMark/>
          </w:tcPr>
          <w:p w14:paraId="312421A7"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2019</w:t>
            </w:r>
          </w:p>
        </w:tc>
        <w:tc>
          <w:tcPr>
            <w:tcW w:w="899" w:type="dxa"/>
            <w:shd w:val="clear" w:color="auto" w:fill="DDD9C3" w:themeFill="background2" w:themeFillShade="E6"/>
            <w:noWrap/>
            <w:vAlign w:val="center"/>
            <w:hideMark/>
          </w:tcPr>
          <w:p w14:paraId="522BCE4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2020</w:t>
            </w:r>
          </w:p>
        </w:tc>
        <w:tc>
          <w:tcPr>
            <w:tcW w:w="899" w:type="dxa"/>
            <w:shd w:val="clear" w:color="auto" w:fill="DDD9C3" w:themeFill="background2" w:themeFillShade="E6"/>
            <w:noWrap/>
            <w:vAlign w:val="center"/>
            <w:hideMark/>
          </w:tcPr>
          <w:p w14:paraId="75961026"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2021</w:t>
            </w:r>
          </w:p>
        </w:tc>
        <w:tc>
          <w:tcPr>
            <w:tcW w:w="899" w:type="dxa"/>
            <w:shd w:val="clear" w:color="auto" w:fill="DDD9C3" w:themeFill="background2" w:themeFillShade="E6"/>
            <w:noWrap/>
            <w:vAlign w:val="center"/>
            <w:hideMark/>
          </w:tcPr>
          <w:p w14:paraId="18F67A2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2022</w:t>
            </w:r>
          </w:p>
        </w:tc>
        <w:tc>
          <w:tcPr>
            <w:tcW w:w="899" w:type="dxa"/>
            <w:shd w:val="clear" w:color="auto" w:fill="DDD9C3" w:themeFill="background2" w:themeFillShade="E6"/>
            <w:noWrap/>
            <w:vAlign w:val="center"/>
            <w:hideMark/>
          </w:tcPr>
          <w:p w14:paraId="42B88621"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2023</w:t>
            </w:r>
          </w:p>
        </w:tc>
        <w:tc>
          <w:tcPr>
            <w:tcW w:w="1242" w:type="dxa"/>
            <w:shd w:val="clear" w:color="auto" w:fill="DDD9C3" w:themeFill="background2" w:themeFillShade="E6"/>
            <w:noWrap/>
            <w:vAlign w:val="center"/>
            <w:hideMark/>
          </w:tcPr>
          <w:p w14:paraId="3BFE6BAB"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Total général</w:t>
            </w:r>
          </w:p>
        </w:tc>
      </w:tr>
      <w:tr w:rsidR="009E39F1" w:rsidRPr="00BD22C2" w14:paraId="57F55573" w14:textId="77777777" w:rsidTr="0072117A">
        <w:trPr>
          <w:trHeight w:val="346"/>
        </w:trPr>
        <w:tc>
          <w:tcPr>
            <w:cnfStyle w:val="001000000000" w:firstRow="0" w:lastRow="0" w:firstColumn="1" w:lastColumn="0" w:oddVBand="0" w:evenVBand="0" w:oddHBand="0" w:evenHBand="0" w:firstRowFirstColumn="0" w:firstRowLastColumn="0" w:lastRowFirstColumn="0" w:lastRowLastColumn="0"/>
            <w:tcW w:w="2049" w:type="dxa"/>
            <w:noWrap/>
            <w:vAlign w:val="center"/>
            <w:hideMark/>
          </w:tcPr>
          <w:p w14:paraId="6FC38AFD"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Âge</w:t>
            </w:r>
          </w:p>
        </w:tc>
        <w:tc>
          <w:tcPr>
            <w:tcW w:w="899" w:type="dxa"/>
            <w:noWrap/>
            <w:vAlign w:val="center"/>
            <w:hideMark/>
          </w:tcPr>
          <w:p w14:paraId="3BB8066B"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130</w:t>
            </w:r>
          </w:p>
        </w:tc>
        <w:tc>
          <w:tcPr>
            <w:tcW w:w="899" w:type="dxa"/>
            <w:noWrap/>
            <w:vAlign w:val="center"/>
            <w:hideMark/>
          </w:tcPr>
          <w:p w14:paraId="1DDB101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117</w:t>
            </w:r>
          </w:p>
        </w:tc>
        <w:tc>
          <w:tcPr>
            <w:tcW w:w="899" w:type="dxa"/>
            <w:noWrap/>
            <w:vAlign w:val="center"/>
            <w:hideMark/>
          </w:tcPr>
          <w:p w14:paraId="7805E8D2"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138</w:t>
            </w:r>
          </w:p>
        </w:tc>
        <w:tc>
          <w:tcPr>
            <w:tcW w:w="899" w:type="dxa"/>
            <w:noWrap/>
            <w:vAlign w:val="center"/>
            <w:hideMark/>
          </w:tcPr>
          <w:p w14:paraId="15C1BAA6"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124</w:t>
            </w:r>
          </w:p>
        </w:tc>
        <w:tc>
          <w:tcPr>
            <w:tcW w:w="899" w:type="dxa"/>
            <w:noWrap/>
            <w:vAlign w:val="center"/>
            <w:hideMark/>
          </w:tcPr>
          <w:p w14:paraId="44223D9C"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165</w:t>
            </w:r>
          </w:p>
        </w:tc>
        <w:tc>
          <w:tcPr>
            <w:tcW w:w="899" w:type="dxa"/>
            <w:noWrap/>
            <w:vAlign w:val="center"/>
            <w:hideMark/>
          </w:tcPr>
          <w:p w14:paraId="70A25233"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130</w:t>
            </w:r>
          </w:p>
        </w:tc>
        <w:tc>
          <w:tcPr>
            <w:tcW w:w="899" w:type="dxa"/>
            <w:noWrap/>
            <w:vAlign w:val="center"/>
            <w:hideMark/>
          </w:tcPr>
          <w:p w14:paraId="1E386823"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100</w:t>
            </w:r>
          </w:p>
        </w:tc>
        <w:tc>
          <w:tcPr>
            <w:tcW w:w="899" w:type="dxa"/>
            <w:noWrap/>
            <w:vAlign w:val="center"/>
            <w:hideMark/>
          </w:tcPr>
          <w:p w14:paraId="74FFD90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117</w:t>
            </w:r>
          </w:p>
        </w:tc>
        <w:tc>
          <w:tcPr>
            <w:tcW w:w="1242" w:type="dxa"/>
            <w:noWrap/>
            <w:vAlign w:val="center"/>
            <w:hideMark/>
          </w:tcPr>
          <w:p w14:paraId="1637063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1021</w:t>
            </w:r>
          </w:p>
        </w:tc>
      </w:tr>
      <w:tr w:rsidR="00E4081A" w:rsidRPr="00BD22C2" w14:paraId="30C044B4" w14:textId="77777777" w:rsidTr="0072117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049" w:type="dxa"/>
            <w:shd w:val="clear" w:color="auto" w:fill="D9D9D9" w:themeFill="background1" w:themeFillShade="D9"/>
            <w:noWrap/>
            <w:vAlign w:val="center"/>
            <w:hideMark/>
          </w:tcPr>
          <w:p w14:paraId="79DBF9D6"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Condition sociale</w:t>
            </w:r>
          </w:p>
        </w:tc>
        <w:tc>
          <w:tcPr>
            <w:tcW w:w="899" w:type="dxa"/>
            <w:shd w:val="clear" w:color="auto" w:fill="D9D9D9" w:themeFill="background1" w:themeFillShade="D9"/>
            <w:noWrap/>
            <w:vAlign w:val="center"/>
            <w:hideMark/>
          </w:tcPr>
          <w:p w14:paraId="070C7783"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55</w:t>
            </w:r>
          </w:p>
        </w:tc>
        <w:tc>
          <w:tcPr>
            <w:tcW w:w="899" w:type="dxa"/>
            <w:shd w:val="clear" w:color="auto" w:fill="D9D9D9" w:themeFill="background1" w:themeFillShade="D9"/>
            <w:noWrap/>
            <w:vAlign w:val="center"/>
            <w:hideMark/>
          </w:tcPr>
          <w:p w14:paraId="04519E4E"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45</w:t>
            </w:r>
          </w:p>
        </w:tc>
        <w:tc>
          <w:tcPr>
            <w:tcW w:w="899" w:type="dxa"/>
            <w:shd w:val="clear" w:color="auto" w:fill="D9D9D9" w:themeFill="background1" w:themeFillShade="D9"/>
            <w:noWrap/>
            <w:vAlign w:val="center"/>
            <w:hideMark/>
          </w:tcPr>
          <w:p w14:paraId="4A32D547"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64</w:t>
            </w:r>
          </w:p>
        </w:tc>
        <w:tc>
          <w:tcPr>
            <w:tcW w:w="899" w:type="dxa"/>
            <w:shd w:val="clear" w:color="auto" w:fill="D9D9D9" w:themeFill="background1" w:themeFillShade="D9"/>
            <w:noWrap/>
            <w:vAlign w:val="center"/>
            <w:hideMark/>
          </w:tcPr>
          <w:p w14:paraId="1B2CCE73"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69</w:t>
            </w:r>
          </w:p>
        </w:tc>
        <w:tc>
          <w:tcPr>
            <w:tcW w:w="899" w:type="dxa"/>
            <w:shd w:val="clear" w:color="auto" w:fill="D9D9D9" w:themeFill="background1" w:themeFillShade="D9"/>
            <w:noWrap/>
            <w:vAlign w:val="center"/>
            <w:hideMark/>
          </w:tcPr>
          <w:p w14:paraId="20F8DA76"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71</w:t>
            </w:r>
          </w:p>
        </w:tc>
        <w:tc>
          <w:tcPr>
            <w:tcW w:w="899" w:type="dxa"/>
            <w:shd w:val="clear" w:color="auto" w:fill="D9D9D9" w:themeFill="background1" w:themeFillShade="D9"/>
            <w:noWrap/>
            <w:vAlign w:val="center"/>
            <w:hideMark/>
          </w:tcPr>
          <w:p w14:paraId="05E19BB1"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85</w:t>
            </w:r>
          </w:p>
        </w:tc>
        <w:tc>
          <w:tcPr>
            <w:tcW w:w="899" w:type="dxa"/>
            <w:shd w:val="clear" w:color="auto" w:fill="D9D9D9" w:themeFill="background1" w:themeFillShade="D9"/>
            <w:noWrap/>
            <w:vAlign w:val="center"/>
            <w:hideMark/>
          </w:tcPr>
          <w:p w14:paraId="3B1E78F8"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111</w:t>
            </w:r>
          </w:p>
        </w:tc>
        <w:tc>
          <w:tcPr>
            <w:tcW w:w="899" w:type="dxa"/>
            <w:shd w:val="clear" w:color="auto" w:fill="D9D9D9" w:themeFill="background1" w:themeFillShade="D9"/>
            <w:noWrap/>
            <w:vAlign w:val="center"/>
            <w:hideMark/>
          </w:tcPr>
          <w:p w14:paraId="1B138741"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83</w:t>
            </w:r>
          </w:p>
        </w:tc>
        <w:tc>
          <w:tcPr>
            <w:tcW w:w="1242" w:type="dxa"/>
            <w:shd w:val="clear" w:color="auto" w:fill="D9D9D9" w:themeFill="background1" w:themeFillShade="D9"/>
            <w:noWrap/>
            <w:vAlign w:val="center"/>
            <w:hideMark/>
          </w:tcPr>
          <w:p w14:paraId="5738953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583</w:t>
            </w:r>
          </w:p>
        </w:tc>
      </w:tr>
      <w:tr w:rsidR="009E39F1" w:rsidRPr="00BD22C2" w14:paraId="1C5FDC33" w14:textId="77777777" w:rsidTr="0072117A">
        <w:trPr>
          <w:trHeight w:val="289"/>
        </w:trPr>
        <w:tc>
          <w:tcPr>
            <w:cnfStyle w:val="001000000000" w:firstRow="0" w:lastRow="0" w:firstColumn="1" w:lastColumn="0" w:oddVBand="0" w:evenVBand="0" w:oddHBand="0" w:evenHBand="0" w:firstRowFirstColumn="0" w:firstRowLastColumn="0" w:lastRowFirstColumn="0" w:lastRowLastColumn="0"/>
            <w:tcW w:w="2049" w:type="dxa"/>
            <w:noWrap/>
            <w:vAlign w:val="center"/>
            <w:hideMark/>
          </w:tcPr>
          <w:p w14:paraId="5B18874E"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Convictions politiques</w:t>
            </w:r>
          </w:p>
        </w:tc>
        <w:tc>
          <w:tcPr>
            <w:tcW w:w="899" w:type="dxa"/>
            <w:noWrap/>
            <w:vAlign w:val="center"/>
            <w:hideMark/>
          </w:tcPr>
          <w:p w14:paraId="570B93FA"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899" w:type="dxa"/>
            <w:noWrap/>
            <w:vAlign w:val="center"/>
            <w:hideMark/>
          </w:tcPr>
          <w:p w14:paraId="7238B316"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c>
          <w:tcPr>
            <w:tcW w:w="899" w:type="dxa"/>
            <w:noWrap/>
            <w:vAlign w:val="center"/>
            <w:hideMark/>
          </w:tcPr>
          <w:p w14:paraId="043B47F6"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18</w:t>
            </w:r>
          </w:p>
        </w:tc>
        <w:tc>
          <w:tcPr>
            <w:tcW w:w="899" w:type="dxa"/>
            <w:noWrap/>
            <w:vAlign w:val="center"/>
            <w:hideMark/>
          </w:tcPr>
          <w:p w14:paraId="71444A4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c>
          <w:tcPr>
            <w:tcW w:w="899" w:type="dxa"/>
            <w:noWrap/>
            <w:vAlign w:val="center"/>
            <w:hideMark/>
          </w:tcPr>
          <w:p w14:paraId="63E39D67"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14</w:t>
            </w:r>
          </w:p>
        </w:tc>
        <w:tc>
          <w:tcPr>
            <w:tcW w:w="899" w:type="dxa"/>
            <w:noWrap/>
            <w:vAlign w:val="center"/>
            <w:hideMark/>
          </w:tcPr>
          <w:p w14:paraId="2E1A570E"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15</w:t>
            </w:r>
          </w:p>
        </w:tc>
        <w:tc>
          <w:tcPr>
            <w:tcW w:w="899" w:type="dxa"/>
            <w:noWrap/>
            <w:vAlign w:val="center"/>
            <w:hideMark/>
          </w:tcPr>
          <w:p w14:paraId="438A775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24</w:t>
            </w:r>
          </w:p>
        </w:tc>
        <w:tc>
          <w:tcPr>
            <w:tcW w:w="899" w:type="dxa"/>
            <w:noWrap/>
            <w:vAlign w:val="center"/>
            <w:hideMark/>
          </w:tcPr>
          <w:p w14:paraId="321255B3"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1242" w:type="dxa"/>
            <w:noWrap/>
            <w:vAlign w:val="center"/>
            <w:hideMark/>
          </w:tcPr>
          <w:p w14:paraId="046E73D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105</w:t>
            </w:r>
          </w:p>
        </w:tc>
      </w:tr>
      <w:tr w:rsidR="00E4081A" w:rsidRPr="00BD22C2" w14:paraId="1C9F1214" w14:textId="77777777" w:rsidTr="0072117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49" w:type="dxa"/>
            <w:shd w:val="clear" w:color="auto" w:fill="D9D9D9" w:themeFill="background1" w:themeFillShade="D9"/>
            <w:noWrap/>
            <w:vAlign w:val="center"/>
            <w:hideMark/>
          </w:tcPr>
          <w:p w14:paraId="248F4E1F"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État civil</w:t>
            </w:r>
          </w:p>
        </w:tc>
        <w:tc>
          <w:tcPr>
            <w:tcW w:w="899" w:type="dxa"/>
            <w:shd w:val="clear" w:color="auto" w:fill="D9D9D9" w:themeFill="background1" w:themeFillShade="D9"/>
            <w:noWrap/>
            <w:vAlign w:val="center"/>
            <w:hideMark/>
          </w:tcPr>
          <w:p w14:paraId="28B4BA9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30</w:t>
            </w:r>
          </w:p>
        </w:tc>
        <w:tc>
          <w:tcPr>
            <w:tcW w:w="899" w:type="dxa"/>
            <w:shd w:val="clear" w:color="auto" w:fill="D9D9D9" w:themeFill="background1" w:themeFillShade="D9"/>
            <w:noWrap/>
            <w:vAlign w:val="center"/>
            <w:hideMark/>
          </w:tcPr>
          <w:p w14:paraId="386685E6"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34</w:t>
            </w:r>
          </w:p>
        </w:tc>
        <w:tc>
          <w:tcPr>
            <w:tcW w:w="899" w:type="dxa"/>
            <w:shd w:val="clear" w:color="auto" w:fill="D9D9D9" w:themeFill="background1" w:themeFillShade="D9"/>
            <w:noWrap/>
            <w:vAlign w:val="center"/>
            <w:hideMark/>
          </w:tcPr>
          <w:p w14:paraId="502BA2FE"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36</w:t>
            </w:r>
          </w:p>
        </w:tc>
        <w:tc>
          <w:tcPr>
            <w:tcW w:w="899" w:type="dxa"/>
            <w:shd w:val="clear" w:color="auto" w:fill="D9D9D9" w:themeFill="background1" w:themeFillShade="D9"/>
            <w:noWrap/>
            <w:vAlign w:val="center"/>
            <w:hideMark/>
          </w:tcPr>
          <w:p w14:paraId="3518CD5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19</w:t>
            </w:r>
          </w:p>
        </w:tc>
        <w:tc>
          <w:tcPr>
            <w:tcW w:w="899" w:type="dxa"/>
            <w:shd w:val="clear" w:color="auto" w:fill="D9D9D9" w:themeFill="background1" w:themeFillShade="D9"/>
            <w:noWrap/>
            <w:vAlign w:val="center"/>
            <w:hideMark/>
          </w:tcPr>
          <w:p w14:paraId="1389EE4E"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32</w:t>
            </w:r>
          </w:p>
        </w:tc>
        <w:tc>
          <w:tcPr>
            <w:tcW w:w="899" w:type="dxa"/>
            <w:shd w:val="clear" w:color="auto" w:fill="D9D9D9" w:themeFill="background1" w:themeFillShade="D9"/>
            <w:noWrap/>
            <w:vAlign w:val="center"/>
            <w:hideMark/>
          </w:tcPr>
          <w:p w14:paraId="2D87D13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29</w:t>
            </w:r>
          </w:p>
        </w:tc>
        <w:tc>
          <w:tcPr>
            <w:tcW w:w="899" w:type="dxa"/>
            <w:shd w:val="clear" w:color="auto" w:fill="D9D9D9" w:themeFill="background1" w:themeFillShade="D9"/>
            <w:noWrap/>
            <w:vAlign w:val="center"/>
            <w:hideMark/>
          </w:tcPr>
          <w:p w14:paraId="4E71411B"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32</w:t>
            </w:r>
          </w:p>
        </w:tc>
        <w:tc>
          <w:tcPr>
            <w:tcW w:w="899" w:type="dxa"/>
            <w:shd w:val="clear" w:color="auto" w:fill="D9D9D9" w:themeFill="background1" w:themeFillShade="D9"/>
            <w:noWrap/>
            <w:vAlign w:val="center"/>
            <w:hideMark/>
          </w:tcPr>
          <w:p w14:paraId="69DB8FC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42</w:t>
            </w:r>
          </w:p>
        </w:tc>
        <w:tc>
          <w:tcPr>
            <w:tcW w:w="1242" w:type="dxa"/>
            <w:shd w:val="clear" w:color="auto" w:fill="D9D9D9" w:themeFill="background1" w:themeFillShade="D9"/>
            <w:noWrap/>
            <w:vAlign w:val="center"/>
            <w:hideMark/>
          </w:tcPr>
          <w:p w14:paraId="2726F559"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254</w:t>
            </w:r>
          </w:p>
        </w:tc>
      </w:tr>
      <w:tr w:rsidR="009E39F1" w:rsidRPr="00BD22C2" w14:paraId="06BFD391" w14:textId="77777777" w:rsidTr="0072117A">
        <w:trPr>
          <w:trHeight w:val="289"/>
        </w:trPr>
        <w:tc>
          <w:tcPr>
            <w:cnfStyle w:val="001000000000" w:firstRow="0" w:lastRow="0" w:firstColumn="1" w:lastColumn="0" w:oddVBand="0" w:evenVBand="0" w:oddHBand="0" w:evenHBand="0" w:firstRowFirstColumn="0" w:firstRowLastColumn="0" w:lastRowFirstColumn="0" w:lastRowLastColumn="0"/>
            <w:tcW w:w="2049" w:type="dxa"/>
            <w:noWrap/>
            <w:vAlign w:val="center"/>
            <w:hideMark/>
          </w:tcPr>
          <w:p w14:paraId="1D854C54"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Grossesse</w:t>
            </w:r>
          </w:p>
        </w:tc>
        <w:tc>
          <w:tcPr>
            <w:tcW w:w="899" w:type="dxa"/>
            <w:noWrap/>
            <w:vAlign w:val="center"/>
            <w:hideMark/>
          </w:tcPr>
          <w:p w14:paraId="1DCDFBCC"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57</w:t>
            </w:r>
          </w:p>
        </w:tc>
        <w:tc>
          <w:tcPr>
            <w:tcW w:w="899" w:type="dxa"/>
            <w:noWrap/>
            <w:vAlign w:val="center"/>
            <w:hideMark/>
          </w:tcPr>
          <w:p w14:paraId="02418D5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43</w:t>
            </w:r>
          </w:p>
        </w:tc>
        <w:tc>
          <w:tcPr>
            <w:tcW w:w="899" w:type="dxa"/>
            <w:noWrap/>
            <w:vAlign w:val="center"/>
            <w:hideMark/>
          </w:tcPr>
          <w:p w14:paraId="27D7057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49</w:t>
            </w:r>
          </w:p>
        </w:tc>
        <w:tc>
          <w:tcPr>
            <w:tcW w:w="899" w:type="dxa"/>
            <w:noWrap/>
            <w:vAlign w:val="center"/>
            <w:hideMark/>
          </w:tcPr>
          <w:p w14:paraId="7EFA549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52</w:t>
            </w:r>
          </w:p>
        </w:tc>
        <w:tc>
          <w:tcPr>
            <w:tcW w:w="899" w:type="dxa"/>
            <w:noWrap/>
            <w:vAlign w:val="center"/>
            <w:hideMark/>
          </w:tcPr>
          <w:p w14:paraId="648B2C72"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47</w:t>
            </w:r>
          </w:p>
        </w:tc>
        <w:tc>
          <w:tcPr>
            <w:tcW w:w="899" w:type="dxa"/>
            <w:noWrap/>
            <w:vAlign w:val="center"/>
            <w:hideMark/>
          </w:tcPr>
          <w:p w14:paraId="4A34EF4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34</w:t>
            </w:r>
          </w:p>
        </w:tc>
        <w:tc>
          <w:tcPr>
            <w:tcW w:w="899" w:type="dxa"/>
            <w:noWrap/>
            <w:vAlign w:val="center"/>
            <w:hideMark/>
          </w:tcPr>
          <w:p w14:paraId="6BCD274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38</w:t>
            </w:r>
          </w:p>
        </w:tc>
        <w:tc>
          <w:tcPr>
            <w:tcW w:w="899" w:type="dxa"/>
            <w:noWrap/>
            <w:vAlign w:val="center"/>
            <w:hideMark/>
          </w:tcPr>
          <w:p w14:paraId="3869960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41</w:t>
            </w:r>
          </w:p>
        </w:tc>
        <w:tc>
          <w:tcPr>
            <w:tcW w:w="1242" w:type="dxa"/>
            <w:noWrap/>
            <w:vAlign w:val="center"/>
            <w:hideMark/>
          </w:tcPr>
          <w:p w14:paraId="45AC86E5"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361</w:t>
            </w:r>
          </w:p>
        </w:tc>
      </w:tr>
      <w:tr w:rsidR="00E4081A" w:rsidRPr="00BD22C2" w14:paraId="57493689" w14:textId="77777777" w:rsidTr="0072117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49" w:type="dxa"/>
            <w:shd w:val="clear" w:color="auto" w:fill="D9D9D9" w:themeFill="background1" w:themeFillShade="D9"/>
            <w:noWrap/>
            <w:vAlign w:val="center"/>
            <w:hideMark/>
          </w:tcPr>
          <w:p w14:paraId="08240306"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Handicap</w:t>
            </w:r>
          </w:p>
        </w:tc>
        <w:tc>
          <w:tcPr>
            <w:tcW w:w="899" w:type="dxa"/>
            <w:shd w:val="clear" w:color="auto" w:fill="D9D9D9" w:themeFill="background1" w:themeFillShade="D9"/>
            <w:noWrap/>
            <w:vAlign w:val="center"/>
            <w:hideMark/>
          </w:tcPr>
          <w:p w14:paraId="6894AA2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550</w:t>
            </w:r>
          </w:p>
        </w:tc>
        <w:tc>
          <w:tcPr>
            <w:tcW w:w="899" w:type="dxa"/>
            <w:shd w:val="clear" w:color="auto" w:fill="D9D9D9" w:themeFill="background1" w:themeFillShade="D9"/>
            <w:noWrap/>
            <w:vAlign w:val="center"/>
            <w:hideMark/>
          </w:tcPr>
          <w:p w14:paraId="2A4FD9F5"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443</w:t>
            </w:r>
          </w:p>
        </w:tc>
        <w:tc>
          <w:tcPr>
            <w:tcW w:w="899" w:type="dxa"/>
            <w:shd w:val="clear" w:color="auto" w:fill="D9D9D9" w:themeFill="background1" w:themeFillShade="D9"/>
            <w:noWrap/>
            <w:vAlign w:val="center"/>
            <w:hideMark/>
          </w:tcPr>
          <w:p w14:paraId="54694C4B"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499</w:t>
            </w:r>
          </w:p>
        </w:tc>
        <w:tc>
          <w:tcPr>
            <w:tcW w:w="899" w:type="dxa"/>
            <w:shd w:val="clear" w:color="auto" w:fill="D9D9D9" w:themeFill="background1" w:themeFillShade="D9"/>
            <w:noWrap/>
            <w:vAlign w:val="center"/>
            <w:hideMark/>
          </w:tcPr>
          <w:p w14:paraId="66A0AD3D"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440</w:t>
            </w:r>
          </w:p>
        </w:tc>
        <w:tc>
          <w:tcPr>
            <w:tcW w:w="899" w:type="dxa"/>
            <w:shd w:val="clear" w:color="auto" w:fill="D9D9D9" w:themeFill="background1" w:themeFillShade="D9"/>
            <w:noWrap/>
            <w:vAlign w:val="center"/>
            <w:hideMark/>
          </w:tcPr>
          <w:p w14:paraId="3D22EEC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559</w:t>
            </w:r>
          </w:p>
        </w:tc>
        <w:tc>
          <w:tcPr>
            <w:tcW w:w="899" w:type="dxa"/>
            <w:shd w:val="clear" w:color="auto" w:fill="D9D9D9" w:themeFill="background1" w:themeFillShade="D9"/>
            <w:noWrap/>
            <w:vAlign w:val="center"/>
            <w:hideMark/>
          </w:tcPr>
          <w:p w14:paraId="002E23AE"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558</w:t>
            </w:r>
          </w:p>
        </w:tc>
        <w:tc>
          <w:tcPr>
            <w:tcW w:w="899" w:type="dxa"/>
            <w:shd w:val="clear" w:color="auto" w:fill="D9D9D9" w:themeFill="background1" w:themeFillShade="D9"/>
            <w:noWrap/>
            <w:vAlign w:val="center"/>
            <w:hideMark/>
          </w:tcPr>
          <w:p w14:paraId="051B7B38"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459</w:t>
            </w:r>
          </w:p>
        </w:tc>
        <w:tc>
          <w:tcPr>
            <w:tcW w:w="899" w:type="dxa"/>
            <w:shd w:val="clear" w:color="auto" w:fill="D9D9D9" w:themeFill="background1" w:themeFillShade="D9"/>
            <w:noWrap/>
            <w:vAlign w:val="center"/>
            <w:hideMark/>
          </w:tcPr>
          <w:p w14:paraId="0A52BEE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524</w:t>
            </w:r>
          </w:p>
        </w:tc>
        <w:tc>
          <w:tcPr>
            <w:tcW w:w="1242" w:type="dxa"/>
            <w:shd w:val="clear" w:color="auto" w:fill="D9D9D9" w:themeFill="background1" w:themeFillShade="D9"/>
            <w:noWrap/>
            <w:vAlign w:val="center"/>
            <w:hideMark/>
          </w:tcPr>
          <w:p w14:paraId="2371940B"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4032</w:t>
            </w:r>
          </w:p>
        </w:tc>
      </w:tr>
      <w:tr w:rsidR="009E39F1" w:rsidRPr="00BD22C2" w14:paraId="6500C1EC" w14:textId="77777777" w:rsidTr="0072117A">
        <w:trPr>
          <w:trHeight w:val="289"/>
        </w:trPr>
        <w:tc>
          <w:tcPr>
            <w:cnfStyle w:val="001000000000" w:firstRow="0" w:lastRow="0" w:firstColumn="1" w:lastColumn="0" w:oddVBand="0" w:evenVBand="0" w:oddHBand="0" w:evenHBand="0" w:firstRowFirstColumn="0" w:firstRowLastColumn="0" w:lastRowFirstColumn="0" w:lastRowLastColumn="0"/>
            <w:tcW w:w="2049" w:type="dxa"/>
            <w:noWrap/>
            <w:vAlign w:val="center"/>
            <w:hideMark/>
          </w:tcPr>
          <w:p w14:paraId="2EBE015F"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Identité ou expression du genre</w:t>
            </w:r>
          </w:p>
        </w:tc>
        <w:tc>
          <w:tcPr>
            <w:tcW w:w="899" w:type="dxa"/>
            <w:noWrap/>
            <w:vAlign w:val="center"/>
            <w:hideMark/>
          </w:tcPr>
          <w:p w14:paraId="4A476257"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899" w:type="dxa"/>
            <w:noWrap/>
            <w:vAlign w:val="center"/>
            <w:hideMark/>
          </w:tcPr>
          <w:p w14:paraId="2F9492BA"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17</w:t>
            </w:r>
          </w:p>
        </w:tc>
        <w:tc>
          <w:tcPr>
            <w:tcW w:w="899" w:type="dxa"/>
            <w:noWrap/>
            <w:vAlign w:val="center"/>
            <w:hideMark/>
          </w:tcPr>
          <w:p w14:paraId="71CDAB5B"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33</w:t>
            </w:r>
          </w:p>
        </w:tc>
        <w:tc>
          <w:tcPr>
            <w:tcW w:w="899" w:type="dxa"/>
            <w:noWrap/>
            <w:vAlign w:val="center"/>
            <w:hideMark/>
          </w:tcPr>
          <w:p w14:paraId="7A33AE54"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17</w:t>
            </w:r>
          </w:p>
        </w:tc>
        <w:tc>
          <w:tcPr>
            <w:tcW w:w="899" w:type="dxa"/>
            <w:noWrap/>
            <w:vAlign w:val="center"/>
            <w:hideMark/>
          </w:tcPr>
          <w:p w14:paraId="2BB3B87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20</w:t>
            </w:r>
          </w:p>
        </w:tc>
        <w:tc>
          <w:tcPr>
            <w:tcW w:w="899" w:type="dxa"/>
            <w:noWrap/>
            <w:vAlign w:val="center"/>
            <w:hideMark/>
          </w:tcPr>
          <w:p w14:paraId="28B96383"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21</w:t>
            </w:r>
          </w:p>
        </w:tc>
        <w:tc>
          <w:tcPr>
            <w:tcW w:w="899" w:type="dxa"/>
            <w:noWrap/>
            <w:vAlign w:val="center"/>
            <w:hideMark/>
          </w:tcPr>
          <w:p w14:paraId="6B2B52BB"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28</w:t>
            </w:r>
          </w:p>
        </w:tc>
        <w:tc>
          <w:tcPr>
            <w:tcW w:w="899" w:type="dxa"/>
            <w:noWrap/>
            <w:vAlign w:val="center"/>
            <w:hideMark/>
          </w:tcPr>
          <w:p w14:paraId="7811CE56"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31</w:t>
            </w:r>
          </w:p>
        </w:tc>
        <w:tc>
          <w:tcPr>
            <w:tcW w:w="1242" w:type="dxa"/>
            <w:noWrap/>
            <w:vAlign w:val="center"/>
            <w:hideMark/>
          </w:tcPr>
          <w:p w14:paraId="5E25A390"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177</w:t>
            </w:r>
          </w:p>
        </w:tc>
      </w:tr>
      <w:tr w:rsidR="00E4081A" w:rsidRPr="00BD22C2" w14:paraId="3C696405" w14:textId="77777777" w:rsidTr="0072117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49" w:type="dxa"/>
            <w:shd w:val="clear" w:color="auto" w:fill="D9D9D9" w:themeFill="background1" w:themeFillShade="D9"/>
            <w:noWrap/>
            <w:vAlign w:val="center"/>
            <w:hideMark/>
          </w:tcPr>
          <w:p w14:paraId="691C692D"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Langue</w:t>
            </w:r>
          </w:p>
        </w:tc>
        <w:tc>
          <w:tcPr>
            <w:tcW w:w="899" w:type="dxa"/>
            <w:shd w:val="clear" w:color="auto" w:fill="D9D9D9" w:themeFill="background1" w:themeFillShade="D9"/>
            <w:noWrap/>
            <w:vAlign w:val="center"/>
            <w:hideMark/>
          </w:tcPr>
          <w:p w14:paraId="01FBD98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21</w:t>
            </w:r>
          </w:p>
        </w:tc>
        <w:tc>
          <w:tcPr>
            <w:tcW w:w="899" w:type="dxa"/>
            <w:shd w:val="clear" w:color="auto" w:fill="D9D9D9" w:themeFill="background1" w:themeFillShade="D9"/>
            <w:noWrap/>
            <w:vAlign w:val="center"/>
            <w:hideMark/>
          </w:tcPr>
          <w:p w14:paraId="35D43B3A"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18</w:t>
            </w:r>
          </w:p>
        </w:tc>
        <w:tc>
          <w:tcPr>
            <w:tcW w:w="899" w:type="dxa"/>
            <w:shd w:val="clear" w:color="auto" w:fill="D9D9D9" w:themeFill="background1" w:themeFillShade="D9"/>
            <w:noWrap/>
            <w:vAlign w:val="center"/>
            <w:hideMark/>
          </w:tcPr>
          <w:p w14:paraId="29F0E23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21</w:t>
            </w:r>
          </w:p>
        </w:tc>
        <w:tc>
          <w:tcPr>
            <w:tcW w:w="899" w:type="dxa"/>
            <w:shd w:val="clear" w:color="auto" w:fill="D9D9D9" w:themeFill="background1" w:themeFillShade="D9"/>
            <w:noWrap/>
            <w:vAlign w:val="center"/>
            <w:hideMark/>
          </w:tcPr>
          <w:p w14:paraId="1923F13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22</w:t>
            </w:r>
          </w:p>
        </w:tc>
        <w:tc>
          <w:tcPr>
            <w:tcW w:w="899" w:type="dxa"/>
            <w:shd w:val="clear" w:color="auto" w:fill="D9D9D9" w:themeFill="background1" w:themeFillShade="D9"/>
            <w:noWrap/>
            <w:vAlign w:val="center"/>
            <w:hideMark/>
          </w:tcPr>
          <w:p w14:paraId="12E88CAA"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44</w:t>
            </w:r>
          </w:p>
        </w:tc>
        <w:tc>
          <w:tcPr>
            <w:tcW w:w="899" w:type="dxa"/>
            <w:shd w:val="clear" w:color="auto" w:fill="D9D9D9" w:themeFill="background1" w:themeFillShade="D9"/>
            <w:noWrap/>
            <w:vAlign w:val="center"/>
            <w:hideMark/>
          </w:tcPr>
          <w:p w14:paraId="7E69218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39</w:t>
            </w:r>
          </w:p>
        </w:tc>
        <w:tc>
          <w:tcPr>
            <w:tcW w:w="899" w:type="dxa"/>
            <w:shd w:val="clear" w:color="auto" w:fill="D9D9D9" w:themeFill="background1" w:themeFillShade="D9"/>
            <w:noWrap/>
            <w:vAlign w:val="center"/>
            <w:hideMark/>
          </w:tcPr>
          <w:p w14:paraId="22376A9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28</w:t>
            </w:r>
          </w:p>
        </w:tc>
        <w:tc>
          <w:tcPr>
            <w:tcW w:w="899" w:type="dxa"/>
            <w:shd w:val="clear" w:color="auto" w:fill="D9D9D9" w:themeFill="background1" w:themeFillShade="D9"/>
            <w:noWrap/>
            <w:vAlign w:val="center"/>
            <w:hideMark/>
          </w:tcPr>
          <w:p w14:paraId="43001DB5"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41</w:t>
            </w:r>
          </w:p>
        </w:tc>
        <w:tc>
          <w:tcPr>
            <w:tcW w:w="1242" w:type="dxa"/>
            <w:shd w:val="clear" w:color="auto" w:fill="D9D9D9" w:themeFill="background1" w:themeFillShade="D9"/>
            <w:noWrap/>
            <w:vAlign w:val="center"/>
            <w:hideMark/>
          </w:tcPr>
          <w:p w14:paraId="76808B35"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234</w:t>
            </w:r>
          </w:p>
        </w:tc>
      </w:tr>
      <w:tr w:rsidR="009E39F1" w:rsidRPr="00BD22C2" w14:paraId="35EA919A" w14:textId="77777777" w:rsidTr="0072117A">
        <w:trPr>
          <w:trHeight w:val="289"/>
        </w:trPr>
        <w:tc>
          <w:tcPr>
            <w:cnfStyle w:val="001000000000" w:firstRow="0" w:lastRow="0" w:firstColumn="1" w:lastColumn="0" w:oddVBand="0" w:evenVBand="0" w:oddHBand="0" w:evenHBand="0" w:firstRowFirstColumn="0" w:firstRowLastColumn="0" w:lastRowFirstColumn="0" w:lastRowLastColumn="0"/>
            <w:tcW w:w="2049" w:type="dxa"/>
            <w:noWrap/>
            <w:vAlign w:val="center"/>
            <w:hideMark/>
          </w:tcPr>
          <w:p w14:paraId="322EDFB8"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Orientation sexuelle</w:t>
            </w:r>
          </w:p>
        </w:tc>
        <w:tc>
          <w:tcPr>
            <w:tcW w:w="899" w:type="dxa"/>
            <w:noWrap/>
            <w:vAlign w:val="center"/>
            <w:hideMark/>
          </w:tcPr>
          <w:p w14:paraId="4B496FC2"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18</w:t>
            </w:r>
          </w:p>
        </w:tc>
        <w:tc>
          <w:tcPr>
            <w:tcW w:w="899" w:type="dxa"/>
            <w:noWrap/>
            <w:vAlign w:val="center"/>
            <w:hideMark/>
          </w:tcPr>
          <w:p w14:paraId="5B513E1E"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26</w:t>
            </w:r>
          </w:p>
        </w:tc>
        <w:tc>
          <w:tcPr>
            <w:tcW w:w="899" w:type="dxa"/>
            <w:noWrap/>
            <w:vAlign w:val="center"/>
            <w:hideMark/>
          </w:tcPr>
          <w:p w14:paraId="56C8DA2A"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21</w:t>
            </w:r>
          </w:p>
        </w:tc>
        <w:tc>
          <w:tcPr>
            <w:tcW w:w="899" w:type="dxa"/>
            <w:noWrap/>
            <w:vAlign w:val="center"/>
            <w:hideMark/>
          </w:tcPr>
          <w:p w14:paraId="72667238"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28</w:t>
            </w:r>
          </w:p>
        </w:tc>
        <w:tc>
          <w:tcPr>
            <w:tcW w:w="899" w:type="dxa"/>
            <w:noWrap/>
            <w:vAlign w:val="center"/>
            <w:hideMark/>
          </w:tcPr>
          <w:p w14:paraId="5F38BCF0"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28</w:t>
            </w:r>
          </w:p>
        </w:tc>
        <w:tc>
          <w:tcPr>
            <w:tcW w:w="899" w:type="dxa"/>
            <w:noWrap/>
            <w:vAlign w:val="center"/>
            <w:hideMark/>
          </w:tcPr>
          <w:p w14:paraId="1EB520E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32</w:t>
            </w:r>
          </w:p>
        </w:tc>
        <w:tc>
          <w:tcPr>
            <w:tcW w:w="899" w:type="dxa"/>
            <w:noWrap/>
            <w:vAlign w:val="center"/>
            <w:hideMark/>
          </w:tcPr>
          <w:p w14:paraId="25BCE07E"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26</w:t>
            </w:r>
          </w:p>
        </w:tc>
        <w:tc>
          <w:tcPr>
            <w:tcW w:w="899" w:type="dxa"/>
            <w:noWrap/>
            <w:vAlign w:val="center"/>
            <w:hideMark/>
          </w:tcPr>
          <w:p w14:paraId="59FD04A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29</w:t>
            </w:r>
          </w:p>
        </w:tc>
        <w:tc>
          <w:tcPr>
            <w:tcW w:w="1242" w:type="dxa"/>
            <w:noWrap/>
            <w:vAlign w:val="center"/>
            <w:hideMark/>
          </w:tcPr>
          <w:p w14:paraId="5AA98F48"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208</w:t>
            </w:r>
          </w:p>
        </w:tc>
      </w:tr>
      <w:tr w:rsidR="00E4081A" w:rsidRPr="00BD22C2" w14:paraId="0325D64F" w14:textId="77777777" w:rsidTr="0072117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49" w:type="dxa"/>
            <w:shd w:val="clear" w:color="auto" w:fill="D9D9D9" w:themeFill="background1" w:themeFillShade="D9"/>
            <w:noWrap/>
            <w:vAlign w:val="center"/>
            <w:hideMark/>
          </w:tcPr>
          <w:p w14:paraId="02E08FA0"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Race-Couleur-Origine ethnique ou nationale</w:t>
            </w:r>
          </w:p>
        </w:tc>
        <w:tc>
          <w:tcPr>
            <w:tcW w:w="899" w:type="dxa"/>
            <w:shd w:val="clear" w:color="auto" w:fill="D9D9D9" w:themeFill="background1" w:themeFillShade="D9"/>
            <w:noWrap/>
            <w:vAlign w:val="center"/>
            <w:hideMark/>
          </w:tcPr>
          <w:p w14:paraId="246FD7F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298</w:t>
            </w:r>
          </w:p>
        </w:tc>
        <w:tc>
          <w:tcPr>
            <w:tcW w:w="899" w:type="dxa"/>
            <w:shd w:val="clear" w:color="auto" w:fill="D9D9D9" w:themeFill="background1" w:themeFillShade="D9"/>
            <w:noWrap/>
            <w:vAlign w:val="center"/>
            <w:hideMark/>
          </w:tcPr>
          <w:p w14:paraId="157189F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295</w:t>
            </w:r>
          </w:p>
        </w:tc>
        <w:tc>
          <w:tcPr>
            <w:tcW w:w="899" w:type="dxa"/>
            <w:shd w:val="clear" w:color="auto" w:fill="D9D9D9" w:themeFill="background1" w:themeFillShade="D9"/>
            <w:noWrap/>
            <w:vAlign w:val="center"/>
            <w:hideMark/>
          </w:tcPr>
          <w:p w14:paraId="5CB4DD0D"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344</w:t>
            </w:r>
          </w:p>
        </w:tc>
        <w:tc>
          <w:tcPr>
            <w:tcW w:w="899" w:type="dxa"/>
            <w:shd w:val="clear" w:color="auto" w:fill="D9D9D9" w:themeFill="background1" w:themeFillShade="D9"/>
            <w:noWrap/>
            <w:vAlign w:val="center"/>
            <w:hideMark/>
          </w:tcPr>
          <w:p w14:paraId="5A56148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380</w:t>
            </w:r>
          </w:p>
        </w:tc>
        <w:tc>
          <w:tcPr>
            <w:tcW w:w="899" w:type="dxa"/>
            <w:shd w:val="clear" w:color="auto" w:fill="D9D9D9" w:themeFill="background1" w:themeFillShade="D9"/>
            <w:noWrap/>
            <w:vAlign w:val="center"/>
            <w:hideMark/>
          </w:tcPr>
          <w:p w14:paraId="62CD567D"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435</w:t>
            </w:r>
          </w:p>
        </w:tc>
        <w:tc>
          <w:tcPr>
            <w:tcW w:w="899" w:type="dxa"/>
            <w:shd w:val="clear" w:color="auto" w:fill="D9D9D9" w:themeFill="background1" w:themeFillShade="D9"/>
            <w:noWrap/>
            <w:vAlign w:val="center"/>
            <w:hideMark/>
          </w:tcPr>
          <w:p w14:paraId="002C98D5"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452</w:t>
            </w:r>
          </w:p>
        </w:tc>
        <w:tc>
          <w:tcPr>
            <w:tcW w:w="899" w:type="dxa"/>
            <w:shd w:val="clear" w:color="auto" w:fill="D9D9D9" w:themeFill="background1" w:themeFillShade="D9"/>
            <w:noWrap/>
            <w:vAlign w:val="center"/>
            <w:hideMark/>
          </w:tcPr>
          <w:p w14:paraId="125FD23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405</w:t>
            </w:r>
          </w:p>
        </w:tc>
        <w:tc>
          <w:tcPr>
            <w:tcW w:w="899" w:type="dxa"/>
            <w:shd w:val="clear" w:color="auto" w:fill="D9D9D9" w:themeFill="background1" w:themeFillShade="D9"/>
            <w:noWrap/>
            <w:vAlign w:val="center"/>
            <w:hideMark/>
          </w:tcPr>
          <w:p w14:paraId="0110F788"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444</w:t>
            </w:r>
          </w:p>
        </w:tc>
        <w:tc>
          <w:tcPr>
            <w:tcW w:w="1242" w:type="dxa"/>
            <w:shd w:val="clear" w:color="auto" w:fill="D9D9D9" w:themeFill="background1" w:themeFillShade="D9"/>
            <w:noWrap/>
            <w:vAlign w:val="center"/>
            <w:hideMark/>
          </w:tcPr>
          <w:p w14:paraId="02F4C492"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3053</w:t>
            </w:r>
          </w:p>
        </w:tc>
      </w:tr>
      <w:tr w:rsidR="009E39F1" w:rsidRPr="00BD22C2" w14:paraId="7A765221" w14:textId="77777777" w:rsidTr="0072117A">
        <w:trPr>
          <w:trHeight w:val="289"/>
        </w:trPr>
        <w:tc>
          <w:tcPr>
            <w:cnfStyle w:val="001000000000" w:firstRow="0" w:lastRow="0" w:firstColumn="1" w:lastColumn="0" w:oddVBand="0" w:evenVBand="0" w:oddHBand="0" w:evenHBand="0" w:firstRowFirstColumn="0" w:firstRowLastColumn="0" w:lastRowFirstColumn="0" w:lastRowLastColumn="0"/>
            <w:tcW w:w="2049" w:type="dxa"/>
            <w:noWrap/>
            <w:vAlign w:val="center"/>
            <w:hideMark/>
          </w:tcPr>
          <w:p w14:paraId="5D9B3554"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Religion</w:t>
            </w:r>
          </w:p>
        </w:tc>
        <w:tc>
          <w:tcPr>
            <w:tcW w:w="899" w:type="dxa"/>
            <w:noWrap/>
            <w:vAlign w:val="center"/>
            <w:hideMark/>
          </w:tcPr>
          <w:p w14:paraId="2659B18E"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46</w:t>
            </w:r>
          </w:p>
        </w:tc>
        <w:tc>
          <w:tcPr>
            <w:tcW w:w="899" w:type="dxa"/>
            <w:noWrap/>
            <w:vAlign w:val="center"/>
            <w:hideMark/>
          </w:tcPr>
          <w:p w14:paraId="59FD4D6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31</w:t>
            </w:r>
          </w:p>
        </w:tc>
        <w:tc>
          <w:tcPr>
            <w:tcW w:w="899" w:type="dxa"/>
            <w:noWrap/>
            <w:vAlign w:val="center"/>
            <w:hideMark/>
          </w:tcPr>
          <w:p w14:paraId="658E764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48</w:t>
            </w:r>
          </w:p>
        </w:tc>
        <w:tc>
          <w:tcPr>
            <w:tcW w:w="899" w:type="dxa"/>
            <w:noWrap/>
            <w:vAlign w:val="center"/>
            <w:hideMark/>
          </w:tcPr>
          <w:p w14:paraId="255D4FA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39</w:t>
            </w:r>
          </w:p>
        </w:tc>
        <w:tc>
          <w:tcPr>
            <w:tcW w:w="899" w:type="dxa"/>
            <w:noWrap/>
            <w:vAlign w:val="center"/>
            <w:hideMark/>
          </w:tcPr>
          <w:p w14:paraId="07C66250"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42</w:t>
            </w:r>
          </w:p>
        </w:tc>
        <w:tc>
          <w:tcPr>
            <w:tcW w:w="899" w:type="dxa"/>
            <w:noWrap/>
            <w:vAlign w:val="center"/>
            <w:hideMark/>
          </w:tcPr>
          <w:p w14:paraId="60B64EF5"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36</w:t>
            </w:r>
          </w:p>
        </w:tc>
        <w:tc>
          <w:tcPr>
            <w:tcW w:w="899" w:type="dxa"/>
            <w:noWrap/>
            <w:vAlign w:val="center"/>
            <w:hideMark/>
          </w:tcPr>
          <w:p w14:paraId="4CFFFA2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29</w:t>
            </w:r>
          </w:p>
        </w:tc>
        <w:tc>
          <w:tcPr>
            <w:tcW w:w="899" w:type="dxa"/>
            <w:noWrap/>
            <w:vAlign w:val="center"/>
            <w:hideMark/>
          </w:tcPr>
          <w:p w14:paraId="132D5CC7"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36</w:t>
            </w:r>
          </w:p>
        </w:tc>
        <w:tc>
          <w:tcPr>
            <w:tcW w:w="1242" w:type="dxa"/>
            <w:noWrap/>
            <w:vAlign w:val="center"/>
            <w:hideMark/>
          </w:tcPr>
          <w:p w14:paraId="4E4CFC42"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307</w:t>
            </w:r>
          </w:p>
        </w:tc>
      </w:tr>
      <w:tr w:rsidR="00E4081A" w:rsidRPr="00BD22C2" w14:paraId="16B0C041" w14:textId="77777777" w:rsidTr="0072117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49" w:type="dxa"/>
            <w:shd w:val="clear" w:color="auto" w:fill="D9D9D9" w:themeFill="background1" w:themeFillShade="D9"/>
            <w:noWrap/>
            <w:vAlign w:val="center"/>
            <w:hideMark/>
          </w:tcPr>
          <w:p w14:paraId="2839BA3F"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Sexe</w:t>
            </w:r>
          </w:p>
        </w:tc>
        <w:tc>
          <w:tcPr>
            <w:tcW w:w="899" w:type="dxa"/>
            <w:shd w:val="clear" w:color="auto" w:fill="D9D9D9" w:themeFill="background1" w:themeFillShade="D9"/>
            <w:noWrap/>
            <w:vAlign w:val="center"/>
            <w:hideMark/>
          </w:tcPr>
          <w:p w14:paraId="49AAB8E9"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74</w:t>
            </w:r>
          </w:p>
        </w:tc>
        <w:tc>
          <w:tcPr>
            <w:tcW w:w="899" w:type="dxa"/>
            <w:shd w:val="clear" w:color="auto" w:fill="D9D9D9" w:themeFill="background1" w:themeFillShade="D9"/>
            <w:noWrap/>
            <w:vAlign w:val="center"/>
            <w:hideMark/>
          </w:tcPr>
          <w:p w14:paraId="35849B1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50</w:t>
            </w:r>
          </w:p>
        </w:tc>
        <w:tc>
          <w:tcPr>
            <w:tcW w:w="899" w:type="dxa"/>
            <w:shd w:val="clear" w:color="auto" w:fill="D9D9D9" w:themeFill="background1" w:themeFillShade="D9"/>
            <w:noWrap/>
            <w:vAlign w:val="center"/>
            <w:hideMark/>
          </w:tcPr>
          <w:p w14:paraId="3B3D752D"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77</w:t>
            </w:r>
          </w:p>
        </w:tc>
        <w:tc>
          <w:tcPr>
            <w:tcW w:w="899" w:type="dxa"/>
            <w:shd w:val="clear" w:color="auto" w:fill="D9D9D9" w:themeFill="background1" w:themeFillShade="D9"/>
            <w:noWrap/>
            <w:vAlign w:val="center"/>
            <w:hideMark/>
          </w:tcPr>
          <w:p w14:paraId="3FC51A5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74</w:t>
            </w:r>
          </w:p>
        </w:tc>
        <w:tc>
          <w:tcPr>
            <w:tcW w:w="899" w:type="dxa"/>
            <w:shd w:val="clear" w:color="auto" w:fill="D9D9D9" w:themeFill="background1" w:themeFillShade="D9"/>
            <w:noWrap/>
            <w:vAlign w:val="center"/>
            <w:hideMark/>
          </w:tcPr>
          <w:p w14:paraId="078F362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67</w:t>
            </w:r>
          </w:p>
        </w:tc>
        <w:tc>
          <w:tcPr>
            <w:tcW w:w="899" w:type="dxa"/>
            <w:shd w:val="clear" w:color="auto" w:fill="D9D9D9" w:themeFill="background1" w:themeFillShade="D9"/>
            <w:noWrap/>
            <w:vAlign w:val="center"/>
            <w:hideMark/>
          </w:tcPr>
          <w:p w14:paraId="1C1DF7E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81</w:t>
            </w:r>
          </w:p>
        </w:tc>
        <w:tc>
          <w:tcPr>
            <w:tcW w:w="899" w:type="dxa"/>
            <w:shd w:val="clear" w:color="auto" w:fill="D9D9D9" w:themeFill="background1" w:themeFillShade="D9"/>
            <w:noWrap/>
            <w:vAlign w:val="center"/>
            <w:hideMark/>
          </w:tcPr>
          <w:p w14:paraId="44BCEC9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64</w:t>
            </w:r>
          </w:p>
        </w:tc>
        <w:tc>
          <w:tcPr>
            <w:tcW w:w="899" w:type="dxa"/>
            <w:shd w:val="clear" w:color="auto" w:fill="D9D9D9" w:themeFill="background1" w:themeFillShade="D9"/>
            <w:noWrap/>
            <w:vAlign w:val="center"/>
            <w:hideMark/>
          </w:tcPr>
          <w:p w14:paraId="1ECCCD6C"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69</w:t>
            </w:r>
          </w:p>
        </w:tc>
        <w:tc>
          <w:tcPr>
            <w:tcW w:w="1242" w:type="dxa"/>
            <w:shd w:val="clear" w:color="auto" w:fill="D9D9D9" w:themeFill="background1" w:themeFillShade="D9"/>
            <w:noWrap/>
            <w:vAlign w:val="center"/>
            <w:hideMark/>
          </w:tcPr>
          <w:p w14:paraId="31F1720A"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556</w:t>
            </w:r>
          </w:p>
        </w:tc>
      </w:tr>
      <w:tr w:rsidR="00E4081A" w:rsidRPr="00BD22C2" w14:paraId="603C1632" w14:textId="77777777" w:rsidTr="0072117A">
        <w:trPr>
          <w:trHeight w:val="442"/>
        </w:trPr>
        <w:tc>
          <w:tcPr>
            <w:cnfStyle w:val="001000000000" w:firstRow="0" w:lastRow="0" w:firstColumn="1" w:lastColumn="0" w:oddVBand="0" w:evenVBand="0" w:oddHBand="0" w:evenHBand="0" w:firstRowFirstColumn="0" w:firstRowLastColumn="0" w:lastRowFirstColumn="0" w:lastRowLastColumn="0"/>
            <w:tcW w:w="2049" w:type="dxa"/>
            <w:shd w:val="clear" w:color="auto" w:fill="DDD9C3" w:themeFill="background2" w:themeFillShade="E6"/>
            <w:noWrap/>
            <w:vAlign w:val="center"/>
            <w:hideMark/>
          </w:tcPr>
          <w:p w14:paraId="15CC3031" w14:textId="77777777" w:rsidR="009E39F1" w:rsidRPr="00BD22C2" w:rsidRDefault="009E39F1" w:rsidP="005F4FE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Total général</w:t>
            </w:r>
          </w:p>
        </w:tc>
        <w:tc>
          <w:tcPr>
            <w:tcW w:w="899" w:type="dxa"/>
            <w:shd w:val="clear" w:color="auto" w:fill="DDD9C3" w:themeFill="background2" w:themeFillShade="E6"/>
            <w:noWrap/>
            <w:vAlign w:val="center"/>
            <w:hideMark/>
          </w:tcPr>
          <w:p w14:paraId="55619294"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1299</w:t>
            </w:r>
          </w:p>
        </w:tc>
        <w:tc>
          <w:tcPr>
            <w:tcW w:w="899" w:type="dxa"/>
            <w:shd w:val="clear" w:color="auto" w:fill="DDD9C3" w:themeFill="background2" w:themeFillShade="E6"/>
            <w:noWrap/>
            <w:vAlign w:val="center"/>
            <w:hideMark/>
          </w:tcPr>
          <w:p w14:paraId="1B411C3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1126</w:t>
            </w:r>
          </w:p>
        </w:tc>
        <w:tc>
          <w:tcPr>
            <w:tcW w:w="899" w:type="dxa"/>
            <w:shd w:val="clear" w:color="auto" w:fill="DDD9C3" w:themeFill="background2" w:themeFillShade="E6"/>
            <w:noWrap/>
            <w:vAlign w:val="center"/>
            <w:hideMark/>
          </w:tcPr>
          <w:p w14:paraId="2BE5669E"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1348</w:t>
            </w:r>
          </w:p>
        </w:tc>
        <w:tc>
          <w:tcPr>
            <w:tcW w:w="899" w:type="dxa"/>
            <w:shd w:val="clear" w:color="auto" w:fill="DDD9C3" w:themeFill="background2" w:themeFillShade="E6"/>
            <w:noWrap/>
            <w:vAlign w:val="center"/>
            <w:hideMark/>
          </w:tcPr>
          <w:p w14:paraId="1A9E8B0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1271</w:t>
            </w:r>
          </w:p>
        </w:tc>
        <w:tc>
          <w:tcPr>
            <w:tcW w:w="899" w:type="dxa"/>
            <w:shd w:val="clear" w:color="auto" w:fill="DDD9C3" w:themeFill="background2" w:themeFillShade="E6"/>
            <w:noWrap/>
            <w:vAlign w:val="center"/>
            <w:hideMark/>
          </w:tcPr>
          <w:p w14:paraId="4F49286B"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1524</w:t>
            </w:r>
          </w:p>
        </w:tc>
        <w:tc>
          <w:tcPr>
            <w:tcW w:w="899" w:type="dxa"/>
            <w:shd w:val="clear" w:color="auto" w:fill="DDD9C3" w:themeFill="background2" w:themeFillShade="E6"/>
            <w:noWrap/>
            <w:vAlign w:val="center"/>
            <w:hideMark/>
          </w:tcPr>
          <w:p w14:paraId="44A081A3"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1512</w:t>
            </w:r>
          </w:p>
        </w:tc>
        <w:tc>
          <w:tcPr>
            <w:tcW w:w="899" w:type="dxa"/>
            <w:shd w:val="clear" w:color="auto" w:fill="DDD9C3" w:themeFill="background2" w:themeFillShade="E6"/>
            <w:noWrap/>
            <w:vAlign w:val="center"/>
            <w:hideMark/>
          </w:tcPr>
          <w:p w14:paraId="5C9A3237"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1344</w:t>
            </w:r>
          </w:p>
        </w:tc>
        <w:tc>
          <w:tcPr>
            <w:tcW w:w="899" w:type="dxa"/>
            <w:shd w:val="clear" w:color="auto" w:fill="DDD9C3" w:themeFill="background2" w:themeFillShade="E6"/>
            <w:noWrap/>
            <w:vAlign w:val="center"/>
            <w:hideMark/>
          </w:tcPr>
          <w:p w14:paraId="2285465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1467</w:t>
            </w:r>
          </w:p>
        </w:tc>
        <w:tc>
          <w:tcPr>
            <w:tcW w:w="1242" w:type="dxa"/>
            <w:shd w:val="clear" w:color="auto" w:fill="DDD9C3" w:themeFill="background2" w:themeFillShade="E6"/>
            <w:noWrap/>
            <w:vAlign w:val="center"/>
            <w:hideMark/>
          </w:tcPr>
          <w:p w14:paraId="6DE75F33" w14:textId="20CC7C10"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10</w:t>
            </w:r>
            <w:r w:rsidR="0051216B" w:rsidRPr="00BD22C2">
              <w:rPr>
                <w:rFonts w:eastAsia="Times New Roman" w:cs="Arial"/>
                <w:b/>
                <w:bCs/>
                <w:kern w:val="0"/>
                <w:sz w:val="20"/>
                <w:szCs w:val="20"/>
                <w:lang w:eastAsia="fr-CA"/>
                <w14:ligatures w14:val="none"/>
              </w:rPr>
              <w:t> </w:t>
            </w:r>
            <w:r w:rsidRPr="00BD22C2">
              <w:rPr>
                <w:rFonts w:eastAsia="Times New Roman" w:cs="Arial"/>
                <w:b/>
                <w:bCs/>
                <w:kern w:val="0"/>
                <w:sz w:val="20"/>
                <w:szCs w:val="20"/>
                <w:lang w:eastAsia="fr-CA"/>
                <w14:ligatures w14:val="none"/>
              </w:rPr>
              <w:t>891</w:t>
            </w:r>
          </w:p>
        </w:tc>
      </w:tr>
    </w:tbl>
    <w:p w14:paraId="61907845" w14:textId="77777777" w:rsidR="009E39F1" w:rsidRPr="00BD22C2" w:rsidRDefault="009E39F1" w:rsidP="009E39F1">
      <w:pPr>
        <w:rPr>
          <w:rFonts w:cs="Arial"/>
        </w:rPr>
      </w:pPr>
    </w:p>
    <w:p w14:paraId="308E2943" w14:textId="1B371692" w:rsidR="009E39F1" w:rsidRDefault="009E39F1" w:rsidP="00005CCB">
      <w:pPr>
        <w:spacing w:line="240" w:lineRule="auto"/>
        <w:ind w:left="1418" w:hanging="1418"/>
        <w:rPr>
          <w:rFonts w:cs="Arial"/>
          <w:b/>
          <w:bCs/>
          <w:sz w:val="20"/>
          <w:szCs w:val="20"/>
        </w:rPr>
      </w:pPr>
      <w:r w:rsidRPr="00BD22C2">
        <w:rPr>
          <w:rFonts w:cs="Arial"/>
          <w:b/>
          <w:bCs/>
          <w:sz w:val="20"/>
          <w:szCs w:val="20"/>
        </w:rPr>
        <w:t>Tableau</w:t>
      </w:r>
      <w:r w:rsidR="0091080B">
        <w:rPr>
          <w:rFonts w:cs="Arial"/>
          <w:b/>
          <w:bCs/>
          <w:sz w:val="20"/>
          <w:szCs w:val="20"/>
        </w:rPr>
        <w:t> </w:t>
      </w:r>
      <w:r w:rsidRPr="00BD22C2">
        <w:rPr>
          <w:rFonts w:cs="Arial"/>
          <w:b/>
          <w:bCs/>
          <w:sz w:val="20"/>
          <w:szCs w:val="20"/>
        </w:rPr>
        <w:t>2 </w:t>
      </w:r>
    </w:p>
    <w:p w14:paraId="54671E44" w14:textId="07899670" w:rsidR="00256E75" w:rsidRPr="003C1A57" w:rsidRDefault="00256E75" w:rsidP="00256E75">
      <w:pPr>
        <w:spacing w:line="240" w:lineRule="auto"/>
        <w:rPr>
          <w:rFonts w:cs="Arial"/>
          <w:sz w:val="20"/>
          <w:szCs w:val="20"/>
        </w:rPr>
      </w:pPr>
      <w:r w:rsidRPr="003C1A57">
        <w:rPr>
          <w:rFonts w:cs="Arial"/>
          <w:sz w:val="20"/>
          <w:szCs w:val="20"/>
        </w:rPr>
        <w:t xml:space="preserve">Nombre de </w:t>
      </w:r>
      <w:r w:rsidRPr="003C1A57">
        <w:rPr>
          <w:rFonts w:cs="Arial"/>
          <w:b/>
          <w:bCs/>
          <w:sz w:val="20"/>
          <w:szCs w:val="20"/>
        </w:rPr>
        <w:t>plaintes reçues</w:t>
      </w:r>
      <w:r w:rsidRPr="003C1A57">
        <w:rPr>
          <w:rFonts w:cs="Arial"/>
          <w:sz w:val="20"/>
          <w:szCs w:val="20"/>
        </w:rPr>
        <w:t xml:space="preserve"> pour le motif « identité ou expression de genre » pour chaque type, de 2016 à 2023</w:t>
      </w:r>
    </w:p>
    <w:p w14:paraId="3E2F6C58" w14:textId="77777777" w:rsidR="00256E75" w:rsidRPr="00256E75" w:rsidRDefault="00256E75" w:rsidP="00256E75">
      <w:pPr>
        <w:spacing w:line="240" w:lineRule="auto"/>
        <w:rPr>
          <w:rFonts w:cs="Arial"/>
          <w:b/>
          <w:bCs/>
          <w:sz w:val="20"/>
          <w:szCs w:val="20"/>
        </w:rPr>
      </w:pPr>
    </w:p>
    <w:tbl>
      <w:tblPr>
        <w:tblStyle w:val="TableauGrille4-Accentuation1"/>
        <w:tblW w:w="10373" w:type="dxa"/>
        <w:tblBorders>
          <w:top w:val="dotted" w:sz="4" w:space="0" w:color="1B9BC3"/>
          <w:left w:val="dotted" w:sz="4" w:space="0" w:color="1B9BC3"/>
          <w:bottom w:val="dotted" w:sz="4" w:space="0" w:color="1B9BC3"/>
          <w:right w:val="dotted" w:sz="4" w:space="0" w:color="1B9BC3"/>
          <w:insideH w:val="dotted" w:sz="4" w:space="0" w:color="1B9BC3"/>
          <w:insideV w:val="dotted" w:sz="4" w:space="0" w:color="1B9BC3"/>
        </w:tblBorders>
        <w:tblLayout w:type="fixed"/>
        <w:tblCellMar>
          <w:top w:w="28" w:type="dxa"/>
          <w:bottom w:w="28" w:type="dxa"/>
        </w:tblCellMar>
        <w:tblLook w:val="04A0" w:firstRow="1" w:lastRow="0" w:firstColumn="1" w:lastColumn="0" w:noHBand="0" w:noVBand="1"/>
      </w:tblPr>
      <w:tblGrid>
        <w:gridCol w:w="1703"/>
        <w:gridCol w:w="702"/>
        <w:gridCol w:w="874"/>
        <w:gridCol w:w="919"/>
        <w:gridCol w:w="788"/>
        <w:gridCol w:w="787"/>
        <w:gridCol w:w="920"/>
        <w:gridCol w:w="919"/>
        <w:gridCol w:w="787"/>
        <w:gridCol w:w="1974"/>
      </w:tblGrid>
      <w:tr w:rsidR="009E39F1" w:rsidRPr="00BD22C2" w14:paraId="268CC53A" w14:textId="77777777" w:rsidTr="0072117A">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3" w:type="dxa"/>
            <w:vMerge w:val="restart"/>
            <w:shd w:val="clear" w:color="auto" w:fill="1B9BC3"/>
            <w:noWrap/>
            <w:vAlign w:val="center"/>
            <w:hideMark/>
          </w:tcPr>
          <w:p w14:paraId="02004852" w14:textId="490D4B13" w:rsidR="009E39F1" w:rsidRPr="00BD22C2" w:rsidRDefault="009E39F1" w:rsidP="005F4FED">
            <w:pPr>
              <w:spacing w:line="240" w:lineRule="auto"/>
              <w:jc w:val="center"/>
              <w:rPr>
                <w:rFonts w:eastAsia="Times New Roman" w:cs="Arial"/>
                <w:color w:val="auto"/>
                <w:kern w:val="0"/>
                <w:sz w:val="20"/>
                <w:szCs w:val="20"/>
                <w:lang w:eastAsia="fr-CA"/>
                <w14:ligatures w14:val="none"/>
              </w:rPr>
            </w:pPr>
            <w:r w:rsidRPr="00BD22C2">
              <w:rPr>
                <w:rFonts w:eastAsia="Times New Roman" w:cs="Arial"/>
                <w:color w:val="auto"/>
                <w:kern w:val="0"/>
                <w:sz w:val="20"/>
                <w:szCs w:val="20"/>
                <w:lang w:eastAsia="fr-CA"/>
                <w14:ligatures w14:val="none"/>
              </w:rPr>
              <w:t xml:space="preserve">Type de </w:t>
            </w:r>
            <w:r w:rsidR="009D6477" w:rsidRPr="00BD22C2">
              <w:rPr>
                <w:rFonts w:eastAsia="Times New Roman" w:cs="Arial"/>
                <w:color w:val="auto"/>
                <w:kern w:val="0"/>
                <w:sz w:val="20"/>
                <w:szCs w:val="20"/>
                <w:lang w:eastAsia="fr-CA"/>
                <w14:ligatures w14:val="none"/>
              </w:rPr>
              <w:t>plainte</w:t>
            </w:r>
          </w:p>
        </w:tc>
        <w:tc>
          <w:tcPr>
            <w:tcW w:w="8670" w:type="dxa"/>
            <w:gridSpan w:val="9"/>
            <w:shd w:val="clear" w:color="auto" w:fill="1B9BC3"/>
            <w:noWrap/>
            <w:vAlign w:val="center"/>
            <w:hideMark/>
          </w:tcPr>
          <w:p w14:paraId="5FE31AEC" w14:textId="77777777" w:rsidR="009E39F1" w:rsidRPr="00BD22C2" w:rsidRDefault="009E39F1" w:rsidP="005F4FE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kern w:val="0"/>
                <w:sz w:val="20"/>
                <w:szCs w:val="20"/>
                <w:lang w:eastAsia="fr-CA"/>
                <w14:ligatures w14:val="none"/>
              </w:rPr>
            </w:pPr>
            <w:r w:rsidRPr="00BD22C2">
              <w:rPr>
                <w:rFonts w:eastAsia="Times New Roman" w:cs="Arial"/>
                <w:color w:val="auto"/>
                <w:kern w:val="0"/>
                <w:sz w:val="20"/>
                <w:szCs w:val="20"/>
                <w:lang w:eastAsia="fr-CA"/>
                <w14:ligatures w14:val="none"/>
              </w:rPr>
              <w:t>Année</w:t>
            </w:r>
          </w:p>
        </w:tc>
      </w:tr>
      <w:tr w:rsidR="00E4081A" w:rsidRPr="00BD22C2" w14:paraId="34B8DDB2" w14:textId="77777777" w:rsidTr="007211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3" w:type="dxa"/>
            <w:vMerge/>
            <w:noWrap/>
            <w:hideMark/>
          </w:tcPr>
          <w:p w14:paraId="0177055C" w14:textId="77777777" w:rsidR="009E39F1" w:rsidRPr="00BD22C2" w:rsidRDefault="009E39F1" w:rsidP="005F4FED">
            <w:pPr>
              <w:spacing w:line="240" w:lineRule="auto"/>
              <w:rPr>
                <w:rFonts w:eastAsia="Times New Roman" w:cs="Arial"/>
                <w:kern w:val="0"/>
                <w:sz w:val="20"/>
                <w:szCs w:val="20"/>
                <w:lang w:eastAsia="fr-CA"/>
                <w14:ligatures w14:val="none"/>
              </w:rPr>
            </w:pPr>
          </w:p>
        </w:tc>
        <w:tc>
          <w:tcPr>
            <w:tcW w:w="702" w:type="dxa"/>
            <w:shd w:val="clear" w:color="auto" w:fill="DDD9C3" w:themeFill="background2" w:themeFillShade="E6"/>
            <w:noWrap/>
            <w:vAlign w:val="center"/>
            <w:hideMark/>
          </w:tcPr>
          <w:p w14:paraId="4E15523E"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2016</w:t>
            </w:r>
          </w:p>
        </w:tc>
        <w:tc>
          <w:tcPr>
            <w:tcW w:w="874" w:type="dxa"/>
            <w:shd w:val="clear" w:color="auto" w:fill="DDD9C3" w:themeFill="background2" w:themeFillShade="E6"/>
            <w:noWrap/>
            <w:vAlign w:val="center"/>
            <w:hideMark/>
          </w:tcPr>
          <w:p w14:paraId="2300FABB"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2017</w:t>
            </w:r>
          </w:p>
        </w:tc>
        <w:tc>
          <w:tcPr>
            <w:tcW w:w="919" w:type="dxa"/>
            <w:shd w:val="clear" w:color="auto" w:fill="DDD9C3" w:themeFill="background2" w:themeFillShade="E6"/>
            <w:noWrap/>
            <w:vAlign w:val="center"/>
            <w:hideMark/>
          </w:tcPr>
          <w:p w14:paraId="779F8D9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2018</w:t>
            </w:r>
          </w:p>
        </w:tc>
        <w:tc>
          <w:tcPr>
            <w:tcW w:w="788" w:type="dxa"/>
            <w:shd w:val="clear" w:color="auto" w:fill="DDD9C3" w:themeFill="background2" w:themeFillShade="E6"/>
            <w:noWrap/>
            <w:vAlign w:val="center"/>
            <w:hideMark/>
          </w:tcPr>
          <w:p w14:paraId="3F076911"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2019</w:t>
            </w:r>
          </w:p>
        </w:tc>
        <w:tc>
          <w:tcPr>
            <w:tcW w:w="787" w:type="dxa"/>
            <w:shd w:val="clear" w:color="auto" w:fill="DDD9C3" w:themeFill="background2" w:themeFillShade="E6"/>
            <w:noWrap/>
            <w:vAlign w:val="center"/>
            <w:hideMark/>
          </w:tcPr>
          <w:p w14:paraId="1A568639"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2020</w:t>
            </w:r>
          </w:p>
        </w:tc>
        <w:tc>
          <w:tcPr>
            <w:tcW w:w="920" w:type="dxa"/>
            <w:shd w:val="clear" w:color="auto" w:fill="DDD9C3" w:themeFill="background2" w:themeFillShade="E6"/>
            <w:noWrap/>
            <w:vAlign w:val="center"/>
            <w:hideMark/>
          </w:tcPr>
          <w:p w14:paraId="0467F268"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2021</w:t>
            </w:r>
          </w:p>
        </w:tc>
        <w:tc>
          <w:tcPr>
            <w:tcW w:w="919" w:type="dxa"/>
            <w:shd w:val="clear" w:color="auto" w:fill="DDD9C3" w:themeFill="background2" w:themeFillShade="E6"/>
            <w:noWrap/>
            <w:vAlign w:val="center"/>
            <w:hideMark/>
          </w:tcPr>
          <w:p w14:paraId="22CB2E04"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2022</w:t>
            </w:r>
          </w:p>
        </w:tc>
        <w:tc>
          <w:tcPr>
            <w:tcW w:w="787" w:type="dxa"/>
            <w:shd w:val="clear" w:color="auto" w:fill="DDD9C3" w:themeFill="background2" w:themeFillShade="E6"/>
            <w:noWrap/>
            <w:vAlign w:val="center"/>
            <w:hideMark/>
          </w:tcPr>
          <w:p w14:paraId="67B105B3"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2023</w:t>
            </w:r>
          </w:p>
        </w:tc>
        <w:tc>
          <w:tcPr>
            <w:tcW w:w="1974" w:type="dxa"/>
            <w:shd w:val="clear" w:color="auto" w:fill="DDD9C3" w:themeFill="background2" w:themeFillShade="E6"/>
            <w:noWrap/>
            <w:vAlign w:val="center"/>
            <w:hideMark/>
          </w:tcPr>
          <w:p w14:paraId="0D34915A"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Total général</w:t>
            </w:r>
          </w:p>
        </w:tc>
      </w:tr>
      <w:tr w:rsidR="005F4FED" w:rsidRPr="00BD22C2" w14:paraId="237427CE" w14:textId="77777777" w:rsidTr="0072117A">
        <w:trPr>
          <w:trHeight w:val="320"/>
        </w:trPr>
        <w:tc>
          <w:tcPr>
            <w:cnfStyle w:val="001000000000" w:firstRow="0" w:lastRow="0" w:firstColumn="1" w:lastColumn="0" w:oddVBand="0" w:evenVBand="0" w:oddHBand="0" w:evenHBand="0" w:firstRowFirstColumn="0" w:firstRowLastColumn="0" w:lastRowFirstColumn="0" w:lastRowLastColumn="0"/>
            <w:tcW w:w="1703" w:type="dxa"/>
            <w:noWrap/>
            <w:vAlign w:val="center"/>
            <w:hideMark/>
          </w:tcPr>
          <w:p w14:paraId="331DD1C1" w14:textId="77777777" w:rsidR="009E39F1" w:rsidRPr="00BD22C2" w:rsidRDefault="009E39F1" w:rsidP="00005CCB">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Discrimination</w:t>
            </w:r>
          </w:p>
        </w:tc>
        <w:tc>
          <w:tcPr>
            <w:tcW w:w="702" w:type="dxa"/>
            <w:noWrap/>
            <w:hideMark/>
          </w:tcPr>
          <w:p w14:paraId="1A0495A8"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9</w:t>
            </w:r>
          </w:p>
        </w:tc>
        <w:tc>
          <w:tcPr>
            <w:tcW w:w="874" w:type="dxa"/>
            <w:noWrap/>
            <w:hideMark/>
          </w:tcPr>
          <w:p w14:paraId="3CEE1EE1"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919" w:type="dxa"/>
            <w:noWrap/>
            <w:hideMark/>
          </w:tcPr>
          <w:p w14:paraId="16237735"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30</w:t>
            </w:r>
          </w:p>
        </w:tc>
        <w:tc>
          <w:tcPr>
            <w:tcW w:w="788" w:type="dxa"/>
            <w:noWrap/>
            <w:hideMark/>
          </w:tcPr>
          <w:p w14:paraId="69A0DB15"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787" w:type="dxa"/>
            <w:noWrap/>
            <w:hideMark/>
          </w:tcPr>
          <w:p w14:paraId="5B01A29F"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920" w:type="dxa"/>
            <w:noWrap/>
            <w:hideMark/>
          </w:tcPr>
          <w:p w14:paraId="68C8A07A"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19</w:t>
            </w:r>
          </w:p>
        </w:tc>
        <w:tc>
          <w:tcPr>
            <w:tcW w:w="919" w:type="dxa"/>
            <w:noWrap/>
            <w:hideMark/>
          </w:tcPr>
          <w:p w14:paraId="73C145AE"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22</w:t>
            </w:r>
          </w:p>
        </w:tc>
        <w:tc>
          <w:tcPr>
            <w:tcW w:w="787" w:type="dxa"/>
            <w:noWrap/>
            <w:hideMark/>
          </w:tcPr>
          <w:p w14:paraId="589B0A7D"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25</w:t>
            </w:r>
          </w:p>
        </w:tc>
        <w:tc>
          <w:tcPr>
            <w:tcW w:w="1974" w:type="dxa"/>
            <w:noWrap/>
            <w:hideMark/>
          </w:tcPr>
          <w:p w14:paraId="4EEE3500" w14:textId="77777777" w:rsidR="009E39F1" w:rsidRPr="00BD22C2" w:rsidRDefault="009E39F1" w:rsidP="005F4FE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156</w:t>
            </w:r>
          </w:p>
        </w:tc>
      </w:tr>
      <w:tr w:rsidR="00E4081A" w:rsidRPr="00BD22C2" w14:paraId="10CC6D51" w14:textId="77777777" w:rsidTr="007211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3" w:type="dxa"/>
            <w:shd w:val="clear" w:color="auto" w:fill="D9D9D9" w:themeFill="background1" w:themeFillShade="D9"/>
            <w:noWrap/>
            <w:vAlign w:val="center"/>
            <w:hideMark/>
          </w:tcPr>
          <w:p w14:paraId="3A27C568" w14:textId="77777777" w:rsidR="009E39F1" w:rsidRPr="00BD22C2" w:rsidRDefault="009E39F1" w:rsidP="00005CCB">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Harcèlement</w:t>
            </w:r>
          </w:p>
        </w:tc>
        <w:tc>
          <w:tcPr>
            <w:tcW w:w="702" w:type="dxa"/>
            <w:shd w:val="clear" w:color="auto" w:fill="D9D9D9" w:themeFill="background1" w:themeFillShade="D9"/>
            <w:noWrap/>
            <w:hideMark/>
          </w:tcPr>
          <w:p w14:paraId="22CCE9C5"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74" w:type="dxa"/>
            <w:shd w:val="clear" w:color="auto" w:fill="D9D9D9" w:themeFill="background1" w:themeFillShade="D9"/>
            <w:noWrap/>
            <w:hideMark/>
          </w:tcPr>
          <w:p w14:paraId="2A30ECE1"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0</w:t>
            </w:r>
          </w:p>
        </w:tc>
        <w:tc>
          <w:tcPr>
            <w:tcW w:w="919" w:type="dxa"/>
            <w:shd w:val="clear" w:color="auto" w:fill="D9D9D9" w:themeFill="background1" w:themeFillShade="D9"/>
            <w:noWrap/>
            <w:hideMark/>
          </w:tcPr>
          <w:p w14:paraId="31FC4410"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788" w:type="dxa"/>
            <w:shd w:val="clear" w:color="auto" w:fill="D9D9D9" w:themeFill="background1" w:themeFillShade="D9"/>
            <w:noWrap/>
            <w:hideMark/>
          </w:tcPr>
          <w:p w14:paraId="35CBE8DD"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0</w:t>
            </w:r>
          </w:p>
        </w:tc>
        <w:tc>
          <w:tcPr>
            <w:tcW w:w="787" w:type="dxa"/>
            <w:shd w:val="clear" w:color="auto" w:fill="D9D9D9" w:themeFill="background1" w:themeFillShade="D9"/>
            <w:noWrap/>
            <w:hideMark/>
          </w:tcPr>
          <w:p w14:paraId="6AB131F6"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920" w:type="dxa"/>
            <w:shd w:val="clear" w:color="auto" w:fill="D9D9D9" w:themeFill="background1" w:themeFillShade="D9"/>
            <w:noWrap/>
            <w:hideMark/>
          </w:tcPr>
          <w:p w14:paraId="2AD695BE"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19" w:type="dxa"/>
            <w:shd w:val="clear" w:color="auto" w:fill="D9D9D9" w:themeFill="background1" w:themeFillShade="D9"/>
            <w:noWrap/>
            <w:hideMark/>
          </w:tcPr>
          <w:p w14:paraId="053B58AB"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787" w:type="dxa"/>
            <w:shd w:val="clear" w:color="auto" w:fill="D9D9D9" w:themeFill="background1" w:themeFillShade="D9"/>
            <w:noWrap/>
            <w:hideMark/>
          </w:tcPr>
          <w:p w14:paraId="50C545E7"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1974" w:type="dxa"/>
            <w:shd w:val="clear" w:color="auto" w:fill="D9D9D9" w:themeFill="background1" w:themeFillShade="D9"/>
            <w:noWrap/>
            <w:hideMark/>
          </w:tcPr>
          <w:p w14:paraId="3B178815" w14:textId="77777777" w:rsidR="009E39F1" w:rsidRPr="00BD22C2" w:rsidRDefault="009E39F1" w:rsidP="005F4FE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21</w:t>
            </w:r>
          </w:p>
        </w:tc>
      </w:tr>
      <w:tr w:rsidR="00E4081A" w:rsidRPr="00BD22C2" w14:paraId="5F2E7684" w14:textId="77777777" w:rsidTr="0072117A">
        <w:trPr>
          <w:trHeight w:val="342"/>
        </w:trPr>
        <w:tc>
          <w:tcPr>
            <w:cnfStyle w:val="001000000000" w:firstRow="0" w:lastRow="0" w:firstColumn="1" w:lastColumn="0" w:oddVBand="0" w:evenVBand="0" w:oddHBand="0" w:evenHBand="0" w:firstRowFirstColumn="0" w:firstRowLastColumn="0" w:lastRowFirstColumn="0" w:lastRowLastColumn="0"/>
            <w:tcW w:w="1703" w:type="dxa"/>
            <w:shd w:val="clear" w:color="auto" w:fill="DDD9C3" w:themeFill="background2" w:themeFillShade="E6"/>
            <w:noWrap/>
            <w:vAlign w:val="center"/>
            <w:hideMark/>
          </w:tcPr>
          <w:p w14:paraId="0D8A6E2E" w14:textId="77777777" w:rsidR="009E39F1" w:rsidRPr="00BD22C2" w:rsidRDefault="009E39F1" w:rsidP="00005CCB">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Total général</w:t>
            </w:r>
          </w:p>
        </w:tc>
        <w:tc>
          <w:tcPr>
            <w:tcW w:w="702" w:type="dxa"/>
            <w:shd w:val="clear" w:color="auto" w:fill="DDD9C3" w:themeFill="background2" w:themeFillShade="E6"/>
            <w:noWrap/>
            <w:vAlign w:val="center"/>
            <w:hideMark/>
          </w:tcPr>
          <w:p w14:paraId="12B1A591"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10</w:t>
            </w:r>
          </w:p>
        </w:tc>
        <w:tc>
          <w:tcPr>
            <w:tcW w:w="874" w:type="dxa"/>
            <w:shd w:val="clear" w:color="auto" w:fill="DDD9C3" w:themeFill="background2" w:themeFillShade="E6"/>
            <w:noWrap/>
            <w:vAlign w:val="center"/>
            <w:hideMark/>
          </w:tcPr>
          <w:p w14:paraId="442970C2"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919" w:type="dxa"/>
            <w:shd w:val="clear" w:color="auto" w:fill="DDD9C3" w:themeFill="background2" w:themeFillShade="E6"/>
            <w:noWrap/>
            <w:vAlign w:val="center"/>
            <w:hideMark/>
          </w:tcPr>
          <w:p w14:paraId="04D7AE74"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33</w:t>
            </w:r>
          </w:p>
        </w:tc>
        <w:tc>
          <w:tcPr>
            <w:tcW w:w="788" w:type="dxa"/>
            <w:shd w:val="clear" w:color="auto" w:fill="DDD9C3" w:themeFill="background2" w:themeFillShade="E6"/>
            <w:noWrap/>
            <w:vAlign w:val="center"/>
            <w:hideMark/>
          </w:tcPr>
          <w:p w14:paraId="614C41CD"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787" w:type="dxa"/>
            <w:shd w:val="clear" w:color="auto" w:fill="DDD9C3" w:themeFill="background2" w:themeFillShade="E6"/>
            <w:noWrap/>
            <w:vAlign w:val="center"/>
            <w:hideMark/>
          </w:tcPr>
          <w:p w14:paraId="45852F03"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20</w:t>
            </w:r>
          </w:p>
        </w:tc>
        <w:tc>
          <w:tcPr>
            <w:tcW w:w="920" w:type="dxa"/>
            <w:shd w:val="clear" w:color="auto" w:fill="DDD9C3" w:themeFill="background2" w:themeFillShade="E6"/>
            <w:noWrap/>
            <w:vAlign w:val="center"/>
            <w:hideMark/>
          </w:tcPr>
          <w:p w14:paraId="21696241"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21</w:t>
            </w:r>
          </w:p>
        </w:tc>
        <w:tc>
          <w:tcPr>
            <w:tcW w:w="919" w:type="dxa"/>
            <w:shd w:val="clear" w:color="auto" w:fill="DDD9C3" w:themeFill="background2" w:themeFillShade="E6"/>
            <w:noWrap/>
            <w:vAlign w:val="center"/>
            <w:hideMark/>
          </w:tcPr>
          <w:p w14:paraId="62EB1B1F"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28</w:t>
            </w:r>
          </w:p>
        </w:tc>
        <w:tc>
          <w:tcPr>
            <w:tcW w:w="787" w:type="dxa"/>
            <w:shd w:val="clear" w:color="auto" w:fill="DDD9C3" w:themeFill="background2" w:themeFillShade="E6"/>
            <w:noWrap/>
            <w:vAlign w:val="center"/>
            <w:hideMark/>
          </w:tcPr>
          <w:p w14:paraId="707C6759"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31</w:t>
            </w:r>
          </w:p>
        </w:tc>
        <w:tc>
          <w:tcPr>
            <w:tcW w:w="1974" w:type="dxa"/>
            <w:shd w:val="clear" w:color="auto" w:fill="DDD9C3" w:themeFill="background2" w:themeFillShade="E6"/>
            <w:noWrap/>
            <w:vAlign w:val="center"/>
            <w:hideMark/>
          </w:tcPr>
          <w:p w14:paraId="6F95C188" w14:textId="77777777" w:rsidR="009E39F1" w:rsidRPr="00BD22C2" w:rsidRDefault="009E39F1" w:rsidP="00005CCB">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b/>
                <w:bCs/>
                <w:kern w:val="0"/>
                <w:sz w:val="20"/>
                <w:szCs w:val="20"/>
                <w:lang w:eastAsia="fr-CA"/>
                <w14:ligatures w14:val="none"/>
              </w:rPr>
              <w:t>177</w:t>
            </w:r>
          </w:p>
        </w:tc>
      </w:tr>
    </w:tbl>
    <w:p w14:paraId="4C6D2F5C" w14:textId="77777777" w:rsidR="001E26FD" w:rsidRPr="00BD22C2" w:rsidRDefault="001E26FD" w:rsidP="00005CCB">
      <w:pPr>
        <w:spacing w:line="240" w:lineRule="auto"/>
        <w:rPr>
          <w:rFonts w:cs="Arial"/>
          <w:i/>
          <w:iCs/>
          <w:sz w:val="20"/>
          <w:szCs w:val="20"/>
        </w:rPr>
      </w:pPr>
    </w:p>
    <w:p w14:paraId="24B2377B" w14:textId="77777777" w:rsidR="001E26FD" w:rsidRPr="00BD22C2" w:rsidRDefault="001E26FD" w:rsidP="00005CCB">
      <w:pPr>
        <w:spacing w:line="240" w:lineRule="auto"/>
        <w:rPr>
          <w:rFonts w:cs="Arial"/>
          <w:i/>
          <w:iCs/>
          <w:sz w:val="20"/>
          <w:szCs w:val="20"/>
        </w:rPr>
      </w:pPr>
    </w:p>
    <w:p w14:paraId="253B34CD" w14:textId="77777777" w:rsidR="0040719B" w:rsidRPr="00BD22C2" w:rsidRDefault="0040719B" w:rsidP="0040719B">
      <w:pPr>
        <w:ind w:left="1134" w:hanging="1134"/>
        <w:rPr>
          <w:rFonts w:cs="Arial"/>
        </w:rPr>
      </w:pPr>
      <w:r w:rsidRPr="00BD22C2">
        <w:rPr>
          <w:rFonts w:cs="Arial"/>
          <w:b/>
          <w:bCs/>
          <w:sz w:val="20"/>
          <w:szCs w:val="20"/>
        </w:rPr>
        <w:lastRenderedPageBreak/>
        <w:t>Tableau</w:t>
      </w:r>
      <w:r>
        <w:rPr>
          <w:rFonts w:cs="Arial"/>
          <w:b/>
          <w:bCs/>
          <w:sz w:val="20"/>
          <w:szCs w:val="20"/>
        </w:rPr>
        <w:t> </w:t>
      </w:r>
      <w:r w:rsidRPr="00BD22C2">
        <w:rPr>
          <w:rFonts w:cs="Arial"/>
          <w:b/>
          <w:bCs/>
          <w:sz w:val="20"/>
          <w:szCs w:val="20"/>
        </w:rPr>
        <w:t>3 </w:t>
      </w:r>
    </w:p>
    <w:p w14:paraId="5E61666A" w14:textId="6B65678C" w:rsidR="001E26FD" w:rsidRPr="003C1A57" w:rsidRDefault="0040719B" w:rsidP="0040719B">
      <w:pPr>
        <w:spacing w:line="240" w:lineRule="auto"/>
        <w:rPr>
          <w:rFonts w:cs="Arial"/>
          <w:sz w:val="20"/>
          <w:szCs w:val="20"/>
        </w:rPr>
      </w:pPr>
      <w:r w:rsidRPr="003C1A57">
        <w:rPr>
          <w:rFonts w:cs="Arial"/>
          <w:sz w:val="20"/>
          <w:szCs w:val="20"/>
        </w:rPr>
        <w:t xml:space="preserve">Nombre de </w:t>
      </w:r>
      <w:r w:rsidRPr="003C1A57">
        <w:rPr>
          <w:rFonts w:cs="Arial"/>
          <w:b/>
          <w:bCs/>
          <w:sz w:val="20"/>
          <w:szCs w:val="20"/>
        </w:rPr>
        <w:t>dossiers ouverts</w:t>
      </w:r>
      <w:r w:rsidRPr="003C1A57">
        <w:rPr>
          <w:rFonts w:cs="Arial"/>
          <w:sz w:val="20"/>
          <w:szCs w:val="20"/>
        </w:rPr>
        <w:t xml:space="preserve"> pour le motif « identité ou expression de genre », pour chaque type, de 2016 à 2023</w:t>
      </w:r>
    </w:p>
    <w:p w14:paraId="584D2691" w14:textId="77777777" w:rsidR="001E26FD" w:rsidRPr="00BD22C2" w:rsidRDefault="001E26FD" w:rsidP="00005CCB">
      <w:pPr>
        <w:spacing w:line="240" w:lineRule="auto"/>
        <w:rPr>
          <w:rFonts w:cs="Arial"/>
          <w:i/>
          <w:iCs/>
          <w:sz w:val="20"/>
          <w:szCs w:val="20"/>
        </w:rPr>
      </w:pPr>
    </w:p>
    <w:p w14:paraId="3F798EE6" w14:textId="77777777" w:rsidR="001E26FD" w:rsidRPr="00BD22C2" w:rsidRDefault="001E26FD" w:rsidP="00005CCB">
      <w:pPr>
        <w:spacing w:line="240" w:lineRule="auto"/>
        <w:rPr>
          <w:rFonts w:cs="Arial"/>
          <w:i/>
          <w:iCs/>
          <w:sz w:val="20"/>
          <w:szCs w:val="20"/>
        </w:rPr>
      </w:pPr>
    </w:p>
    <w:p w14:paraId="049C41C5" w14:textId="77777777" w:rsidR="001E26FD" w:rsidRPr="00BD22C2" w:rsidRDefault="001E26FD" w:rsidP="00005CCB">
      <w:pPr>
        <w:spacing w:line="240" w:lineRule="auto"/>
        <w:rPr>
          <w:rFonts w:cs="Arial"/>
          <w:i/>
          <w:iCs/>
          <w:sz w:val="20"/>
          <w:szCs w:val="20"/>
        </w:rPr>
      </w:pPr>
    </w:p>
    <w:p w14:paraId="619055CA" w14:textId="60AE9947" w:rsidR="001E26FD" w:rsidRPr="00BD22C2" w:rsidRDefault="001E26FD" w:rsidP="001E26FD">
      <w:pPr>
        <w:spacing w:line="240" w:lineRule="auto"/>
      </w:pPr>
    </w:p>
    <w:tbl>
      <w:tblPr>
        <w:tblStyle w:val="TableauGrille4-Accentuation1"/>
        <w:tblpPr w:leftFromText="141" w:rightFromText="141" w:vertAnchor="page" w:horzAnchor="margin" w:tblpY="2808"/>
        <w:tblW w:w="9493" w:type="dxa"/>
        <w:tblLayout w:type="fixed"/>
        <w:tblCellMar>
          <w:top w:w="28" w:type="dxa"/>
          <w:bottom w:w="28" w:type="dxa"/>
        </w:tblCellMar>
        <w:tblLook w:val="04A0" w:firstRow="1" w:lastRow="0" w:firstColumn="1" w:lastColumn="0" w:noHBand="0" w:noVBand="1"/>
      </w:tblPr>
      <w:tblGrid>
        <w:gridCol w:w="2122"/>
        <w:gridCol w:w="708"/>
        <w:gridCol w:w="851"/>
        <w:gridCol w:w="481"/>
        <w:gridCol w:w="369"/>
        <w:gridCol w:w="365"/>
        <w:gridCol w:w="486"/>
        <w:gridCol w:w="709"/>
        <w:gridCol w:w="708"/>
        <w:gridCol w:w="709"/>
        <w:gridCol w:w="709"/>
        <w:gridCol w:w="1276"/>
      </w:tblGrid>
      <w:tr w:rsidR="001E26FD" w:rsidRPr="00BD22C2" w14:paraId="509024D6" w14:textId="77777777" w:rsidTr="0072117A">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0099CC"/>
            <w:noWrap/>
            <w:hideMark/>
          </w:tcPr>
          <w:p w14:paraId="683C59A3" w14:textId="77777777" w:rsidR="001E26FD" w:rsidRPr="00BD22C2" w:rsidRDefault="001E26FD" w:rsidP="001E26FD">
            <w:pPr>
              <w:spacing w:line="240" w:lineRule="auto"/>
              <w:jc w:val="center"/>
              <w:rPr>
                <w:rFonts w:eastAsia="Times New Roman" w:cs="Arial"/>
                <w:kern w:val="0"/>
                <w:sz w:val="20"/>
                <w:szCs w:val="20"/>
                <w:lang w:eastAsia="fr-CA"/>
                <w14:ligatures w14:val="none"/>
              </w:rPr>
            </w:pPr>
            <w:r w:rsidRPr="00BD22C2">
              <w:rPr>
                <w:rFonts w:eastAsia="Times New Roman" w:cs="Arial"/>
                <w:color w:val="auto"/>
                <w:kern w:val="0"/>
                <w:sz w:val="20"/>
                <w:szCs w:val="20"/>
                <w:lang w:eastAsia="fr-CA"/>
                <w14:ligatures w14:val="none"/>
              </w:rPr>
              <w:t>Type de plainte</w:t>
            </w:r>
          </w:p>
        </w:tc>
        <w:tc>
          <w:tcPr>
            <w:tcW w:w="7371" w:type="dxa"/>
            <w:gridSpan w:val="11"/>
            <w:shd w:val="clear" w:color="auto" w:fill="0099CC"/>
            <w:noWrap/>
            <w:hideMark/>
          </w:tcPr>
          <w:p w14:paraId="6E47B8F9" w14:textId="77777777" w:rsidR="001E26FD" w:rsidRPr="00BD22C2" w:rsidRDefault="001E26FD" w:rsidP="001E26F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color w:val="auto"/>
                <w:kern w:val="0"/>
                <w:sz w:val="20"/>
                <w:szCs w:val="20"/>
                <w:lang w:eastAsia="fr-CA"/>
                <w14:ligatures w14:val="none"/>
              </w:rPr>
              <w:t>Année</w:t>
            </w:r>
          </w:p>
        </w:tc>
      </w:tr>
      <w:tr w:rsidR="00E4081A" w:rsidRPr="00BD22C2" w14:paraId="00BC7A48" w14:textId="77777777" w:rsidTr="0072117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0099CC"/>
            <w:noWrap/>
            <w:hideMark/>
          </w:tcPr>
          <w:p w14:paraId="44E213A9" w14:textId="77777777" w:rsidR="001E26FD" w:rsidRPr="00BD22C2" w:rsidRDefault="001E26FD" w:rsidP="001E26FD">
            <w:pPr>
              <w:spacing w:line="240" w:lineRule="auto"/>
              <w:rPr>
                <w:rFonts w:eastAsia="Times New Roman" w:cs="Arial"/>
                <w:kern w:val="0"/>
                <w:sz w:val="20"/>
                <w:szCs w:val="20"/>
                <w:lang w:eastAsia="fr-CA"/>
                <w14:ligatures w14:val="none"/>
              </w:rPr>
            </w:pPr>
          </w:p>
        </w:tc>
        <w:tc>
          <w:tcPr>
            <w:tcW w:w="708" w:type="dxa"/>
            <w:shd w:val="clear" w:color="auto" w:fill="DDD9C3" w:themeFill="background2" w:themeFillShade="E6"/>
            <w:noWrap/>
            <w:hideMark/>
          </w:tcPr>
          <w:p w14:paraId="30192625"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2016</w:t>
            </w:r>
          </w:p>
        </w:tc>
        <w:tc>
          <w:tcPr>
            <w:tcW w:w="851" w:type="dxa"/>
            <w:shd w:val="clear" w:color="auto" w:fill="DDD9C3" w:themeFill="background2" w:themeFillShade="E6"/>
            <w:noWrap/>
            <w:hideMark/>
          </w:tcPr>
          <w:p w14:paraId="4FD9148F"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2017</w:t>
            </w:r>
          </w:p>
        </w:tc>
        <w:tc>
          <w:tcPr>
            <w:tcW w:w="850" w:type="dxa"/>
            <w:gridSpan w:val="2"/>
            <w:shd w:val="clear" w:color="auto" w:fill="DDD9C3" w:themeFill="background2" w:themeFillShade="E6"/>
            <w:noWrap/>
            <w:hideMark/>
          </w:tcPr>
          <w:p w14:paraId="55F697DA"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2018</w:t>
            </w:r>
          </w:p>
        </w:tc>
        <w:tc>
          <w:tcPr>
            <w:tcW w:w="851" w:type="dxa"/>
            <w:gridSpan w:val="2"/>
            <w:shd w:val="clear" w:color="auto" w:fill="DDD9C3" w:themeFill="background2" w:themeFillShade="E6"/>
            <w:noWrap/>
            <w:hideMark/>
          </w:tcPr>
          <w:p w14:paraId="702C613B"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2019</w:t>
            </w:r>
          </w:p>
        </w:tc>
        <w:tc>
          <w:tcPr>
            <w:tcW w:w="709" w:type="dxa"/>
            <w:shd w:val="clear" w:color="auto" w:fill="DDD9C3" w:themeFill="background2" w:themeFillShade="E6"/>
            <w:noWrap/>
            <w:hideMark/>
          </w:tcPr>
          <w:p w14:paraId="719B08DF"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2020</w:t>
            </w:r>
          </w:p>
        </w:tc>
        <w:tc>
          <w:tcPr>
            <w:tcW w:w="708" w:type="dxa"/>
            <w:shd w:val="clear" w:color="auto" w:fill="DDD9C3" w:themeFill="background2" w:themeFillShade="E6"/>
            <w:noWrap/>
            <w:hideMark/>
          </w:tcPr>
          <w:p w14:paraId="63B03757"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2021</w:t>
            </w:r>
          </w:p>
        </w:tc>
        <w:tc>
          <w:tcPr>
            <w:tcW w:w="709" w:type="dxa"/>
            <w:shd w:val="clear" w:color="auto" w:fill="DDD9C3" w:themeFill="background2" w:themeFillShade="E6"/>
            <w:noWrap/>
            <w:hideMark/>
          </w:tcPr>
          <w:p w14:paraId="7A47E6D5"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2022</w:t>
            </w:r>
          </w:p>
        </w:tc>
        <w:tc>
          <w:tcPr>
            <w:tcW w:w="709" w:type="dxa"/>
            <w:shd w:val="clear" w:color="auto" w:fill="DDD9C3" w:themeFill="background2" w:themeFillShade="E6"/>
            <w:noWrap/>
            <w:hideMark/>
          </w:tcPr>
          <w:p w14:paraId="336F7E9A"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2023</w:t>
            </w:r>
          </w:p>
        </w:tc>
        <w:tc>
          <w:tcPr>
            <w:tcW w:w="1276" w:type="dxa"/>
            <w:shd w:val="clear" w:color="auto" w:fill="DDD9C3" w:themeFill="background2" w:themeFillShade="E6"/>
            <w:noWrap/>
            <w:hideMark/>
          </w:tcPr>
          <w:p w14:paraId="5758B249"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Total général</w:t>
            </w:r>
          </w:p>
        </w:tc>
      </w:tr>
      <w:tr w:rsidR="001E26FD" w:rsidRPr="00BD22C2" w14:paraId="28BE6D98" w14:textId="77777777" w:rsidTr="0072117A">
        <w:trPr>
          <w:trHeight w:val="301"/>
        </w:trPr>
        <w:tc>
          <w:tcPr>
            <w:cnfStyle w:val="001000000000" w:firstRow="0" w:lastRow="0" w:firstColumn="1" w:lastColumn="0" w:oddVBand="0" w:evenVBand="0" w:oddHBand="0" w:evenHBand="0" w:firstRowFirstColumn="0" w:firstRowLastColumn="0" w:lastRowFirstColumn="0" w:lastRowLastColumn="0"/>
            <w:tcW w:w="2122" w:type="dxa"/>
            <w:noWrap/>
            <w:hideMark/>
          </w:tcPr>
          <w:p w14:paraId="59ABD4E0" w14:textId="77777777" w:rsidR="001E26FD" w:rsidRPr="00BD22C2" w:rsidRDefault="001E26FD" w:rsidP="001E26FD">
            <w:pPr>
              <w:spacing w:line="240" w:lineRule="auto"/>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Discrimination</w:t>
            </w:r>
          </w:p>
        </w:tc>
        <w:tc>
          <w:tcPr>
            <w:tcW w:w="708" w:type="dxa"/>
            <w:noWrap/>
            <w:hideMark/>
          </w:tcPr>
          <w:p w14:paraId="30128279"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1332" w:type="dxa"/>
            <w:gridSpan w:val="2"/>
            <w:noWrap/>
            <w:hideMark/>
          </w:tcPr>
          <w:p w14:paraId="51242CE1"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734" w:type="dxa"/>
            <w:gridSpan w:val="2"/>
            <w:noWrap/>
            <w:hideMark/>
          </w:tcPr>
          <w:p w14:paraId="73DA942B"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15</w:t>
            </w:r>
          </w:p>
        </w:tc>
        <w:tc>
          <w:tcPr>
            <w:tcW w:w="486" w:type="dxa"/>
            <w:noWrap/>
            <w:hideMark/>
          </w:tcPr>
          <w:p w14:paraId="23732D0F"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709" w:type="dxa"/>
            <w:noWrap/>
            <w:hideMark/>
          </w:tcPr>
          <w:p w14:paraId="1494609C"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708" w:type="dxa"/>
            <w:noWrap/>
            <w:hideMark/>
          </w:tcPr>
          <w:p w14:paraId="1B4AF114"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8</w:t>
            </w:r>
          </w:p>
        </w:tc>
        <w:tc>
          <w:tcPr>
            <w:tcW w:w="709" w:type="dxa"/>
            <w:noWrap/>
            <w:hideMark/>
          </w:tcPr>
          <w:p w14:paraId="250F4CC8"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8</w:t>
            </w:r>
          </w:p>
        </w:tc>
        <w:tc>
          <w:tcPr>
            <w:tcW w:w="709" w:type="dxa"/>
            <w:noWrap/>
            <w:hideMark/>
          </w:tcPr>
          <w:p w14:paraId="57015731"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1276" w:type="dxa"/>
            <w:noWrap/>
            <w:hideMark/>
          </w:tcPr>
          <w:p w14:paraId="697AD807"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63</w:t>
            </w:r>
          </w:p>
        </w:tc>
      </w:tr>
      <w:tr w:rsidR="00E4081A" w:rsidRPr="00BD22C2" w14:paraId="6DEFD8EB" w14:textId="77777777" w:rsidTr="0072117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22" w:type="dxa"/>
            <w:shd w:val="clear" w:color="auto" w:fill="D9D9D9" w:themeFill="background1" w:themeFillShade="D9"/>
            <w:noWrap/>
            <w:hideMark/>
          </w:tcPr>
          <w:p w14:paraId="2C7F2D06" w14:textId="77777777" w:rsidR="001E26FD" w:rsidRPr="00BD22C2" w:rsidRDefault="001E26FD" w:rsidP="001E26FD">
            <w:pPr>
              <w:spacing w:line="240" w:lineRule="auto"/>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Harcèlement</w:t>
            </w:r>
          </w:p>
        </w:tc>
        <w:tc>
          <w:tcPr>
            <w:tcW w:w="708" w:type="dxa"/>
            <w:shd w:val="clear" w:color="auto" w:fill="D9D9D9" w:themeFill="background1" w:themeFillShade="D9"/>
            <w:noWrap/>
            <w:hideMark/>
          </w:tcPr>
          <w:p w14:paraId="25EEF9A0"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1332" w:type="dxa"/>
            <w:gridSpan w:val="2"/>
            <w:shd w:val="clear" w:color="auto" w:fill="D9D9D9" w:themeFill="background1" w:themeFillShade="D9"/>
            <w:noWrap/>
            <w:hideMark/>
          </w:tcPr>
          <w:p w14:paraId="5BEB3CAD"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0</w:t>
            </w:r>
          </w:p>
        </w:tc>
        <w:tc>
          <w:tcPr>
            <w:tcW w:w="734" w:type="dxa"/>
            <w:gridSpan w:val="2"/>
            <w:shd w:val="clear" w:color="auto" w:fill="D9D9D9" w:themeFill="background1" w:themeFillShade="D9"/>
            <w:noWrap/>
            <w:hideMark/>
          </w:tcPr>
          <w:p w14:paraId="6A83929C"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486" w:type="dxa"/>
            <w:shd w:val="clear" w:color="auto" w:fill="D9D9D9" w:themeFill="background1" w:themeFillShade="D9"/>
            <w:noWrap/>
            <w:hideMark/>
          </w:tcPr>
          <w:p w14:paraId="549C5BBD"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0</w:t>
            </w:r>
          </w:p>
        </w:tc>
        <w:tc>
          <w:tcPr>
            <w:tcW w:w="709" w:type="dxa"/>
            <w:shd w:val="clear" w:color="auto" w:fill="D9D9D9" w:themeFill="background1" w:themeFillShade="D9"/>
            <w:noWrap/>
            <w:hideMark/>
          </w:tcPr>
          <w:p w14:paraId="0D783F2D"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708" w:type="dxa"/>
            <w:shd w:val="clear" w:color="auto" w:fill="D9D9D9" w:themeFill="background1" w:themeFillShade="D9"/>
            <w:noWrap/>
            <w:hideMark/>
          </w:tcPr>
          <w:p w14:paraId="591C48D5"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9" w:type="dxa"/>
            <w:shd w:val="clear" w:color="auto" w:fill="D9D9D9" w:themeFill="background1" w:themeFillShade="D9"/>
            <w:noWrap/>
            <w:hideMark/>
          </w:tcPr>
          <w:p w14:paraId="2D230905"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9" w:type="dxa"/>
            <w:shd w:val="clear" w:color="auto" w:fill="D9D9D9" w:themeFill="background1" w:themeFillShade="D9"/>
            <w:noWrap/>
            <w:hideMark/>
          </w:tcPr>
          <w:p w14:paraId="341DBF09" w14:textId="77777777" w:rsidR="001E26FD" w:rsidRPr="00BD22C2" w:rsidRDefault="001E26FD"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1276" w:type="dxa"/>
            <w:shd w:val="clear" w:color="auto" w:fill="D9D9D9" w:themeFill="background1" w:themeFillShade="D9"/>
            <w:noWrap/>
            <w:hideMark/>
          </w:tcPr>
          <w:p w14:paraId="74369B47" w14:textId="77777777" w:rsidR="001E26FD" w:rsidRPr="00BD22C2" w:rsidRDefault="001E26FD" w:rsidP="001E26F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r>
      <w:tr w:rsidR="00E4081A" w:rsidRPr="00BD22C2" w14:paraId="3E73F42B" w14:textId="77777777" w:rsidTr="0072117A">
        <w:trPr>
          <w:trHeight w:val="301"/>
        </w:trPr>
        <w:tc>
          <w:tcPr>
            <w:cnfStyle w:val="001000000000" w:firstRow="0" w:lastRow="0" w:firstColumn="1" w:lastColumn="0" w:oddVBand="0" w:evenVBand="0" w:oddHBand="0" w:evenHBand="0" w:firstRowFirstColumn="0" w:firstRowLastColumn="0" w:lastRowFirstColumn="0" w:lastRowLastColumn="0"/>
            <w:tcW w:w="2122" w:type="dxa"/>
            <w:shd w:val="clear" w:color="auto" w:fill="DDD9C3" w:themeFill="background2" w:themeFillShade="E6"/>
            <w:noWrap/>
            <w:hideMark/>
          </w:tcPr>
          <w:p w14:paraId="25619F64" w14:textId="77777777" w:rsidR="001E26FD" w:rsidRPr="00BD22C2" w:rsidRDefault="001E26FD" w:rsidP="001E26FD">
            <w:pPr>
              <w:spacing w:line="240" w:lineRule="auto"/>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Total général</w:t>
            </w:r>
          </w:p>
        </w:tc>
        <w:tc>
          <w:tcPr>
            <w:tcW w:w="708" w:type="dxa"/>
            <w:shd w:val="clear" w:color="auto" w:fill="DDD9C3" w:themeFill="background2" w:themeFillShade="E6"/>
            <w:noWrap/>
            <w:hideMark/>
          </w:tcPr>
          <w:p w14:paraId="2D2C8816"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5</w:t>
            </w:r>
          </w:p>
        </w:tc>
        <w:tc>
          <w:tcPr>
            <w:tcW w:w="1332" w:type="dxa"/>
            <w:gridSpan w:val="2"/>
            <w:shd w:val="clear" w:color="auto" w:fill="DDD9C3" w:themeFill="background2" w:themeFillShade="E6"/>
            <w:noWrap/>
            <w:hideMark/>
          </w:tcPr>
          <w:p w14:paraId="206D75C8"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w:t>
            </w:r>
          </w:p>
        </w:tc>
        <w:tc>
          <w:tcPr>
            <w:tcW w:w="734" w:type="dxa"/>
            <w:gridSpan w:val="2"/>
            <w:shd w:val="clear" w:color="auto" w:fill="DDD9C3" w:themeFill="background2" w:themeFillShade="E6"/>
            <w:noWrap/>
            <w:hideMark/>
          </w:tcPr>
          <w:p w14:paraId="224C3F91"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486" w:type="dxa"/>
            <w:shd w:val="clear" w:color="auto" w:fill="DDD9C3" w:themeFill="background2" w:themeFillShade="E6"/>
            <w:noWrap/>
            <w:hideMark/>
          </w:tcPr>
          <w:p w14:paraId="622F6335"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6</w:t>
            </w:r>
          </w:p>
        </w:tc>
        <w:tc>
          <w:tcPr>
            <w:tcW w:w="709" w:type="dxa"/>
            <w:shd w:val="clear" w:color="auto" w:fill="DDD9C3" w:themeFill="background2" w:themeFillShade="E6"/>
            <w:noWrap/>
            <w:hideMark/>
          </w:tcPr>
          <w:p w14:paraId="4EFDD7AC"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9</w:t>
            </w:r>
          </w:p>
        </w:tc>
        <w:tc>
          <w:tcPr>
            <w:tcW w:w="708" w:type="dxa"/>
            <w:shd w:val="clear" w:color="auto" w:fill="DDD9C3" w:themeFill="background2" w:themeFillShade="E6"/>
            <w:noWrap/>
            <w:hideMark/>
          </w:tcPr>
          <w:p w14:paraId="7B47BF24"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9</w:t>
            </w:r>
          </w:p>
        </w:tc>
        <w:tc>
          <w:tcPr>
            <w:tcW w:w="709" w:type="dxa"/>
            <w:shd w:val="clear" w:color="auto" w:fill="DDD9C3" w:themeFill="background2" w:themeFillShade="E6"/>
            <w:noWrap/>
            <w:hideMark/>
          </w:tcPr>
          <w:p w14:paraId="0A7CCA3B"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9</w:t>
            </w:r>
          </w:p>
        </w:tc>
        <w:tc>
          <w:tcPr>
            <w:tcW w:w="709" w:type="dxa"/>
            <w:shd w:val="clear" w:color="auto" w:fill="DDD9C3" w:themeFill="background2" w:themeFillShade="E6"/>
            <w:noWrap/>
            <w:hideMark/>
          </w:tcPr>
          <w:p w14:paraId="7067008A"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12</w:t>
            </w:r>
          </w:p>
        </w:tc>
        <w:tc>
          <w:tcPr>
            <w:tcW w:w="1276" w:type="dxa"/>
            <w:shd w:val="clear" w:color="auto" w:fill="DDD9C3" w:themeFill="background2" w:themeFillShade="E6"/>
            <w:noWrap/>
            <w:hideMark/>
          </w:tcPr>
          <w:p w14:paraId="3A8C966F" w14:textId="77777777" w:rsidR="001E26FD" w:rsidRPr="00BD22C2" w:rsidRDefault="001E26FD"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73</w:t>
            </w:r>
          </w:p>
        </w:tc>
      </w:tr>
    </w:tbl>
    <w:p w14:paraId="1A0ED99F" w14:textId="2A51B0E6" w:rsidR="001E26FD" w:rsidRPr="00BD22C2" w:rsidRDefault="009E39F1" w:rsidP="001E26FD">
      <w:pPr>
        <w:ind w:left="1134" w:hanging="1134"/>
        <w:rPr>
          <w:rFonts w:cs="Arial"/>
          <w:b/>
          <w:bCs/>
          <w:sz w:val="20"/>
          <w:szCs w:val="20"/>
        </w:rPr>
      </w:pPr>
      <w:r w:rsidRPr="00BD22C2">
        <w:rPr>
          <w:rFonts w:cs="Arial"/>
          <w:b/>
          <w:bCs/>
          <w:sz w:val="20"/>
          <w:szCs w:val="20"/>
        </w:rPr>
        <w:t>Tableau</w:t>
      </w:r>
      <w:r w:rsidR="0091080B">
        <w:rPr>
          <w:rFonts w:cs="Arial"/>
          <w:b/>
          <w:bCs/>
          <w:sz w:val="20"/>
          <w:szCs w:val="20"/>
        </w:rPr>
        <w:t> </w:t>
      </w:r>
      <w:r w:rsidRPr="00BD22C2">
        <w:rPr>
          <w:rFonts w:cs="Arial"/>
          <w:b/>
          <w:bCs/>
          <w:sz w:val="20"/>
          <w:szCs w:val="20"/>
        </w:rPr>
        <w:t>4 </w:t>
      </w:r>
    </w:p>
    <w:p w14:paraId="44919FE2" w14:textId="16A38415" w:rsidR="009E39F1" w:rsidRPr="003C1A57" w:rsidRDefault="009E39F1" w:rsidP="001E26FD">
      <w:pPr>
        <w:spacing w:line="240" w:lineRule="auto"/>
        <w:rPr>
          <w:rFonts w:cs="Arial"/>
          <w:sz w:val="20"/>
          <w:szCs w:val="20"/>
        </w:rPr>
      </w:pPr>
      <w:r w:rsidRPr="003C1A57">
        <w:rPr>
          <w:rFonts w:cs="Arial"/>
          <w:sz w:val="20"/>
          <w:szCs w:val="20"/>
        </w:rPr>
        <w:t xml:space="preserve">Nombre de </w:t>
      </w:r>
      <w:r w:rsidRPr="003C1A57">
        <w:rPr>
          <w:rFonts w:cs="Arial"/>
          <w:b/>
          <w:bCs/>
          <w:sz w:val="20"/>
          <w:szCs w:val="20"/>
        </w:rPr>
        <w:t>plaintes reçues</w:t>
      </w:r>
      <w:r w:rsidRPr="003C1A57">
        <w:rPr>
          <w:rFonts w:cs="Arial"/>
          <w:sz w:val="20"/>
          <w:szCs w:val="20"/>
        </w:rPr>
        <w:t xml:space="preserve"> pour le motif «</w:t>
      </w:r>
      <w:r w:rsidR="0051216B" w:rsidRPr="003C1A57">
        <w:rPr>
          <w:rFonts w:cs="Arial"/>
          <w:sz w:val="20"/>
          <w:szCs w:val="20"/>
        </w:rPr>
        <w:t> </w:t>
      </w:r>
      <w:r w:rsidRPr="003C1A57">
        <w:rPr>
          <w:rFonts w:cs="Arial"/>
          <w:sz w:val="20"/>
          <w:szCs w:val="20"/>
        </w:rPr>
        <w:t>identité ou expression de genre</w:t>
      </w:r>
      <w:r w:rsidR="0051216B" w:rsidRPr="003C1A57">
        <w:rPr>
          <w:rFonts w:cs="Arial"/>
          <w:sz w:val="20"/>
          <w:szCs w:val="20"/>
        </w:rPr>
        <w:t> </w:t>
      </w:r>
      <w:r w:rsidRPr="003C1A57">
        <w:rPr>
          <w:rFonts w:cs="Arial"/>
          <w:sz w:val="20"/>
          <w:szCs w:val="20"/>
        </w:rPr>
        <w:t>», par région, de 2016 à 2023</w:t>
      </w:r>
    </w:p>
    <w:p w14:paraId="07D25F54" w14:textId="77777777" w:rsidR="003C1A57" w:rsidRPr="003C1A57" w:rsidRDefault="003C1A57" w:rsidP="001E26FD">
      <w:pPr>
        <w:spacing w:line="240" w:lineRule="auto"/>
        <w:rPr>
          <w:rFonts w:cs="Arial"/>
          <w:sz w:val="20"/>
          <w:szCs w:val="20"/>
        </w:rPr>
      </w:pPr>
    </w:p>
    <w:tbl>
      <w:tblPr>
        <w:tblStyle w:val="TableauGrille4-Accentuation1"/>
        <w:tblW w:w="9776" w:type="dxa"/>
        <w:tblLayout w:type="fixed"/>
        <w:tblCellMar>
          <w:top w:w="28" w:type="dxa"/>
          <w:bottom w:w="28" w:type="dxa"/>
        </w:tblCellMar>
        <w:tblLook w:val="04A0" w:firstRow="1" w:lastRow="0" w:firstColumn="1" w:lastColumn="0" w:noHBand="0" w:noVBand="1"/>
      </w:tblPr>
      <w:tblGrid>
        <w:gridCol w:w="2263"/>
        <w:gridCol w:w="851"/>
        <w:gridCol w:w="709"/>
        <w:gridCol w:w="850"/>
        <w:gridCol w:w="851"/>
        <w:gridCol w:w="708"/>
        <w:gridCol w:w="851"/>
        <w:gridCol w:w="850"/>
        <w:gridCol w:w="851"/>
        <w:gridCol w:w="992"/>
      </w:tblGrid>
      <w:tr w:rsidR="001E26FD" w:rsidRPr="00BD22C2" w14:paraId="4DA07F12" w14:textId="77777777" w:rsidTr="0072117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0099CC"/>
            <w:noWrap/>
            <w:hideMark/>
          </w:tcPr>
          <w:p w14:paraId="21AF6B6F" w14:textId="77777777" w:rsidR="001E26FD" w:rsidRPr="00BD22C2" w:rsidRDefault="001E26FD" w:rsidP="001E26FD">
            <w:pPr>
              <w:spacing w:line="240" w:lineRule="auto"/>
              <w:rPr>
                <w:rFonts w:eastAsia="Times New Roman" w:cs="Arial"/>
                <w:b w:val="0"/>
                <w:bCs w:val="0"/>
                <w:color w:val="auto"/>
                <w:kern w:val="0"/>
                <w:sz w:val="20"/>
                <w:szCs w:val="20"/>
                <w:lang w:eastAsia="fr-CA"/>
                <w14:ligatures w14:val="none"/>
              </w:rPr>
            </w:pPr>
          </w:p>
          <w:p w14:paraId="61B93BFE" w14:textId="77777777" w:rsidR="001E26FD" w:rsidRPr="00BD22C2" w:rsidRDefault="001E26FD" w:rsidP="001E26FD">
            <w:pPr>
              <w:spacing w:line="240" w:lineRule="auto"/>
              <w:jc w:val="center"/>
              <w:rPr>
                <w:rFonts w:eastAsia="Times New Roman" w:cs="Arial"/>
                <w:color w:val="auto"/>
                <w:kern w:val="0"/>
                <w:sz w:val="20"/>
                <w:szCs w:val="20"/>
                <w:lang w:eastAsia="fr-CA"/>
                <w14:ligatures w14:val="none"/>
              </w:rPr>
            </w:pPr>
            <w:r w:rsidRPr="00BD22C2">
              <w:rPr>
                <w:rFonts w:eastAsia="Times New Roman" w:cs="Arial"/>
                <w:color w:val="auto"/>
                <w:kern w:val="0"/>
                <w:sz w:val="20"/>
                <w:szCs w:val="20"/>
                <w:lang w:eastAsia="fr-CA"/>
                <w14:ligatures w14:val="none"/>
              </w:rPr>
              <w:t>Région</w:t>
            </w:r>
          </w:p>
        </w:tc>
        <w:tc>
          <w:tcPr>
            <w:tcW w:w="7513" w:type="dxa"/>
            <w:gridSpan w:val="9"/>
            <w:shd w:val="clear" w:color="auto" w:fill="0099CC"/>
            <w:noWrap/>
            <w:hideMark/>
          </w:tcPr>
          <w:p w14:paraId="0C951057" w14:textId="4D0FB1F5" w:rsidR="001E26FD" w:rsidRPr="00BD22C2" w:rsidRDefault="001E26FD" w:rsidP="001E26F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color w:val="auto"/>
                <w:kern w:val="0"/>
                <w:sz w:val="20"/>
                <w:szCs w:val="20"/>
                <w:lang w:eastAsia="fr-CA"/>
                <w14:ligatures w14:val="none"/>
              </w:rPr>
              <w:t>Année</w:t>
            </w:r>
          </w:p>
        </w:tc>
      </w:tr>
      <w:tr w:rsidR="00E4081A" w:rsidRPr="00BD22C2" w14:paraId="0BC7D45A"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vMerge/>
            <w:noWrap/>
            <w:hideMark/>
          </w:tcPr>
          <w:p w14:paraId="2137A87D" w14:textId="77777777" w:rsidR="009E39F1" w:rsidRPr="00BD22C2" w:rsidRDefault="009E39F1" w:rsidP="001E26FD">
            <w:pPr>
              <w:spacing w:line="240" w:lineRule="auto"/>
              <w:rPr>
                <w:rFonts w:eastAsia="Times New Roman" w:cs="Arial"/>
                <w:kern w:val="0"/>
                <w:sz w:val="20"/>
                <w:szCs w:val="20"/>
                <w:lang w:eastAsia="fr-CA"/>
                <w14:ligatures w14:val="none"/>
              </w:rPr>
            </w:pPr>
          </w:p>
        </w:tc>
        <w:tc>
          <w:tcPr>
            <w:tcW w:w="851" w:type="dxa"/>
            <w:shd w:val="clear" w:color="auto" w:fill="DDD9C3" w:themeFill="background2" w:themeFillShade="E6"/>
            <w:noWrap/>
            <w:vAlign w:val="center"/>
            <w:hideMark/>
          </w:tcPr>
          <w:p w14:paraId="6F4779C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2016</w:t>
            </w:r>
          </w:p>
        </w:tc>
        <w:tc>
          <w:tcPr>
            <w:tcW w:w="709" w:type="dxa"/>
            <w:shd w:val="clear" w:color="auto" w:fill="DDD9C3" w:themeFill="background2" w:themeFillShade="E6"/>
            <w:noWrap/>
            <w:vAlign w:val="center"/>
            <w:hideMark/>
          </w:tcPr>
          <w:p w14:paraId="2418CF1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2017</w:t>
            </w:r>
          </w:p>
        </w:tc>
        <w:tc>
          <w:tcPr>
            <w:tcW w:w="850" w:type="dxa"/>
            <w:shd w:val="clear" w:color="auto" w:fill="DDD9C3" w:themeFill="background2" w:themeFillShade="E6"/>
            <w:noWrap/>
            <w:vAlign w:val="center"/>
            <w:hideMark/>
          </w:tcPr>
          <w:p w14:paraId="66CD9DEA"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2018</w:t>
            </w:r>
          </w:p>
        </w:tc>
        <w:tc>
          <w:tcPr>
            <w:tcW w:w="851" w:type="dxa"/>
            <w:shd w:val="clear" w:color="auto" w:fill="DDD9C3" w:themeFill="background2" w:themeFillShade="E6"/>
            <w:noWrap/>
            <w:vAlign w:val="center"/>
            <w:hideMark/>
          </w:tcPr>
          <w:p w14:paraId="792FFDCF"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2019</w:t>
            </w:r>
          </w:p>
        </w:tc>
        <w:tc>
          <w:tcPr>
            <w:tcW w:w="708" w:type="dxa"/>
            <w:shd w:val="clear" w:color="auto" w:fill="DDD9C3" w:themeFill="background2" w:themeFillShade="E6"/>
            <w:noWrap/>
            <w:vAlign w:val="center"/>
            <w:hideMark/>
          </w:tcPr>
          <w:p w14:paraId="4128EC4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2020</w:t>
            </w:r>
          </w:p>
        </w:tc>
        <w:tc>
          <w:tcPr>
            <w:tcW w:w="851" w:type="dxa"/>
            <w:shd w:val="clear" w:color="auto" w:fill="DDD9C3" w:themeFill="background2" w:themeFillShade="E6"/>
            <w:noWrap/>
            <w:vAlign w:val="center"/>
            <w:hideMark/>
          </w:tcPr>
          <w:p w14:paraId="59FE3AC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2021</w:t>
            </w:r>
          </w:p>
        </w:tc>
        <w:tc>
          <w:tcPr>
            <w:tcW w:w="850" w:type="dxa"/>
            <w:shd w:val="clear" w:color="auto" w:fill="DDD9C3" w:themeFill="background2" w:themeFillShade="E6"/>
            <w:noWrap/>
            <w:vAlign w:val="center"/>
            <w:hideMark/>
          </w:tcPr>
          <w:p w14:paraId="092211A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2022</w:t>
            </w:r>
          </w:p>
        </w:tc>
        <w:tc>
          <w:tcPr>
            <w:tcW w:w="851" w:type="dxa"/>
            <w:shd w:val="clear" w:color="auto" w:fill="DDD9C3" w:themeFill="background2" w:themeFillShade="E6"/>
            <w:noWrap/>
            <w:vAlign w:val="center"/>
            <w:hideMark/>
          </w:tcPr>
          <w:p w14:paraId="7B0CFFD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2023</w:t>
            </w:r>
          </w:p>
        </w:tc>
        <w:tc>
          <w:tcPr>
            <w:tcW w:w="992" w:type="dxa"/>
            <w:shd w:val="clear" w:color="auto" w:fill="DDD9C3" w:themeFill="background2" w:themeFillShade="E6"/>
            <w:noWrap/>
            <w:vAlign w:val="center"/>
            <w:hideMark/>
          </w:tcPr>
          <w:p w14:paraId="3CBF23A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Total général</w:t>
            </w:r>
          </w:p>
        </w:tc>
      </w:tr>
      <w:tr w:rsidR="001E26FD" w:rsidRPr="00BD22C2" w14:paraId="096E2FA8"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C2A3EE4"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Abitibi-Témiscamingue</w:t>
            </w:r>
          </w:p>
        </w:tc>
        <w:tc>
          <w:tcPr>
            <w:tcW w:w="851" w:type="dxa"/>
            <w:noWrap/>
            <w:vAlign w:val="center"/>
            <w:hideMark/>
          </w:tcPr>
          <w:p w14:paraId="4BBB5B2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9" w:type="dxa"/>
            <w:noWrap/>
            <w:vAlign w:val="center"/>
            <w:hideMark/>
          </w:tcPr>
          <w:p w14:paraId="6DA525C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73A76D74"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noWrap/>
            <w:vAlign w:val="center"/>
            <w:hideMark/>
          </w:tcPr>
          <w:p w14:paraId="791EE875"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31C8D14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0012807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60D73AFB"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3BFEA2A6"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992" w:type="dxa"/>
            <w:noWrap/>
            <w:vAlign w:val="center"/>
            <w:hideMark/>
          </w:tcPr>
          <w:p w14:paraId="32B29E4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r>
      <w:tr w:rsidR="00E4081A" w:rsidRPr="00BD22C2" w14:paraId="36173DB0"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6327062A"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Capitale-Nationale</w:t>
            </w:r>
          </w:p>
        </w:tc>
        <w:tc>
          <w:tcPr>
            <w:tcW w:w="851" w:type="dxa"/>
            <w:shd w:val="clear" w:color="auto" w:fill="D9D9D9" w:themeFill="background1" w:themeFillShade="D9"/>
            <w:noWrap/>
            <w:vAlign w:val="center"/>
            <w:hideMark/>
          </w:tcPr>
          <w:p w14:paraId="6B2453B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9" w:type="dxa"/>
            <w:shd w:val="clear" w:color="auto" w:fill="D9D9D9" w:themeFill="background1" w:themeFillShade="D9"/>
            <w:noWrap/>
            <w:vAlign w:val="center"/>
            <w:hideMark/>
          </w:tcPr>
          <w:p w14:paraId="6BABB6B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shd w:val="clear" w:color="auto" w:fill="D9D9D9" w:themeFill="background1" w:themeFillShade="D9"/>
            <w:noWrap/>
            <w:vAlign w:val="center"/>
            <w:hideMark/>
          </w:tcPr>
          <w:p w14:paraId="358D8FC7"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851" w:type="dxa"/>
            <w:shd w:val="clear" w:color="auto" w:fill="D9D9D9" w:themeFill="background1" w:themeFillShade="D9"/>
            <w:noWrap/>
            <w:vAlign w:val="center"/>
            <w:hideMark/>
          </w:tcPr>
          <w:p w14:paraId="12D1A48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708" w:type="dxa"/>
            <w:shd w:val="clear" w:color="auto" w:fill="D9D9D9" w:themeFill="background1" w:themeFillShade="D9"/>
            <w:noWrap/>
            <w:vAlign w:val="center"/>
            <w:hideMark/>
          </w:tcPr>
          <w:p w14:paraId="0FA1A3B7"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851" w:type="dxa"/>
            <w:shd w:val="clear" w:color="auto" w:fill="D9D9D9" w:themeFill="background1" w:themeFillShade="D9"/>
            <w:noWrap/>
            <w:vAlign w:val="center"/>
            <w:hideMark/>
          </w:tcPr>
          <w:p w14:paraId="471260B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shd w:val="clear" w:color="auto" w:fill="D9D9D9" w:themeFill="background1" w:themeFillShade="D9"/>
            <w:noWrap/>
            <w:vAlign w:val="center"/>
            <w:hideMark/>
          </w:tcPr>
          <w:p w14:paraId="271475DD"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851" w:type="dxa"/>
            <w:shd w:val="clear" w:color="auto" w:fill="D9D9D9" w:themeFill="background1" w:themeFillShade="D9"/>
            <w:noWrap/>
            <w:vAlign w:val="center"/>
            <w:hideMark/>
          </w:tcPr>
          <w:p w14:paraId="56FA7A06"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92" w:type="dxa"/>
            <w:shd w:val="clear" w:color="auto" w:fill="D9D9D9" w:themeFill="background1" w:themeFillShade="D9"/>
            <w:noWrap/>
            <w:vAlign w:val="center"/>
            <w:hideMark/>
          </w:tcPr>
          <w:p w14:paraId="622810B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15</w:t>
            </w:r>
          </w:p>
        </w:tc>
      </w:tr>
      <w:tr w:rsidR="001E26FD" w:rsidRPr="00BD22C2" w14:paraId="5FCB2D4A"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4A65BA9"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Centre-du-Québec</w:t>
            </w:r>
          </w:p>
        </w:tc>
        <w:tc>
          <w:tcPr>
            <w:tcW w:w="851" w:type="dxa"/>
            <w:noWrap/>
            <w:vAlign w:val="center"/>
            <w:hideMark/>
          </w:tcPr>
          <w:p w14:paraId="6D172A4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9" w:type="dxa"/>
            <w:noWrap/>
            <w:vAlign w:val="center"/>
            <w:hideMark/>
          </w:tcPr>
          <w:p w14:paraId="2CBCBA82"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5F4BDE5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7C9ED7D9"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74CB8AE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3F9CAF7D"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790513B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52D2545B"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992" w:type="dxa"/>
            <w:noWrap/>
            <w:vAlign w:val="center"/>
            <w:hideMark/>
          </w:tcPr>
          <w:p w14:paraId="69FB1114"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r>
      <w:tr w:rsidR="00E4081A" w:rsidRPr="00BD22C2" w14:paraId="7252E72F"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109567D9"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Chaudière-Appalaches</w:t>
            </w:r>
          </w:p>
        </w:tc>
        <w:tc>
          <w:tcPr>
            <w:tcW w:w="851" w:type="dxa"/>
            <w:shd w:val="clear" w:color="auto" w:fill="D9D9D9" w:themeFill="background1" w:themeFillShade="D9"/>
            <w:noWrap/>
            <w:vAlign w:val="center"/>
            <w:hideMark/>
          </w:tcPr>
          <w:p w14:paraId="4EBD9BE4"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9" w:type="dxa"/>
            <w:shd w:val="clear" w:color="auto" w:fill="D9D9D9" w:themeFill="background1" w:themeFillShade="D9"/>
            <w:noWrap/>
            <w:vAlign w:val="center"/>
            <w:hideMark/>
          </w:tcPr>
          <w:p w14:paraId="5B124C2C"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680125B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1" w:type="dxa"/>
            <w:shd w:val="clear" w:color="auto" w:fill="D9D9D9" w:themeFill="background1" w:themeFillShade="D9"/>
            <w:noWrap/>
            <w:vAlign w:val="center"/>
            <w:hideMark/>
          </w:tcPr>
          <w:p w14:paraId="0F11201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1F0821AA"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1" w:type="dxa"/>
            <w:shd w:val="clear" w:color="auto" w:fill="D9D9D9" w:themeFill="background1" w:themeFillShade="D9"/>
            <w:noWrap/>
            <w:vAlign w:val="center"/>
            <w:hideMark/>
          </w:tcPr>
          <w:p w14:paraId="1600496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240CDBAC"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1" w:type="dxa"/>
            <w:shd w:val="clear" w:color="auto" w:fill="D9D9D9" w:themeFill="background1" w:themeFillShade="D9"/>
            <w:noWrap/>
            <w:vAlign w:val="center"/>
            <w:hideMark/>
          </w:tcPr>
          <w:p w14:paraId="1C54148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92" w:type="dxa"/>
            <w:shd w:val="clear" w:color="auto" w:fill="D9D9D9" w:themeFill="background1" w:themeFillShade="D9"/>
            <w:noWrap/>
            <w:vAlign w:val="center"/>
            <w:hideMark/>
          </w:tcPr>
          <w:p w14:paraId="60A3431F"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r>
      <w:tr w:rsidR="001E26FD" w:rsidRPr="00BD22C2" w14:paraId="2A00D1FA"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717BD7A1"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Côte-Nord</w:t>
            </w:r>
          </w:p>
        </w:tc>
        <w:tc>
          <w:tcPr>
            <w:tcW w:w="851" w:type="dxa"/>
            <w:noWrap/>
            <w:vAlign w:val="center"/>
            <w:hideMark/>
          </w:tcPr>
          <w:p w14:paraId="370C288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9" w:type="dxa"/>
            <w:noWrap/>
            <w:vAlign w:val="center"/>
            <w:hideMark/>
          </w:tcPr>
          <w:p w14:paraId="687AE82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noWrap/>
            <w:vAlign w:val="center"/>
            <w:hideMark/>
          </w:tcPr>
          <w:p w14:paraId="4E2913B5"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18E5E40B"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466A32F1"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7331232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3F1FC7E6"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414485E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992" w:type="dxa"/>
            <w:noWrap/>
            <w:vAlign w:val="center"/>
            <w:hideMark/>
          </w:tcPr>
          <w:p w14:paraId="7CD2472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r>
      <w:tr w:rsidR="00E4081A" w:rsidRPr="00BD22C2" w14:paraId="1A24A65B"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7C8434D0"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Estrie</w:t>
            </w:r>
          </w:p>
        </w:tc>
        <w:tc>
          <w:tcPr>
            <w:tcW w:w="851" w:type="dxa"/>
            <w:shd w:val="clear" w:color="auto" w:fill="D9D9D9" w:themeFill="background1" w:themeFillShade="D9"/>
            <w:noWrap/>
            <w:vAlign w:val="center"/>
            <w:hideMark/>
          </w:tcPr>
          <w:p w14:paraId="76EB1D5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9" w:type="dxa"/>
            <w:shd w:val="clear" w:color="auto" w:fill="D9D9D9" w:themeFill="background1" w:themeFillShade="D9"/>
            <w:noWrap/>
            <w:vAlign w:val="center"/>
            <w:hideMark/>
          </w:tcPr>
          <w:p w14:paraId="34D0EC7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4E0C800D"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1" w:type="dxa"/>
            <w:shd w:val="clear" w:color="auto" w:fill="D9D9D9" w:themeFill="background1" w:themeFillShade="D9"/>
            <w:noWrap/>
            <w:vAlign w:val="center"/>
            <w:hideMark/>
          </w:tcPr>
          <w:p w14:paraId="50993F0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2212B965"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1" w:type="dxa"/>
            <w:shd w:val="clear" w:color="auto" w:fill="D9D9D9" w:themeFill="background1" w:themeFillShade="D9"/>
            <w:noWrap/>
            <w:vAlign w:val="center"/>
            <w:hideMark/>
          </w:tcPr>
          <w:p w14:paraId="435F1BBA"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shd w:val="clear" w:color="auto" w:fill="D9D9D9" w:themeFill="background1" w:themeFillShade="D9"/>
            <w:noWrap/>
            <w:vAlign w:val="center"/>
            <w:hideMark/>
          </w:tcPr>
          <w:p w14:paraId="32B785B7"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851" w:type="dxa"/>
            <w:shd w:val="clear" w:color="auto" w:fill="D9D9D9" w:themeFill="background1" w:themeFillShade="D9"/>
            <w:noWrap/>
            <w:vAlign w:val="center"/>
            <w:hideMark/>
          </w:tcPr>
          <w:p w14:paraId="45917A7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92" w:type="dxa"/>
            <w:shd w:val="clear" w:color="auto" w:fill="D9D9D9" w:themeFill="background1" w:themeFillShade="D9"/>
            <w:noWrap/>
            <w:vAlign w:val="center"/>
            <w:hideMark/>
          </w:tcPr>
          <w:p w14:paraId="7914484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5</w:t>
            </w:r>
          </w:p>
        </w:tc>
      </w:tr>
      <w:tr w:rsidR="001E26FD" w:rsidRPr="00BD22C2" w14:paraId="090C021D"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B0EA224"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Lanaudière</w:t>
            </w:r>
          </w:p>
        </w:tc>
        <w:tc>
          <w:tcPr>
            <w:tcW w:w="851" w:type="dxa"/>
            <w:noWrap/>
            <w:vAlign w:val="center"/>
            <w:hideMark/>
          </w:tcPr>
          <w:p w14:paraId="4B6EF194"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9" w:type="dxa"/>
            <w:noWrap/>
            <w:vAlign w:val="center"/>
            <w:hideMark/>
          </w:tcPr>
          <w:p w14:paraId="7A36A4F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1D6273C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6500D5BC"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6C1486D4"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noWrap/>
            <w:vAlign w:val="center"/>
            <w:hideMark/>
          </w:tcPr>
          <w:p w14:paraId="6A8564A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1A74562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noWrap/>
            <w:vAlign w:val="center"/>
            <w:hideMark/>
          </w:tcPr>
          <w:p w14:paraId="7C1AFCEC"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992" w:type="dxa"/>
            <w:noWrap/>
            <w:vAlign w:val="center"/>
            <w:hideMark/>
          </w:tcPr>
          <w:p w14:paraId="3265DE4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r>
      <w:tr w:rsidR="00E4081A" w:rsidRPr="00BD22C2" w14:paraId="207FCC9B"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2CB9C33D"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Laurentides</w:t>
            </w:r>
          </w:p>
        </w:tc>
        <w:tc>
          <w:tcPr>
            <w:tcW w:w="851" w:type="dxa"/>
            <w:shd w:val="clear" w:color="auto" w:fill="D9D9D9" w:themeFill="background1" w:themeFillShade="D9"/>
            <w:noWrap/>
            <w:vAlign w:val="center"/>
            <w:hideMark/>
          </w:tcPr>
          <w:p w14:paraId="6D83D78B"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9" w:type="dxa"/>
            <w:shd w:val="clear" w:color="auto" w:fill="D9D9D9" w:themeFill="background1" w:themeFillShade="D9"/>
            <w:noWrap/>
            <w:vAlign w:val="center"/>
            <w:hideMark/>
          </w:tcPr>
          <w:p w14:paraId="75F0EE46"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shd w:val="clear" w:color="auto" w:fill="D9D9D9" w:themeFill="background1" w:themeFillShade="D9"/>
            <w:noWrap/>
            <w:vAlign w:val="center"/>
            <w:hideMark/>
          </w:tcPr>
          <w:p w14:paraId="36F1DA2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851" w:type="dxa"/>
            <w:shd w:val="clear" w:color="auto" w:fill="D9D9D9" w:themeFill="background1" w:themeFillShade="D9"/>
            <w:noWrap/>
            <w:vAlign w:val="center"/>
            <w:hideMark/>
          </w:tcPr>
          <w:p w14:paraId="774B0B91"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1507AE1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851" w:type="dxa"/>
            <w:shd w:val="clear" w:color="auto" w:fill="D9D9D9" w:themeFill="background1" w:themeFillShade="D9"/>
            <w:noWrap/>
            <w:vAlign w:val="center"/>
            <w:hideMark/>
          </w:tcPr>
          <w:p w14:paraId="62AF72DD"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shd w:val="clear" w:color="auto" w:fill="D9D9D9" w:themeFill="background1" w:themeFillShade="D9"/>
            <w:noWrap/>
            <w:vAlign w:val="center"/>
            <w:hideMark/>
          </w:tcPr>
          <w:p w14:paraId="7FD66A7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851" w:type="dxa"/>
            <w:shd w:val="clear" w:color="auto" w:fill="D9D9D9" w:themeFill="background1" w:themeFillShade="D9"/>
            <w:noWrap/>
            <w:vAlign w:val="center"/>
            <w:hideMark/>
          </w:tcPr>
          <w:p w14:paraId="5FBE48F1"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92" w:type="dxa"/>
            <w:shd w:val="clear" w:color="auto" w:fill="D9D9D9" w:themeFill="background1" w:themeFillShade="D9"/>
            <w:noWrap/>
            <w:vAlign w:val="center"/>
            <w:hideMark/>
          </w:tcPr>
          <w:p w14:paraId="220121F1"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w:t>
            </w:r>
          </w:p>
        </w:tc>
      </w:tr>
      <w:tr w:rsidR="001E26FD" w:rsidRPr="00BD22C2" w14:paraId="4AAC2CB1"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1D916AC"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Laval</w:t>
            </w:r>
          </w:p>
        </w:tc>
        <w:tc>
          <w:tcPr>
            <w:tcW w:w="851" w:type="dxa"/>
            <w:noWrap/>
            <w:vAlign w:val="center"/>
            <w:hideMark/>
          </w:tcPr>
          <w:p w14:paraId="60479F72"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9" w:type="dxa"/>
            <w:noWrap/>
            <w:vAlign w:val="center"/>
            <w:hideMark/>
          </w:tcPr>
          <w:p w14:paraId="36BCC5E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0300576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3F25DE4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2ACC940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noWrap/>
            <w:vAlign w:val="center"/>
            <w:hideMark/>
          </w:tcPr>
          <w:p w14:paraId="05567E7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850" w:type="dxa"/>
            <w:noWrap/>
            <w:vAlign w:val="center"/>
            <w:hideMark/>
          </w:tcPr>
          <w:p w14:paraId="623DA8F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7287E57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992" w:type="dxa"/>
            <w:noWrap/>
            <w:vAlign w:val="center"/>
            <w:hideMark/>
          </w:tcPr>
          <w:p w14:paraId="627C03D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r>
      <w:tr w:rsidR="00E4081A" w:rsidRPr="00BD22C2" w14:paraId="4B43E05B"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4A3B571F"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Mauricie</w:t>
            </w:r>
          </w:p>
        </w:tc>
        <w:tc>
          <w:tcPr>
            <w:tcW w:w="851" w:type="dxa"/>
            <w:shd w:val="clear" w:color="auto" w:fill="D9D9D9" w:themeFill="background1" w:themeFillShade="D9"/>
            <w:noWrap/>
            <w:vAlign w:val="center"/>
            <w:hideMark/>
          </w:tcPr>
          <w:p w14:paraId="618A0B6A"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9" w:type="dxa"/>
            <w:shd w:val="clear" w:color="auto" w:fill="D9D9D9" w:themeFill="background1" w:themeFillShade="D9"/>
            <w:noWrap/>
            <w:vAlign w:val="center"/>
            <w:hideMark/>
          </w:tcPr>
          <w:p w14:paraId="07E4C27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6E052AB7"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shd w:val="clear" w:color="auto" w:fill="D9D9D9" w:themeFill="background1" w:themeFillShade="D9"/>
            <w:noWrap/>
            <w:vAlign w:val="center"/>
            <w:hideMark/>
          </w:tcPr>
          <w:p w14:paraId="5744A65D"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7FAF2F9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1" w:type="dxa"/>
            <w:shd w:val="clear" w:color="auto" w:fill="D9D9D9" w:themeFill="background1" w:themeFillShade="D9"/>
            <w:noWrap/>
            <w:vAlign w:val="center"/>
            <w:hideMark/>
          </w:tcPr>
          <w:p w14:paraId="7EC1FD6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732396A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851" w:type="dxa"/>
            <w:shd w:val="clear" w:color="auto" w:fill="D9D9D9" w:themeFill="background1" w:themeFillShade="D9"/>
            <w:noWrap/>
            <w:vAlign w:val="center"/>
            <w:hideMark/>
          </w:tcPr>
          <w:p w14:paraId="3757B26D"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92" w:type="dxa"/>
            <w:shd w:val="clear" w:color="auto" w:fill="D9D9D9" w:themeFill="background1" w:themeFillShade="D9"/>
            <w:noWrap/>
            <w:vAlign w:val="center"/>
            <w:hideMark/>
          </w:tcPr>
          <w:p w14:paraId="3A64E221"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r>
      <w:tr w:rsidR="001E26FD" w:rsidRPr="00BD22C2" w14:paraId="67C8D112"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602F122"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Montérégie</w:t>
            </w:r>
          </w:p>
        </w:tc>
        <w:tc>
          <w:tcPr>
            <w:tcW w:w="851" w:type="dxa"/>
            <w:noWrap/>
            <w:vAlign w:val="center"/>
            <w:hideMark/>
          </w:tcPr>
          <w:p w14:paraId="39E9524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9" w:type="dxa"/>
            <w:noWrap/>
            <w:vAlign w:val="center"/>
            <w:hideMark/>
          </w:tcPr>
          <w:p w14:paraId="470779F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noWrap/>
            <w:vAlign w:val="center"/>
            <w:hideMark/>
          </w:tcPr>
          <w:p w14:paraId="04DDD2D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851" w:type="dxa"/>
            <w:noWrap/>
            <w:vAlign w:val="center"/>
            <w:hideMark/>
          </w:tcPr>
          <w:p w14:paraId="4CEE561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708" w:type="dxa"/>
            <w:noWrap/>
            <w:vAlign w:val="center"/>
            <w:hideMark/>
          </w:tcPr>
          <w:p w14:paraId="6E69EEAC"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851" w:type="dxa"/>
            <w:noWrap/>
            <w:vAlign w:val="center"/>
            <w:hideMark/>
          </w:tcPr>
          <w:p w14:paraId="70F6246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2DDFA796"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noWrap/>
            <w:vAlign w:val="center"/>
            <w:hideMark/>
          </w:tcPr>
          <w:p w14:paraId="782CFE6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992" w:type="dxa"/>
            <w:noWrap/>
            <w:vAlign w:val="center"/>
            <w:hideMark/>
          </w:tcPr>
          <w:p w14:paraId="7129B31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w:t>
            </w:r>
          </w:p>
        </w:tc>
      </w:tr>
      <w:tr w:rsidR="00E4081A" w:rsidRPr="00BD22C2" w14:paraId="0419F1E4"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1E099DA5"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Montréal</w:t>
            </w:r>
          </w:p>
        </w:tc>
        <w:tc>
          <w:tcPr>
            <w:tcW w:w="851" w:type="dxa"/>
            <w:shd w:val="clear" w:color="auto" w:fill="D9D9D9" w:themeFill="background1" w:themeFillShade="D9"/>
            <w:noWrap/>
            <w:vAlign w:val="center"/>
            <w:hideMark/>
          </w:tcPr>
          <w:p w14:paraId="71F1915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709" w:type="dxa"/>
            <w:shd w:val="clear" w:color="auto" w:fill="D9D9D9" w:themeFill="background1" w:themeFillShade="D9"/>
            <w:noWrap/>
            <w:vAlign w:val="center"/>
            <w:hideMark/>
          </w:tcPr>
          <w:p w14:paraId="5B60AA1D"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w:t>
            </w:r>
          </w:p>
        </w:tc>
        <w:tc>
          <w:tcPr>
            <w:tcW w:w="850" w:type="dxa"/>
            <w:shd w:val="clear" w:color="auto" w:fill="D9D9D9" w:themeFill="background1" w:themeFillShade="D9"/>
            <w:noWrap/>
            <w:vAlign w:val="center"/>
            <w:hideMark/>
          </w:tcPr>
          <w:p w14:paraId="266B04B6"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851" w:type="dxa"/>
            <w:shd w:val="clear" w:color="auto" w:fill="D9D9D9" w:themeFill="background1" w:themeFillShade="D9"/>
            <w:noWrap/>
            <w:vAlign w:val="center"/>
            <w:hideMark/>
          </w:tcPr>
          <w:p w14:paraId="72A07C5A"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5</w:t>
            </w:r>
          </w:p>
        </w:tc>
        <w:tc>
          <w:tcPr>
            <w:tcW w:w="708" w:type="dxa"/>
            <w:shd w:val="clear" w:color="auto" w:fill="D9D9D9" w:themeFill="background1" w:themeFillShade="D9"/>
            <w:noWrap/>
            <w:vAlign w:val="center"/>
            <w:hideMark/>
          </w:tcPr>
          <w:p w14:paraId="11CF786B"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6</w:t>
            </w:r>
          </w:p>
        </w:tc>
        <w:tc>
          <w:tcPr>
            <w:tcW w:w="851" w:type="dxa"/>
            <w:shd w:val="clear" w:color="auto" w:fill="D9D9D9" w:themeFill="background1" w:themeFillShade="D9"/>
            <w:noWrap/>
            <w:vAlign w:val="center"/>
            <w:hideMark/>
          </w:tcPr>
          <w:p w14:paraId="5F4B4DC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850" w:type="dxa"/>
            <w:shd w:val="clear" w:color="auto" w:fill="D9D9D9" w:themeFill="background1" w:themeFillShade="D9"/>
            <w:noWrap/>
            <w:vAlign w:val="center"/>
            <w:hideMark/>
          </w:tcPr>
          <w:p w14:paraId="66F2B76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w:t>
            </w:r>
          </w:p>
        </w:tc>
        <w:tc>
          <w:tcPr>
            <w:tcW w:w="851" w:type="dxa"/>
            <w:shd w:val="clear" w:color="auto" w:fill="D9D9D9" w:themeFill="background1" w:themeFillShade="D9"/>
            <w:noWrap/>
            <w:vAlign w:val="center"/>
            <w:hideMark/>
          </w:tcPr>
          <w:p w14:paraId="08721561"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w:t>
            </w:r>
          </w:p>
        </w:tc>
        <w:tc>
          <w:tcPr>
            <w:tcW w:w="992" w:type="dxa"/>
            <w:shd w:val="clear" w:color="auto" w:fill="D9D9D9" w:themeFill="background1" w:themeFillShade="D9"/>
            <w:noWrap/>
            <w:vAlign w:val="center"/>
            <w:hideMark/>
          </w:tcPr>
          <w:p w14:paraId="1BAAD77F"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73</w:t>
            </w:r>
          </w:p>
        </w:tc>
      </w:tr>
      <w:tr w:rsidR="001E26FD" w:rsidRPr="00BD22C2" w14:paraId="4F4C3453"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726167A1"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Outaouais</w:t>
            </w:r>
          </w:p>
        </w:tc>
        <w:tc>
          <w:tcPr>
            <w:tcW w:w="851" w:type="dxa"/>
            <w:noWrap/>
            <w:vAlign w:val="center"/>
            <w:hideMark/>
          </w:tcPr>
          <w:p w14:paraId="1DD18759"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9" w:type="dxa"/>
            <w:noWrap/>
            <w:vAlign w:val="center"/>
            <w:hideMark/>
          </w:tcPr>
          <w:p w14:paraId="0A421E8D"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0" w:type="dxa"/>
            <w:noWrap/>
            <w:vAlign w:val="center"/>
            <w:hideMark/>
          </w:tcPr>
          <w:p w14:paraId="259ACA1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3E467C3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31171601"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5DB3F2A9"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0" w:type="dxa"/>
            <w:noWrap/>
            <w:vAlign w:val="center"/>
            <w:hideMark/>
          </w:tcPr>
          <w:p w14:paraId="5B71367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hideMark/>
          </w:tcPr>
          <w:p w14:paraId="2143D48B"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992" w:type="dxa"/>
            <w:noWrap/>
            <w:vAlign w:val="center"/>
            <w:hideMark/>
          </w:tcPr>
          <w:p w14:paraId="423D9364"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r>
      <w:tr w:rsidR="00E4081A" w:rsidRPr="00BD22C2" w14:paraId="35FC3021"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39803B8E"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Saguenay–Lac-Saint-Jean</w:t>
            </w:r>
          </w:p>
        </w:tc>
        <w:tc>
          <w:tcPr>
            <w:tcW w:w="851" w:type="dxa"/>
            <w:shd w:val="clear" w:color="auto" w:fill="D9D9D9" w:themeFill="background1" w:themeFillShade="D9"/>
            <w:noWrap/>
            <w:vAlign w:val="center"/>
            <w:hideMark/>
          </w:tcPr>
          <w:p w14:paraId="0779838B"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9" w:type="dxa"/>
            <w:shd w:val="clear" w:color="auto" w:fill="D9D9D9" w:themeFill="background1" w:themeFillShade="D9"/>
            <w:noWrap/>
            <w:vAlign w:val="center"/>
            <w:hideMark/>
          </w:tcPr>
          <w:p w14:paraId="5BB80D8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3EEB464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12</w:t>
            </w:r>
          </w:p>
        </w:tc>
        <w:tc>
          <w:tcPr>
            <w:tcW w:w="851" w:type="dxa"/>
            <w:shd w:val="clear" w:color="auto" w:fill="D9D9D9" w:themeFill="background1" w:themeFillShade="D9"/>
            <w:noWrap/>
            <w:vAlign w:val="center"/>
            <w:hideMark/>
          </w:tcPr>
          <w:p w14:paraId="62F352DA"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8</w:t>
            </w:r>
          </w:p>
        </w:tc>
        <w:tc>
          <w:tcPr>
            <w:tcW w:w="708" w:type="dxa"/>
            <w:shd w:val="clear" w:color="auto" w:fill="D9D9D9" w:themeFill="background1" w:themeFillShade="D9"/>
            <w:noWrap/>
            <w:vAlign w:val="center"/>
            <w:hideMark/>
          </w:tcPr>
          <w:p w14:paraId="2BBE5F3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851" w:type="dxa"/>
            <w:shd w:val="clear" w:color="auto" w:fill="D9D9D9" w:themeFill="background1" w:themeFillShade="D9"/>
            <w:noWrap/>
            <w:vAlign w:val="center"/>
            <w:hideMark/>
          </w:tcPr>
          <w:p w14:paraId="4157C20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5EBA985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851" w:type="dxa"/>
            <w:shd w:val="clear" w:color="auto" w:fill="D9D9D9" w:themeFill="background1" w:themeFillShade="D9"/>
            <w:noWrap/>
            <w:vAlign w:val="center"/>
            <w:hideMark/>
          </w:tcPr>
          <w:p w14:paraId="37727A9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992" w:type="dxa"/>
            <w:shd w:val="clear" w:color="auto" w:fill="D9D9D9" w:themeFill="background1" w:themeFillShade="D9"/>
            <w:noWrap/>
            <w:vAlign w:val="center"/>
            <w:hideMark/>
          </w:tcPr>
          <w:p w14:paraId="3DD52BC0"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27</w:t>
            </w:r>
          </w:p>
        </w:tc>
      </w:tr>
      <w:tr w:rsidR="009E39F1" w:rsidRPr="00BD22C2" w14:paraId="497B48AE"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26CF317D" w14:textId="77777777" w:rsidR="009E39F1" w:rsidRPr="0072117A" w:rsidRDefault="009E39F1" w:rsidP="001E26FD">
            <w:pPr>
              <w:spacing w:line="240" w:lineRule="auto"/>
              <w:jc w:val="left"/>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Ne s’applique pas</w:t>
            </w:r>
          </w:p>
        </w:tc>
        <w:tc>
          <w:tcPr>
            <w:tcW w:w="851" w:type="dxa"/>
            <w:noWrap/>
            <w:vAlign w:val="center"/>
          </w:tcPr>
          <w:p w14:paraId="75AA5788"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9" w:type="dxa"/>
            <w:noWrap/>
            <w:vAlign w:val="center"/>
          </w:tcPr>
          <w:p w14:paraId="22ECF56B"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850" w:type="dxa"/>
            <w:noWrap/>
            <w:vAlign w:val="center"/>
          </w:tcPr>
          <w:p w14:paraId="778FCAD5"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851" w:type="dxa"/>
            <w:noWrap/>
            <w:vAlign w:val="center"/>
          </w:tcPr>
          <w:p w14:paraId="626539B9"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tcPr>
          <w:p w14:paraId="60646138"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tcPr>
          <w:p w14:paraId="05F29A95"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850" w:type="dxa"/>
            <w:noWrap/>
            <w:vAlign w:val="center"/>
          </w:tcPr>
          <w:p w14:paraId="4720F58F"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851" w:type="dxa"/>
            <w:noWrap/>
            <w:vAlign w:val="center"/>
          </w:tcPr>
          <w:p w14:paraId="567947F7"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992" w:type="dxa"/>
            <w:noWrap/>
            <w:vAlign w:val="center"/>
          </w:tcPr>
          <w:p w14:paraId="05CAA07B"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4</w:t>
            </w:r>
          </w:p>
        </w:tc>
      </w:tr>
      <w:tr w:rsidR="00E4081A" w:rsidRPr="00BD22C2" w14:paraId="75E040E0" w14:textId="77777777" w:rsidTr="0072117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vAlign w:val="center"/>
            <w:hideMark/>
          </w:tcPr>
          <w:p w14:paraId="19A00551" w14:textId="77777777" w:rsidR="009E39F1" w:rsidRPr="0072117A" w:rsidRDefault="009E39F1" w:rsidP="001E26FD">
            <w:pPr>
              <w:spacing w:line="240" w:lineRule="auto"/>
              <w:jc w:val="left"/>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Région non spécifiée</w:t>
            </w:r>
          </w:p>
        </w:tc>
        <w:tc>
          <w:tcPr>
            <w:tcW w:w="851" w:type="dxa"/>
            <w:shd w:val="clear" w:color="auto" w:fill="D9D9D9" w:themeFill="background1" w:themeFillShade="D9"/>
            <w:noWrap/>
            <w:vAlign w:val="center"/>
            <w:hideMark/>
          </w:tcPr>
          <w:p w14:paraId="2AF8C08E"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9" w:type="dxa"/>
            <w:shd w:val="clear" w:color="auto" w:fill="D9D9D9" w:themeFill="background1" w:themeFillShade="D9"/>
            <w:noWrap/>
            <w:vAlign w:val="center"/>
            <w:hideMark/>
          </w:tcPr>
          <w:p w14:paraId="23FFD00B"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850" w:type="dxa"/>
            <w:shd w:val="clear" w:color="auto" w:fill="D9D9D9" w:themeFill="background1" w:themeFillShade="D9"/>
            <w:noWrap/>
            <w:vAlign w:val="center"/>
            <w:hideMark/>
          </w:tcPr>
          <w:p w14:paraId="27DD0246"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851" w:type="dxa"/>
            <w:shd w:val="clear" w:color="auto" w:fill="D9D9D9" w:themeFill="background1" w:themeFillShade="D9"/>
            <w:noWrap/>
            <w:vAlign w:val="center"/>
            <w:hideMark/>
          </w:tcPr>
          <w:p w14:paraId="64AD0DD2"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5DF81BB0"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851" w:type="dxa"/>
            <w:shd w:val="clear" w:color="auto" w:fill="D9D9D9" w:themeFill="background1" w:themeFillShade="D9"/>
            <w:noWrap/>
            <w:vAlign w:val="center"/>
            <w:hideMark/>
          </w:tcPr>
          <w:p w14:paraId="124B0615"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3</w:t>
            </w:r>
          </w:p>
        </w:tc>
        <w:tc>
          <w:tcPr>
            <w:tcW w:w="850" w:type="dxa"/>
            <w:shd w:val="clear" w:color="auto" w:fill="D9D9D9" w:themeFill="background1" w:themeFillShade="D9"/>
            <w:noWrap/>
            <w:vAlign w:val="center"/>
            <w:hideMark/>
          </w:tcPr>
          <w:p w14:paraId="6335109E"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2</w:t>
            </w:r>
          </w:p>
        </w:tc>
        <w:tc>
          <w:tcPr>
            <w:tcW w:w="851" w:type="dxa"/>
            <w:shd w:val="clear" w:color="auto" w:fill="D9D9D9" w:themeFill="background1" w:themeFillShade="D9"/>
            <w:noWrap/>
            <w:vAlign w:val="center"/>
            <w:hideMark/>
          </w:tcPr>
          <w:p w14:paraId="05CB780F"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1</w:t>
            </w:r>
          </w:p>
        </w:tc>
        <w:tc>
          <w:tcPr>
            <w:tcW w:w="992" w:type="dxa"/>
            <w:shd w:val="clear" w:color="auto" w:fill="D9D9D9" w:themeFill="background1" w:themeFillShade="D9"/>
            <w:noWrap/>
            <w:vAlign w:val="center"/>
            <w:hideMark/>
          </w:tcPr>
          <w:p w14:paraId="69C9982F" w14:textId="77777777" w:rsidR="009E39F1" w:rsidRPr="0072117A"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8</w:t>
            </w:r>
          </w:p>
        </w:tc>
      </w:tr>
      <w:tr w:rsidR="00E4081A" w:rsidRPr="00BD22C2" w14:paraId="55583A4D" w14:textId="77777777" w:rsidTr="0072117A">
        <w:trPr>
          <w:trHeight w:val="293"/>
        </w:trPr>
        <w:tc>
          <w:tcPr>
            <w:cnfStyle w:val="001000000000" w:firstRow="0" w:lastRow="0" w:firstColumn="1" w:lastColumn="0" w:oddVBand="0" w:evenVBand="0" w:oddHBand="0" w:evenHBand="0" w:firstRowFirstColumn="0" w:firstRowLastColumn="0" w:lastRowFirstColumn="0" w:lastRowLastColumn="0"/>
            <w:tcW w:w="2263" w:type="dxa"/>
            <w:shd w:val="clear" w:color="auto" w:fill="0099CC"/>
            <w:noWrap/>
            <w:hideMark/>
          </w:tcPr>
          <w:p w14:paraId="3725D09B" w14:textId="77777777" w:rsidR="009E39F1" w:rsidRPr="0072117A" w:rsidRDefault="009E39F1" w:rsidP="001E26FD">
            <w:pPr>
              <w:spacing w:line="240" w:lineRule="auto"/>
              <w:rPr>
                <w:rFonts w:eastAsia="Times New Roman" w:cs="Arial"/>
                <w:kern w:val="0"/>
                <w:sz w:val="20"/>
                <w:szCs w:val="20"/>
                <w:lang w:eastAsia="fr-CA"/>
                <w14:ligatures w14:val="none"/>
              </w:rPr>
            </w:pPr>
            <w:r w:rsidRPr="0072117A">
              <w:rPr>
                <w:rFonts w:eastAsia="Times New Roman" w:cs="Arial"/>
                <w:kern w:val="0"/>
                <w:sz w:val="20"/>
                <w:szCs w:val="20"/>
                <w:lang w:eastAsia="fr-CA"/>
                <w14:ligatures w14:val="none"/>
              </w:rPr>
              <w:t>Total général</w:t>
            </w:r>
          </w:p>
        </w:tc>
        <w:tc>
          <w:tcPr>
            <w:tcW w:w="851" w:type="dxa"/>
            <w:shd w:val="clear" w:color="auto" w:fill="0099CC"/>
            <w:noWrap/>
            <w:vAlign w:val="center"/>
            <w:hideMark/>
          </w:tcPr>
          <w:p w14:paraId="40C08E45"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10</w:t>
            </w:r>
          </w:p>
        </w:tc>
        <w:tc>
          <w:tcPr>
            <w:tcW w:w="709" w:type="dxa"/>
            <w:shd w:val="clear" w:color="auto" w:fill="0099CC"/>
            <w:noWrap/>
            <w:vAlign w:val="center"/>
            <w:hideMark/>
          </w:tcPr>
          <w:p w14:paraId="361EBD3E"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17</w:t>
            </w:r>
          </w:p>
        </w:tc>
        <w:tc>
          <w:tcPr>
            <w:tcW w:w="850" w:type="dxa"/>
            <w:shd w:val="clear" w:color="auto" w:fill="0099CC"/>
            <w:noWrap/>
            <w:vAlign w:val="center"/>
            <w:hideMark/>
          </w:tcPr>
          <w:p w14:paraId="544EB4A3"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33</w:t>
            </w:r>
          </w:p>
        </w:tc>
        <w:tc>
          <w:tcPr>
            <w:tcW w:w="851" w:type="dxa"/>
            <w:shd w:val="clear" w:color="auto" w:fill="0099CC"/>
            <w:noWrap/>
            <w:vAlign w:val="center"/>
            <w:hideMark/>
          </w:tcPr>
          <w:p w14:paraId="6A74A522"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17</w:t>
            </w:r>
          </w:p>
        </w:tc>
        <w:tc>
          <w:tcPr>
            <w:tcW w:w="708" w:type="dxa"/>
            <w:shd w:val="clear" w:color="auto" w:fill="0099CC"/>
            <w:noWrap/>
            <w:vAlign w:val="center"/>
            <w:hideMark/>
          </w:tcPr>
          <w:p w14:paraId="17EFF3FA"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20</w:t>
            </w:r>
          </w:p>
        </w:tc>
        <w:tc>
          <w:tcPr>
            <w:tcW w:w="851" w:type="dxa"/>
            <w:shd w:val="clear" w:color="auto" w:fill="0099CC"/>
            <w:noWrap/>
            <w:vAlign w:val="center"/>
            <w:hideMark/>
          </w:tcPr>
          <w:p w14:paraId="6B6F8380"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21</w:t>
            </w:r>
          </w:p>
        </w:tc>
        <w:tc>
          <w:tcPr>
            <w:tcW w:w="850" w:type="dxa"/>
            <w:shd w:val="clear" w:color="auto" w:fill="0099CC"/>
            <w:noWrap/>
            <w:vAlign w:val="center"/>
            <w:hideMark/>
          </w:tcPr>
          <w:p w14:paraId="3014C2DB"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28</w:t>
            </w:r>
          </w:p>
        </w:tc>
        <w:tc>
          <w:tcPr>
            <w:tcW w:w="851" w:type="dxa"/>
            <w:shd w:val="clear" w:color="auto" w:fill="0099CC"/>
            <w:noWrap/>
            <w:vAlign w:val="center"/>
            <w:hideMark/>
          </w:tcPr>
          <w:p w14:paraId="2784210E"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31</w:t>
            </w:r>
          </w:p>
        </w:tc>
        <w:tc>
          <w:tcPr>
            <w:tcW w:w="992" w:type="dxa"/>
            <w:shd w:val="clear" w:color="auto" w:fill="0099CC"/>
            <w:noWrap/>
            <w:vAlign w:val="center"/>
            <w:hideMark/>
          </w:tcPr>
          <w:p w14:paraId="12F4D33B" w14:textId="77777777" w:rsidR="009E39F1" w:rsidRPr="0072117A"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kern w:val="0"/>
                <w:sz w:val="20"/>
                <w:szCs w:val="20"/>
                <w:lang w:eastAsia="fr-CA"/>
                <w14:ligatures w14:val="none"/>
              </w:rPr>
            </w:pPr>
            <w:r w:rsidRPr="0072117A">
              <w:rPr>
                <w:rFonts w:eastAsia="Times New Roman" w:cs="Arial"/>
                <w:b/>
                <w:kern w:val="0"/>
                <w:sz w:val="20"/>
                <w:szCs w:val="20"/>
                <w:lang w:eastAsia="fr-CA"/>
                <w14:ligatures w14:val="none"/>
              </w:rPr>
              <w:t>177</w:t>
            </w:r>
          </w:p>
        </w:tc>
      </w:tr>
    </w:tbl>
    <w:p w14:paraId="34C17AD5" w14:textId="77777777" w:rsidR="009E39F1" w:rsidRPr="00BD22C2" w:rsidRDefault="009E39F1" w:rsidP="009E39F1">
      <w:pPr>
        <w:rPr>
          <w:rFonts w:cs="Arial"/>
          <w:sz w:val="24"/>
        </w:rPr>
      </w:pPr>
    </w:p>
    <w:p w14:paraId="4E170EE6" w14:textId="5896C62F" w:rsidR="001E26FD" w:rsidRPr="002E3A33" w:rsidRDefault="009E39F1" w:rsidP="009E39F1">
      <w:pPr>
        <w:rPr>
          <w:rFonts w:cs="Arial"/>
          <w:b/>
          <w:bCs/>
          <w:sz w:val="20"/>
          <w:szCs w:val="20"/>
        </w:rPr>
      </w:pPr>
      <w:r w:rsidRPr="002E3A33">
        <w:rPr>
          <w:rFonts w:cs="Arial"/>
          <w:b/>
          <w:bCs/>
          <w:sz w:val="20"/>
          <w:szCs w:val="20"/>
        </w:rPr>
        <w:lastRenderedPageBreak/>
        <w:t>Tableau</w:t>
      </w:r>
      <w:r w:rsidR="0091080B">
        <w:rPr>
          <w:rFonts w:cs="Arial"/>
          <w:b/>
          <w:bCs/>
          <w:sz w:val="20"/>
          <w:szCs w:val="20"/>
        </w:rPr>
        <w:t> </w:t>
      </w:r>
      <w:r w:rsidRPr="002E3A33">
        <w:rPr>
          <w:rFonts w:cs="Arial"/>
          <w:b/>
          <w:bCs/>
          <w:sz w:val="20"/>
          <w:szCs w:val="20"/>
        </w:rPr>
        <w:t>5 </w:t>
      </w:r>
    </w:p>
    <w:p w14:paraId="685253DC" w14:textId="1DA13FBE" w:rsidR="009E39F1" w:rsidRPr="00BD22C2" w:rsidRDefault="009E39F1" w:rsidP="009E39F1">
      <w:pPr>
        <w:rPr>
          <w:rFonts w:cs="Arial"/>
          <w:sz w:val="20"/>
          <w:szCs w:val="20"/>
        </w:rPr>
      </w:pPr>
      <w:r w:rsidRPr="00BD22C2">
        <w:rPr>
          <w:rFonts w:cs="Arial"/>
          <w:sz w:val="20"/>
          <w:szCs w:val="20"/>
        </w:rPr>
        <w:t xml:space="preserve">Nombre de </w:t>
      </w:r>
      <w:r w:rsidRPr="00BD22C2">
        <w:rPr>
          <w:rFonts w:cs="Arial"/>
          <w:b/>
          <w:bCs/>
          <w:sz w:val="20"/>
          <w:szCs w:val="20"/>
        </w:rPr>
        <w:t>plaintes reçues</w:t>
      </w:r>
      <w:r w:rsidRPr="00BD22C2">
        <w:rPr>
          <w:rFonts w:cs="Arial"/>
          <w:sz w:val="20"/>
          <w:szCs w:val="20"/>
        </w:rPr>
        <w:t xml:space="preserve"> pour le motif «</w:t>
      </w:r>
      <w:r w:rsidR="0051216B" w:rsidRPr="00BD22C2">
        <w:rPr>
          <w:rFonts w:cs="Arial"/>
          <w:sz w:val="20"/>
          <w:szCs w:val="20"/>
        </w:rPr>
        <w:t> </w:t>
      </w:r>
      <w:r w:rsidRPr="00BD22C2">
        <w:rPr>
          <w:rFonts w:cs="Arial"/>
          <w:sz w:val="20"/>
          <w:szCs w:val="20"/>
        </w:rPr>
        <w:t>identité ou expression de genre</w:t>
      </w:r>
      <w:r w:rsidR="0051216B" w:rsidRPr="00BD22C2">
        <w:rPr>
          <w:rFonts w:cs="Arial"/>
          <w:sz w:val="20"/>
          <w:szCs w:val="20"/>
        </w:rPr>
        <w:t> </w:t>
      </w:r>
      <w:r w:rsidRPr="00BD22C2">
        <w:rPr>
          <w:rFonts w:cs="Arial"/>
          <w:sz w:val="20"/>
          <w:szCs w:val="20"/>
        </w:rPr>
        <w:t xml:space="preserve">», par secteur d’atteinte, 2016 à 2023 </w:t>
      </w:r>
    </w:p>
    <w:tbl>
      <w:tblPr>
        <w:tblStyle w:val="TableauGrille4-Accentuation1"/>
        <w:tblW w:w="10434" w:type="dxa"/>
        <w:tblLayout w:type="fixed"/>
        <w:tblCellMar>
          <w:top w:w="28" w:type="dxa"/>
          <w:bottom w:w="28" w:type="dxa"/>
        </w:tblCellMar>
        <w:tblLook w:val="04A0" w:firstRow="1" w:lastRow="0" w:firstColumn="1" w:lastColumn="0" w:noHBand="0" w:noVBand="1"/>
      </w:tblPr>
      <w:tblGrid>
        <w:gridCol w:w="3475"/>
        <w:gridCol w:w="707"/>
        <w:gridCol w:w="708"/>
        <w:gridCol w:w="708"/>
        <w:gridCol w:w="708"/>
        <w:gridCol w:w="708"/>
        <w:gridCol w:w="708"/>
        <w:gridCol w:w="708"/>
        <w:gridCol w:w="932"/>
        <w:gridCol w:w="1072"/>
      </w:tblGrid>
      <w:tr w:rsidR="001E26FD" w:rsidRPr="00BD22C2" w14:paraId="6CFEDF17" w14:textId="77777777" w:rsidTr="0072117A">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75" w:type="dxa"/>
            <w:vMerge w:val="restart"/>
            <w:shd w:val="clear" w:color="auto" w:fill="0099CC"/>
            <w:noWrap/>
            <w:vAlign w:val="center"/>
            <w:hideMark/>
          </w:tcPr>
          <w:p w14:paraId="66C48B3B" w14:textId="77777777" w:rsidR="001E26FD" w:rsidRPr="00BD22C2" w:rsidRDefault="001E26FD" w:rsidP="001E26FD">
            <w:pPr>
              <w:spacing w:line="240" w:lineRule="auto"/>
              <w:jc w:val="left"/>
              <w:rPr>
                <w:rFonts w:eastAsia="Times New Roman" w:cs="Arial"/>
                <w:kern w:val="0"/>
                <w:sz w:val="20"/>
                <w:szCs w:val="20"/>
                <w:lang w:eastAsia="fr-CA"/>
                <w14:ligatures w14:val="none"/>
              </w:rPr>
            </w:pPr>
            <w:r w:rsidRPr="00BD22C2">
              <w:rPr>
                <w:rFonts w:eastAsia="Times New Roman" w:cs="Arial"/>
                <w:color w:val="auto"/>
                <w:kern w:val="0"/>
                <w:sz w:val="20"/>
                <w:szCs w:val="20"/>
                <w:lang w:eastAsia="fr-CA"/>
                <w14:ligatures w14:val="none"/>
              </w:rPr>
              <w:t>Secteur d’atteinte</w:t>
            </w:r>
          </w:p>
        </w:tc>
        <w:tc>
          <w:tcPr>
            <w:tcW w:w="6959" w:type="dxa"/>
            <w:gridSpan w:val="9"/>
            <w:shd w:val="clear" w:color="auto" w:fill="0099CC"/>
            <w:noWrap/>
            <w:vAlign w:val="center"/>
            <w:hideMark/>
          </w:tcPr>
          <w:p w14:paraId="5CBD80B1" w14:textId="1F01F0CB" w:rsidR="001E26FD" w:rsidRPr="00BD22C2" w:rsidRDefault="001E26FD" w:rsidP="001E26F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kern w:val="0"/>
                <w:sz w:val="20"/>
                <w:szCs w:val="20"/>
                <w:lang w:eastAsia="fr-CA"/>
                <w14:ligatures w14:val="none"/>
              </w:rPr>
            </w:pPr>
            <w:r w:rsidRPr="00BD22C2">
              <w:rPr>
                <w:rFonts w:eastAsia="Times New Roman" w:cs="Arial"/>
                <w:color w:val="auto"/>
                <w:kern w:val="0"/>
                <w:sz w:val="20"/>
                <w:szCs w:val="20"/>
                <w:lang w:eastAsia="fr-CA"/>
                <w14:ligatures w14:val="none"/>
              </w:rPr>
              <w:t>Année</w:t>
            </w:r>
          </w:p>
        </w:tc>
      </w:tr>
      <w:tr w:rsidR="00E4081A" w:rsidRPr="00BD22C2" w14:paraId="769BE353" w14:textId="77777777" w:rsidTr="0072117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75" w:type="dxa"/>
            <w:vMerge/>
            <w:noWrap/>
            <w:hideMark/>
          </w:tcPr>
          <w:p w14:paraId="08C15890" w14:textId="77777777" w:rsidR="009E39F1" w:rsidRPr="00BD22C2" w:rsidRDefault="009E39F1" w:rsidP="001E26FD">
            <w:pPr>
              <w:spacing w:line="240" w:lineRule="auto"/>
              <w:rPr>
                <w:rFonts w:eastAsia="Times New Roman" w:cs="Arial"/>
                <w:kern w:val="0"/>
                <w:sz w:val="20"/>
                <w:szCs w:val="20"/>
                <w:lang w:eastAsia="fr-CA"/>
                <w14:ligatures w14:val="none"/>
              </w:rPr>
            </w:pPr>
          </w:p>
        </w:tc>
        <w:tc>
          <w:tcPr>
            <w:tcW w:w="707" w:type="dxa"/>
            <w:shd w:val="clear" w:color="auto" w:fill="DDD9C3" w:themeFill="background2" w:themeFillShade="E6"/>
            <w:noWrap/>
            <w:vAlign w:val="center"/>
            <w:hideMark/>
          </w:tcPr>
          <w:p w14:paraId="7C6F52AB"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2016</w:t>
            </w:r>
          </w:p>
        </w:tc>
        <w:tc>
          <w:tcPr>
            <w:tcW w:w="708" w:type="dxa"/>
            <w:shd w:val="clear" w:color="auto" w:fill="DDD9C3" w:themeFill="background2" w:themeFillShade="E6"/>
            <w:noWrap/>
            <w:vAlign w:val="center"/>
            <w:hideMark/>
          </w:tcPr>
          <w:p w14:paraId="55C35977"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2017</w:t>
            </w:r>
          </w:p>
        </w:tc>
        <w:tc>
          <w:tcPr>
            <w:tcW w:w="708" w:type="dxa"/>
            <w:shd w:val="clear" w:color="auto" w:fill="DDD9C3" w:themeFill="background2" w:themeFillShade="E6"/>
            <w:noWrap/>
            <w:vAlign w:val="center"/>
            <w:hideMark/>
          </w:tcPr>
          <w:p w14:paraId="424C011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2018</w:t>
            </w:r>
          </w:p>
        </w:tc>
        <w:tc>
          <w:tcPr>
            <w:tcW w:w="708" w:type="dxa"/>
            <w:shd w:val="clear" w:color="auto" w:fill="DDD9C3" w:themeFill="background2" w:themeFillShade="E6"/>
            <w:noWrap/>
            <w:vAlign w:val="center"/>
            <w:hideMark/>
          </w:tcPr>
          <w:p w14:paraId="78D1FD61"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2019</w:t>
            </w:r>
          </w:p>
        </w:tc>
        <w:tc>
          <w:tcPr>
            <w:tcW w:w="708" w:type="dxa"/>
            <w:shd w:val="clear" w:color="auto" w:fill="DDD9C3" w:themeFill="background2" w:themeFillShade="E6"/>
            <w:noWrap/>
            <w:vAlign w:val="center"/>
            <w:hideMark/>
          </w:tcPr>
          <w:p w14:paraId="2AF27D6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2020</w:t>
            </w:r>
          </w:p>
        </w:tc>
        <w:tc>
          <w:tcPr>
            <w:tcW w:w="708" w:type="dxa"/>
            <w:shd w:val="clear" w:color="auto" w:fill="DDD9C3" w:themeFill="background2" w:themeFillShade="E6"/>
            <w:noWrap/>
            <w:vAlign w:val="center"/>
            <w:hideMark/>
          </w:tcPr>
          <w:p w14:paraId="33C0D7EB"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2021</w:t>
            </w:r>
          </w:p>
        </w:tc>
        <w:tc>
          <w:tcPr>
            <w:tcW w:w="708" w:type="dxa"/>
            <w:shd w:val="clear" w:color="auto" w:fill="DDD9C3" w:themeFill="background2" w:themeFillShade="E6"/>
            <w:noWrap/>
            <w:vAlign w:val="center"/>
            <w:hideMark/>
          </w:tcPr>
          <w:p w14:paraId="08281882"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2022</w:t>
            </w:r>
          </w:p>
        </w:tc>
        <w:tc>
          <w:tcPr>
            <w:tcW w:w="932" w:type="dxa"/>
            <w:shd w:val="clear" w:color="auto" w:fill="DDD9C3" w:themeFill="background2" w:themeFillShade="E6"/>
            <w:noWrap/>
            <w:vAlign w:val="center"/>
            <w:hideMark/>
          </w:tcPr>
          <w:p w14:paraId="0540E74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2023</w:t>
            </w:r>
          </w:p>
        </w:tc>
        <w:tc>
          <w:tcPr>
            <w:tcW w:w="1070" w:type="dxa"/>
            <w:shd w:val="clear" w:color="auto" w:fill="DDD9C3" w:themeFill="background2" w:themeFillShade="E6"/>
            <w:noWrap/>
            <w:vAlign w:val="center"/>
            <w:hideMark/>
          </w:tcPr>
          <w:p w14:paraId="25F65808"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kern w:val="0"/>
                <w:sz w:val="20"/>
                <w:szCs w:val="20"/>
                <w:lang w:eastAsia="fr-CA"/>
                <w14:ligatures w14:val="none"/>
              </w:rPr>
            </w:pPr>
            <w:r w:rsidRPr="00BD22C2">
              <w:rPr>
                <w:rFonts w:eastAsia="Times New Roman" w:cs="Arial"/>
                <w:b/>
                <w:bCs/>
                <w:color w:val="000000"/>
                <w:kern w:val="0"/>
                <w:sz w:val="20"/>
                <w:szCs w:val="20"/>
                <w:lang w:eastAsia="fr-CA"/>
                <w14:ligatures w14:val="none"/>
              </w:rPr>
              <w:t>Total général</w:t>
            </w:r>
          </w:p>
        </w:tc>
      </w:tr>
      <w:tr w:rsidR="009E39F1" w:rsidRPr="00BD22C2" w14:paraId="0329DE38" w14:textId="77777777" w:rsidTr="0072117A">
        <w:trPr>
          <w:trHeight w:val="352"/>
        </w:trPr>
        <w:tc>
          <w:tcPr>
            <w:cnfStyle w:val="001000000000" w:firstRow="0" w:lastRow="0" w:firstColumn="1" w:lastColumn="0" w:oddVBand="0" w:evenVBand="0" w:oddHBand="0" w:evenHBand="0" w:firstRowFirstColumn="0" w:firstRowLastColumn="0" w:lastRowFirstColumn="0" w:lastRowLastColumn="0"/>
            <w:tcW w:w="3475" w:type="dxa"/>
            <w:noWrap/>
            <w:vAlign w:val="center"/>
            <w:hideMark/>
          </w:tcPr>
          <w:p w14:paraId="556CDEBD" w14:textId="0D14696E"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Accès</w:t>
            </w:r>
            <w:r w:rsidR="00DA1935">
              <w:rPr>
                <w:rFonts w:eastAsia="Times New Roman" w:cs="Arial"/>
                <w:kern w:val="0"/>
                <w:sz w:val="20"/>
                <w:szCs w:val="20"/>
                <w:lang w:eastAsia="fr-CA"/>
                <w14:ligatures w14:val="none"/>
              </w:rPr>
              <w:t>/</w:t>
            </w:r>
            <w:r w:rsidRPr="00BD22C2">
              <w:rPr>
                <w:rFonts w:eastAsia="Times New Roman" w:cs="Arial"/>
                <w:kern w:val="0"/>
                <w:sz w:val="20"/>
                <w:szCs w:val="20"/>
                <w:lang w:eastAsia="fr-CA"/>
                <w14:ligatures w14:val="none"/>
              </w:rPr>
              <w:t>Transports, lieux publics</w:t>
            </w:r>
          </w:p>
        </w:tc>
        <w:tc>
          <w:tcPr>
            <w:tcW w:w="707" w:type="dxa"/>
            <w:noWrap/>
            <w:vAlign w:val="center"/>
            <w:hideMark/>
          </w:tcPr>
          <w:p w14:paraId="4CA9CE9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708" w:type="dxa"/>
            <w:noWrap/>
            <w:vAlign w:val="center"/>
            <w:hideMark/>
          </w:tcPr>
          <w:p w14:paraId="2967D0E6"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708" w:type="dxa"/>
            <w:noWrap/>
            <w:vAlign w:val="center"/>
            <w:hideMark/>
          </w:tcPr>
          <w:p w14:paraId="0EC5D110"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noWrap/>
            <w:vAlign w:val="center"/>
            <w:hideMark/>
          </w:tcPr>
          <w:p w14:paraId="55F20D8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noWrap/>
            <w:vAlign w:val="center"/>
            <w:hideMark/>
          </w:tcPr>
          <w:p w14:paraId="41FEEA0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708" w:type="dxa"/>
            <w:noWrap/>
            <w:vAlign w:val="center"/>
            <w:hideMark/>
          </w:tcPr>
          <w:p w14:paraId="6B643E5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noWrap/>
            <w:vAlign w:val="center"/>
            <w:hideMark/>
          </w:tcPr>
          <w:p w14:paraId="7FB98EB6"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932" w:type="dxa"/>
            <w:noWrap/>
            <w:vAlign w:val="center"/>
            <w:hideMark/>
          </w:tcPr>
          <w:p w14:paraId="0CA4D1FC"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1070" w:type="dxa"/>
            <w:noWrap/>
            <w:vAlign w:val="center"/>
            <w:hideMark/>
          </w:tcPr>
          <w:p w14:paraId="2A185962"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17</w:t>
            </w:r>
          </w:p>
        </w:tc>
      </w:tr>
      <w:tr w:rsidR="00E4081A" w:rsidRPr="00BD22C2" w14:paraId="5BE11276" w14:textId="77777777" w:rsidTr="0072117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noWrap/>
            <w:vAlign w:val="center"/>
            <w:hideMark/>
          </w:tcPr>
          <w:p w14:paraId="783EC71C" w14:textId="79C10163"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Actes juridiques</w:t>
            </w:r>
            <w:r w:rsidR="00DA1935">
              <w:rPr>
                <w:rFonts w:eastAsia="Times New Roman" w:cs="Arial"/>
                <w:kern w:val="0"/>
                <w:sz w:val="20"/>
                <w:szCs w:val="20"/>
                <w:lang w:eastAsia="fr-CA"/>
                <w14:ligatures w14:val="none"/>
              </w:rPr>
              <w:t>/</w:t>
            </w:r>
            <w:r w:rsidRPr="00BD22C2">
              <w:rPr>
                <w:rFonts w:eastAsia="Times New Roman" w:cs="Arial"/>
                <w:kern w:val="0"/>
                <w:sz w:val="20"/>
                <w:szCs w:val="20"/>
                <w:lang w:eastAsia="fr-CA"/>
                <w14:ligatures w14:val="none"/>
              </w:rPr>
              <w:t>Biens ou services</w:t>
            </w:r>
          </w:p>
        </w:tc>
        <w:tc>
          <w:tcPr>
            <w:tcW w:w="707" w:type="dxa"/>
            <w:shd w:val="clear" w:color="auto" w:fill="D9D9D9" w:themeFill="background1" w:themeFillShade="D9"/>
            <w:noWrap/>
            <w:vAlign w:val="center"/>
            <w:hideMark/>
          </w:tcPr>
          <w:p w14:paraId="1B6962E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708" w:type="dxa"/>
            <w:shd w:val="clear" w:color="auto" w:fill="D9D9D9" w:themeFill="background1" w:themeFillShade="D9"/>
            <w:noWrap/>
            <w:vAlign w:val="center"/>
            <w:hideMark/>
          </w:tcPr>
          <w:p w14:paraId="35050247"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c>
          <w:tcPr>
            <w:tcW w:w="708" w:type="dxa"/>
            <w:shd w:val="clear" w:color="auto" w:fill="D9D9D9" w:themeFill="background1" w:themeFillShade="D9"/>
            <w:noWrap/>
            <w:vAlign w:val="center"/>
            <w:hideMark/>
          </w:tcPr>
          <w:p w14:paraId="1C353204"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14</w:t>
            </w:r>
          </w:p>
        </w:tc>
        <w:tc>
          <w:tcPr>
            <w:tcW w:w="708" w:type="dxa"/>
            <w:shd w:val="clear" w:color="auto" w:fill="D9D9D9" w:themeFill="background1" w:themeFillShade="D9"/>
            <w:noWrap/>
            <w:vAlign w:val="center"/>
            <w:hideMark/>
          </w:tcPr>
          <w:p w14:paraId="3FCC7D3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c>
          <w:tcPr>
            <w:tcW w:w="708" w:type="dxa"/>
            <w:shd w:val="clear" w:color="auto" w:fill="D9D9D9" w:themeFill="background1" w:themeFillShade="D9"/>
            <w:noWrap/>
            <w:vAlign w:val="center"/>
            <w:hideMark/>
          </w:tcPr>
          <w:p w14:paraId="22ECCF46"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708" w:type="dxa"/>
            <w:shd w:val="clear" w:color="auto" w:fill="D9D9D9" w:themeFill="background1" w:themeFillShade="D9"/>
            <w:noWrap/>
            <w:vAlign w:val="center"/>
            <w:hideMark/>
          </w:tcPr>
          <w:p w14:paraId="71D8628E"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8</w:t>
            </w:r>
          </w:p>
        </w:tc>
        <w:tc>
          <w:tcPr>
            <w:tcW w:w="708" w:type="dxa"/>
            <w:shd w:val="clear" w:color="auto" w:fill="D9D9D9" w:themeFill="background1" w:themeFillShade="D9"/>
            <w:noWrap/>
            <w:vAlign w:val="center"/>
            <w:hideMark/>
          </w:tcPr>
          <w:p w14:paraId="1549CF4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11</w:t>
            </w:r>
          </w:p>
        </w:tc>
        <w:tc>
          <w:tcPr>
            <w:tcW w:w="932" w:type="dxa"/>
            <w:shd w:val="clear" w:color="auto" w:fill="D9D9D9" w:themeFill="background1" w:themeFillShade="D9"/>
            <w:noWrap/>
            <w:vAlign w:val="center"/>
            <w:hideMark/>
          </w:tcPr>
          <w:p w14:paraId="4BA1D3FF"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15</w:t>
            </w:r>
          </w:p>
        </w:tc>
        <w:tc>
          <w:tcPr>
            <w:tcW w:w="1070" w:type="dxa"/>
            <w:shd w:val="clear" w:color="auto" w:fill="D9D9D9" w:themeFill="background1" w:themeFillShade="D9"/>
            <w:noWrap/>
            <w:vAlign w:val="center"/>
            <w:hideMark/>
          </w:tcPr>
          <w:p w14:paraId="1A4ECB7C"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75</w:t>
            </w:r>
          </w:p>
        </w:tc>
      </w:tr>
      <w:tr w:rsidR="009E39F1" w:rsidRPr="00BD22C2" w14:paraId="7FA05C09" w14:textId="77777777" w:rsidTr="0072117A">
        <w:trPr>
          <w:trHeight w:val="352"/>
        </w:trPr>
        <w:tc>
          <w:tcPr>
            <w:cnfStyle w:val="001000000000" w:firstRow="0" w:lastRow="0" w:firstColumn="1" w:lastColumn="0" w:oddVBand="0" w:evenVBand="0" w:oddHBand="0" w:evenHBand="0" w:firstRowFirstColumn="0" w:firstRowLastColumn="0" w:lastRowFirstColumn="0" w:lastRowLastColumn="0"/>
            <w:tcW w:w="3475" w:type="dxa"/>
            <w:noWrap/>
            <w:vAlign w:val="center"/>
            <w:hideMark/>
          </w:tcPr>
          <w:p w14:paraId="648E1E78"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Autre</w:t>
            </w:r>
          </w:p>
        </w:tc>
        <w:tc>
          <w:tcPr>
            <w:tcW w:w="707" w:type="dxa"/>
            <w:noWrap/>
            <w:vAlign w:val="center"/>
            <w:hideMark/>
          </w:tcPr>
          <w:p w14:paraId="3B33C71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noWrap/>
            <w:vAlign w:val="center"/>
            <w:hideMark/>
          </w:tcPr>
          <w:p w14:paraId="4C6ACED2"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388D30F8"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5</w:t>
            </w:r>
          </w:p>
        </w:tc>
        <w:tc>
          <w:tcPr>
            <w:tcW w:w="708" w:type="dxa"/>
            <w:noWrap/>
            <w:vAlign w:val="center"/>
            <w:hideMark/>
          </w:tcPr>
          <w:p w14:paraId="1B9C7C6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708" w:type="dxa"/>
            <w:noWrap/>
            <w:vAlign w:val="center"/>
            <w:hideMark/>
          </w:tcPr>
          <w:p w14:paraId="5D5D3AE1"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708" w:type="dxa"/>
            <w:noWrap/>
            <w:vAlign w:val="center"/>
            <w:hideMark/>
          </w:tcPr>
          <w:p w14:paraId="5CA8C42B"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p>
        </w:tc>
        <w:tc>
          <w:tcPr>
            <w:tcW w:w="708" w:type="dxa"/>
            <w:noWrap/>
            <w:vAlign w:val="center"/>
            <w:hideMark/>
          </w:tcPr>
          <w:p w14:paraId="517A9E2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932" w:type="dxa"/>
            <w:noWrap/>
            <w:vAlign w:val="center"/>
            <w:hideMark/>
          </w:tcPr>
          <w:p w14:paraId="68132E8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1070" w:type="dxa"/>
            <w:noWrap/>
            <w:vAlign w:val="center"/>
            <w:hideMark/>
          </w:tcPr>
          <w:p w14:paraId="42EC55B2"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19</w:t>
            </w:r>
          </w:p>
        </w:tc>
      </w:tr>
      <w:tr w:rsidR="00E4081A" w:rsidRPr="00BD22C2" w14:paraId="54023EED" w14:textId="77777777" w:rsidTr="0072117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noWrap/>
            <w:vAlign w:val="center"/>
            <w:hideMark/>
          </w:tcPr>
          <w:p w14:paraId="45F7C552"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Logement</w:t>
            </w:r>
          </w:p>
        </w:tc>
        <w:tc>
          <w:tcPr>
            <w:tcW w:w="707" w:type="dxa"/>
            <w:shd w:val="clear" w:color="auto" w:fill="D9D9D9" w:themeFill="background1" w:themeFillShade="D9"/>
            <w:noWrap/>
            <w:vAlign w:val="center"/>
            <w:hideMark/>
          </w:tcPr>
          <w:p w14:paraId="4D59C4F6"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shd w:val="clear" w:color="auto" w:fill="D9D9D9" w:themeFill="background1" w:themeFillShade="D9"/>
            <w:noWrap/>
            <w:vAlign w:val="center"/>
            <w:hideMark/>
          </w:tcPr>
          <w:p w14:paraId="07E5F9F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1CB3687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29BAD6F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shd w:val="clear" w:color="auto" w:fill="D9D9D9" w:themeFill="background1" w:themeFillShade="D9"/>
            <w:noWrap/>
            <w:vAlign w:val="center"/>
            <w:hideMark/>
          </w:tcPr>
          <w:p w14:paraId="7FD4F394"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708" w:type="dxa"/>
            <w:shd w:val="clear" w:color="auto" w:fill="D9D9D9" w:themeFill="background1" w:themeFillShade="D9"/>
            <w:noWrap/>
            <w:vAlign w:val="center"/>
            <w:hideMark/>
          </w:tcPr>
          <w:p w14:paraId="279163A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708" w:type="dxa"/>
            <w:shd w:val="clear" w:color="auto" w:fill="D9D9D9" w:themeFill="background1" w:themeFillShade="D9"/>
            <w:noWrap/>
            <w:vAlign w:val="center"/>
            <w:hideMark/>
          </w:tcPr>
          <w:p w14:paraId="0FA91DA5"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932" w:type="dxa"/>
            <w:shd w:val="clear" w:color="auto" w:fill="D9D9D9" w:themeFill="background1" w:themeFillShade="D9"/>
            <w:noWrap/>
            <w:vAlign w:val="center"/>
            <w:hideMark/>
          </w:tcPr>
          <w:p w14:paraId="65E2EED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c>
          <w:tcPr>
            <w:tcW w:w="1070" w:type="dxa"/>
            <w:shd w:val="clear" w:color="auto" w:fill="D9D9D9" w:themeFill="background1" w:themeFillShade="D9"/>
            <w:noWrap/>
            <w:vAlign w:val="center"/>
            <w:hideMark/>
          </w:tcPr>
          <w:p w14:paraId="4DF1E59B"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r>
      <w:tr w:rsidR="009E39F1" w:rsidRPr="00BD22C2" w14:paraId="6E17896A" w14:textId="77777777" w:rsidTr="0072117A">
        <w:trPr>
          <w:trHeight w:val="352"/>
        </w:trPr>
        <w:tc>
          <w:tcPr>
            <w:cnfStyle w:val="001000000000" w:firstRow="0" w:lastRow="0" w:firstColumn="1" w:lastColumn="0" w:oddVBand="0" w:evenVBand="0" w:oddHBand="0" w:evenHBand="0" w:firstRowFirstColumn="0" w:firstRowLastColumn="0" w:lastRowFirstColumn="0" w:lastRowLastColumn="0"/>
            <w:tcW w:w="3475" w:type="dxa"/>
            <w:noWrap/>
            <w:vAlign w:val="center"/>
            <w:hideMark/>
          </w:tcPr>
          <w:p w14:paraId="7534FF35"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Travail</w:t>
            </w:r>
          </w:p>
        </w:tc>
        <w:tc>
          <w:tcPr>
            <w:tcW w:w="707" w:type="dxa"/>
            <w:noWrap/>
            <w:vAlign w:val="center"/>
            <w:hideMark/>
          </w:tcPr>
          <w:p w14:paraId="0D2F90CA"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3</w:t>
            </w:r>
          </w:p>
        </w:tc>
        <w:tc>
          <w:tcPr>
            <w:tcW w:w="708" w:type="dxa"/>
            <w:noWrap/>
            <w:vAlign w:val="center"/>
            <w:hideMark/>
          </w:tcPr>
          <w:p w14:paraId="74D244A9"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7</w:t>
            </w:r>
          </w:p>
        </w:tc>
        <w:tc>
          <w:tcPr>
            <w:tcW w:w="708" w:type="dxa"/>
            <w:noWrap/>
            <w:vAlign w:val="center"/>
            <w:hideMark/>
          </w:tcPr>
          <w:p w14:paraId="41A0F8D6"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13</w:t>
            </w:r>
          </w:p>
        </w:tc>
        <w:tc>
          <w:tcPr>
            <w:tcW w:w="708" w:type="dxa"/>
            <w:noWrap/>
            <w:vAlign w:val="center"/>
            <w:hideMark/>
          </w:tcPr>
          <w:p w14:paraId="577703E1"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708" w:type="dxa"/>
            <w:noWrap/>
            <w:vAlign w:val="center"/>
            <w:hideMark/>
          </w:tcPr>
          <w:p w14:paraId="0BDCBC49"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4</w:t>
            </w:r>
          </w:p>
        </w:tc>
        <w:tc>
          <w:tcPr>
            <w:tcW w:w="708" w:type="dxa"/>
            <w:noWrap/>
            <w:vAlign w:val="center"/>
            <w:hideMark/>
          </w:tcPr>
          <w:p w14:paraId="2E30056D"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10</w:t>
            </w:r>
          </w:p>
        </w:tc>
        <w:tc>
          <w:tcPr>
            <w:tcW w:w="708" w:type="dxa"/>
            <w:noWrap/>
            <w:vAlign w:val="center"/>
            <w:hideMark/>
          </w:tcPr>
          <w:p w14:paraId="034CF65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8</w:t>
            </w:r>
          </w:p>
        </w:tc>
        <w:tc>
          <w:tcPr>
            <w:tcW w:w="932" w:type="dxa"/>
            <w:noWrap/>
            <w:vAlign w:val="center"/>
            <w:hideMark/>
          </w:tcPr>
          <w:p w14:paraId="3A928BD2"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8</w:t>
            </w:r>
          </w:p>
        </w:tc>
        <w:tc>
          <w:tcPr>
            <w:tcW w:w="1070" w:type="dxa"/>
            <w:noWrap/>
            <w:vAlign w:val="center"/>
            <w:hideMark/>
          </w:tcPr>
          <w:p w14:paraId="230ABD94"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57</w:t>
            </w:r>
          </w:p>
        </w:tc>
      </w:tr>
      <w:tr w:rsidR="00E4081A" w:rsidRPr="00BD22C2" w14:paraId="28F3164C" w14:textId="77777777" w:rsidTr="0072117A">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noWrap/>
            <w:vAlign w:val="center"/>
            <w:hideMark/>
          </w:tcPr>
          <w:p w14:paraId="17FF9F9F" w14:textId="77777777" w:rsidR="009E39F1" w:rsidRPr="00BD22C2" w:rsidRDefault="009E39F1" w:rsidP="001E26FD">
            <w:pPr>
              <w:spacing w:line="240" w:lineRule="auto"/>
              <w:jc w:val="left"/>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Secteur non spécifié</w:t>
            </w:r>
          </w:p>
        </w:tc>
        <w:tc>
          <w:tcPr>
            <w:tcW w:w="707" w:type="dxa"/>
            <w:shd w:val="clear" w:color="auto" w:fill="D9D9D9" w:themeFill="background1" w:themeFillShade="D9"/>
            <w:noWrap/>
            <w:vAlign w:val="center"/>
            <w:hideMark/>
          </w:tcPr>
          <w:p w14:paraId="449B50D5"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1578CC74"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56484625"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2DB7E8A3"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03647DF9"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41417B3F"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p>
        </w:tc>
        <w:tc>
          <w:tcPr>
            <w:tcW w:w="708" w:type="dxa"/>
            <w:shd w:val="clear" w:color="auto" w:fill="D9D9D9" w:themeFill="background1" w:themeFillShade="D9"/>
            <w:noWrap/>
            <w:vAlign w:val="center"/>
            <w:hideMark/>
          </w:tcPr>
          <w:p w14:paraId="0821E5CC"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932" w:type="dxa"/>
            <w:shd w:val="clear" w:color="auto" w:fill="D9D9D9" w:themeFill="background1" w:themeFillShade="D9"/>
            <w:noWrap/>
            <w:vAlign w:val="center"/>
            <w:hideMark/>
          </w:tcPr>
          <w:p w14:paraId="177988A5"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1</w:t>
            </w:r>
          </w:p>
        </w:tc>
        <w:tc>
          <w:tcPr>
            <w:tcW w:w="1070" w:type="dxa"/>
            <w:shd w:val="clear" w:color="auto" w:fill="D9D9D9" w:themeFill="background1" w:themeFillShade="D9"/>
            <w:noWrap/>
            <w:vAlign w:val="center"/>
            <w:hideMark/>
          </w:tcPr>
          <w:p w14:paraId="2C7BEAFF" w14:textId="77777777" w:rsidR="009E39F1" w:rsidRPr="00BD22C2" w:rsidRDefault="009E39F1" w:rsidP="001E26F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2</w:t>
            </w:r>
          </w:p>
        </w:tc>
      </w:tr>
      <w:tr w:rsidR="00E4081A" w:rsidRPr="00BD22C2" w14:paraId="0F27937B" w14:textId="77777777" w:rsidTr="0072117A">
        <w:trPr>
          <w:trHeight w:val="352"/>
        </w:trPr>
        <w:tc>
          <w:tcPr>
            <w:cnfStyle w:val="001000000000" w:firstRow="0" w:lastRow="0" w:firstColumn="1" w:lastColumn="0" w:oddVBand="0" w:evenVBand="0" w:oddHBand="0" w:evenHBand="0" w:firstRowFirstColumn="0" w:firstRowLastColumn="0" w:lastRowFirstColumn="0" w:lastRowLastColumn="0"/>
            <w:tcW w:w="3475" w:type="dxa"/>
            <w:shd w:val="clear" w:color="auto" w:fill="0099CC"/>
            <w:noWrap/>
            <w:hideMark/>
          </w:tcPr>
          <w:p w14:paraId="10AB3D66" w14:textId="77777777" w:rsidR="009E39F1" w:rsidRPr="00BD22C2" w:rsidRDefault="009E39F1" w:rsidP="001E26FD">
            <w:pPr>
              <w:spacing w:line="240" w:lineRule="auto"/>
              <w:rPr>
                <w:rFonts w:eastAsia="Times New Roman" w:cs="Arial"/>
                <w:kern w:val="0"/>
                <w:sz w:val="20"/>
                <w:szCs w:val="20"/>
                <w:lang w:eastAsia="fr-CA"/>
                <w14:ligatures w14:val="none"/>
              </w:rPr>
            </w:pPr>
            <w:r w:rsidRPr="00BD22C2">
              <w:rPr>
                <w:rFonts w:eastAsia="Times New Roman" w:cs="Arial"/>
                <w:kern w:val="0"/>
                <w:sz w:val="20"/>
                <w:szCs w:val="20"/>
                <w:lang w:eastAsia="fr-CA"/>
                <w14:ligatures w14:val="none"/>
              </w:rPr>
              <w:t>Total général</w:t>
            </w:r>
          </w:p>
        </w:tc>
        <w:tc>
          <w:tcPr>
            <w:tcW w:w="707" w:type="dxa"/>
            <w:shd w:val="clear" w:color="auto" w:fill="0099CC"/>
            <w:noWrap/>
            <w:vAlign w:val="center"/>
            <w:hideMark/>
          </w:tcPr>
          <w:p w14:paraId="145F391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10</w:t>
            </w:r>
          </w:p>
        </w:tc>
        <w:tc>
          <w:tcPr>
            <w:tcW w:w="708" w:type="dxa"/>
            <w:shd w:val="clear" w:color="auto" w:fill="0099CC"/>
            <w:noWrap/>
            <w:vAlign w:val="center"/>
            <w:hideMark/>
          </w:tcPr>
          <w:p w14:paraId="241DE253"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708" w:type="dxa"/>
            <w:shd w:val="clear" w:color="auto" w:fill="0099CC"/>
            <w:noWrap/>
            <w:vAlign w:val="center"/>
            <w:hideMark/>
          </w:tcPr>
          <w:p w14:paraId="2980621F"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33</w:t>
            </w:r>
          </w:p>
        </w:tc>
        <w:tc>
          <w:tcPr>
            <w:tcW w:w="708" w:type="dxa"/>
            <w:shd w:val="clear" w:color="auto" w:fill="0099CC"/>
            <w:noWrap/>
            <w:vAlign w:val="center"/>
            <w:hideMark/>
          </w:tcPr>
          <w:p w14:paraId="3D40FC2E"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w:t>
            </w:r>
          </w:p>
        </w:tc>
        <w:tc>
          <w:tcPr>
            <w:tcW w:w="708" w:type="dxa"/>
            <w:shd w:val="clear" w:color="auto" w:fill="0099CC"/>
            <w:noWrap/>
            <w:vAlign w:val="center"/>
            <w:hideMark/>
          </w:tcPr>
          <w:p w14:paraId="01173E0B"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20</w:t>
            </w:r>
          </w:p>
        </w:tc>
        <w:tc>
          <w:tcPr>
            <w:tcW w:w="708" w:type="dxa"/>
            <w:shd w:val="clear" w:color="auto" w:fill="0099CC"/>
            <w:noWrap/>
            <w:vAlign w:val="center"/>
            <w:hideMark/>
          </w:tcPr>
          <w:p w14:paraId="73B3CA7D"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21</w:t>
            </w:r>
          </w:p>
        </w:tc>
        <w:tc>
          <w:tcPr>
            <w:tcW w:w="708" w:type="dxa"/>
            <w:shd w:val="clear" w:color="auto" w:fill="0099CC"/>
            <w:noWrap/>
            <w:vAlign w:val="center"/>
            <w:hideMark/>
          </w:tcPr>
          <w:p w14:paraId="536C1AD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28</w:t>
            </w:r>
          </w:p>
        </w:tc>
        <w:tc>
          <w:tcPr>
            <w:tcW w:w="932" w:type="dxa"/>
            <w:shd w:val="clear" w:color="auto" w:fill="0099CC"/>
            <w:noWrap/>
            <w:vAlign w:val="center"/>
            <w:hideMark/>
          </w:tcPr>
          <w:p w14:paraId="754E9207"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31</w:t>
            </w:r>
          </w:p>
        </w:tc>
        <w:tc>
          <w:tcPr>
            <w:tcW w:w="1070" w:type="dxa"/>
            <w:shd w:val="clear" w:color="auto" w:fill="0099CC"/>
            <w:noWrap/>
            <w:vAlign w:val="center"/>
            <w:hideMark/>
          </w:tcPr>
          <w:p w14:paraId="62451445" w14:textId="77777777" w:rsidR="009E39F1" w:rsidRPr="00BD22C2" w:rsidRDefault="009E39F1" w:rsidP="001E26F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0"/>
                <w:szCs w:val="20"/>
                <w:lang w:eastAsia="fr-CA"/>
                <w14:ligatures w14:val="none"/>
              </w:rPr>
            </w:pPr>
            <w:r w:rsidRPr="00BD22C2">
              <w:rPr>
                <w:rFonts w:eastAsia="Times New Roman" w:cs="Arial"/>
                <w:b/>
                <w:bCs/>
                <w:kern w:val="0"/>
                <w:sz w:val="20"/>
                <w:szCs w:val="20"/>
                <w:lang w:eastAsia="fr-CA"/>
                <w14:ligatures w14:val="none"/>
              </w:rPr>
              <w:t>177</w:t>
            </w:r>
          </w:p>
        </w:tc>
      </w:tr>
    </w:tbl>
    <w:p w14:paraId="7C51852F" w14:textId="77777777" w:rsidR="009E39F1" w:rsidRPr="00BD22C2" w:rsidRDefault="009E39F1" w:rsidP="009E39F1">
      <w:pPr>
        <w:rPr>
          <w:rFonts w:cs="Arial"/>
        </w:rPr>
      </w:pPr>
    </w:p>
    <w:p w14:paraId="68D08ACD" w14:textId="0AFD0B42" w:rsidR="00E811A0" w:rsidRPr="00BD22C2" w:rsidRDefault="00E811A0" w:rsidP="009E5CC1">
      <w:pPr>
        <w:pStyle w:val="Paragraphe"/>
        <w:rPr>
          <w:rFonts w:eastAsia="Calibri"/>
          <w:lang w:val="fr-CA" w:eastAsia="en-US"/>
        </w:rPr>
      </w:pPr>
    </w:p>
    <w:p w14:paraId="36F6D7AB" w14:textId="3F79038C" w:rsidR="00283184" w:rsidRDefault="00283184">
      <w:pPr>
        <w:spacing w:line="240" w:lineRule="auto"/>
        <w:jc w:val="left"/>
        <w:rPr>
          <w:rFonts w:eastAsia="Calibri" w:cs="Open Sans"/>
          <w:color w:val="000000"/>
          <w:szCs w:val="21"/>
          <w:lang w:eastAsia="en-US"/>
        </w:rPr>
      </w:pPr>
      <w:r>
        <w:rPr>
          <w:rFonts w:eastAsia="Calibri"/>
          <w:lang w:eastAsia="en-US"/>
        </w:rPr>
        <w:br w:type="page"/>
      </w:r>
    </w:p>
    <w:p w14:paraId="5B1D7621" w14:textId="77777777" w:rsidR="00475019" w:rsidRPr="00BD22C2" w:rsidRDefault="00475019" w:rsidP="009E5CC1">
      <w:pPr>
        <w:pStyle w:val="Paragraphe"/>
        <w:rPr>
          <w:rFonts w:eastAsia="Calibri"/>
          <w:lang w:val="fr-CA" w:eastAsia="en-US"/>
        </w:rPr>
        <w:sectPr w:rsidR="00475019" w:rsidRPr="00BD22C2" w:rsidSect="008C7C77">
          <w:footerReference w:type="even" r:id="rId62"/>
          <w:endnotePr>
            <w:numFmt w:val="decimal"/>
          </w:endnotePr>
          <w:pgSz w:w="12240" w:h="15840" w:code="1"/>
          <w:pgMar w:top="1872" w:right="1440" w:bottom="1440" w:left="1440" w:header="706" w:footer="706" w:gutter="0"/>
          <w:pgNumType w:start="1"/>
          <w:cols w:space="708"/>
          <w:titlePg/>
          <w:docGrid w:linePitch="360"/>
        </w:sectPr>
      </w:pPr>
    </w:p>
    <w:p w14:paraId="60BC0DB5" w14:textId="7E5EADD1" w:rsidR="00EB1791" w:rsidRPr="00E811A0" w:rsidRDefault="001E26FD" w:rsidP="00A36CA7">
      <w:pPr>
        <w:pStyle w:val="Titre"/>
        <w:rPr>
          <w:rFonts w:eastAsia="Calibri"/>
          <w:lang w:eastAsia="en-US"/>
        </w:rPr>
      </w:pPr>
      <w:bookmarkStart w:id="221" w:name="_Toc165636144"/>
      <w:r w:rsidRPr="00BD22C2">
        <w:rPr>
          <w:rFonts w:eastAsia="Calibri"/>
          <w:lang w:eastAsia="en-US"/>
        </w:rPr>
        <w:lastRenderedPageBreak/>
        <w:t>Ré</w:t>
      </w:r>
      <w:r w:rsidR="00EB3C5E" w:rsidRPr="00BD22C2">
        <w:rPr>
          <w:rFonts w:eastAsia="Calibri"/>
          <w:lang w:eastAsia="en-US"/>
        </w:rPr>
        <w:t>f</w:t>
      </w:r>
      <w:r w:rsidRPr="00BD22C2">
        <w:rPr>
          <w:rFonts w:eastAsia="Calibri"/>
          <w:lang w:eastAsia="en-US"/>
        </w:rPr>
        <w:t>érences</w:t>
      </w:r>
      <w:bookmarkEnd w:id="221"/>
    </w:p>
    <w:sectPr w:rsidR="00EB1791" w:rsidRPr="00E811A0" w:rsidSect="00F21BD8">
      <w:headerReference w:type="even" r:id="rId63"/>
      <w:headerReference w:type="default" r:id="rId64"/>
      <w:footerReference w:type="even" r:id="rId65"/>
      <w:footerReference w:type="default" r:id="rId66"/>
      <w:headerReference w:type="first" r:id="rId67"/>
      <w:footerReference w:type="first" r:id="rId68"/>
      <w:endnotePr>
        <w:numFmt w:val="decimal"/>
      </w:endnotePr>
      <w:pgSz w:w="12240" w:h="15840" w:code="1"/>
      <w:pgMar w:top="1872" w:right="1440" w:bottom="1440" w:left="1440" w:header="706" w:footer="706" w:gutter="0"/>
      <w:pgNumType w:fmt="upperLetter"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7FA73" w14:textId="77777777" w:rsidR="00F03C08" w:rsidRPr="00BD22C2" w:rsidRDefault="00F03C08">
      <w:r w:rsidRPr="00BD22C2">
        <w:separator/>
      </w:r>
    </w:p>
  </w:endnote>
  <w:endnote w:type="continuationSeparator" w:id="0">
    <w:p w14:paraId="78C42071" w14:textId="77777777" w:rsidR="00F03C08" w:rsidRPr="00BD22C2" w:rsidRDefault="00F03C08">
      <w:r w:rsidRPr="00BD22C2">
        <w:continuationSeparator/>
      </w:r>
    </w:p>
  </w:endnote>
  <w:endnote w:type="continuationNotice" w:id="1">
    <w:p w14:paraId="6197FE9B" w14:textId="77777777" w:rsidR="00F03C08" w:rsidRPr="00BD22C2" w:rsidRDefault="00F03C08">
      <w:pPr>
        <w:spacing w:line="240" w:lineRule="auto"/>
      </w:pPr>
    </w:p>
  </w:endnote>
  <w:endnote w:id="2">
    <w:p w14:paraId="205AE54E" w14:textId="7C7708EC" w:rsidR="00FC5A9F" w:rsidRPr="00BD22C2" w:rsidRDefault="00FC5A9F" w:rsidP="00B73C7F">
      <w:pPr>
        <w:pStyle w:val="Notedebasdepage"/>
        <w:rPr>
          <w:rFonts w:cs="Arial"/>
          <w:szCs w:val="18"/>
          <w:lang w:val="fr-CA"/>
        </w:rPr>
      </w:pPr>
      <w:r w:rsidRPr="00BD22C2">
        <w:rPr>
          <w:rStyle w:val="Appeldenotedefin"/>
          <w:rFonts w:cs="Arial"/>
          <w:szCs w:val="18"/>
          <w:lang w:val="fr-CA"/>
        </w:rPr>
        <w:endnoteRef/>
      </w:r>
      <w:r w:rsidRPr="00BD22C2">
        <w:rPr>
          <w:rFonts w:cs="Arial"/>
          <w:szCs w:val="18"/>
          <w:lang w:val="fr-CA"/>
        </w:rPr>
        <w:t xml:space="preserve"> </w:t>
      </w:r>
      <w:r w:rsidRPr="00BD22C2">
        <w:rPr>
          <w:rFonts w:cs="Arial"/>
          <w:szCs w:val="18"/>
          <w:lang w:val="fr-CA"/>
        </w:rPr>
        <w:tab/>
      </w:r>
      <w:r w:rsidRPr="00BD22C2">
        <w:rPr>
          <w:rStyle w:val="NotedebasdepageCar"/>
          <w:i/>
          <w:lang w:val="fr-CA"/>
        </w:rPr>
        <w:t>Charte des droits et libertés de la personne</w:t>
      </w:r>
      <w:r w:rsidRPr="00BD22C2">
        <w:rPr>
          <w:rFonts w:cs="Arial"/>
          <w:szCs w:val="18"/>
          <w:lang w:val="fr-CA"/>
        </w:rPr>
        <w:t>, RLRQ, c. C</w:t>
      </w:r>
      <w:r w:rsidR="00CC76DE" w:rsidRPr="00BD22C2">
        <w:rPr>
          <w:rFonts w:cs="Arial"/>
          <w:szCs w:val="18"/>
          <w:lang w:val="fr-CA"/>
        </w:rPr>
        <w:t> </w:t>
      </w:r>
      <w:r w:rsidRPr="00BD22C2">
        <w:rPr>
          <w:rFonts w:cs="Arial"/>
          <w:szCs w:val="18"/>
          <w:lang w:val="fr-CA"/>
        </w:rPr>
        <w:t>-12.</w:t>
      </w:r>
    </w:p>
  </w:endnote>
  <w:endnote w:id="3">
    <w:p w14:paraId="5A1BA213" w14:textId="06672B8F" w:rsidR="00FC5A9F" w:rsidRPr="00BD22C2" w:rsidRDefault="00FC5A9F" w:rsidP="00B73C7F">
      <w:pPr>
        <w:pStyle w:val="Notedebasdepage"/>
        <w:rPr>
          <w:rFonts w:cs="Arial"/>
          <w:szCs w:val="18"/>
          <w:lang w:val="fr-CA"/>
        </w:rPr>
      </w:pPr>
      <w:r w:rsidRPr="00BD22C2">
        <w:rPr>
          <w:rStyle w:val="Appeldenotedefin"/>
          <w:rFonts w:cs="Arial"/>
          <w:szCs w:val="18"/>
          <w:lang w:val="fr-CA"/>
        </w:rPr>
        <w:endnoteRef/>
      </w:r>
      <w:r w:rsidRPr="00BD22C2">
        <w:rPr>
          <w:rFonts w:cs="Arial"/>
          <w:szCs w:val="18"/>
          <w:lang w:val="fr-CA"/>
        </w:rPr>
        <w:t xml:space="preserve"> </w:t>
      </w:r>
      <w:r w:rsidRPr="00BD22C2">
        <w:rPr>
          <w:rFonts w:cs="Arial"/>
          <w:szCs w:val="18"/>
          <w:lang w:val="fr-CA"/>
        </w:rPr>
        <w:tab/>
      </w:r>
      <w:r w:rsidRPr="00BD22C2">
        <w:rPr>
          <w:rFonts w:cs="Arial"/>
          <w:i/>
          <w:szCs w:val="18"/>
          <w:lang w:val="fr-CA"/>
        </w:rPr>
        <w:t>Loi sur la protection de la jeunesse</w:t>
      </w:r>
      <w:r w:rsidRPr="00BD22C2">
        <w:rPr>
          <w:rFonts w:cs="Arial"/>
          <w:szCs w:val="18"/>
          <w:lang w:val="fr-CA"/>
        </w:rPr>
        <w:t>, RLRQ, c. P</w:t>
      </w:r>
      <w:r w:rsidR="00084C75" w:rsidRPr="00BD22C2">
        <w:rPr>
          <w:rFonts w:cs="Arial"/>
          <w:szCs w:val="18"/>
          <w:lang w:val="fr-CA"/>
        </w:rPr>
        <w:t>-</w:t>
      </w:r>
      <w:r w:rsidRPr="00BD22C2">
        <w:rPr>
          <w:rFonts w:cs="Arial"/>
          <w:szCs w:val="18"/>
          <w:lang w:val="fr-CA"/>
        </w:rPr>
        <w:t>34.1.</w:t>
      </w:r>
    </w:p>
  </w:endnote>
  <w:endnote w:id="4">
    <w:p w14:paraId="71258A57" w14:textId="09982ADC" w:rsidR="00FC5A9F" w:rsidRPr="00BD22C2" w:rsidRDefault="00FC5A9F" w:rsidP="00B73C7F">
      <w:pPr>
        <w:pStyle w:val="Notedebasdepage"/>
        <w:rPr>
          <w:rFonts w:cs="Arial"/>
          <w:szCs w:val="18"/>
          <w:lang w:val="fr-CA"/>
        </w:rPr>
      </w:pPr>
      <w:r w:rsidRPr="00BD22C2">
        <w:rPr>
          <w:rStyle w:val="Appeldenotedefin"/>
          <w:rFonts w:cs="Arial"/>
          <w:szCs w:val="18"/>
          <w:lang w:val="fr-CA"/>
        </w:rPr>
        <w:endnoteRef/>
      </w:r>
      <w:r w:rsidRPr="00BD22C2">
        <w:rPr>
          <w:rFonts w:cs="Arial"/>
          <w:szCs w:val="18"/>
          <w:lang w:val="fr-CA"/>
        </w:rPr>
        <w:t xml:space="preserve"> </w:t>
      </w:r>
      <w:r w:rsidRPr="00BD22C2">
        <w:rPr>
          <w:rFonts w:cs="Arial"/>
          <w:szCs w:val="18"/>
          <w:lang w:val="fr-CA"/>
        </w:rPr>
        <w:tab/>
      </w:r>
      <w:r w:rsidRPr="00BD22C2">
        <w:rPr>
          <w:rFonts w:cs="Arial"/>
          <w:i/>
          <w:szCs w:val="18"/>
          <w:lang w:val="fr-CA"/>
        </w:rPr>
        <w:t>Loi sur l’accès à l’égalité en emploi dans des organismes publics</w:t>
      </w:r>
      <w:r w:rsidRPr="00BD22C2">
        <w:rPr>
          <w:rFonts w:cs="Arial"/>
          <w:szCs w:val="18"/>
          <w:lang w:val="fr-CA"/>
        </w:rPr>
        <w:t>, RLRQ, c. A</w:t>
      </w:r>
      <w:r w:rsidR="00CC76DE" w:rsidRPr="00BD22C2">
        <w:rPr>
          <w:rFonts w:cs="Arial"/>
          <w:szCs w:val="18"/>
          <w:lang w:val="fr-CA"/>
        </w:rPr>
        <w:t> </w:t>
      </w:r>
      <w:r w:rsidRPr="00BD22C2">
        <w:rPr>
          <w:rFonts w:cs="Arial"/>
          <w:szCs w:val="18"/>
          <w:lang w:val="fr-CA"/>
        </w:rPr>
        <w:t>-2</w:t>
      </w:r>
      <w:r w:rsidR="004864F9">
        <w:rPr>
          <w:rFonts w:cs="Arial"/>
          <w:szCs w:val="18"/>
          <w:lang w:val="fr-CA"/>
        </w:rPr>
        <w:t>.</w:t>
      </w:r>
      <w:r w:rsidRPr="00BD22C2">
        <w:rPr>
          <w:rFonts w:cs="Arial"/>
          <w:szCs w:val="18"/>
          <w:lang w:val="fr-CA"/>
        </w:rPr>
        <w:t>01</w:t>
      </w:r>
      <w:r w:rsidR="00A07980">
        <w:rPr>
          <w:rFonts w:cs="Arial"/>
          <w:szCs w:val="18"/>
          <w:lang w:val="fr-CA"/>
        </w:rPr>
        <w:t>.</w:t>
      </w:r>
    </w:p>
  </w:endnote>
  <w:endnote w:id="5">
    <w:p w14:paraId="13CE1269" w14:textId="75CD9AB1" w:rsidR="009D3DD6" w:rsidRPr="00BD22C2" w:rsidRDefault="009D3DD6" w:rsidP="00B73C7F">
      <w:pPr>
        <w:pStyle w:val="Notedebasdepage"/>
        <w:rPr>
          <w:rFonts w:cs="Arial"/>
          <w:szCs w:val="18"/>
          <w:lang w:val="fr-CA"/>
        </w:rPr>
      </w:pPr>
      <w:r w:rsidRPr="00BD22C2">
        <w:rPr>
          <w:rStyle w:val="Appeldenotedefin"/>
          <w:rFonts w:cs="Arial"/>
          <w:szCs w:val="18"/>
          <w:lang w:val="fr-CA"/>
        </w:rPr>
        <w:endnoteRef/>
      </w:r>
      <w:r w:rsidRPr="00BD22C2">
        <w:rPr>
          <w:rFonts w:cs="Arial"/>
          <w:szCs w:val="18"/>
          <w:lang w:val="fr-CA"/>
        </w:rPr>
        <w:t xml:space="preserve"> </w:t>
      </w:r>
      <w:r w:rsidR="00382417" w:rsidRPr="00BD22C2">
        <w:rPr>
          <w:rFonts w:cs="Arial"/>
          <w:szCs w:val="18"/>
          <w:lang w:val="fr-CA"/>
        </w:rPr>
        <w:tab/>
      </w:r>
      <w:r w:rsidR="004B2213" w:rsidRPr="00BD22C2">
        <w:rPr>
          <w:rStyle w:val="NotedebasdepageCar"/>
          <w:smallCaps/>
          <w:lang w:val="fr-CA"/>
        </w:rPr>
        <w:t>Commission des droits de la personne et des droits de la jeunesse</w:t>
      </w:r>
      <w:r w:rsidR="004B2213" w:rsidRPr="00BD22C2">
        <w:rPr>
          <w:rFonts w:cs="Arial"/>
          <w:szCs w:val="18"/>
          <w:lang w:val="fr-CA"/>
        </w:rPr>
        <w:t xml:space="preserve">, </w:t>
      </w:r>
      <w:r w:rsidR="00645687" w:rsidRPr="00BD22C2">
        <w:rPr>
          <w:rFonts w:cs="Arial"/>
          <w:i/>
          <w:szCs w:val="18"/>
          <w:lang w:val="fr-CA"/>
        </w:rPr>
        <w:t>Un défi de justic</w:t>
      </w:r>
      <w:r w:rsidR="00D728AD" w:rsidRPr="00BD22C2">
        <w:rPr>
          <w:rFonts w:cs="Arial"/>
          <w:i/>
          <w:szCs w:val="18"/>
          <w:lang w:val="fr-CA"/>
        </w:rPr>
        <w:t>e pour tous</w:t>
      </w:r>
      <w:r w:rsidR="00452985" w:rsidRPr="00BD22C2">
        <w:rPr>
          <w:rFonts w:cs="Arial"/>
          <w:i/>
          <w:szCs w:val="18"/>
          <w:lang w:val="fr-CA"/>
        </w:rPr>
        <w:t xml:space="preserve"> : </w:t>
      </w:r>
      <w:r w:rsidR="008373D1" w:rsidRPr="00BD22C2">
        <w:rPr>
          <w:rFonts w:cs="Arial"/>
          <w:i/>
          <w:szCs w:val="18"/>
          <w:lang w:val="fr-CA"/>
        </w:rPr>
        <w:t>Premier rapport annuel</w:t>
      </w:r>
      <w:r w:rsidR="008373D1" w:rsidRPr="00BD22C2">
        <w:rPr>
          <w:rFonts w:cs="Arial"/>
          <w:szCs w:val="18"/>
          <w:lang w:val="fr-CA"/>
        </w:rPr>
        <w:t>, 1976, p.</w:t>
      </w:r>
      <w:r w:rsidR="00C1040E" w:rsidRPr="00BD22C2">
        <w:rPr>
          <w:rFonts w:cs="Arial"/>
          <w:szCs w:val="18"/>
          <w:lang w:val="fr-CA"/>
        </w:rPr>
        <w:t> 22.</w:t>
      </w:r>
    </w:p>
  </w:endnote>
  <w:endnote w:id="6">
    <w:p w14:paraId="01B6C935" w14:textId="5597F85A" w:rsidR="00945E5A" w:rsidRPr="00BD22C2" w:rsidRDefault="00945E5A" w:rsidP="00B73C7F">
      <w:pPr>
        <w:pStyle w:val="Notedebasdepage"/>
        <w:rPr>
          <w:rFonts w:cs="Arial"/>
          <w:szCs w:val="18"/>
          <w:lang w:val="fr-CA"/>
        </w:rPr>
      </w:pPr>
      <w:r w:rsidRPr="00BD22C2">
        <w:rPr>
          <w:rStyle w:val="Appeldenotedefin"/>
          <w:rFonts w:cs="Arial"/>
          <w:szCs w:val="18"/>
          <w:lang w:val="fr-CA"/>
        </w:rPr>
        <w:endnoteRef/>
      </w:r>
      <w:r w:rsidRPr="00BD22C2">
        <w:rPr>
          <w:rFonts w:cs="Arial"/>
          <w:szCs w:val="18"/>
          <w:lang w:val="fr-CA"/>
        </w:rPr>
        <w:t xml:space="preserve"> </w:t>
      </w:r>
      <w:r w:rsidR="001E26FD" w:rsidRPr="00BD22C2">
        <w:rPr>
          <w:rFonts w:cs="Arial"/>
          <w:szCs w:val="18"/>
          <w:lang w:val="fr-CA"/>
        </w:rPr>
        <w:tab/>
      </w:r>
      <w:r w:rsidR="00046D78" w:rsidRPr="00BD22C2">
        <w:rPr>
          <w:rFonts w:cs="Arial"/>
          <w:i/>
          <w:szCs w:val="18"/>
          <w:lang w:val="fr-CA"/>
        </w:rPr>
        <w:t>Loi modifiant la Charte des droits et libertés de la personne</w:t>
      </w:r>
      <w:r w:rsidR="00046D78" w:rsidRPr="00BD22C2">
        <w:rPr>
          <w:rFonts w:cs="Arial"/>
          <w:szCs w:val="18"/>
          <w:lang w:val="fr-CA"/>
        </w:rPr>
        <w:t>, L.</w:t>
      </w:r>
      <w:r w:rsidR="006305FE">
        <w:rPr>
          <w:rFonts w:cs="Arial"/>
          <w:szCs w:val="18"/>
          <w:lang w:val="fr-CA"/>
        </w:rPr>
        <w:t> </w:t>
      </w:r>
      <w:r w:rsidR="00046D78" w:rsidRPr="00BD22C2">
        <w:rPr>
          <w:rFonts w:cs="Arial"/>
          <w:szCs w:val="18"/>
          <w:lang w:val="fr-CA"/>
        </w:rPr>
        <w:t>Q.</w:t>
      </w:r>
      <w:r w:rsidR="00984CBA" w:rsidRPr="00BD22C2">
        <w:rPr>
          <w:rFonts w:cs="Arial"/>
          <w:szCs w:val="18"/>
          <w:lang w:val="fr-CA"/>
        </w:rPr>
        <w:t> </w:t>
      </w:r>
      <w:r w:rsidR="00046D78" w:rsidRPr="00BD22C2">
        <w:rPr>
          <w:rFonts w:cs="Arial"/>
          <w:szCs w:val="18"/>
          <w:lang w:val="fr-CA"/>
        </w:rPr>
        <w:t>1977, c.</w:t>
      </w:r>
      <w:r w:rsidR="00984CBA" w:rsidRPr="00BD22C2">
        <w:rPr>
          <w:rFonts w:cs="Arial"/>
          <w:szCs w:val="18"/>
          <w:lang w:val="fr-CA"/>
        </w:rPr>
        <w:t> </w:t>
      </w:r>
      <w:r w:rsidR="00046D78" w:rsidRPr="00BD22C2">
        <w:rPr>
          <w:rFonts w:cs="Arial"/>
          <w:szCs w:val="18"/>
          <w:lang w:val="fr-CA"/>
        </w:rPr>
        <w:t>6, art.</w:t>
      </w:r>
      <w:r w:rsidR="00984CBA" w:rsidRPr="00BD22C2">
        <w:rPr>
          <w:rFonts w:cs="Arial"/>
          <w:szCs w:val="18"/>
          <w:lang w:val="fr-CA"/>
        </w:rPr>
        <w:t> </w:t>
      </w:r>
      <w:r w:rsidR="00046D78" w:rsidRPr="00BD22C2">
        <w:rPr>
          <w:rFonts w:cs="Arial"/>
          <w:szCs w:val="18"/>
          <w:lang w:val="fr-CA"/>
        </w:rPr>
        <w:t>1</w:t>
      </w:r>
      <w:r w:rsidR="00066CDD" w:rsidRPr="00BD22C2">
        <w:rPr>
          <w:rFonts w:cs="Arial"/>
          <w:szCs w:val="18"/>
          <w:lang w:val="fr-CA"/>
        </w:rPr>
        <w:t>.</w:t>
      </w:r>
      <w:r w:rsidR="00CA216A" w:rsidRPr="00BD22C2">
        <w:rPr>
          <w:rFonts w:cs="Arial"/>
          <w:szCs w:val="18"/>
          <w:lang w:val="fr-CA"/>
        </w:rPr>
        <w:t xml:space="preserve"> </w:t>
      </w:r>
    </w:p>
  </w:endnote>
  <w:endnote w:id="7">
    <w:p w14:paraId="34B3AE18" w14:textId="4873F178" w:rsidR="001E26FD" w:rsidRPr="00BD22C2" w:rsidRDefault="0017392E" w:rsidP="00707395">
      <w:pPr>
        <w:pStyle w:val="Notedebasdepage"/>
        <w:rPr>
          <w:lang w:val="fr-CA"/>
        </w:rPr>
      </w:pPr>
      <w:r w:rsidRPr="00BD22C2">
        <w:rPr>
          <w:rStyle w:val="Appeldenotedefin"/>
          <w:lang w:val="fr-CA"/>
        </w:rPr>
        <w:endnoteRef/>
      </w:r>
      <w:r w:rsidRPr="00BD22C2">
        <w:rPr>
          <w:lang w:val="fr-CA"/>
        </w:rPr>
        <w:t xml:space="preserve"> </w:t>
      </w:r>
      <w:r w:rsidR="009D3DD6" w:rsidRPr="00BD22C2">
        <w:rPr>
          <w:lang w:val="fr-CA"/>
        </w:rPr>
        <w:tab/>
      </w:r>
      <w:r w:rsidR="00D81D31" w:rsidRPr="00BD22C2">
        <w:rPr>
          <w:i/>
          <w:lang w:val="fr-CA"/>
        </w:rPr>
        <w:t>Québec (Comm. des droits de la personne)</w:t>
      </w:r>
      <w:r w:rsidR="00D81D31" w:rsidRPr="00BD22C2">
        <w:rPr>
          <w:lang w:val="fr-CA"/>
        </w:rPr>
        <w:t xml:space="preserve"> c</w:t>
      </w:r>
      <w:r w:rsidR="00D81D31" w:rsidRPr="00BD22C2">
        <w:rPr>
          <w:i/>
          <w:lang w:val="fr-CA"/>
        </w:rPr>
        <w:t>. Anglsberger</w:t>
      </w:r>
      <w:r w:rsidR="00D81D31" w:rsidRPr="00BD22C2">
        <w:rPr>
          <w:lang w:val="fr-CA"/>
        </w:rPr>
        <w:t>, 1982 CanLII</w:t>
      </w:r>
      <w:r w:rsidR="0091080B">
        <w:rPr>
          <w:lang w:val="fr-CA"/>
        </w:rPr>
        <w:t> </w:t>
      </w:r>
      <w:r w:rsidR="00D81D31" w:rsidRPr="00BD22C2">
        <w:rPr>
          <w:lang w:val="fr-CA"/>
        </w:rPr>
        <w:t xml:space="preserve">4924 (QC CQ), </w:t>
      </w:r>
      <w:hyperlink r:id="rId1" w:history="1">
        <w:r w:rsidR="001E26FD" w:rsidRPr="00BD22C2">
          <w:rPr>
            <w:rStyle w:val="Lienhypertexte"/>
            <w:rFonts w:cs="Arial"/>
            <w:szCs w:val="18"/>
            <w:lang w:val="fr-CA"/>
          </w:rPr>
          <w:t>https://canlii.ca/t/jddc1</w:t>
        </w:r>
      </w:hyperlink>
    </w:p>
  </w:endnote>
  <w:endnote w:id="8">
    <w:p w14:paraId="253DC745" w14:textId="54C723C7" w:rsidR="002F05F2" w:rsidRPr="0085310E" w:rsidRDefault="002F05F2"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De l’illégalité à l’égalité : Rapport de la consultation publique sur la violence et la discrimination envers les gais et lesbiennes</w:t>
      </w:r>
      <w:r w:rsidRPr="00BD22C2">
        <w:rPr>
          <w:rFonts w:ascii="Arial" w:hAnsi="Arial" w:cs="Arial"/>
          <w:sz w:val="18"/>
          <w:szCs w:val="18"/>
          <w:lang w:val="fr-CA"/>
        </w:rPr>
        <w:t xml:space="preserve">, 1994, [En ligne]. </w:t>
      </w:r>
      <w:hyperlink r:id="rId2" w:history="1">
        <w:r w:rsidRPr="0085310E">
          <w:rPr>
            <w:rStyle w:val="Lienhypertexte"/>
            <w:rFonts w:ascii="Arial" w:hAnsi="Arial" w:cs="Arial"/>
            <w:sz w:val="18"/>
            <w:szCs w:val="18"/>
          </w:rPr>
          <w:t>https://www.cdpdj.qc.ca/fr/publications/de-lillacgalitac-a-lacgalit</w:t>
        </w:r>
      </w:hyperlink>
    </w:p>
  </w:endnote>
  <w:endnote w:id="9">
    <w:p w14:paraId="209232E2" w14:textId="31CB1F3F"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82417" w:rsidRPr="00BD22C2">
        <w:rPr>
          <w:rFonts w:ascii="Arial" w:hAnsi="Arial" w:cs="Arial"/>
          <w:sz w:val="18"/>
          <w:szCs w:val="18"/>
          <w:lang w:val="fr-CA"/>
        </w:rPr>
        <w:tab/>
      </w:r>
      <w:r w:rsidR="002053BD" w:rsidRPr="00BD22C2">
        <w:rPr>
          <w:rFonts w:ascii="Arial" w:hAnsi="Arial" w:cs="Arial"/>
          <w:i/>
          <w:sz w:val="18"/>
          <w:szCs w:val="18"/>
          <w:lang w:val="fr-CA"/>
        </w:rPr>
        <w:t>Id.</w:t>
      </w:r>
      <w:r w:rsidR="00673517" w:rsidRPr="00BD22C2">
        <w:rPr>
          <w:rFonts w:ascii="Arial" w:hAnsi="Arial" w:cs="Arial"/>
          <w:sz w:val="18"/>
          <w:szCs w:val="18"/>
          <w:lang w:val="fr-CA"/>
        </w:rPr>
        <w:t>, p.</w:t>
      </w:r>
      <w:r w:rsidR="0091080B">
        <w:rPr>
          <w:rFonts w:ascii="Arial" w:hAnsi="Arial" w:cs="Arial"/>
          <w:sz w:val="18"/>
          <w:szCs w:val="18"/>
          <w:lang w:val="fr-CA"/>
        </w:rPr>
        <w:t> </w:t>
      </w:r>
      <w:r w:rsidR="00673517" w:rsidRPr="00BD22C2">
        <w:rPr>
          <w:rFonts w:ascii="Arial" w:hAnsi="Arial" w:cs="Arial"/>
          <w:sz w:val="18"/>
          <w:szCs w:val="18"/>
          <w:lang w:val="fr-CA"/>
        </w:rPr>
        <w:t>95</w:t>
      </w:r>
      <w:r w:rsidR="006A1E93" w:rsidRPr="00BD22C2">
        <w:rPr>
          <w:rFonts w:ascii="Arial" w:hAnsi="Arial" w:cs="Arial"/>
          <w:sz w:val="18"/>
          <w:szCs w:val="18"/>
          <w:lang w:val="fr-CA"/>
        </w:rPr>
        <w:t xml:space="preserve"> et suiv.</w:t>
      </w:r>
      <w:r w:rsidR="00E30B76">
        <w:rPr>
          <w:rFonts w:ascii="Arial" w:hAnsi="Arial" w:cs="Arial"/>
          <w:sz w:val="18"/>
          <w:szCs w:val="18"/>
          <w:lang w:val="fr-CA"/>
        </w:rPr>
        <w:t> </w:t>
      </w:r>
      <w:r w:rsidR="00EC776E" w:rsidRPr="00BD22C2">
        <w:rPr>
          <w:rFonts w:ascii="Arial" w:hAnsi="Arial" w:cs="Arial"/>
          <w:sz w:val="18"/>
          <w:szCs w:val="18"/>
          <w:lang w:val="fr-CA"/>
        </w:rPr>
        <w:t xml:space="preserve">; </w:t>
      </w:r>
      <w:r w:rsidR="00EC776E" w:rsidRPr="00BD22C2">
        <w:rPr>
          <w:rFonts w:ascii="Arial" w:hAnsi="Arial" w:cs="Arial"/>
          <w:smallCaps/>
          <w:sz w:val="18"/>
          <w:szCs w:val="18"/>
          <w:lang w:val="fr-CA"/>
        </w:rPr>
        <w:t>Commission des droits de la personne et des droits de la jeunesse</w:t>
      </w:r>
      <w:r w:rsidR="00EC776E" w:rsidRPr="00BD22C2">
        <w:rPr>
          <w:rFonts w:ascii="Arial" w:hAnsi="Arial" w:cs="Arial"/>
          <w:sz w:val="18"/>
          <w:szCs w:val="18"/>
          <w:lang w:val="fr-CA"/>
        </w:rPr>
        <w:t xml:space="preserve">, </w:t>
      </w:r>
      <w:r w:rsidR="00B233BF" w:rsidRPr="00BD22C2">
        <w:rPr>
          <w:rFonts w:ascii="Arial" w:hAnsi="Arial" w:cs="Arial"/>
          <w:i/>
          <w:sz w:val="18"/>
          <w:szCs w:val="18"/>
          <w:lang w:val="fr-CA"/>
        </w:rPr>
        <w:t xml:space="preserve">Mémoire à la </w:t>
      </w:r>
      <w:r w:rsidR="008C58DD" w:rsidRPr="00BD22C2">
        <w:rPr>
          <w:rFonts w:ascii="Arial" w:hAnsi="Arial" w:cs="Arial"/>
          <w:i/>
          <w:sz w:val="18"/>
          <w:szCs w:val="18"/>
          <w:lang w:val="fr-CA"/>
        </w:rPr>
        <w:t>C</w:t>
      </w:r>
      <w:r w:rsidR="00B233BF" w:rsidRPr="00BD22C2">
        <w:rPr>
          <w:rFonts w:ascii="Arial" w:hAnsi="Arial" w:cs="Arial"/>
          <w:i/>
          <w:sz w:val="18"/>
          <w:szCs w:val="18"/>
          <w:lang w:val="fr-CA"/>
        </w:rPr>
        <w:t>ommission des institutions sur le projet de loi</w:t>
      </w:r>
      <w:r w:rsidR="003D6F7B">
        <w:rPr>
          <w:rFonts w:ascii="Arial" w:hAnsi="Arial" w:cs="Arial"/>
          <w:i/>
          <w:sz w:val="18"/>
          <w:szCs w:val="18"/>
          <w:lang w:val="fr-CA"/>
        </w:rPr>
        <w:t xml:space="preserve"> n°</w:t>
      </w:r>
      <w:r w:rsidR="0091080B">
        <w:rPr>
          <w:rFonts w:ascii="Arial" w:hAnsi="Arial" w:cs="Arial"/>
          <w:i/>
          <w:sz w:val="18"/>
          <w:szCs w:val="18"/>
          <w:lang w:val="fr-CA"/>
        </w:rPr>
        <w:t> </w:t>
      </w:r>
      <w:r w:rsidR="00B233BF" w:rsidRPr="00BD22C2">
        <w:rPr>
          <w:rFonts w:ascii="Arial" w:hAnsi="Arial" w:cs="Arial"/>
          <w:i/>
          <w:sz w:val="18"/>
          <w:szCs w:val="18"/>
          <w:lang w:val="fr-CA"/>
        </w:rPr>
        <w:t>133,</w:t>
      </w:r>
      <w:r w:rsidR="00AF399A" w:rsidRPr="00BD22C2">
        <w:rPr>
          <w:rFonts w:ascii="Arial" w:hAnsi="Arial" w:cs="Arial"/>
          <w:i/>
          <w:sz w:val="18"/>
          <w:szCs w:val="18"/>
          <w:lang w:val="fr-CA"/>
        </w:rPr>
        <w:t xml:space="preserve"> </w:t>
      </w:r>
      <w:r w:rsidR="00B233BF" w:rsidRPr="00BD22C2">
        <w:rPr>
          <w:rFonts w:ascii="Arial" w:hAnsi="Arial" w:cs="Arial"/>
          <w:i/>
          <w:sz w:val="18"/>
          <w:szCs w:val="18"/>
          <w:lang w:val="fr-CA"/>
        </w:rPr>
        <w:t>Loi modifiant la Charte des droits et libertés de la personne</w:t>
      </w:r>
      <w:r w:rsidR="00AF399A" w:rsidRPr="00BD22C2">
        <w:rPr>
          <w:rFonts w:ascii="Arial" w:hAnsi="Arial" w:cs="Arial"/>
          <w:i/>
          <w:sz w:val="18"/>
          <w:szCs w:val="18"/>
          <w:lang w:val="fr-CA"/>
        </w:rPr>
        <w:t xml:space="preserve"> </w:t>
      </w:r>
      <w:r w:rsidR="00B233BF" w:rsidRPr="00BD22C2">
        <w:rPr>
          <w:rFonts w:ascii="Arial" w:hAnsi="Arial" w:cs="Arial"/>
          <w:i/>
          <w:sz w:val="18"/>
          <w:szCs w:val="18"/>
          <w:lang w:val="fr-CA"/>
        </w:rPr>
        <w:t>et d</w:t>
      </w:r>
      <w:r w:rsidR="006574D1">
        <w:rPr>
          <w:rFonts w:ascii="Arial" w:hAnsi="Arial" w:cs="Arial"/>
          <w:i/>
          <w:sz w:val="18"/>
          <w:szCs w:val="18"/>
          <w:lang w:val="fr-CA"/>
        </w:rPr>
        <w:t>’</w:t>
      </w:r>
      <w:r w:rsidR="00B233BF" w:rsidRPr="00BD22C2">
        <w:rPr>
          <w:rFonts w:ascii="Arial" w:hAnsi="Arial" w:cs="Arial"/>
          <w:i/>
          <w:sz w:val="18"/>
          <w:szCs w:val="18"/>
          <w:lang w:val="fr-CA"/>
        </w:rPr>
        <w:t>autres dispositions législatives</w:t>
      </w:r>
      <w:r w:rsidR="00FE28E9" w:rsidRPr="00BD22C2">
        <w:rPr>
          <w:rFonts w:ascii="Arial" w:hAnsi="Arial" w:cs="Arial"/>
          <w:sz w:val="18"/>
          <w:szCs w:val="18"/>
          <w:lang w:val="fr-CA"/>
        </w:rPr>
        <w:t>,</w:t>
      </w:r>
      <w:r w:rsidR="00EC776E" w:rsidRPr="00BD22C2">
        <w:rPr>
          <w:rFonts w:ascii="Arial" w:hAnsi="Arial" w:cs="Arial"/>
          <w:sz w:val="18"/>
          <w:szCs w:val="18"/>
          <w:lang w:val="fr-CA"/>
        </w:rPr>
        <w:t xml:space="preserve"> </w:t>
      </w:r>
      <w:r w:rsidR="008578DF" w:rsidRPr="00BD22C2">
        <w:rPr>
          <w:rFonts w:ascii="Arial" w:hAnsi="Arial" w:cs="Arial"/>
          <w:sz w:val="18"/>
          <w:szCs w:val="18"/>
          <w:lang w:val="fr-CA"/>
        </w:rPr>
        <w:t>(Cat. 2.412</w:t>
      </w:r>
      <w:r w:rsidR="006F5227" w:rsidRPr="00BD22C2">
        <w:rPr>
          <w:rFonts w:ascii="Arial" w:hAnsi="Arial" w:cs="Arial"/>
          <w:sz w:val="18"/>
          <w:szCs w:val="18"/>
          <w:lang w:val="fr-CA"/>
        </w:rPr>
        <w:t xml:space="preserve">-80.1), 1996, [En ligne]. </w:t>
      </w:r>
      <w:hyperlink r:id="rId3" w:history="1">
        <w:r w:rsidR="005B5CEF" w:rsidRPr="00BD22C2">
          <w:rPr>
            <w:rStyle w:val="Lienhypertexte"/>
            <w:rFonts w:ascii="Arial" w:hAnsi="Arial" w:cs="Arial"/>
            <w:sz w:val="18"/>
            <w:szCs w:val="18"/>
            <w:lang w:val="fr-CA"/>
          </w:rPr>
          <w:t>https://www.cdpdj.qc.ca/storage/app/media/publications/pl133_memoire.pdf</w:t>
        </w:r>
      </w:hyperlink>
      <w:r w:rsidR="00E30B76">
        <w:rPr>
          <w:rFonts w:ascii="Arial" w:hAnsi="Arial" w:cs="Arial"/>
          <w:sz w:val="18"/>
          <w:szCs w:val="18"/>
          <w:lang w:val="fr-CA"/>
        </w:rPr>
        <w:t> </w:t>
      </w:r>
      <w:r w:rsidR="008F4299" w:rsidRPr="00BD22C2">
        <w:rPr>
          <w:rFonts w:ascii="Arial" w:hAnsi="Arial" w:cs="Arial"/>
          <w:sz w:val="18"/>
          <w:szCs w:val="18"/>
          <w:lang w:val="fr-CA"/>
        </w:rPr>
        <w:t xml:space="preserve">; </w:t>
      </w:r>
      <w:r w:rsidR="00D51AD1" w:rsidRPr="00BD22C2">
        <w:rPr>
          <w:rFonts w:ascii="Arial" w:hAnsi="Arial" w:cs="Arial"/>
          <w:smallCaps/>
          <w:sz w:val="18"/>
          <w:szCs w:val="18"/>
          <w:lang w:val="fr-CA"/>
        </w:rPr>
        <w:t>Commission des droits de la personne et des droits de la jeunesse</w:t>
      </w:r>
      <w:r w:rsidR="00D51AD1" w:rsidRPr="00BD22C2">
        <w:rPr>
          <w:rFonts w:ascii="Arial" w:hAnsi="Arial" w:cs="Arial"/>
          <w:sz w:val="18"/>
          <w:szCs w:val="18"/>
          <w:lang w:val="fr-CA"/>
        </w:rPr>
        <w:t xml:space="preserve">, </w:t>
      </w:r>
      <w:r w:rsidR="00507A70" w:rsidRPr="00BD22C2">
        <w:rPr>
          <w:rFonts w:ascii="Arial" w:hAnsi="Arial" w:cs="Arial"/>
          <w:i/>
          <w:sz w:val="18"/>
          <w:szCs w:val="18"/>
          <w:lang w:val="fr-CA"/>
        </w:rPr>
        <w:t>Mémoire à la Commission des institutions de l’Assemblée nationale</w:t>
      </w:r>
      <w:r w:rsidR="008C58DD" w:rsidRPr="00BD22C2">
        <w:rPr>
          <w:rFonts w:ascii="Arial" w:hAnsi="Arial" w:cs="Arial"/>
          <w:i/>
          <w:sz w:val="18"/>
          <w:szCs w:val="18"/>
          <w:lang w:val="fr-CA"/>
        </w:rPr>
        <w:t>,</w:t>
      </w:r>
      <w:r w:rsidR="00507A70" w:rsidRPr="00BD22C2">
        <w:rPr>
          <w:rFonts w:ascii="Arial" w:hAnsi="Arial" w:cs="Arial"/>
          <w:i/>
          <w:sz w:val="18"/>
          <w:szCs w:val="18"/>
          <w:lang w:val="fr-CA"/>
        </w:rPr>
        <w:t xml:space="preserve"> </w:t>
      </w:r>
      <w:r w:rsidR="008C58DD" w:rsidRPr="00BD22C2">
        <w:rPr>
          <w:rFonts w:ascii="Arial" w:hAnsi="Arial" w:cs="Arial"/>
          <w:i/>
          <w:sz w:val="18"/>
          <w:szCs w:val="18"/>
          <w:lang w:val="fr-CA"/>
        </w:rPr>
        <w:t>A</w:t>
      </w:r>
      <w:r w:rsidR="00507A70" w:rsidRPr="00BD22C2">
        <w:rPr>
          <w:rFonts w:ascii="Arial" w:hAnsi="Arial" w:cs="Arial"/>
          <w:i/>
          <w:sz w:val="18"/>
          <w:szCs w:val="18"/>
          <w:lang w:val="fr-CA"/>
        </w:rPr>
        <w:t>vant-projet de loi instituant l</w:t>
      </w:r>
      <w:r w:rsidR="00DB2CF7">
        <w:rPr>
          <w:rFonts w:ascii="Arial" w:hAnsi="Arial" w:cs="Arial"/>
          <w:i/>
          <w:sz w:val="18"/>
          <w:szCs w:val="18"/>
          <w:lang w:val="fr-CA"/>
        </w:rPr>
        <w:t>’</w:t>
      </w:r>
      <w:r w:rsidR="00507A70" w:rsidRPr="00BD22C2">
        <w:rPr>
          <w:rFonts w:ascii="Arial" w:hAnsi="Arial" w:cs="Arial"/>
          <w:i/>
          <w:sz w:val="18"/>
          <w:szCs w:val="18"/>
          <w:lang w:val="fr-CA"/>
        </w:rPr>
        <w:t xml:space="preserve">union civile des personnes de même sexe et modifiant le </w:t>
      </w:r>
      <w:r w:rsidR="008C58DD" w:rsidRPr="00BD22C2">
        <w:rPr>
          <w:rFonts w:ascii="Arial" w:hAnsi="Arial" w:cs="Arial"/>
          <w:i/>
          <w:sz w:val="18"/>
          <w:szCs w:val="18"/>
          <w:lang w:val="fr-CA"/>
        </w:rPr>
        <w:t>C</w:t>
      </w:r>
      <w:r w:rsidR="00507A70" w:rsidRPr="00BD22C2">
        <w:rPr>
          <w:rFonts w:ascii="Arial" w:hAnsi="Arial" w:cs="Arial"/>
          <w:i/>
          <w:sz w:val="18"/>
          <w:szCs w:val="18"/>
          <w:lang w:val="fr-CA"/>
        </w:rPr>
        <w:t>ode civil et d</w:t>
      </w:r>
      <w:r w:rsidR="00504934">
        <w:rPr>
          <w:rFonts w:ascii="Arial" w:hAnsi="Arial" w:cs="Arial"/>
          <w:i/>
          <w:sz w:val="18"/>
          <w:szCs w:val="18"/>
          <w:lang w:val="fr-CA"/>
        </w:rPr>
        <w:t>’</w:t>
      </w:r>
      <w:r w:rsidR="00507A70" w:rsidRPr="00BD22C2">
        <w:rPr>
          <w:rFonts w:ascii="Arial" w:hAnsi="Arial" w:cs="Arial"/>
          <w:i/>
          <w:sz w:val="18"/>
          <w:szCs w:val="18"/>
          <w:lang w:val="fr-CA"/>
        </w:rPr>
        <w:t>autres dispositions législatives</w:t>
      </w:r>
      <w:r w:rsidR="008C58DD" w:rsidRPr="00BD22C2">
        <w:rPr>
          <w:rFonts w:ascii="Arial" w:hAnsi="Arial" w:cs="Arial"/>
          <w:sz w:val="18"/>
          <w:szCs w:val="18"/>
          <w:lang w:val="fr-CA"/>
        </w:rPr>
        <w:t>, (Cat.</w:t>
      </w:r>
      <w:r w:rsidR="00E00E98" w:rsidRPr="00BD22C2">
        <w:rPr>
          <w:rFonts w:ascii="Arial" w:hAnsi="Arial" w:cs="Arial"/>
          <w:sz w:val="18"/>
          <w:szCs w:val="18"/>
          <w:lang w:val="fr-CA"/>
        </w:rPr>
        <w:t xml:space="preserve"> 2.412.</w:t>
      </w:r>
      <w:r w:rsidR="00DA5E88" w:rsidRPr="00BD22C2">
        <w:rPr>
          <w:rFonts w:ascii="Arial" w:hAnsi="Arial" w:cs="Arial"/>
          <w:sz w:val="18"/>
          <w:szCs w:val="18"/>
          <w:lang w:val="fr-CA"/>
        </w:rPr>
        <w:t xml:space="preserve">95), 2002, [En ligne]. </w:t>
      </w:r>
      <w:hyperlink r:id="rId4" w:history="1">
        <w:r w:rsidR="005C7083" w:rsidRPr="0085310E">
          <w:rPr>
            <w:rStyle w:val="Lienhypertexte"/>
            <w:rFonts w:ascii="Arial" w:hAnsi="Arial" w:cs="Arial"/>
            <w:sz w:val="18"/>
            <w:szCs w:val="18"/>
          </w:rPr>
          <w:t>https://www.cdpdj.qc.ca/storage/app/media/publications/union_civile.pdf</w:t>
        </w:r>
      </w:hyperlink>
      <w:r w:rsidR="005C7083" w:rsidRPr="0085310E">
        <w:rPr>
          <w:rFonts w:ascii="Arial" w:hAnsi="Arial" w:cs="Arial"/>
          <w:sz w:val="18"/>
          <w:szCs w:val="18"/>
        </w:rPr>
        <w:t xml:space="preserve"> </w:t>
      </w:r>
    </w:p>
  </w:endnote>
  <w:endnote w:id="10">
    <w:p w14:paraId="51F5AF38" w14:textId="703A2EA3"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Commission des droits de la personne et des droits de la jeunesse (M.L.)</w:t>
      </w:r>
      <w:r w:rsidRPr="00BD22C2">
        <w:rPr>
          <w:rFonts w:ascii="Arial" w:hAnsi="Arial" w:cs="Arial"/>
          <w:sz w:val="18"/>
          <w:szCs w:val="18"/>
          <w:lang w:val="fr-CA"/>
        </w:rPr>
        <w:t xml:space="preserve"> c. </w:t>
      </w:r>
      <w:r w:rsidRPr="00BD22C2">
        <w:rPr>
          <w:rFonts w:ascii="Arial" w:hAnsi="Arial" w:cs="Arial"/>
          <w:i/>
          <w:sz w:val="18"/>
          <w:szCs w:val="18"/>
          <w:lang w:val="fr-CA"/>
        </w:rPr>
        <w:t>Maison des jeunes A</w:t>
      </w:r>
      <w:r w:rsidRPr="00BD22C2">
        <w:rPr>
          <w:rFonts w:ascii="Arial" w:hAnsi="Arial" w:cs="Arial"/>
          <w:sz w:val="18"/>
          <w:szCs w:val="18"/>
          <w:lang w:val="fr-CA"/>
        </w:rPr>
        <w:t>., 1998</w:t>
      </w:r>
      <w:r w:rsidR="00984CBA" w:rsidRPr="00BD22C2">
        <w:rPr>
          <w:rFonts w:ascii="Arial" w:hAnsi="Arial" w:cs="Arial"/>
          <w:sz w:val="18"/>
          <w:szCs w:val="18"/>
          <w:lang w:val="fr-CA"/>
        </w:rPr>
        <w:t> </w:t>
      </w:r>
      <w:r w:rsidRPr="00BD22C2">
        <w:rPr>
          <w:rFonts w:ascii="Arial" w:hAnsi="Arial" w:cs="Arial"/>
          <w:sz w:val="18"/>
          <w:szCs w:val="18"/>
          <w:lang w:val="fr-CA"/>
        </w:rPr>
        <w:t xml:space="preserve">CanLII 28 (QC TDP), </w:t>
      </w:r>
      <w:hyperlink r:id="rId5" w:history="1">
        <w:r w:rsidRPr="00BD22C2">
          <w:rPr>
            <w:rStyle w:val="Lienhypertexte"/>
            <w:rFonts w:ascii="Arial" w:hAnsi="Arial" w:cs="Arial"/>
            <w:sz w:val="18"/>
            <w:szCs w:val="18"/>
            <w:lang w:val="fr-CA"/>
          </w:rPr>
          <w:t>https://canlii.ca/t/1fvfw</w:t>
        </w:r>
      </w:hyperlink>
    </w:p>
  </w:endnote>
  <w:endnote w:id="11">
    <w:p w14:paraId="3C893FE4" w14:textId="6776A969"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E82A4E" w:rsidRPr="00BD22C2">
        <w:rPr>
          <w:rFonts w:ascii="Arial" w:hAnsi="Arial" w:cs="Arial"/>
          <w:sz w:val="18"/>
          <w:szCs w:val="18"/>
          <w:lang w:val="fr-CA"/>
        </w:rPr>
        <w:tab/>
      </w:r>
      <w:r w:rsidR="006374AF" w:rsidRPr="00BD22C2">
        <w:rPr>
          <w:rFonts w:ascii="Arial" w:hAnsi="Arial" w:cs="Arial"/>
          <w:smallCaps/>
          <w:sz w:val="18"/>
          <w:szCs w:val="18"/>
          <w:lang w:val="fr-CA"/>
        </w:rPr>
        <w:t>Commission des droits de la personne et des droits de la jeunesse</w:t>
      </w:r>
      <w:r w:rsidR="006374AF" w:rsidRPr="00BD22C2">
        <w:rPr>
          <w:rFonts w:ascii="Arial" w:hAnsi="Arial" w:cs="Arial"/>
          <w:sz w:val="18"/>
          <w:szCs w:val="18"/>
          <w:lang w:val="fr-CA"/>
        </w:rPr>
        <w:t xml:space="preserve">, </w:t>
      </w:r>
      <w:r w:rsidR="006374AF" w:rsidRPr="00BD22C2">
        <w:rPr>
          <w:rFonts w:ascii="Arial" w:hAnsi="Arial" w:cs="Arial"/>
          <w:i/>
          <w:sz w:val="18"/>
          <w:szCs w:val="18"/>
          <w:lang w:val="fr-CA"/>
        </w:rPr>
        <w:t>De l’égalité juridique à l’égalité sociale : vers une stratégie nationale de lutte contre l’homophobie, Rapport de consultation du Groupe de travail mixte contre l’homophobie</w:t>
      </w:r>
      <w:r w:rsidR="006374AF" w:rsidRPr="00BD22C2">
        <w:rPr>
          <w:rFonts w:ascii="Arial" w:hAnsi="Arial" w:cs="Arial"/>
          <w:sz w:val="18"/>
          <w:szCs w:val="18"/>
          <w:lang w:val="fr-CA"/>
        </w:rPr>
        <w:t xml:space="preserve">, 2007, [En ligne]. </w:t>
      </w:r>
      <w:hyperlink r:id="rId6" w:history="1">
        <w:r w:rsidR="006374AF" w:rsidRPr="0085310E">
          <w:rPr>
            <w:rStyle w:val="Lienhypertexte"/>
            <w:rFonts w:ascii="Arial" w:hAnsi="Arial" w:cs="Arial"/>
            <w:sz w:val="18"/>
            <w:szCs w:val="18"/>
          </w:rPr>
          <w:t>https://www.cdpdj.qc.ca/fr/publications/de-lacgalitac-juridique-a-l</w:t>
        </w:r>
      </w:hyperlink>
    </w:p>
  </w:endnote>
  <w:endnote w:id="12">
    <w:p w14:paraId="48392AD5" w14:textId="7A3B5130"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Les enjeux concernant plus particulièrement les personnes trans ont été abordés de façon transversale dans le rapport du Groupe de travail, mais leur traitement a été limité en raison des lacunes dans les recherches et données </w:t>
      </w:r>
      <w:r w:rsidR="007A44FB" w:rsidRPr="00BD22C2">
        <w:rPr>
          <w:rFonts w:ascii="Arial" w:hAnsi="Arial" w:cs="Arial"/>
          <w:sz w:val="18"/>
          <w:szCs w:val="18"/>
          <w:lang w:val="fr-CA"/>
        </w:rPr>
        <w:t xml:space="preserve">disponibles </w:t>
      </w:r>
      <w:r w:rsidRPr="00BD22C2">
        <w:rPr>
          <w:rFonts w:ascii="Arial" w:hAnsi="Arial" w:cs="Arial"/>
          <w:sz w:val="18"/>
          <w:szCs w:val="18"/>
          <w:lang w:val="fr-CA"/>
        </w:rPr>
        <w:t>à l’époque.</w:t>
      </w:r>
      <w:r w:rsidR="00E37BAD" w:rsidRPr="00BD22C2">
        <w:rPr>
          <w:rFonts w:ascii="Arial" w:hAnsi="Arial" w:cs="Arial"/>
          <w:sz w:val="18"/>
          <w:szCs w:val="18"/>
          <w:lang w:val="fr-CA"/>
        </w:rPr>
        <w:t xml:space="preserve"> </w:t>
      </w:r>
      <w:r w:rsidR="00DA0A95" w:rsidRPr="00BD22C2">
        <w:rPr>
          <w:rFonts w:ascii="Arial" w:hAnsi="Arial" w:cs="Arial"/>
          <w:i/>
          <w:sz w:val="18"/>
          <w:szCs w:val="18"/>
          <w:lang w:val="fr-CA"/>
        </w:rPr>
        <w:t>Id.</w:t>
      </w:r>
      <w:r w:rsidR="00E37BAD" w:rsidRPr="00BD22C2">
        <w:rPr>
          <w:rFonts w:ascii="Arial" w:hAnsi="Arial" w:cs="Arial"/>
          <w:sz w:val="18"/>
          <w:szCs w:val="18"/>
          <w:lang w:val="fr-CA"/>
        </w:rPr>
        <w:t>, p.</w:t>
      </w:r>
      <w:r w:rsidR="0091080B">
        <w:rPr>
          <w:rFonts w:ascii="Arial" w:hAnsi="Arial" w:cs="Arial"/>
          <w:sz w:val="18"/>
          <w:szCs w:val="18"/>
          <w:lang w:val="fr-CA"/>
        </w:rPr>
        <w:t> </w:t>
      </w:r>
      <w:r w:rsidR="00E37BAD" w:rsidRPr="00BD22C2">
        <w:rPr>
          <w:rFonts w:ascii="Arial" w:hAnsi="Arial" w:cs="Arial"/>
          <w:sz w:val="18"/>
          <w:szCs w:val="18"/>
          <w:lang w:val="fr-CA"/>
        </w:rPr>
        <w:t>11</w:t>
      </w:r>
      <w:r w:rsidR="006934E7" w:rsidRPr="00BD22C2">
        <w:rPr>
          <w:rFonts w:ascii="Arial" w:hAnsi="Arial" w:cs="Arial"/>
          <w:sz w:val="18"/>
          <w:szCs w:val="18"/>
          <w:lang w:val="fr-CA"/>
        </w:rPr>
        <w:t>.</w:t>
      </w:r>
    </w:p>
  </w:endnote>
  <w:endnote w:id="13">
    <w:p w14:paraId="542D17B4" w14:textId="51707187"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Dans le rapport, la transphobie </w:t>
      </w:r>
      <w:r w:rsidR="00EF0CD8">
        <w:rPr>
          <w:rFonts w:ascii="Arial" w:hAnsi="Arial" w:cs="Arial"/>
          <w:sz w:val="18"/>
          <w:szCs w:val="18"/>
          <w:lang w:val="fr-CA"/>
        </w:rPr>
        <w:t>est</w:t>
      </w:r>
      <w:r w:rsidRPr="00BD22C2">
        <w:rPr>
          <w:rFonts w:ascii="Arial" w:hAnsi="Arial" w:cs="Arial"/>
          <w:sz w:val="18"/>
          <w:szCs w:val="18"/>
          <w:lang w:val="fr-CA"/>
        </w:rPr>
        <w:t xml:space="preserve"> considérée comme une variante de l’homophobie (p. 12).</w:t>
      </w:r>
    </w:p>
  </w:endnote>
  <w:endnote w:id="14">
    <w:p w14:paraId="7B330F12" w14:textId="26036047"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99429E" w:rsidRPr="00BD22C2">
        <w:rPr>
          <w:rFonts w:ascii="Arial" w:hAnsi="Arial" w:cs="Arial"/>
          <w:smallCaps/>
          <w:sz w:val="18"/>
          <w:szCs w:val="18"/>
          <w:lang w:val="fr-CA"/>
        </w:rPr>
        <w:t>Gouvernement du Québec</w:t>
      </w:r>
      <w:r w:rsidR="0099429E" w:rsidRPr="00BD22C2">
        <w:rPr>
          <w:rFonts w:ascii="Arial" w:hAnsi="Arial" w:cs="Arial"/>
          <w:sz w:val="18"/>
          <w:szCs w:val="18"/>
          <w:lang w:val="fr-CA"/>
        </w:rPr>
        <w:t xml:space="preserve">, </w:t>
      </w:r>
      <w:r w:rsidR="0099429E" w:rsidRPr="00BD22C2">
        <w:rPr>
          <w:rFonts w:ascii="Arial" w:hAnsi="Arial" w:cs="Arial"/>
          <w:i/>
          <w:sz w:val="18"/>
          <w:szCs w:val="18"/>
          <w:lang w:val="fr-CA"/>
        </w:rPr>
        <w:t>Politique québécoise de lutte contre l’homophobie : Ensemble vers l’égalité sociale</w:t>
      </w:r>
      <w:r w:rsidR="0099429E" w:rsidRPr="00BD22C2">
        <w:rPr>
          <w:rFonts w:ascii="Arial" w:hAnsi="Arial" w:cs="Arial"/>
          <w:sz w:val="18"/>
          <w:szCs w:val="18"/>
          <w:lang w:val="fr-CA"/>
        </w:rPr>
        <w:t xml:space="preserve">, 2009, [En ligne]. </w:t>
      </w:r>
      <w:hyperlink r:id="rId7" w:history="1">
        <w:r w:rsidR="0099429E" w:rsidRPr="0085310E">
          <w:rPr>
            <w:rStyle w:val="Lienhypertexte"/>
            <w:rFonts w:ascii="Arial" w:hAnsi="Arial" w:cs="Arial"/>
            <w:sz w:val="18"/>
            <w:szCs w:val="18"/>
          </w:rPr>
          <w:t>https://cdn-contenu.quebec.ca/cdn-contenu/adm/gouv/homophobie-transphobie/Politique_Q_LCH.pdf</w:t>
        </w:r>
      </w:hyperlink>
    </w:p>
  </w:endnote>
  <w:endnote w:id="15">
    <w:p w14:paraId="3F0AD6B8" w14:textId="1FC69F02"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6E0D05" w:rsidRPr="00BD22C2">
        <w:rPr>
          <w:rFonts w:ascii="Arial" w:hAnsi="Arial" w:cs="Arial"/>
          <w:smallCaps/>
          <w:sz w:val="18"/>
          <w:szCs w:val="18"/>
          <w:lang w:val="fr-CA"/>
        </w:rPr>
        <w:t>Commission des droits de la personne et des droits de la jeunesse</w:t>
      </w:r>
      <w:r w:rsidR="006E0D05" w:rsidRPr="00BD22C2">
        <w:rPr>
          <w:rFonts w:ascii="Arial" w:hAnsi="Arial" w:cs="Arial"/>
          <w:sz w:val="18"/>
          <w:szCs w:val="18"/>
          <w:lang w:val="fr-CA"/>
        </w:rPr>
        <w:t xml:space="preserve">, </w:t>
      </w:r>
      <w:r w:rsidR="00B00C8C" w:rsidRPr="00BD22C2">
        <w:rPr>
          <w:rFonts w:ascii="Arial" w:hAnsi="Arial" w:cs="Arial"/>
          <w:sz w:val="18"/>
          <w:szCs w:val="18"/>
          <w:lang w:val="fr-CA"/>
        </w:rPr>
        <w:t>2007, note</w:t>
      </w:r>
      <w:r w:rsidR="008C6B5B">
        <w:rPr>
          <w:rFonts w:ascii="Arial" w:hAnsi="Arial" w:cs="Arial"/>
          <w:sz w:val="18"/>
          <w:szCs w:val="18"/>
          <w:lang w:val="fr-CA"/>
        </w:rPr>
        <w:t xml:space="preserve"> </w:t>
      </w:r>
      <w:r w:rsidR="00BC2590" w:rsidRPr="00BD22C2">
        <w:rPr>
          <w:rFonts w:ascii="Arial" w:hAnsi="Arial" w:cs="Arial"/>
          <w:sz w:val="18"/>
          <w:szCs w:val="18"/>
          <w:lang w:val="fr-CA"/>
        </w:rPr>
        <w:fldChar w:fldCharType="begin"/>
      </w:r>
      <w:r w:rsidR="00BC2590" w:rsidRPr="00BD22C2">
        <w:rPr>
          <w:rFonts w:ascii="Arial" w:hAnsi="Arial" w:cs="Arial"/>
          <w:sz w:val="18"/>
          <w:szCs w:val="18"/>
          <w:lang w:val="fr-CA"/>
        </w:rPr>
        <w:instrText xml:space="preserve"> NOTEREF _Ref166749987 \h </w:instrText>
      </w:r>
      <w:r w:rsidR="00BC2590" w:rsidRPr="00BD22C2">
        <w:rPr>
          <w:rFonts w:ascii="Arial" w:hAnsi="Arial" w:cs="Arial"/>
          <w:sz w:val="18"/>
          <w:szCs w:val="18"/>
          <w:lang w:val="fr-CA"/>
        </w:rPr>
      </w:r>
      <w:r w:rsidR="00BC2590" w:rsidRPr="00BD22C2">
        <w:rPr>
          <w:rFonts w:ascii="Arial" w:hAnsi="Arial" w:cs="Arial"/>
          <w:sz w:val="18"/>
          <w:szCs w:val="18"/>
          <w:lang w:val="fr-CA"/>
        </w:rPr>
        <w:fldChar w:fldCharType="separate"/>
      </w:r>
      <w:r w:rsidR="004B4881">
        <w:rPr>
          <w:rFonts w:ascii="Arial" w:hAnsi="Arial" w:cs="Arial"/>
          <w:sz w:val="18"/>
          <w:szCs w:val="18"/>
          <w:lang w:val="fr-CA"/>
        </w:rPr>
        <w:t>10</w:t>
      </w:r>
      <w:r w:rsidR="00BC2590" w:rsidRPr="00BD22C2">
        <w:rPr>
          <w:rFonts w:ascii="Arial" w:hAnsi="Arial" w:cs="Arial"/>
          <w:sz w:val="18"/>
          <w:szCs w:val="18"/>
          <w:lang w:val="fr-CA"/>
        </w:rPr>
        <w:fldChar w:fldCharType="end"/>
      </w:r>
      <w:r w:rsidR="00B00C8C" w:rsidRPr="00BD22C2">
        <w:rPr>
          <w:rFonts w:ascii="Arial" w:hAnsi="Arial" w:cs="Arial"/>
          <w:sz w:val="18"/>
          <w:szCs w:val="18"/>
          <w:lang w:val="fr-CA"/>
        </w:rPr>
        <w:t>, p.</w:t>
      </w:r>
      <w:r w:rsidR="0091080B">
        <w:rPr>
          <w:rFonts w:ascii="Arial" w:hAnsi="Arial" w:cs="Arial"/>
          <w:sz w:val="18"/>
          <w:szCs w:val="18"/>
          <w:lang w:val="fr-CA"/>
        </w:rPr>
        <w:t> </w:t>
      </w:r>
      <w:r w:rsidR="003D3E02" w:rsidRPr="00BD22C2">
        <w:rPr>
          <w:rFonts w:ascii="Arial" w:hAnsi="Arial" w:cs="Arial"/>
          <w:sz w:val="18"/>
          <w:szCs w:val="18"/>
          <w:lang w:val="fr-CA"/>
        </w:rPr>
        <w:t>59</w:t>
      </w:r>
      <w:r w:rsidR="00812EA2">
        <w:rPr>
          <w:rFonts w:ascii="Arial" w:hAnsi="Arial" w:cs="Arial"/>
          <w:sz w:val="18"/>
          <w:szCs w:val="18"/>
          <w:lang w:val="fr-CA"/>
        </w:rPr>
        <w:t xml:space="preserve"> et </w:t>
      </w:r>
      <w:r w:rsidR="003D3E02" w:rsidRPr="00BD22C2">
        <w:rPr>
          <w:rFonts w:ascii="Arial" w:hAnsi="Arial" w:cs="Arial"/>
          <w:sz w:val="18"/>
          <w:szCs w:val="18"/>
          <w:lang w:val="fr-CA"/>
        </w:rPr>
        <w:t>60</w:t>
      </w:r>
      <w:r w:rsidR="00E30B76">
        <w:rPr>
          <w:rFonts w:ascii="Arial" w:hAnsi="Arial" w:cs="Arial"/>
          <w:sz w:val="18"/>
          <w:szCs w:val="18"/>
          <w:lang w:val="fr-CA"/>
        </w:rPr>
        <w:t> </w:t>
      </w:r>
      <w:r w:rsidR="003D3E02" w:rsidRPr="00BD22C2">
        <w:rPr>
          <w:rFonts w:ascii="Arial" w:hAnsi="Arial" w:cs="Arial"/>
          <w:sz w:val="18"/>
          <w:szCs w:val="18"/>
          <w:lang w:val="fr-CA"/>
        </w:rPr>
        <w:t xml:space="preserve">; </w:t>
      </w:r>
      <w:r w:rsidR="003D3E02" w:rsidRPr="00BD22C2">
        <w:rPr>
          <w:rFonts w:ascii="Arial" w:hAnsi="Arial" w:cs="Arial"/>
          <w:smallCaps/>
          <w:sz w:val="18"/>
          <w:szCs w:val="18"/>
          <w:lang w:val="fr-CA"/>
        </w:rPr>
        <w:t>Commission des droits de la personne et des droits de la jeunesse</w:t>
      </w:r>
      <w:r w:rsidR="003D3E02" w:rsidRPr="00BD22C2">
        <w:rPr>
          <w:rFonts w:ascii="Arial" w:hAnsi="Arial" w:cs="Arial"/>
          <w:sz w:val="18"/>
          <w:szCs w:val="18"/>
          <w:lang w:val="fr-CA"/>
        </w:rPr>
        <w:t xml:space="preserve">, </w:t>
      </w:r>
      <w:r w:rsidR="003D3E02" w:rsidRPr="00BD22C2">
        <w:rPr>
          <w:rFonts w:ascii="Arial" w:hAnsi="Arial" w:cs="Arial"/>
          <w:i/>
          <w:sz w:val="18"/>
          <w:szCs w:val="18"/>
          <w:lang w:val="fr-CA"/>
        </w:rPr>
        <w:t>Commentaires sur le projet loi n°</w:t>
      </w:r>
      <w:r w:rsidR="0091080B">
        <w:rPr>
          <w:rFonts w:ascii="Arial" w:hAnsi="Arial" w:cs="Arial"/>
          <w:i/>
          <w:sz w:val="18"/>
          <w:szCs w:val="18"/>
          <w:lang w:val="fr-CA"/>
        </w:rPr>
        <w:t> </w:t>
      </w:r>
      <w:r w:rsidR="003D3E02" w:rsidRPr="00BD22C2">
        <w:rPr>
          <w:rFonts w:ascii="Arial" w:hAnsi="Arial" w:cs="Arial"/>
          <w:i/>
          <w:sz w:val="18"/>
          <w:szCs w:val="18"/>
          <w:lang w:val="fr-CA"/>
        </w:rPr>
        <w:t>70, Loi facilitant les actions civiles des victimes d’actes criminels et l’exercice de certains autres droits</w:t>
      </w:r>
      <w:r w:rsidR="003D3E02" w:rsidRPr="00BD22C2">
        <w:rPr>
          <w:rFonts w:ascii="Arial" w:hAnsi="Arial" w:cs="Arial"/>
          <w:sz w:val="18"/>
          <w:szCs w:val="18"/>
          <w:lang w:val="fr-CA"/>
        </w:rPr>
        <w:t>, (Cat. 2.412.118), 2012, p.</w:t>
      </w:r>
      <w:r w:rsidR="0091080B">
        <w:rPr>
          <w:rFonts w:ascii="Arial" w:hAnsi="Arial" w:cs="Arial"/>
          <w:sz w:val="18"/>
          <w:szCs w:val="18"/>
          <w:lang w:val="fr-CA"/>
        </w:rPr>
        <w:t> </w:t>
      </w:r>
      <w:r w:rsidR="003D3E02" w:rsidRPr="00BD22C2">
        <w:rPr>
          <w:rFonts w:ascii="Arial" w:hAnsi="Arial" w:cs="Arial"/>
          <w:sz w:val="18"/>
          <w:szCs w:val="18"/>
          <w:lang w:val="fr-CA"/>
        </w:rPr>
        <w:t>1</w:t>
      </w:r>
      <w:r w:rsidR="00A52F51">
        <w:rPr>
          <w:rFonts w:ascii="Arial" w:hAnsi="Arial" w:cs="Arial"/>
          <w:sz w:val="18"/>
          <w:szCs w:val="18"/>
          <w:lang w:val="fr-CA"/>
        </w:rPr>
        <w:t xml:space="preserve"> à </w:t>
      </w:r>
      <w:r w:rsidR="003D3E02" w:rsidRPr="00BD22C2">
        <w:rPr>
          <w:rFonts w:ascii="Arial" w:hAnsi="Arial" w:cs="Arial"/>
          <w:sz w:val="18"/>
          <w:szCs w:val="18"/>
          <w:lang w:val="fr-CA"/>
        </w:rPr>
        <w:t>1</w:t>
      </w:r>
      <w:r w:rsidR="006B718D" w:rsidRPr="00BD22C2">
        <w:rPr>
          <w:rFonts w:ascii="Arial" w:hAnsi="Arial" w:cs="Arial"/>
          <w:sz w:val="18"/>
          <w:szCs w:val="18"/>
          <w:lang w:val="fr-CA"/>
        </w:rPr>
        <w:t xml:space="preserve">0, [En ligne]. </w:t>
      </w:r>
      <w:hyperlink r:id="rId8" w:history="1">
        <w:r w:rsidR="006B718D" w:rsidRPr="00BD22C2">
          <w:rPr>
            <w:rStyle w:val="Lienhypertexte"/>
            <w:rFonts w:ascii="Arial" w:hAnsi="Arial" w:cs="Arial"/>
            <w:sz w:val="18"/>
            <w:szCs w:val="18"/>
            <w:lang w:val="fr-CA"/>
          </w:rPr>
          <w:t>https://www.cdpdj.qc.ca/fr/publications/commentaires-sur-le-projet-de-3</w:t>
        </w:r>
      </w:hyperlink>
      <w:r w:rsidR="00E30B76">
        <w:rPr>
          <w:rFonts w:ascii="Arial" w:hAnsi="Arial" w:cs="Arial"/>
          <w:sz w:val="18"/>
          <w:szCs w:val="18"/>
          <w:lang w:val="fr-CA"/>
        </w:rPr>
        <w:t> </w:t>
      </w:r>
      <w:r w:rsidR="006B718D" w:rsidRPr="00BD22C2">
        <w:rPr>
          <w:rFonts w:ascii="Arial" w:hAnsi="Arial" w:cs="Arial"/>
          <w:sz w:val="18"/>
          <w:szCs w:val="18"/>
          <w:lang w:val="fr-CA"/>
        </w:rPr>
        <w:t xml:space="preserve">; </w:t>
      </w:r>
      <w:hyperlink r:id="rId9" w:history="1">
        <w:r w:rsidR="006B718D" w:rsidRPr="00BD22C2">
          <w:rPr>
            <w:rStyle w:val="Lienhypertexte"/>
            <w:rFonts w:ascii="Arial" w:hAnsi="Arial" w:cs="Arial"/>
            <w:sz w:val="18"/>
            <w:szCs w:val="18"/>
            <w:lang w:val="fr-CA"/>
          </w:rPr>
          <w:t>https://www.cdpdj.qc.ca/fr/publications/commentaires-sur-le-projet-de-3</w:t>
        </w:r>
      </w:hyperlink>
      <w:r w:rsidR="006B718D" w:rsidRPr="00BD22C2">
        <w:rPr>
          <w:rFonts w:ascii="Arial" w:hAnsi="Arial" w:cs="Arial"/>
          <w:sz w:val="18"/>
          <w:szCs w:val="18"/>
          <w:lang w:val="fr-CA"/>
        </w:rPr>
        <w:t xml:space="preserve"> ; </w:t>
      </w:r>
      <w:r w:rsidR="009526A3" w:rsidRPr="00BD22C2">
        <w:rPr>
          <w:rFonts w:ascii="Arial" w:hAnsi="Arial" w:cs="Arial"/>
          <w:smallCaps/>
          <w:sz w:val="18"/>
          <w:szCs w:val="18"/>
          <w:lang w:val="fr-CA"/>
        </w:rPr>
        <w:t>Commission des droits de la personne et des droits de la jeunesse</w:t>
      </w:r>
      <w:r w:rsidR="009526A3" w:rsidRPr="00BD22C2">
        <w:rPr>
          <w:rFonts w:ascii="Arial" w:hAnsi="Arial" w:cs="Arial"/>
          <w:sz w:val="18"/>
          <w:szCs w:val="18"/>
          <w:lang w:val="fr-CA"/>
        </w:rPr>
        <w:t xml:space="preserve">, </w:t>
      </w:r>
      <w:r w:rsidR="009526A3" w:rsidRPr="00BD22C2">
        <w:rPr>
          <w:rFonts w:ascii="Arial" w:hAnsi="Arial" w:cs="Arial"/>
          <w:i/>
          <w:sz w:val="18"/>
          <w:szCs w:val="18"/>
          <w:lang w:val="fr-CA"/>
        </w:rPr>
        <w:t>Commentaires sur le projet loi n°</w:t>
      </w:r>
      <w:r w:rsidR="0091080B">
        <w:rPr>
          <w:rFonts w:ascii="Arial" w:hAnsi="Arial" w:cs="Arial"/>
          <w:i/>
          <w:sz w:val="18"/>
          <w:szCs w:val="18"/>
          <w:lang w:val="fr-CA"/>
        </w:rPr>
        <w:t> </w:t>
      </w:r>
      <w:r w:rsidR="009526A3" w:rsidRPr="00BD22C2">
        <w:rPr>
          <w:rFonts w:ascii="Arial" w:hAnsi="Arial" w:cs="Arial"/>
          <w:i/>
          <w:sz w:val="18"/>
          <w:szCs w:val="18"/>
          <w:lang w:val="fr-CA"/>
        </w:rPr>
        <w:t xml:space="preserve">35, </w:t>
      </w:r>
      <w:r w:rsidR="001C655D" w:rsidRPr="00BD22C2">
        <w:rPr>
          <w:rFonts w:ascii="Arial" w:hAnsi="Arial" w:cs="Arial"/>
          <w:i/>
          <w:iCs/>
          <w:sz w:val="18"/>
          <w:szCs w:val="18"/>
          <w:lang w:val="fr-CA"/>
        </w:rPr>
        <w:t>L</w:t>
      </w:r>
      <w:r w:rsidR="009526A3" w:rsidRPr="00BD22C2">
        <w:rPr>
          <w:rFonts w:ascii="Arial" w:hAnsi="Arial" w:cs="Arial"/>
          <w:i/>
          <w:sz w:val="18"/>
          <w:szCs w:val="18"/>
          <w:lang w:val="fr-CA"/>
        </w:rPr>
        <w:t xml:space="preserve">oi modifiant le </w:t>
      </w:r>
      <w:r w:rsidR="001C655D" w:rsidRPr="00BD22C2">
        <w:rPr>
          <w:rFonts w:ascii="Arial" w:hAnsi="Arial" w:cs="Arial"/>
          <w:i/>
          <w:iCs/>
          <w:sz w:val="18"/>
          <w:szCs w:val="18"/>
          <w:lang w:val="fr-CA"/>
        </w:rPr>
        <w:t>C</w:t>
      </w:r>
      <w:r w:rsidR="009526A3" w:rsidRPr="00BD22C2">
        <w:rPr>
          <w:rFonts w:ascii="Arial" w:hAnsi="Arial" w:cs="Arial"/>
          <w:i/>
          <w:sz w:val="18"/>
          <w:szCs w:val="18"/>
          <w:lang w:val="fr-CA"/>
        </w:rPr>
        <w:t>ode civil en matière d’état civil, de successions et de publicité des droits</w:t>
      </w:r>
      <w:r w:rsidR="009526A3" w:rsidRPr="00BD22C2">
        <w:rPr>
          <w:rFonts w:ascii="Arial" w:hAnsi="Arial" w:cs="Arial"/>
          <w:sz w:val="18"/>
          <w:szCs w:val="18"/>
          <w:lang w:val="fr-CA"/>
        </w:rPr>
        <w:t>, (Cat.</w:t>
      </w:r>
      <w:r w:rsidR="00B00ADE" w:rsidRPr="00BD22C2">
        <w:rPr>
          <w:rFonts w:ascii="Arial" w:hAnsi="Arial" w:cs="Arial"/>
          <w:sz w:val="18"/>
          <w:szCs w:val="18"/>
          <w:lang w:val="fr-CA"/>
        </w:rPr>
        <w:t xml:space="preserve"> 2.412.118.1), 2013, p.</w:t>
      </w:r>
      <w:r w:rsidR="0091080B">
        <w:rPr>
          <w:rFonts w:ascii="Arial" w:hAnsi="Arial" w:cs="Arial"/>
          <w:sz w:val="18"/>
          <w:szCs w:val="18"/>
          <w:lang w:val="fr-CA"/>
        </w:rPr>
        <w:t> </w:t>
      </w:r>
      <w:r w:rsidR="00B00ADE" w:rsidRPr="00BD22C2">
        <w:rPr>
          <w:rFonts w:ascii="Arial" w:hAnsi="Arial" w:cs="Arial"/>
          <w:sz w:val="18"/>
          <w:szCs w:val="18"/>
          <w:lang w:val="fr-CA"/>
        </w:rPr>
        <w:t>1</w:t>
      </w:r>
      <w:r w:rsidR="0029557C">
        <w:rPr>
          <w:rFonts w:ascii="Arial" w:hAnsi="Arial" w:cs="Arial"/>
          <w:sz w:val="18"/>
          <w:szCs w:val="18"/>
          <w:lang w:val="fr-CA"/>
        </w:rPr>
        <w:t xml:space="preserve"> </w:t>
      </w:r>
      <w:r w:rsidR="00D5517E">
        <w:rPr>
          <w:rFonts w:ascii="Arial" w:hAnsi="Arial" w:cs="Arial"/>
          <w:sz w:val="18"/>
          <w:szCs w:val="18"/>
          <w:lang w:val="fr-CA"/>
        </w:rPr>
        <w:t>à</w:t>
      </w:r>
      <w:r w:rsidR="0029557C">
        <w:rPr>
          <w:rFonts w:ascii="Arial" w:hAnsi="Arial" w:cs="Arial"/>
          <w:sz w:val="18"/>
          <w:szCs w:val="18"/>
          <w:lang w:val="fr-CA"/>
        </w:rPr>
        <w:t xml:space="preserve"> </w:t>
      </w:r>
      <w:r w:rsidR="00B00ADE" w:rsidRPr="00BD22C2">
        <w:rPr>
          <w:rFonts w:ascii="Arial" w:hAnsi="Arial" w:cs="Arial"/>
          <w:sz w:val="18"/>
          <w:szCs w:val="18"/>
          <w:lang w:val="fr-CA"/>
        </w:rPr>
        <w:t xml:space="preserve">10, [En ligne]. </w:t>
      </w:r>
      <w:hyperlink r:id="rId10" w:history="1">
        <w:r w:rsidR="00B00ADE" w:rsidRPr="00BD22C2">
          <w:rPr>
            <w:rStyle w:val="Lienhypertexte"/>
            <w:rFonts w:ascii="Arial" w:hAnsi="Arial" w:cs="Arial"/>
            <w:sz w:val="18"/>
            <w:szCs w:val="18"/>
            <w:lang w:val="fr-CA"/>
          </w:rPr>
          <w:t>https://www.cdpdj.qc.ca/fr/publications/commentaires-sur-le-projet-de-17</w:t>
        </w:r>
      </w:hyperlink>
      <w:r w:rsidR="00B00ADE" w:rsidRPr="00BD22C2">
        <w:rPr>
          <w:rFonts w:ascii="Arial" w:hAnsi="Arial" w:cs="Arial"/>
          <w:sz w:val="18"/>
          <w:szCs w:val="18"/>
          <w:lang w:val="fr-CA"/>
        </w:rPr>
        <w:t xml:space="preserve"> ; </w:t>
      </w:r>
      <w:r w:rsidR="001C655D" w:rsidRPr="00BD22C2">
        <w:rPr>
          <w:rFonts w:ascii="Arial" w:hAnsi="Arial" w:cs="Arial"/>
          <w:smallCaps/>
          <w:sz w:val="18"/>
          <w:szCs w:val="18"/>
          <w:lang w:val="fr-CA"/>
        </w:rPr>
        <w:t>Commission des droits de la personne et des droits de la jeunesse</w:t>
      </w:r>
      <w:r w:rsidR="001C655D" w:rsidRPr="00BD22C2">
        <w:rPr>
          <w:rFonts w:ascii="Arial" w:hAnsi="Arial" w:cs="Arial"/>
          <w:sz w:val="18"/>
          <w:szCs w:val="18"/>
          <w:lang w:val="fr-CA"/>
        </w:rPr>
        <w:t xml:space="preserve">, </w:t>
      </w:r>
      <w:r w:rsidR="003E2C3A" w:rsidRPr="00BD22C2">
        <w:rPr>
          <w:rFonts w:ascii="Arial" w:hAnsi="Arial" w:cs="Arial"/>
          <w:i/>
          <w:sz w:val="18"/>
          <w:szCs w:val="18"/>
          <w:lang w:val="fr-CA"/>
        </w:rPr>
        <w:t>C</w:t>
      </w:r>
      <w:r w:rsidR="001C655D" w:rsidRPr="00BD22C2">
        <w:rPr>
          <w:rFonts w:ascii="Arial" w:hAnsi="Arial" w:cs="Arial"/>
          <w:i/>
          <w:sz w:val="18"/>
          <w:szCs w:val="18"/>
          <w:lang w:val="fr-CA"/>
        </w:rPr>
        <w:t xml:space="preserve">ommentaires sur le projet de règlement modifiant le </w:t>
      </w:r>
      <w:r w:rsidR="003E2C3A" w:rsidRPr="00BD22C2">
        <w:rPr>
          <w:rFonts w:ascii="Arial" w:hAnsi="Arial" w:cs="Arial"/>
          <w:i/>
          <w:sz w:val="18"/>
          <w:szCs w:val="18"/>
          <w:lang w:val="fr-CA"/>
        </w:rPr>
        <w:t>R</w:t>
      </w:r>
      <w:r w:rsidR="001C655D" w:rsidRPr="00BD22C2">
        <w:rPr>
          <w:rFonts w:ascii="Arial" w:hAnsi="Arial" w:cs="Arial"/>
          <w:i/>
          <w:sz w:val="18"/>
          <w:szCs w:val="18"/>
          <w:lang w:val="fr-CA"/>
        </w:rPr>
        <w:t>èglement relatif au changement de nom et d’autres qualités de l’état civil</w:t>
      </w:r>
      <w:r w:rsidR="003E2C3A" w:rsidRPr="00BD22C2">
        <w:rPr>
          <w:rFonts w:ascii="Arial" w:hAnsi="Arial" w:cs="Arial"/>
          <w:sz w:val="18"/>
          <w:szCs w:val="18"/>
          <w:lang w:val="fr-CA"/>
        </w:rPr>
        <w:t xml:space="preserve">, (Cat. 2.412.118.2), 2015, </w:t>
      </w:r>
      <w:r w:rsidR="00A85086" w:rsidRPr="00BD22C2">
        <w:rPr>
          <w:rFonts w:ascii="Arial" w:hAnsi="Arial" w:cs="Arial"/>
          <w:sz w:val="18"/>
          <w:szCs w:val="18"/>
          <w:lang w:val="fr-CA"/>
        </w:rPr>
        <w:t xml:space="preserve">[En ligne]. </w:t>
      </w:r>
      <w:hyperlink r:id="rId11" w:history="1">
        <w:r w:rsidR="00A85086" w:rsidRPr="00BD22C2">
          <w:rPr>
            <w:rStyle w:val="Lienhypertexte"/>
            <w:rFonts w:ascii="Arial" w:hAnsi="Arial" w:cs="Arial"/>
            <w:sz w:val="18"/>
            <w:szCs w:val="18"/>
            <w:lang w:val="fr-CA"/>
          </w:rPr>
          <w:t>https://www.cdpdj.qc.ca/fr/publications/commentaires-sur-le-projet-de-25</w:t>
        </w:r>
      </w:hyperlink>
      <w:r w:rsidR="00A85086" w:rsidRPr="00BD22C2">
        <w:rPr>
          <w:rFonts w:ascii="Arial" w:hAnsi="Arial" w:cs="Arial"/>
          <w:sz w:val="18"/>
          <w:szCs w:val="18"/>
          <w:lang w:val="fr-CA"/>
        </w:rPr>
        <w:t xml:space="preserve"> ; C</w:t>
      </w:r>
      <w:r w:rsidR="00A85086" w:rsidRPr="00BD22C2">
        <w:rPr>
          <w:rFonts w:ascii="Arial" w:hAnsi="Arial" w:cs="Arial"/>
          <w:smallCaps/>
          <w:sz w:val="18"/>
          <w:szCs w:val="18"/>
          <w:lang w:val="fr-CA"/>
        </w:rPr>
        <w:t>ommission des droits de la personne et des droits de la jeuness</w:t>
      </w:r>
      <w:r w:rsidR="00DC3986" w:rsidRPr="00BD22C2">
        <w:rPr>
          <w:rFonts w:ascii="Arial" w:hAnsi="Arial" w:cs="Arial"/>
          <w:smallCaps/>
          <w:sz w:val="18"/>
          <w:szCs w:val="18"/>
          <w:lang w:val="fr-CA"/>
        </w:rPr>
        <w:t>e</w:t>
      </w:r>
      <w:r w:rsidR="00DC3986" w:rsidRPr="00BD22C2">
        <w:rPr>
          <w:rFonts w:ascii="Arial" w:hAnsi="Arial" w:cs="Arial"/>
          <w:i/>
          <w:sz w:val="18"/>
          <w:szCs w:val="18"/>
          <w:lang w:val="fr-CA"/>
        </w:rPr>
        <w:t xml:space="preserve">, Mémoire à la </w:t>
      </w:r>
      <w:r w:rsidR="00CD748C" w:rsidRPr="00BD22C2">
        <w:rPr>
          <w:rFonts w:ascii="Arial" w:hAnsi="Arial" w:cs="Arial"/>
          <w:i/>
          <w:sz w:val="18"/>
          <w:szCs w:val="18"/>
          <w:lang w:val="fr-CA"/>
        </w:rPr>
        <w:t>C</w:t>
      </w:r>
      <w:r w:rsidR="00DC3986" w:rsidRPr="00BD22C2">
        <w:rPr>
          <w:rFonts w:ascii="Arial" w:hAnsi="Arial" w:cs="Arial"/>
          <w:i/>
          <w:sz w:val="18"/>
          <w:szCs w:val="18"/>
          <w:lang w:val="fr-CA"/>
        </w:rPr>
        <w:t>ommission des institutions</w:t>
      </w:r>
      <w:r w:rsidR="00CD748C" w:rsidRPr="00BD22C2">
        <w:rPr>
          <w:rFonts w:ascii="Arial" w:hAnsi="Arial" w:cs="Arial"/>
          <w:i/>
          <w:sz w:val="18"/>
          <w:szCs w:val="18"/>
          <w:lang w:val="fr-CA"/>
        </w:rPr>
        <w:t xml:space="preserve"> d</w:t>
      </w:r>
      <w:r w:rsidR="00DC3986" w:rsidRPr="00BD22C2">
        <w:rPr>
          <w:rFonts w:ascii="Arial" w:hAnsi="Arial" w:cs="Arial"/>
          <w:i/>
          <w:sz w:val="18"/>
          <w:szCs w:val="18"/>
          <w:lang w:val="fr-CA"/>
        </w:rPr>
        <w:t>e l’</w:t>
      </w:r>
      <w:r w:rsidR="00CD748C" w:rsidRPr="00BD22C2">
        <w:rPr>
          <w:rFonts w:ascii="Arial" w:hAnsi="Arial" w:cs="Arial"/>
          <w:i/>
          <w:sz w:val="18"/>
          <w:szCs w:val="18"/>
          <w:lang w:val="fr-CA"/>
        </w:rPr>
        <w:t>A</w:t>
      </w:r>
      <w:r w:rsidR="00DC3986" w:rsidRPr="00BD22C2">
        <w:rPr>
          <w:rFonts w:ascii="Arial" w:hAnsi="Arial" w:cs="Arial"/>
          <w:i/>
          <w:sz w:val="18"/>
          <w:szCs w:val="18"/>
          <w:lang w:val="fr-CA"/>
        </w:rPr>
        <w:t>ssemblée nationale</w:t>
      </w:r>
      <w:r w:rsidR="00CD748C" w:rsidRPr="00BD22C2">
        <w:rPr>
          <w:rFonts w:ascii="Arial" w:hAnsi="Arial" w:cs="Arial"/>
          <w:i/>
          <w:sz w:val="18"/>
          <w:szCs w:val="18"/>
          <w:lang w:val="fr-CA"/>
        </w:rPr>
        <w:t xml:space="preserve">, </w:t>
      </w:r>
      <w:r w:rsidR="00CD748C" w:rsidRPr="00BD22C2">
        <w:rPr>
          <w:rFonts w:ascii="Arial" w:hAnsi="Arial" w:cs="Arial"/>
          <w:i/>
          <w:iCs/>
          <w:sz w:val="18"/>
          <w:szCs w:val="18"/>
          <w:lang w:val="fr-CA"/>
        </w:rPr>
        <w:t>P</w:t>
      </w:r>
      <w:r w:rsidR="00DC3986" w:rsidRPr="00BD22C2">
        <w:rPr>
          <w:rFonts w:ascii="Arial" w:hAnsi="Arial" w:cs="Arial"/>
          <w:i/>
          <w:sz w:val="18"/>
          <w:szCs w:val="18"/>
          <w:lang w:val="fr-CA"/>
        </w:rPr>
        <w:t>rojet de loi n°</w:t>
      </w:r>
      <w:r w:rsidR="0091080B">
        <w:rPr>
          <w:rFonts w:ascii="Arial" w:hAnsi="Arial" w:cs="Arial"/>
          <w:i/>
          <w:sz w:val="18"/>
          <w:szCs w:val="18"/>
          <w:lang w:val="fr-CA"/>
        </w:rPr>
        <w:t> </w:t>
      </w:r>
      <w:r w:rsidR="00DC3986" w:rsidRPr="00BD22C2">
        <w:rPr>
          <w:rFonts w:ascii="Arial" w:hAnsi="Arial" w:cs="Arial"/>
          <w:i/>
          <w:sz w:val="18"/>
          <w:szCs w:val="18"/>
          <w:lang w:val="fr-CA"/>
        </w:rPr>
        <w:t>2,</w:t>
      </w:r>
      <w:r w:rsidR="00CD748C" w:rsidRPr="00BD22C2">
        <w:rPr>
          <w:rFonts w:ascii="Arial" w:hAnsi="Arial" w:cs="Arial"/>
          <w:i/>
          <w:sz w:val="18"/>
          <w:szCs w:val="18"/>
          <w:lang w:val="fr-CA"/>
        </w:rPr>
        <w:t xml:space="preserve"> </w:t>
      </w:r>
      <w:r w:rsidR="00DC3986" w:rsidRPr="00BD22C2">
        <w:rPr>
          <w:rFonts w:ascii="Arial" w:hAnsi="Arial" w:cs="Arial"/>
          <w:i/>
          <w:sz w:val="18"/>
          <w:szCs w:val="18"/>
          <w:lang w:val="fr-CA"/>
        </w:rPr>
        <w:t xml:space="preserve">Loi portant sur la réforme du droit de la famille en matière de filiation et modifiant le </w:t>
      </w:r>
      <w:r w:rsidR="00CD748C" w:rsidRPr="00BD22C2">
        <w:rPr>
          <w:rFonts w:ascii="Arial" w:hAnsi="Arial" w:cs="Arial"/>
          <w:i/>
          <w:iCs/>
          <w:sz w:val="18"/>
          <w:szCs w:val="18"/>
          <w:lang w:val="fr-CA"/>
        </w:rPr>
        <w:t>C</w:t>
      </w:r>
      <w:r w:rsidR="00DC3986" w:rsidRPr="00BD22C2">
        <w:rPr>
          <w:rFonts w:ascii="Arial" w:hAnsi="Arial" w:cs="Arial"/>
          <w:i/>
          <w:sz w:val="18"/>
          <w:szCs w:val="18"/>
          <w:lang w:val="fr-CA"/>
        </w:rPr>
        <w:t>ode civil en matière de droits de la personnalité et d’état civil</w:t>
      </w:r>
      <w:r w:rsidR="00CD748C" w:rsidRPr="00BD22C2">
        <w:rPr>
          <w:rFonts w:ascii="Arial" w:hAnsi="Arial" w:cs="Arial"/>
          <w:sz w:val="18"/>
          <w:szCs w:val="18"/>
          <w:lang w:val="fr-CA"/>
        </w:rPr>
        <w:t>, (Cat. 2</w:t>
      </w:r>
      <w:r w:rsidR="00572B42" w:rsidRPr="00BD22C2">
        <w:rPr>
          <w:rFonts w:ascii="Arial" w:hAnsi="Arial" w:cs="Arial"/>
          <w:sz w:val="18"/>
          <w:szCs w:val="18"/>
          <w:lang w:val="fr-CA"/>
        </w:rPr>
        <w:t xml:space="preserve">.412.140), 2022, </w:t>
      </w:r>
      <w:r w:rsidR="00572B42" w:rsidRPr="0065199D">
        <w:rPr>
          <w:rFonts w:ascii="Arial" w:hAnsi="Arial" w:cs="Arial"/>
          <w:sz w:val="18"/>
          <w:szCs w:val="18"/>
          <w:lang w:val="fr-CA"/>
        </w:rPr>
        <w:t>p.</w:t>
      </w:r>
      <w:r w:rsidR="0091080B">
        <w:rPr>
          <w:rFonts w:ascii="Arial" w:hAnsi="Arial" w:cs="Arial"/>
          <w:sz w:val="18"/>
          <w:szCs w:val="18"/>
          <w:lang w:val="fr-CA"/>
        </w:rPr>
        <w:t> </w:t>
      </w:r>
      <w:r w:rsidR="00572B42" w:rsidRPr="0065199D">
        <w:rPr>
          <w:rFonts w:ascii="Arial" w:hAnsi="Arial" w:cs="Arial"/>
          <w:sz w:val="18"/>
          <w:szCs w:val="18"/>
          <w:lang w:val="fr-CA"/>
        </w:rPr>
        <w:t>84</w:t>
      </w:r>
      <w:r w:rsidR="0065199D">
        <w:rPr>
          <w:rFonts w:ascii="Arial" w:hAnsi="Arial" w:cs="Arial"/>
          <w:sz w:val="18"/>
          <w:szCs w:val="18"/>
          <w:lang w:val="fr-CA"/>
        </w:rPr>
        <w:t xml:space="preserve"> à </w:t>
      </w:r>
      <w:r w:rsidR="00572B42" w:rsidRPr="0065199D">
        <w:rPr>
          <w:rFonts w:ascii="Arial" w:hAnsi="Arial" w:cs="Arial"/>
          <w:sz w:val="18"/>
          <w:szCs w:val="18"/>
          <w:lang w:val="fr-CA"/>
        </w:rPr>
        <w:t>117,</w:t>
      </w:r>
      <w:r w:rsidR="00572B42" w:rsidRPr="00BD22C2">
        <w:rPr>
          <w:rFonts w:ascii="Arial" w:hAnsi="Arial" w:cs="Arial"/>
          <w:sz w:val="18"/>
          <w:szCs w:val="18"/>
          <w:lang w:val="fr-CA"/>
        </w:rPr>
        <w:t xml:space="preserve"> [En ligne]. </w:t>
      </w:r>
      <w:hyperlink r:id="rId12" w:history="1">
        <w:r w:rsidR="0047426E" w:rsidRPr="0085310E">
          <w:rPr>
            <w:rStyle w:val="Lienhypertexte"/>
            <w:rFonts w:ascii="Arial" w:hAnsi="Arial" w:cs="Arial"/>
            <w:sz w:val="18"/>
            <w:szCs w:val="18"/>
          </w:rPr>
          <w:t>https://www.cdpdj.qc.ca/fr/publications/reforme-droit-famille-memoire</w:t>
        </w:r>
      </w:hyperlink>
      <w:r w:rsidR="0047426E" w:rsidRPr="0085310E">
        <w:rPr>
          <w:rFonts w:ascii="Arial" w:hAnsi="Arial" w:cs="Arial"/>
          <w:sz w:val="18"/>
          <w:szCs w:val="18"/>
        </w:rPr>
        <w:t xml:space="preserve"> </w:t>
      </w:r>
    </w:p>
  </w:endnote>
  <w:endnote w:id="16">
    <w:p w14:paraId="2C25F45F" w14:textId="421F66BE"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870845" w:rsidRPr="00BD22C2">
        <w:rPr>
          <w:rFonts w:ascii="Arial" w:hAnsi="Arial" w:cs="Arial"/>
          <w:i/>
          <w:iCs/>
          <w:sz w:val="18"/>
          <w:szCs w:val="18"/>
          <w:lang w:val="fr-CA"/>
        </w:rPr>
        <w:t xml:space="preserve">Loi modifiant le Code civil relativement au mariage, </w:t>
      </w:r>
      <w:r w:rsidR="00530B70" w:rsidRPr="00BD22C2">
        <w:rPr>
          <w:rFonts w:ascii="Arial" w:hAnsi="Arial" w:cs="Arial"/>
          <w:sz w:val="18"/>
          <w:szCs w:val="18"/>
          <w:lang w:val="fr-CA"/>
        </w:rPr>
        <w:t>L.</w:t>
      </w:r>
      <w:r w:rsidR="006305FE">
        <w:rPr>
          <w:rFonts w:ascii="Arial" w:hAnsi="Arial" w:cs="Arial"/>
          <w:sz w:val="18"/>
          <w:szCs w:val="18"/>
          <w:lang w:val="fr-CA"/>
        </w:rPr>
        <w:t> </w:t>
      </w:r>
      <w:r w:rsidR="00530B70" w:rsidRPr="00BD22C2">
        <w:rPr>
          <w:rFonts w:ascii="Arial" w:hAnsi="Arial" w:cs="Arial"/>
          <w:sz w:val="18"/>
          <w:szCs w:val="18"/>
          <w:lang w:val="fr-CA"/>
        </w:rPr>
        <w:t>Q.</w:t>
      </w:r>
      <w:r w:rsidR="0091080B">
        <w:rPr>
          <w:rFonts w:ascii="Arial" w:hAnsi="Arial" w:cs="Arial"/>
          <w:sz w:val="18"/>
          <w:szCs w:val="18"/>
          <w:lang w:val="fr-CA"/>
        </w:rPr>
        <w:t> </w:t>
      </w:r>
      <w:r w:rsidR="00530B70" w:rsidRPr="00BD22C2">
        <w:rPr>
          <w:rFonts w:ascii="Arial" w:hAnsi="Arial" w:cs="Arial"/>
          <w:sz w:val="18"/>
          <w:szCs w:val="18"/>
          <w:lang w:val="fr-CA"/>
        </w:rPr>
        <w:t xml:space="preserve">2004, c. 23. </w:t>
      </w:r>
    </w:p>
  </w:endnote>
  <w:endnote w:id="17">
    <w:p w14:paraId="34C8A79A" w14:textId="49B55CE4"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6B0851" w:rsidRPr="00BD22C2">
        <w:rPr>
          <w:rFonts w:ascii="Arial" w:hAnsi="Arial" w:cs="Arial"/>
          <w:i/>
          <w:iCs/>
          <w:sz w:val="18"/>
          <w:szCs w:val="18"/>
          <w:lang w:val="fr-CA"/>
        </w:rPr>
        <w:t xml:space="preserve">Loi modifiant le Code civil en matière d’état civil, de succession et de publicité des droits, </w:t>
      </w:r>
      <w:r w:rsidR="006B0851" w:rsidRPr="00BD22C2">
        <w:rPr>
          <w:rFonts w:ascii="Arial" w:hAnsi="Arial" w:cs="Arial"/>
          <w:sz w:val="18"/>
          <w:szCs w:val="18"/>
          <w:lang w:val="fr-CA"/>
        </w:rPr>
        <w:t>L.</w:t>
      </w:r>
      <w:r w:rsidR="006305FE">
        <w:rPr>
          <w:rFonts w:ascii="Arial" w:hAnsi="Arial" w:cs="Arial"/>
          <w:sz w:val="18"/>
          <w:szCs w:val="18"/>
          <w:lang w:val="fr-CA"/>
        </w:rPr>
        <w:t> </w:t>
      </w:r>
      <w:r w:rsidR="006B0851" w:rsidRPr="00BD22C2">
        <w:rPr>
          <w:rFonts w:ascii="Arial" w:hAnsi="Arial" w:cs="Arial"/>
          <w:sz w:val="18"/>
          <w:szCs w:val="18"/>
          <w:lang w:val="fr-CA"/>
        </w:rPr>
        <w:t>Q.</w:t>
      </w:r>
      <w:r w:rsidR="0091080B">
        <w:rPr>
          <w:rFonts w:ascii="Arial" w:hAnsi="Arial" w:cs="Arial"/>
          <w:sz w:val="18"/>
          <w:szCs w:val="18"/>
          <w:lang w:val="fr-CA"/>
        </w:rPr>
        <w:t> </w:t>
      </w:r>
      <w:r w:rsidR="004260FD" w:rsidRPr="00BD22C2">
        <w:rPr>
          <w:rFonts w:ascii="Arial" w:hAnsi="Arial" w:cs="Arial"/>
          <w:sz w:val="18"/>
          <w:szCs w:val="18"/>
          <w:lang w:val="fr-CA"/>
        </w:rPr>
        <w:t>2013, c.</w:t>
      </w:r>
      <w:r w:rsidR="0091080B">
        <w:rPr>
          <w:rFonts w:ascii="Arial" w:hAnsi="Arial" w:cs="Arial"/>
          <w:sz w:val="18"/>
          <w:szCs w:val="18"/>
          <w:lang w:val="fr-CA"/>
        </w:rPr>
        <w:t> </w:t>
      </w:r>
      <w:r w:rsidR="004260FD" w:rsidRPr="00BD22C2">
        <w:rPr>
          <w:rFonts w:ascii="Arial" w:hAnsi="Arial" w:cs="Arial"/>
          <w:sz w:val="18"/>
          <w:szCs w:val="18"/>
          <w:lang w:val="fr-CA"/>
        </w:rPr>
        <w:t>27.</w:t>
      </w:r>
    </w:p>
  </w:endnote>
  <w:endnote w:id="18">
    <w:p w14:paraId="22567105" w14:textId="4DB976D0"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FB4AFA" w:rsidRPr="00BD22C2">
        <w:rPr>
          <w:rFonts w:ascii="Arial" w:hAnsi="Arial" w:cs="Arial"/>
          <w:i/>
          <w:iCs/>
          <w:sz w:val="18"/>
          <w:szCs w:val="18"/>
          <w:lang w:val="fr-CA"/>
        </w:rPr>
        <w:t xml:space="preserve">Loi visant à renforcer la lutte contre la transphobie et à améliorer notamment la situation des mineurs transgenres, </w:t>
      </w:r>
      <w:r w:rsidR="00FB4AFA" w:rsidRPr="00BD22C2">
        <w:rPr>
          <w:rFonts w:ascii="Arial" w:hAnsi="Arial" w:cs="Arial"/>
          <w:sz w:val="18"/>
          <w:szCs w:val="18"/>
          <w:lang w:val="fr-CA"/>
        </w:rPr>
        <w:t>L.</w:t>
      </w:r>
      <w:r w:rsidR="006305FE">
        <w:rPr>
          <w:rFonts w:ascii="Arial" w:hAnsi="Arial" w:cs="Arial"/>
          <w:sz w:val="18"/>
          <w:szCs w:val="18"/>
          <w:lang w:val="fr-CA"/>
        </w:rPr>
        <w:t> </w:t>
      </w:r>
      <w:r w:rsidR="00FB4AFA" w:rsidRPr="00BD22C2">
        <w:rPr>
          <w:rFonts w:ascii="Arial" w:hAnsi="Arial" w:cs="Arial"/>
          <w:sz w:val="18"/>
          <w:szCs w:val="18"/>
          <w:lang w:val="fr-CA"/>
        </w:rPr>
        <w:t>Q.</w:t>
      </w:r>
      <w:r w:rsidR="0091080B">
        <w:rPr>
          <w:rFonts w:ascii="Arial" w:hAnsi="Arial" w:cs="Arial"/>
          <w:sz w:val="18"/>
          <w:szCs w:val="18"/>
          <w:lang w:val="fr-CA"/>
        </w:rPr>
        <w:t> </w:t>
      </w:r>
      <w:r w:rsidR="00FB4AFA" w:rsidRPr="00BD22C2">
        <w:rPr>
          <w:rFonts w:ascii="Arial" w:hAnsi="Arial" w:cs="Arial"/>
          <w:sz w:val="18"/>
          <w:szCs w:val="18"/>
          <w:lang w:val="fr-CA"/>
        </w:rPr>
        <w:t xml:space="preserve">2016, c. 19. </w:t>
      </w:r>
    </w:p>
  </w:endnote>
  <w:endnote w:id="19">
    <w:p w14:paraId="0D46B246" w14:textId="5F0FD730"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032B1B" w:rsidRPr="00BD22C2">
        <w:rPr>
          <w:rFonts w:ascii="Arial" w:hAnsi="Arial" w:cs="Arial"/>
          <w:i/>
          <w:iCs/>
          <w:sz w:val="18"/>
          <w:szCs w:val="18"/>
          <w:lang w:val="fr-CA"/>
        </w:rPr>
        <w:t xml:space="preserve">Loi portant sur la réforme du droit de la famille en matière de filiation et modifiant le Code civil en matière de droits de la personnalité et d’état civil, </w:t>
      </w:r>
      <w:r w:rsidR="00032B1B" w:rsidRPr="00BD22C2">
        <w:rPr>
          <w:rFonts w:ascii="Arial" w:hAnsi="Arial" w:cs="Arial"/>
          <w:sz w:val="18"/>
          <w:szCs w:val="18"/>
          <w:lang w:val="fr-CA"/>
        </w:rPr>
        <w:t>L.</w:t>
      </w:r>
      <w:r w:rsidR="006305FE">
        <w:rPr>
          <w:rFonts w:ascii="Arial" w:hAnsi="Arial" w:cs="Arial"/>
          <w:sz w:val="18"/>
          <w:szCs w:val="18"/>
          <w:lang w:val="fr-CA"/>
        </w:rPr>
        <w:t> </w:t>
      </w:r>
      <w:r w:rsidR="00032B1B" w:rsidRPr="00BD22C2">
        <w:rPr>
          <w:rFonts w:ascii="Arial" w:hAnsi="Arial" w:cs="Arial"/>
          <w:sz w:val="18"/>
          <w:szCs w:val="18"/>
          <w:lang w:val="fr-CA"/>
        </w:rPr>
        <w:t>Q.</w:t>
      </w:r>
      <w:r w:rsidR="0091080B">
        <w:rPr>
          <w:rFonts w:ascii="Arial" w:hAnsi="Arial" w:cs="Arial"/>
          <w:sz w:val="18"/>
          <w:szCs w:val="18"/>
          <w:lang w:val="fr-CA"/>
        </w:rPr>
        <w:t> </w:t>
      </w:r>
      <w:r w:rsidR="00032B1B" w:rsidRPr="00BD22C2">
        <w:rPr>
          <w:rFonts w:ascii="Arial" w:hAnsi="Arial" w:cs="Arial"/>
          <w:sz w:val="18"/>
          <w:szCs w:val="18"/>
          <w:lang w:val="fr-CA"/>
        </w:rPr>
        <w:t>2022, c.</w:t>
      </w:r>
      <w:r w:rsidR="0091080B">
        <w:rPr>
          <w:rFonts w:ascii="Arial" w:hAnsi="Arial" w:cs="Arial"/>
          <w:sz w:val="18"/>
          <w:szCs w:val="18"/>
          <w:lang w:val="fr-CA"/>
        </w:rPr>
        <w:t> </w:t>
      </w:r>
      <w:r w:rsidR="00032B1B" w:rsidRPr="00BD22C2">
        <w:rPr>
          <w:rFonts w:ascii="Arial" w:hAnsi="Arial" w:cs="Arial"/>
          <w:sz w:val="18"/>
          <w:szCs w:val="18"/>
          <w:lang w:val="fr-CA"/>
        </w:rPr>
        <w:t>22.</w:t>
      </w:r>
    </w:p>
  </w:endnote>
  <w:endnote w:id="20">
    <w:p w14:paraId="279BE47F" w14:textId="6AA9E0B6"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725492">
        <w:rPr>
          <w:rFonts w:ascii="Arial" w:hAnsi="Arial" w:cs="Arial"/>
          <w:i/>
          <w:iCs/>
          <w:sz w:val="18"/>
          <w:szCs w:val="18"/>
          <w:lang w:val="fr-CA"/>
        </w:rPr>
        <w:t>Id.</w:t>
      </w:r>
      <w:r w:rsidR="003E6DE2" w:rsidRPr="00BD22C2">
        <w:rPr>
          <w:rFonts w:ascii="Arial" w:hAnsi="Arial" w:cs="Arial"/>
          <w:sz w:val="18"/>
          <w:szCs w:val="18"/>
          <w:lang w:val="fr-CA"/>
        </w:rPr>
        <w:t xml:space="preserve"> </w:t>
      </w:r>
    </w:p>
  </w:endnote>
  <w:endnote w:id="21">
    <w:p w14:paraId="66555601" w14:textId="14F54A20"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AC4D0F" w:rsidRPr="00FD4B91">
        <w:rPr>
          <w:rFonts w:ascii="Arial" w:hAnsi="Arial" w:cs="Arial"/>
          <w:sz w:val="18"/>
          <w:szCs w:val="18"/>
          <w:lang w:val="fr-CA"/>
        </w:rPr>
        <w:t xml:space="preserve">Préc., note </w:t>
      </w:r>
      <w:r w:rsidR="00AC4D0F" w:rsidRPr="00FD4B91">
        <w:rPr>
          <w:rFonts w:ascii="Arial" w:hAnsi="Arial" w:cs="Arial"/>
          <w:sz w:val="18"/>
          <w:szCs w:val="18"/>
          <w:lang w:val="fr-CA"/>
        </w:rPr>
        <w:fldChar w:fldCharType="begin"/>
      </w:r>
      <w:r w:rsidR="00AC4D0F" w:rsidRPr="00FD4B91">
        <w:rPr>
          <w:rFonts w:ascii="Arial" w:hAnsi="Arial" w:cs="Arial"/>
          <w:sz w:val="18"/>
          <w:szCs w:val="18"/>
          <w:lang w:val="fr-CA"/>
        </w:rPr>
        <w:instrText xml:space="preserve"> NOTEREF _Ref168577497 \h </w:instrText>
      </w:r>
      <w:r w:rsidR="00FD4B91">
        <w:rPr>
          <w:rFonts w:ascii="Arial" w:hAnsi="Arial" w:cs="Arial"/>
          <w:sz w:val="18"/>
          <w:szCs w:val="18"/>
          <w:lang w:val="fr-CA"/>
        </w:rPr>
        <w:instrText xml:space="preserve"> \* MERGEFORMAT </w:instrText>
      </w:r>
      <w:r w:rsidR="00AC4D0F" w:rsidRPr="00FD4B91">
        <w:rPr>
          <w:rFonts w:ascii="Arial" w:hAnsi="Arial" w:cs="Arial"/>
          <w:sz w:val="18"/>
          <w:szCs w:val="18"/>
          <w:lang w:val="fr-CA"/>
        </w:rPr>
      </w:r>
      <w:r w:rsidR="00AC4D0F" w:rsidRPr="00FD4B91">
        <w:rPr>
          <w:rFonts w:ascii="Arial" w:hAnsi="Arial" w:cs="Arial"/>
          <w:sz w:val="18"/>
          <w:szCs w:val="18"/>
          <w:lang w:val="fr-CA"/>
        </w:rPr>
        <w:fldChar w:fldCharType="separate"/>
      </w:r>
      <w:r w:rsidR="004B4881">
        <w:rPr>
          <w:rFonts w:ascii="Arial" w:hAnsi="Arial" w:cs="Arial"/>
          <w:sz w:val="18"/>
          <w:szCs w:val="18"/>
          <w:lang w:val="fr-CA"/>
        </w:rPr>
        <w:t>17</w:t>
      </w:r>
      <w:r w:rsidR="00AC4D0F" w:rsidRPr="00FD4B91">
        <w:rPr>
          <w:rFonts w:ascii="Arial" w:hAnsi="Arial" w:cs="Arial"/>
          <w:sz w:val="18"/>
          <w:szCs w:val="18"/>
          <w:lang w:val="fr-CA"/>
        </w:rPr>
        <w:fldChar w:fldCharType="end"/>
      </w:r>
      <w:r w:rsidR="00963510" w:rsidRPr="00BD22C2">
        <w:rPr>
          <w:rFonts w:ascii="Arial" w:hAnsi="Arial" w:cs="Arial"/>
          <w:sz w:val="18"/>
          <w:szCs w:val="18"/>
          <w:lang w:val="fr-CA"/>
        </w:rPr>
        <w:t>, art.</w:t>
      </w:r>
      <w:r w:rsidR="0091080B">
        <w:rPr>
          <w:rFonts w:ascii="Arial" w:hAnsi="Arial" w:cs="Arial"/>
          <w:sz w:val="18"/>
          <w:szCs w:val="18"/>
          <w:lang w:val="fr-CA"/>
        </w:rPr>
        <w:t> </w:t>
      </w:r>
      <w:r w:rsidR="00A37C23" w:rsidRPr="00BD22C2">
        <w:rPr>
          <w:rFonts w:ascii="Arial" w:hAnsi="Arial" w:cs="Arial"/>
          <w:sz w:val="18"/>
          <w:szCs w:val="18"/>
          <w:lang w:val="fr-CA"/>
        </w:rPr>
        <w:t>11.</w:t>
      </w:r>
    </w:p>
  </w:endnote>
  <w:endnote w:id="22">
    <w:p w14:paraId="7FADEC76" w14:textId="3EFEB1F7" w:rsidR="009D3DD6" w:rsidRPr="00BD22C2"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794F1E" w:rsidRPr="00BD22C2">
        <w:rPr>
          <w:rFonts w:ascii="Arial" w:hAnsi="Arial" w:cs="Arial"/>
          <w:i/>
          <w:iCs/>
          <w:sz w:val="18"/>
          <w:szCs w:val="18"/>
          <w:lang w:val="fr-CA"/>
        </w:rPr>
        <w:t>Loi visant à protéger les personnes contre les thérapies de conversion dispensées pour changer leur orientation sexuelle, leur identité de genre ou leur expression de genre</w:t>
      </w:r>
      <w:r w:rsidR="00794F1E" w:rsidRPr="00BD22C2">
        <w:rPr>
          <w:rFonts w:ascii="Arial" w:hAnsi="Arial" w:cs="Arial"/>
          <w:sz w:val="18"/>
          <w:szCs w:val="18"/>
          <w:lang w:val="fr-CA"/>
        </w:rPr>
        <w:t xml:space="preserve">, </w:t>
      </w:r>
      <w:r w:rsidR="002E3676" w:rsidRPr="00BD22C2">
        <w:rPr>
          <w:rFonts w:ascii="Arial" w:hAnsi="Arial" w:cs="Arial"/>
          <w:sz w:val="18"/>
          <w:szCs w:val="18"/>
          <w:lang w:val="fr-CA"/>
        </w:rPr>
        <w:t>RL</w:t>
      </w:r>
      <w:r w:rsidR="005E19FF" w:rsidRPr="00BD22C2">
        <w:rPr>
          <w:rFonts w:ascii="Arial" w:hAnsi="Arial" w:cs="Arial"/>
          <w:sz w:val="18"/>
          <w:szCs w:val="18"/>
          <w:lang w:val="fr-CA"/>
        </w:rPr>
        <w:t>RQ</w:t>
      </w:r>
      <w:r w:rsidR="002E3676" w:rsidRPr="00BD22C2">
        <w:rPr>
          <w:rFonts w:ascii="Arial" w:hAnsi="Arial" w:cs="Arial"/>
          <w:sz w:val="18"/>
          <w:szCs w:val="18"/>
          <w:lang w:val="fr-CA"/>
        </w:rPr>
        <w:t>, c. P-42.2</w:t>
      </w:r>
      <w:r w:rsidR="005E19FF" w:rsidRPr="00BD22C2">
        <w:rPr>
          <w:rFonts w:ascii="Arial" w:hAnsi="Arial" w:cs="Arial"/>
          <w:sz w:val="18"/>
          <w:szCs w:val="18"/>
          <w:lang w:val="fr-CA"/>
        </w:rPr>
        <w:t>.</w:t>
      </w:r>
    </w:p>
  </w:endnote>
  <w:endnote w:id="23">
    <w:p w14:paraId="190C984F" w14:textId="4C568A6B"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561121" w:rsidRPr="00BD22C2">
        <w:rPr>
          <w:rFonts w:ascii="Arial" w:hAnsi="Arial" w:cs="Arial"/>
          <w:smallCaps/>
          <w:sz w:val="18"/>
          <w:szCs w:val="18"/>
          <w:lang w:val="fr-CA"/>
        </w:rPr>
        <w:t>Commission des droits de la personne et des droits de la jeunesse</w:t>
      </w:r>
      <w:r w:rsidR="00561121" w:rsidRPr="00BD22C2">
        <w:rPr>
          <w:rFonts w:ascii="Arial" w:hAnsi="Arial" w:cs="Arial"/>
          <w:sz w:val="18"/>
          <w:szCs w:val="18"/>
          <w:lang w:val="fr-CA"/>
        </w:rPr>
        <w:t xml:space="preserve">, </w:t>
      </w:r>
      <w:r w:rsidR="00772154" w:rsidRPr="00BD22C2">
        <w:rPr>
          <w:rFonts w:ascii="Arial" w:hAnsi="Arial" w:cs="Arial"/>
          <w:i/>
          <w:sz w:val="18"/>
          <w:szCs w:val="18"/>
          <w:lang w:val="fr-CA"/>
        </w:rPr>
        <w:t>Notes pour la présentation de la Commission des droits de la personne et des droits de la jeunesse devant la Commission des relations avec les citoyens à l’occasion des consultations particulières et auditions publiques sur le projet de loi n°</w:t>
      </w:r>
      <w:r w:rsidR="0091080B">
        <w:rPr>
          <w:rFonts w:ascii="Arial" w:hAnsi="Arial" w:cs="Arial"/>
          <w:i/>
          <w:sz w:val="18"/>
          <w:szCs w:val="18"/>
          <w:lang w:val="fr-CA"/>
        </w:rPr>
        <w:t> </w:t>
      </w:r>
      <w:r w:rsidR="00772154" w:rsidRPr="00BD22C2">
        <w:rPr>
          <w:rFonts w:ascii="Arial" w:hAnsi="Arial" w:cs="Arial"/>
          <w:i/>
          <w:sz w:val="18"/>
          <w:szCs w:val="18"/>
          <w:lang w:val="fr-CA"/>
        </w:rPr>
        <w:t>70, Loi visant à protéger les personnes contre les thérapies de conversion dispensées pour changer leur orientation sexuelle, leur identité de genre ou leur expression de genre</w:t>
      </w:r>
      <w:r w:rsidR="00772154" w:rsidRPr="00BD22C2">
        <w:rPr>
          <w:rFonts w:ascii="Arial" w:hAnsi="Arial" w:cs="Arial"/>
          <w:sz w:val="18"/>
          <w:szCs w:val="18"/>
          <w:lang w:val="fr-CA"/>
        </w:rPr>
        <w:t xml:space="preserve">, </w:t>
      </w:r>
      <w:r w:rsidR="004334E9" w:rsidRPr="00BD22C2">
        <w:rPr>
          <w:rFonts w:ascii="Arial" w:hAnsi="Arial" w:cs="Arial"/>
          <w:sz w:val="18"/>
          <w:szCs w:val="18"/>
          <w:lang w:val="fr-CA"/>
        </w:rPr>
        <w:t xml:space="preserve">(Cat. 2.412.137), </w:t>
      </w:r>
      <w:r w:rsidR="0074693C" w:rsidRPr="00BD22C2">
        <w:rPr>
          <w:rFonts w:ascii="Arial" w:hAnsi="Arial" w:cs="Arial"/>
          <w:sz w:val="18"/>
          <w:szCs w:val="18"/>
          <w:lang w:val="fr-CA"/>
        </w:rPr>
        <w:t xml:space="preserve">2020, [En ligne]. </w:t>
      </w:r>
      <w:hyperlink r:id="rId13" w:history="1">
        <w:r w:rsidR="0074693C" w:rsidRPr="0085310E">
          <w:rPr>
            <w:rStyle w:val="Lienhypertexte"/>
            <w:rFonts w:ascii="Arial" w:hAnsi="Arial" w:cs="Arial"/>
            <w:sz w:val="18"/>
            <w:szCs w:val="18"/>
          </w:rPr>
          <w:t>https://www.cdpdj.qc.ca/storage/app/media/publications/notes_PL70_therapies_conversion.pdf</w:t>
        </w:r>
      </w:hyperlink>
      <w:r w:rsidR="0074693C" w:rsidRPr="0085310E">
        <w:rPr>
          <w:rFonts w:ascii="Arial" w:hAnsi="Arial" w:cs="Arial"/>
          <w:sz w:val="18"/>
          <w:szCs w:val="18"/>
        </w:rPr>
        <w:t xml:space="preserve"> </w:t>
      </w:r>
    </w:p>
  </w:endnote>
  <w:endnote w:id="24">
    <w:p w14:paraId="10496B19" w14:textId="07A1F052"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37E46" w:rsidRPr="00BD22C2">
        <w:rPr>
          <w:rFonts w:ascii="Arial" w:hAnsi="Arial" w:cs="Arial"/>
          <w:sz w:val="18"/>
          <w:szCs w:val="18"/>
          <w:lang w:val="fr-CA"/>
        </w:rPr>
        <w:tab/>
      </w:r>
      <w:r w:rsidR="007F724E" w:rsidRPr="00BD22C2">
        <w:rPr>
          <w:rFonts w:ascii="Arial" w:hAnsi="Arial" w:cs="Arial"/>
          <w:smallCaps/>
          <w:sz w:val="18"/>
          <w:szCs w:val="18"/>
          <w:lang w:val="fr-CA"/>
        </w:rPr>
        <w:t>Commission des droits de la personne et des droits de la jeunesse</w:t>
      </w:r>
      <w:r w:rsidR="007F724E" w:rsidRPr="00BD22C2">
        <w:rPr>
          <w:rFonts w:ascii="Arial" w:hAnsi="Arial" w:cs="Arial"/>
          <w:sz w:val="18"/>
          <w:szCs w:val="18"/>
          <w:lang w:val="fr-CA"/>
        </w:rPr>
        <w:t xml:space="preserve">, </w:t>
      </w:r>
      <w:r w:rsidR="001727EC" w:rsidRPr="00BD22C2">
        <w:rPr>
          <w:rFonts w:ascii="Arial" w:hAnsi="Arial" w:cs="Arial"/>
          <w:sz w:val="18"/>
          <w:szCs w:val="18"/>
          <w:lang w:val="fr-CA"/>
        </w:rPr>
        <w:t>«</w:t>
      </w:r>
      <w:r w:rsidR="00444FEB">
        <w:rPr>
          <w:rFonts w:ascii="Arial" w:hAnsi="Arial" w:cs="Arial"/>
          <w:sz w:val="18"/>
          <w:szCs w:val="18"/>
          <w:lang w:val="fr-CA"/>
        </w:rPr>
        <w:t> </w:t>
      </w:r>
      <w:r w:rsidR="001727EC" w:rsidRPr="00BD22C2">
        <w:rPr>
          <w:rFonts w:ascii="Arial" w:hAnsi="Arial" w:cs="Arial"/>
          <w:sz w:val="18"/>
          <w:szCs w:val="18"/>
          <w:lang w:val="fr-CA"/>
        </w:rPr>
        <w:t>S’allier pour l’égalité des personnes LGBTQI+</w:t>
      </w:r>
      <w:r w:rsidR="00444FEB">
        <w:rPr>
          <w:rFonts w:ascii="Arial" w:hAnsi="Arial" w:cs="Arial"/>
          <w:sz w:val="18"/>
          <w:szCs w:val="18"/>
          <w:lang w:val="fr-CA"/>
        </w:rPr>
        <w:t> </w:t>
      </w:r>
      <w:r w:rsidR="001727EC" w:rsidRPr="00BD22C2">
        <w:rPr>
          <w:rFonts w:ascii="Arial" w:hAnsi="Arial" w:cs="Arial"/>
          <w:sz w:val="18"/>
          <w:szCs w:val="18"/>
          <w:lang w:val="fr-CA"/>
        </w:rPr>
        <w:t xml:space="preserve">», [En ligne]. </w:t>
      </w:r>
      <w:hyperlink r:id="rId14" w:history="1">
        <w:r w:rsidR="0082683A" w:rsidRPr="0085310E">
          <w:rPr>
            <w:rStyle w:val="Lienhypertexte"/>
            <w:rFonts w:ascii="Arial" w:hAnsi="Arial" w:cs="Arial"/>
            <w:sz w:val="18"/>
            <w:szCs w:val="18"/>
          </w:rPr>
          <w:t>https://www.cdpdj.qc.ca/fr/nos-services/outils-en-ligne/formations-en-ligne</w:t>
        </w:r>
      </w:hyperlink>
      <w:r w:rsidR="0082683A" w:rsidRPr="0085310E">
        <w:rPr>
          <w:rFonts w:ascii="Arial" w:hAnsi="Arial" w:cs="Arial"/>
          <w:sz w:val="18"/>
          <w:szCs w:val="18"/>
        </w:rPr>
        <w:t xml:space="preserve"> </w:t>
      </w:r>
    </w:p>
  </w:endnote>
  <w:endnote w:id="25">
    <w:p w14:paraId="60F32490" w14:textId="439B8C0F" w:rsidR="009D3DD6" w:rsidRPr="00BD22C2" w:rsidRDefault="009D3DD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vertAlign w:val="superscript"/>
          <w:lang w:val="fr-CA"/>
        </w:rPr>
        <w:t xml:space="preserve"> </w:t>
      </w:r>
      <w:r w:rsidRPr="00BD22C2">
        <w:rPr>
          <w:rFonts w:ascii="Arial" w:hAnsi="Arial" w:cs="Arial"/>
          <w:sz w:val="18"/>
          <w:szCs w:val="18"/>
          <w:vertAlign w:val="superscript"/>
          <w:lang w:val="fr-CA"/>
        </w:rPr>
        <w:tab/>
      </w:r>
      <w:r w:rsidRPr="00BD22C2">
        <w:rPr>
          <w:rStyle w:val="NoteBasPageCar"/>
          <w:smallCaps/>
          <w:lang w:val="fr-CA"/>
        </w:rPr>
        <w:t>Gouvernement du Québec</w:t>
      </w:r>
      <w:r w:rsidRPr="00BD22C2">
        <w:rPr>
          <w:rStyle w:val="NoteBasPageCar"/>
          <w:lang w:val="fr-CA"/>
        </w:rPr>
        <w:t xml:space="preserve">, </w:t>
      </w:r>
      <w:r w:rsidRPr="00BD22C2">
        <w:rPr>
          <w:rStyle w:val="NoteBasPageCar"/>
          <w:i/>
          <w:lang w:val="fr-CA"/>
        </w:rPr>
        <w:t>Plan d’action gouvernementale de lutte contre l’homophobie et la transphobie 2023-2028</w:t>
      </w:r>
      <w:r w:rsidRPr="00BD22C2">
        <w:rPr>
          <w:rStyle w:val="NoteBasPageCar"/>
          <w:lang w:val="fr-CA"/>
        </w:rPr>
        <w:t xml:space="preserve">, 2023, [En ligne]. </w:t>
      </w:r>
      <w:hyperlink r:id="rId15" w:history="1">
        <w:r w:rsidRPr="00BD22C2">
          <w:rPr>
            <w:rStyle w:val="Lienhypertexte"/>
            <w:rFonts w:ascii="Arial" w:hAnsi="Arial" w:cs="Arial"/>
            <w:sz w:val="18"/>
            <w:szCs w:val="18"/>
            <w:lang w:val="fr-CA"/>
          </w:rPr>
          <w:t>https://cdn-contenu.quebec.ca/cdn-contenu/adm/gouv/homophobie-transphobie/PL-plan-action-homophobie-transphobie-2023-2028-BLCHT.pdf</w:t>
        </w:r>
      </w:hyperlink>
      <w:r w:rsidRPr="00BD22C2">
        <w:rPr>
          <w:rStyle w:val="NoteBasPageCar"/>
          <w:lang w:val="fr-CA"/>
        </w:rPr>
        <w:t xml:space="preserve"> (mesures 10 et 11)</w:t>
      </w:r>
    </w:p>
  </w:endnote>
  <w:endnote w:id="26">
    <w:p w14:paraId="377842C5" w14:textId="0BE3D3C6" w:rsidR="009D3DD6" w:rsidRPr="0085310E" w:rsidRDefault="009D3DD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E60A9F" w:rsidRPr="00BD22C2">
        <w:rPr>
          <w:rFonts w:ascii="Arial" w:hAnsi="Arial" w:cs="Arial"/>
          <w:sz w:val="18"/>
          <w:szCs w:val="18"/>
          <w:lang w:val="fr-CA"/>
        </w:rPr>
        <w:tab/>
      </w:r>
      <w:r w:rsidR="00195851" w:rsidRPr="00BD22C2">
        <w:rPr>
          <w:rFonts w:ascii="Arial" w:hAnsi="Arial" w:cs="Arial"/>
          <w:smallCaps/>
          <w:sz w:val="18"/>
          <w:szCs w:val="18"/>
          <w:lang w:val="fr-CA"/>
        </w:rPr>
        <w:t>Gouvernement du Québec</w:t>
      </w:r>
      <w:r w:rsidR="00195851" w:rsidRPr="00BD22C2">
        <w:rPr>
          <w:rFonts w:ascii="Arial" w:hAnsi="Arial" w:cs="Arial"/>
          <w:sz w:val="18"/>
          <w:szCs w:val="18"/>
          <w:lang w:val="fr-CA"/>
        </w:rPr>
        <w:t xml:space="preserve">, </w:t>
      </w:r>
      <w:r w:rsidR="003F1B0A" w:rsidRPr="00BD22C2">
        <w:rPr>
          <w:rFonts w:ascii="Arial" w:hAnsi="Arial" w:cs="Arial"/>
          <w:i/>
          <w:iCs/>
          <w:sz w:val="18"/>
          <w:szCs w:val="18"/>
          <w:lang w:val="fr-CA"/>
        </w:rPr>
        <w:t>Plan d</w:t>
      </w:r>
      <w:r w:rsidR="006F1F40">
        <w:rPr>
          <w:rFonts w:ascii="Arial" w:hAnsi="Arial" w:cs="Arial"/>
          <w:i/>
          <w:iCs/>
          <w:sz w:val="18"/>
          <w:szCs w:val="18"/>
          <w:lang w:val="fr-CA"/>
        </w:rPr>
        <w:t>’</w:t>
      </w:r>
      <w:r w:rsidR="003F1B0A" w:rsidRPr="00BD22C2">
        <w:rPr>
          <w:rFonts w:ascii="Arial" w:hAnsi="Arial" w:cs="Arial"/>
          <w:i/>
          <w:iCs/>
          <w:sz w:val="18"/>
          <w:szCs w:val="18"/>
          <w:lang w:val="fr-CA"/>
        </w:rPr>
        <w:t>action gouvernemental pour prévenir et contrer les thérapies de conversion</w:t>
      </w:r>
      <w:r w:rsidR="0091080B">
        <w:rPr>
          <w:rFonts w:ascii="Arial" w:hAnsi="Arial" w:cs="Arial"/>
          <w:i/>
          <w:iCs/>
          <w:sz w:val="18"/>
          <w:szCs w:val="18"/>
          <w:lang w:val="fr-CA"/>
        </w:rPr>
        <w:t> </w:t>
      </w:r>
      <w:r w:rsidR="003F1B0A" w:rsidRPr="00BD22C2">
        <w:rPr>
          <w:rFonts w:ascii="Arial" w:hAnsi="Arial" w:cs="Arial"/>
          <w:i/>
          <w:iCs/>
          <w:sz w:val="18"/>
          <w:szCs w:val="18"/>
          <w:lang w:val="fr-CA"/>
        </w:rPr>
        <w:t>2021-2023</w:t>
      </w:r>
      <w:r w:rsidR="003F1B0A" w:rsidRPr="00BD22C2">
        <w:rPr>
          <w:rFonts w:ascii="Arial" w:hAnsi="Arial" w:cs="Arial"/>
          <w:sz w:val="18"/>
          <w:szCs w:val="18"/>
          <w:lang w:val="fr-CA"/>
        </w:rPr>
        <w:t xml:space="preserve">, </w:t>
      </w:r>
      <w:r w:rsidR="00F04B5E" w:rsidRPr="00BD22C2">
        <w:rPr>
          <w:rFonts w:ascii="Arial" w:hAnsi="Arial" w:cs="Arial"/>
          <w:sz w:val="18"/>
          <w:szCs w:val="18"/>
          <w:lang w:val="fr-CA"/>
        </w:rPr>
        <w:t xml:space="preserve">2021, [En ligne]. </w:t>
      </w:r>
      <w:hyperlink r:id="rId16" w:history="1">
        <w:r w:rsidR="0060438E" w:rsidRPr="0085310E">
          <w:rPr>
            <w:rStyle w:val="Lienhypertexte"/>
            <w:rFonts w:ascii="Arial" w:hAnsi="Arial" w:cs="Arial"/>
            <w:sz w:val="18"/>
            <w:szCs w:val="18"/>
          </w:rPr>
          <w:t>https://cdn-contenu.quebec.ca/cdn-contenu/adm/gouv/homophobie-transphobie/PL-plan-action-therapies-conversion-Bilan-mars2022-SCF.pdf</w:t>
        </w:r>
      </w:hyperlink>
      <w:r w:rsidR="0060438E" w:rsidRPr="0085310E">
        <w:rPr>
          <w:rFonts w:ascii="Arial" w:hAnsi="Arial" w:cs="Arial"/>
          <w:sz w:val="18"/>
          <w:szCs w:val="18"/>
        </w:rPr>
        <w:t xml:space="preserve"> </w:t>
      </w:r>
    </w:p>
  </w:endnote>
  <w:endnote w:id="27">
    <w:p w14:paraId="32B450B1" w14:textId="581D1CAC" w:rsidR="009D3DD6" w:rsidRPr="00773E0B" w:rsidRDefault="009D3DD6"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E60A9F" w:rsidRPr="00BD22C2">
        <w:rPr>
          <w:rFonts w:ascii="Arial" w:hAnsi="Arial" w:cs="Arial"/>
          <w:sz w:val="18"/>
          <w:szCs w:val="18"/>
          <w:lang w:val="fr-CA"/>
        </w:rPr>
        <w:tab/>
      </w:r>
      <w:r w:rsidR="00126896" w:rsidRPr="00773E0B">
        <w:rPr>
          <w:rFonts w:ascii="Arial" w:hAnsi="Arial" w:cs="Arial"/>
          <w:sz w:val="18"/>
          <w:szCs w:val="18"/>
          <w:lang w:val="fr-CA"/>
        </w:rPr>
        <w:t>Charte, art.</w:t>
      </w:r>
      <w:r w:rsidR="0091080B">
        <w:rPr>
          <w:rFonts w:ascii="Arial" w:hAnsi="Arial" w:cs="Arial"/>
          <w:sz w:val="18"/>
          <w:szCs w:val="18"/>
          <w:lang w:val="fr-CA"/>
        </w:rPr>
        <w:t> </w:t>
      </w:r>
      <w:r w:rsidR="00126896" w:rsidRPr="00773E0B">
        <w:rPr>
          <w:rFonts w:ascii="Arial" w:hAnsi="Arial" w:cs="Arial"/>
          <w:sz w:val="18"/>
          <w:szCs w:val="18"/>
          <w:lang w:val="fr-CA"/>
        </w:rPr>
        <w:t>71 (1), (2)</w:t>
      </w:r>
      <w:r w:rsidR="00703113" w:rsidRPr="00773E0B">
        <w:rPr>
          <w:rFonts w:ascii="Arial" w:hAnsi="Arial" w:cs="Arial"/>
          <w:sz w:val="18"/>
          <w:szCs w:val="18"/>
          <w:lang w:val="fr-CA"/>
        </w:rPr>
        <w:t>. Voir aussi</w:t>
      </w:r>
      <w:r w:rsidR="00D13A33" w:rsidRPr="00773E0B">
        <w:rPr>
          <w:rFonts w:ascii="Arial" w:hAnsi="Arial" w:cs="Arial"/>
          <w:sz w:val="18"/>
          <w:szCs w:val="18"/>
          <w:lang w:val="fr-CA"/>
        </w:rPr>
        <w:t>, entre autres,</w:t>
      </w:r>
      <w:r w:rsidR="00703113" w:rsidRPr="00773E0B">
        <w:rPr>
          <w:rFonts w:ascii="Arial" w:hAnsi="Arial" w:cs="Arial"/>
          <w:sz w:val="18"/>
          <w:szCs w:val="18"/>
          <w:lang w:val="fr-CA"/>
        </w:rPr>
        <w:t xml:space="preserve"> les articles</w:t>
      </w:r>
      <w:r w:rsidR="0091080B">
        <w:rPr>
          <w:rFonts w:ascii="Arial" w:hAnsi="Arial" w:cs="Arial"/>
          <w:sz w:val="18"/>
          <w:szCs w:val="18"/>
          <w:lang w:val="fr-CA"/>
        </w:rPr>
        <w:t> </w:t>
      </w:r>
      <w:r w:rsidR="00703113" w:rsidRPr="00773E0B">
        <w:rPr>
          <w:rFonts w:ascii="Arial" w:hAnsi="Arial" w:cs="Arial"/>
          <w:sz w:val="18"/>
          <w:szCs w:val="18"/>
          <w:lang w:val="fr-CA"/>
        </w:rPr>
        <w:t>74, 79 et 80</w:t>
      </w:r>
      <w:r w:rsidR="00D13A33" w:rsidRPr="00773E0B">
        <w:rPr>
          <w:rFonts w:ascii="Arial" w:hAnsi="Arial" w:cs="Arial"/>
          <w:sz w:val="18"/>
          <w:szCs w:val="18"/>
          <w:lang w:val="fr-CA"/>
        </w:rPr>
        <w:t xml:space="preserve">. </w:t>
      </w:r>
    </w:p>
  </w:endnote>
  <w:endnote w:id="28">
    <w:p w14:paraId="199DC955" w14:textId="77777777" w:rsidR="00DB52B8" w:rsidRPr="00773E0B" w:rsidRDefault="00DB52B8" w:rsidP="00A71971">
      <w:pPr>
        <w:pStyle w:val="Notedefin"/>
        <w:tabs>
          <w:tab w:val="left" w:pos="709"/>
        </w:tabs>
        <w:spacing w:after="120" w:line="240" w:lineRule="auto"/>
        <w:ind w:left="709" w:hanging="709"/>
        <w:rPr>
          <w:rFonts w:ascii="Arial" w:hAnsi="Arial" w:cs="Arial"/>
          <w:sz w:val="18"/>
          <w:szCs w:val="18"/>
          <w:lang w:val="fr-CA"/>
        </w:rPr>
      </w:pPr>
      <w:r w:rsidRPr="00773E0B">
        <w:rPr>
          <w:rStyle w:val="Appeldenotedefin"/>
          <w:rFonts w:ascii="Arial" w:hAnsi="Arial" w:cs="Arial"/>
          <w:sz w:val="18"/>
          <w:szCs w:val="18"/>
          <w:lang w:val="fr-CA"/>
        </w:rPr>
        <w:endnoteRef/>
      </w:r>
      <w:r w:rsidRPr="00773E0B">
        <w:rPr>
          <w:rFonts w:ascii="Arial" w:hAnsi="Arial" w:cs="Arial"/>
          <w:sz w:val="18"/>
          <w:szCs w:val="18"/>
          <w:lang w:val="fr-CA"/>
        </w:rPr>
        <w:t xml:space="preserve"> </w:t>
      </w:r>
      <w:r w:rsidRPr="00773E0B">
        <w:rPr>
          <w:rFonts w:ascii="Arial" w:hAnsi="Arial" w:cs="Arial"/>
          <w:sz w:val="18"/>
          <w:szCs w:val="18"/>
          <w:lang w:val="fr-CA"/>
        </w:rPr>
        <w:tab/>
        <w:t>Charte, art. 71 (4), (5), (6) et (7).</w:t>
      </w:r>
    </w:p>
  </w:endnote>
  <w:endnote w:id="29">
    <w:p w14:paraId="55418936" w14:textId="4BFE203B" w:rsidR="00DB52B8" w:rsidRPr="00BD22C2" w:rsidRDefault="00DB52B8" w:rsidP="00A71971">
      <w:pPr>
        <w:pStyle w:val="Notedefin"/>
        <w:tabs>
          <w:tab w:val="left" w:pos="709"/>
        </w:tabs>
        <w:spacing w:after="120" w:line="240" w:lineRule="auto"/>
        <w:ind w:left="709" w:hanging="709"/>
        <w:rPr>
          <w:rFonts w:ascii="Arial" w:hAnsi="Arial" w:cs="Arial"/>
          <w:sz w:val="18"/>
          <w:szCs w:val="18"/>
          <w:lang w:val="fr-CA"/>
        </w:rPr>
      </w:pPr>
      <w:r w:rsidRPr="00773E0B">
        <w:rPr>
          <w:rStyle w:val="Appeldenotedefin"/>
          <w:rFonts w:ascii="Arial" w:hAnsi="Arial" w:cs="Arial"/>
          <w:sz w:val="18"/>
          <w:szCs w:val="18"/>
          <w:lang w:val="fr-CA"/>
        </w:rPr>
        <w:endnoteRef/>
      </w:r>
      <w:r w:rsidRPr="00773E0B">
        <w:rPr>
          <w:rFonts w:ascii="Arial" w:hAnsi="Arial" w:cs="Arial"/>
          <w:sz w:val="18"/>
          <w:szCs w:val="18"/>
          <w:lang w:val="fr-CA"/>
        </w:rPr>
        <w:t xml:space="preserve"> </w:t>
      </w:r>
      <w:r w:rsidRPr="00773E0B">
        <w:rPr>
          <w:rFonts w:ascii="Arial" w:hAnsi="Arial" w:cs="Arial"/>
          <w:sz w:val="18"/>
          <w:szCs w:val="18"/>
          <w:lang w:val="fr-CA"/>
        </w:rPr>
        <w:tab/>
        <w:t>L</w:t>
      </w:r>
      <w:r w:rsidR="00C84998" w:rsidRPr="00773E0B">
        <w:rPr>
          <w:rFonts w:ascii="Arial" w:hAnsi="Arial" w:cs="Arial"/>
          <w:sz w:val="18"/>
          <w:szCs w:val="18"/>
          <w:lang w:val="fr-CA"/>
        </w:rPr>
        <w:t>.p.j.</w:t>
      </w:r>
      <w:r w:rsidRPr="00773E0B">
        <w:rPr>
          <w:rFonts w:ascii="Arial" w:hAnsi="Arial" w:cs="Arial"/>
          <w:sz w:val="18"/>
          <w:szCs w:val="18"/>
          <w:lang w:val="fr-CA"/>
        </w:rPr>
        <w:t>, art. 23.</w:t>
      </w:r>
      <w:r w:rsidRPr="00BD22C2">
        <w:rPr>
          <w:rFonts w:ascii="Arial" w:hAnsi="Arial" w:cs="Arial"/>
          <w:sz w:val="18"/>
          <w:szCs w:val="18"/>
          <w:lang w:val="fr-CA"/>
        </w:rPr>
        <w:t xml:space="preserve">  </w:t>
      </w:r>
    </w:p>
  </w:endnote>
  <w:endnote w:id="30">
    <w:p w14:paraId="74224838" w14:textId="3BFD1607" w:rsidR="00ED57A6" w:rsidRPr="0085310E" w:rsidRDefault="00ED57A6"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945E5A" w:rsidRPr="00BD22C2">
        <w:rPr>
          <w:rFonts w:ascii="Arial" w:hAnsi="Arial" w:cs="Arial"/>
          <w:smallCaps/>
          <w:sz w:val="18"/>
          <w:szCs w:val="18"/>
          <w:lang w:val="fr-CA"/>
        </w:rPr>
        <w:t>Gouvernement du Québec</w:t>
      </w:r>
      <w:r w:rsidR="00945E5A" w:rsidRPr="00BD22C2">
        <w:rPr>
          <w:rFonts w:ascii="Arial" w:hAnsi="Arial" w:cs="Arial"/>
          <w:sz w:val="18"/>
          <w:szCs w:val="18"/>
          <w:lang w:val="fr-CA"/>
        </w:rPr>
        <w:t xml:space="preserve">, </w:t>
      </w:r>
      <w:r w:rsidR="00945E5A" w:rsidRPr="00BD22C2">
        <w:rPr>
          <w:rFonts w:ascii="Arial" w:hAnsi="Arial" w:cs="Arial"/>
          <w:smallCaps/>
          <w:sz w:val="18"/>
          <w:szCs w:val="18"/>
          <w:lang w:val="fr-CA"/>
        </w:rPr>
        <w:t>Cabinet de la ministre de la famille</w:t>
      </w:r>
      <w:r w:rsidR="00945E5A" w:rsidRPr="00BD22C2">
        <w:rPr>
          <w:rFonts w:ascii="Arial" w:hAnsi="Arial" w:cs="Arial"/>
          <w:sz w:val="18"/>
          <w:szCs w:val="18"/>
          <w:lang w:val="fr-CA"/>
        </w:rPr>
        <w:t xml:space="preserve">, « Mise sur pied du Comité de sages sur l’identité de genre », </w:t>
      </w:r>
      <w:r w:rsidR="006A574E" w:rsidRPr="00BD22C2">
        <w:rPr>
          <w:rFonts w:ascii="Arial" w:hAnsi="Arial" w:cs="Arial"/>
          <w:sz w:val="18"/>
          <w:szCs w:val="18"/>
          <w:lang w:val="fr-CA"/>
        </w:rPr>
        <w:t xml:space="preserve">Communiqué, </w:t>
      </w:r>
      <w:r w:rsidR="00945E5A" w:rsidRPr="00BD22C2">
        <w:rPr>
          <w:rFonts w:ascii="Arial" w:hAnsi="Arial" w:cs="Arial"/>
          <w:sz w:val="18"/>
          <w:szCs w:val="18"/>
          <w:lang w:val="fr-CA"/>
        </w:rPr>
        <w:t>5</w:t>
      </w:r>
      <w:r w:rsidR="00762FE8">
        <w:rPr>
          <w:rFonts w:ascii="Arial" w:hAnsi="Arial" w:cs="Arial"/>
          <w:sz w:val="18"/>
          <w:szCs w:val="18"/>
          <w:lang w:val="fr-CA"/>
        </w:rPr>
        <w:t> </w:t>
      </w:r>
      <w:r w:rsidR="00945E5A" w:rsidRPr="00BD22C2">
        <w:rPr>
          <w:rFonts w:ascii="Arial" w:hAnsi="Arial" w:cs="Arial"/>
          <w:sz w:val="18"/>
          <w:szCs w:val="18"/>
          <w:lang w:val="fr-CA"/>
        </w:rPr>
        <w:t xml:space="preserve">décembre 2023, [En ligne]. </w:t>
      </w:r>
      <w:hyperlink r:id="rId17" w:history="1">
        <w:r w:rsidR="00945E5A" w:rsidRPr="0085310E">
          <w:rPr>
            <w:rStyle w:val="Lienhypertexte"/>
            <w:rFonts w:ascii="Arial" w:hAnsi="Arial" w:cs="Arial"/>
            <w:sz w:val="18"/>
            <w:szCs w:val="18"/>
          </w:rPr>
          <w:t>https://www.quebec.ca/nouvelles/actualites/details/mise-sur-pied-du-comite-de-sages-sur-lidentite-de-genre-52578</w:t>
        </w:r>
      </w:hyperlink>
    </w:p>
  </w:endnote>
  <w:endnote w:id="31">
    <w:p w14:paraId="5D799C0E" w14:textId="5B96BCE7" w:rsidR="008234F4" w:rsidRPr="00BD22C2" w:rsidRDefault="008234F4"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EB408D" w:rsidRPr="00BD22C2">
        <w:rPr>
          <w:rFonts w:ascii="Arial" w:hAnsi="Arial" w:cs="Arial"/>
          <w:sz w:val="18"/>
          <w:szCs w:val="18"/>
          <w:lang w:val="fr-CA"/>
        </w:rPr>
        <w:tab/>
      </w:r>
      <w:r w:rsidR="00EB408D" w:rsidRPr="00BD22C2">
        <w:rPr>
          <w:rFonts w:ascii="Arial" w:hAnsi="Arial" w:cs="Arial"/>
          <w:smallCaps/>
          <w:sz w:val="18"/>
          <w:szCs w:val="18"/>
          <w:lang w:val="fr-CA"/>
        </w:rPr>
        <w:t>Commission des droits de la personne et des droits de la jeunesse</w:t>
      </w:r>
      <w:r w:rsidR="00EB408D" w:rsidRPr="00BD22C2">
        <w:rPr>
          <w:rFonts w:ascii="Arial" w:hAnsi="Arial" w:cs="Arial"/>
          <w:sz w:val="18"/>
          <w:szCs w:val="18"/>
          <w:lang w:val="fr-CA"/>
        </w:rPr>
        <w:t xml:space="preserve">, </w:t>
      </w:r>
      <w:r w:rsidR="00DB0026" w:rsidRPr="005E4FF5">
        <w:rPr>
          <w:rFonts w:ascii="Arial" w:hAnsi="Arial" w:cs="Arial"/>
          <w:i/>
          <w:iCs/>
          <w:sz w:val="18"/>
          <w:szCs w:val="18"/>
          <w:lang w:val="fr-CA"/>
        </w:rPr>
        <w:t xml:space="preserve">Lettre </w:t>
      </w:r>
      <w:r w:rsidR="00104C19" w:rsidRPr="005E4FF5">
        <w:rPr>
          <w:rFonts w:ascii="Arial" w:hAnsi="Arial" w:cs="Arial"/>
          <w:i/>
          <w:iCs/>
          <w:sz w:val="18"/>
          <w:szCs w:val="18"/>
          <w:lang w:val="fr-CA"/>
        </w:rPr>
        <w:t>du 19</w:t>
      </w:r>
      <w:r w:rsidR="00762FE8">
        <w:rPr>
          <w:rFonts w:ascii="Arial" w:hAnsi="Arial" w:cs="Arial"/>
          <w:i/>
          <w:iCs/>
          <w:sz w:val="18"/>
          <w:szCs w:val="18"/>
          <w:lang w:val="fr-CA"/>
        </w:rPr>
        <w:t> </w:t>
      </w:r>
      <w:r w:rsidR="00104C19" w:rsidRPr="005E4FF5">
        <w:rPr>
          <w:rFonts w:ascii="Arial" w:hAnsi="Arial" w:cs="Arial"/>
          <w:i/>
          <w:iCs/>
          <w:sz w:val="18"/>
          <w:szCs w:val="18"/>
          <w:lang w:val="fr-CA"/>
        </w:rPr>
        <w:t xml:space="preserve">janvier 2024 </w:t>
      </w:r>
      <w:r w:rsidR="00DB0026" w:rsidRPr="005E4FF5">
        <w:rPr>
          <w:rFonts w:ascii="Arial" w:hAnsi="Arial" w:cs="Arial"/>
          <w:i/>
          <w:iCs/>
          <w:sz w:val="18"/>
          <w:szCs w:val="18"/>
          <w:lang w:val="fr-CA"/>
        </w:rPr>
        <w:t>adressée à madame Diane Lavallée</w:t>
      </w:r>
      <w:r w:rsidR="00104C19" w:rsidRPr="005E4FF5">
        <w:rPr>
          <w:rFonts w:ascii="Arial" w:hAnsi="Arial" w:cs="Arial"/>
          <w:i/>
          <w:iCs/>
          <w:sz w:val="18"/>
          <w:szCs w:val="18"/>
          <w:lang w:val="fr-CA"/>
        </w:rPr>
        <w:t>, présidente du Comité de sages sur l’identité de genre, ayant pour objet «</w:t>
      </w:r>
      <w:r w:rsidR="00974BD5" w:rsidRPr="005E4FF5">
        <w:rPr>
          <w:rFonts w:ascii="Arial" w:hAnsi="Arial" w:cs="Arial"/>
          <w:i/>
          <w:iCs/>
          <w:sz w:val="18"/>
          <w:szCs w:val="18"/>
          <w:lang w:val="fr-CA"/>
        </w:rPr>
        <w:t> </w:t>
      </w:r>
      <w:r w:rsidR="00104C19" w:rsidRPr="005E4FF5">
        <w:rPr>
          <w:rFonts w:ascii="Arial" w:hAnsi="Arial" w:cs="Arial"/>
          <w:i/>
          <w:iCs/>
          <w:sz w:val="18"/>
          <w:szCs w:val="18"/>
          <w:lang w:val="fr-CA"/>
        </w:rPr>
        <w:t>Suite de notre rencontre du 15</w:t>
      </w:r>
      <w:r w:rsidR="00762FE8">
        <w:rPr>
          <w:rFonts w:ascii="Arial" w:hAnsi="Arial" w:cs="Arial"/>
          <w:i/>
          <w:iCs/>
          <w:sz w:val="18"/>
          <w:szCs w:val="18"/>
          <w:lang w:val="fr-CA"/>
        </w:rPr>
        <w:t> </w:t>
      </w:r>
      <w:r w:rsidR="00104C19" w:rsidRPr="005E4FF5">
        <w:rPr>
          <w:rFonts w:ascii="Arial" w:hAnsi="Arial" w:cs="Arial"/>
          <w:i/>
          <w:iCs/>
          <w:sz w:val="18"/>
          <w:szCs w:val="18"/>
          <w:lang w:val="fr-CA"/>
        </w:rPr>
        <w:t>janvier 2024</w:t>
      </w:r>
      <w:r w:rsidR="00974BD5" w:rsidRPr="005E4FF5">
        <w:rPr>
          <w:rFonts w:ascii="Arial" w:hAnsi="Arial" w:cs="Arial"/>
          <w:i/>
          <w:iCs/>
          <w:sz w:val="18"/>
          <w:szCs w:val="18"/>
          <w:lang w:val="fr-CA"/>
        </w:rPr>
        <w:t> </w:t>
      </w:r>
      <w:r w:rsidR="00104C19" w:rsidRPr="005E4FF5">
        <w:rPr>
          <w:rFonts w:ascii="Arial" w:hAnsi="Arial" w:cs="Arial"/>
          <w:i/>
          <w:iCs/>
          <w:sz w:val="18"/>
          <w:szCs w:val="18"/>
          <w:lang w:val="fr-CA"/>
        </w:rPr>
        <w:t>»</w:t>
      </w:r>
      <w:r w:rsidR="002650CE" w:rsidRPr="00BD22C2">
        <w:rPr>
          <w:rFonts w:ascii="Arial" w:hAnsi="Arial" w:cs="Arial"/>
          <w:sz w:val="18"/>
          <w:szCs w:val="18"/>
          <w:lang w:val="fr-CA"/>
        </w:rPr>
        <w:t xml:space="preserve">, [En ligne]. </w:t>
      </w:r>
      <w:hyperlink r:id="rId18" w:history="1">
        <w:r w:rsidR="002650CE" w:rsidRPr="00BD22C2">
          <w:rPr>
            <w:rStyle w:val="Lienhypertexte"/>
            <w:rFonts w:ascii="Arial" w:hAnsi="Arial" w:cs="Arial"/>
            <w:sz w:val="18"/>
            <w:szCs w:val="18"/>
            <w:lang w:val="fr-CA"/>
          </w:rPr>
          <w:t>https://www.cdpdj.qc.ca/fr/publications/lettre-identite-genre</w:t>
        </w:r>
      </w:hyperlink>
      <w:r w:rsidR="002650CE" w:rsidRPr="00BD22C2">
        <w:rPr>
          <w:rFonts w:ascii="Arial" w:hAnsi="Arial" w:cs="Arial"/>
          <w:sz w:val="18"/>
          <w:szCs w:val="18"/>
          <w:lang w:val="fr-CA"/>
        </w:rPr>
        <w:t xml:space="preserve"> </w:t>
      </w:r>
    </w:p>
  </w:endnote>
  <w:endnote w:id="32">
    <w:p w14:paraId="0BA9E62C" w14:textId="7F1AA56B" w:rsidR="008234F4" w:rsidRPr="0085310E" w:rsidRDefault="008234F4" w:rsidP="00A71971">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EB408D" w:rsidRPr="00BD22C2">
        <w:rPr>
          <w:rFonts w:ascii="Arial" w:hAnsi="Arial" w:cs="Arial"/>
          <w:sz w:val="18"/>
          <w:szCs w:val="18"/>
          <w:lang w:val="fr-CA"/>
        </w:rPr>
        <w:tab/>
      </w:r>
      <w:r w:rsidR="005E20C7" w:rsidRPr="00BD22C2">
        <w:rPr>
          <w:rFonts w:ascii="Arial" w:hAnsi="Arial" w:cs="Arial"/>
          <w:sz w:val="18"/>
          <w:szCs w:val="18"/>
          <w:lang w:val="fr-CA"/>
        </w:rPr>
        <w:t xml:space="preserve">François </w:t>
      </w:r>
      <w:r w:rsidR="005E20C7" w:rsidRPr="000A5F13">
        <w:rPr>
          <w:rFonts w:ascii="Arial" w:hAnsi="Arial" w:cs="Arial"/>
          <w:smallCaps/>
          <w:sz w:val="18"/>
          <w:szCs w:val="18"/>
          <w:lang w:val="fr-CA"/>
        </w:rPr>
        <w:t>Carabin</w:t>
      </w:r>
      <w:r w:rsidR="005E20C7" w:rsidRPr="00BD22C2">
        <w:rPr>
          <w:rFonts w:ascii="Arial" w:hAnsi="Arial" w:cs="Arial"/>
          <w:sz w:val="18"/>
          <w:szCs w:val="18"/>
          <w:lang w:val="fr-CA"/>
        </w:rPr>
        <w:t>, «</w:t>
      </w:r>
      <w:r w:rsidR="00974BD5" w:rsidRPr="00BD22C2">
        <w:rPr>
          <w:rFonts w:ascii="Arial" w:hAnsi="Arial" w:cs="Arial"/>
          <w:sz w:val="18"/>
          <w:szCs w:val="18"/>
          <w:lang w:val="fr-CA"/>
        </w:rPr>
        <w:t> </w:t>
      </w:r>
      <w:r w:rsidR="00240331" w:rsidRPr="00BD22C2">
        <w:rPr>
          <w:rFonts w:ascii="Arial" w:hAnsi="Arial" w:cs="Arial"/>
          <w:sz w:val="18"/>
          <w:szCs w:val="18"/>
          <w:lang w:val="fr-CA"/>
        </w:rPr>
        <w:t>Le marqueur de genre «X» autorisé sur les cartes d’identité au Québec</w:t>
      </w:r>
      <w:r w:rsidR="00974BD5" w:rsidRPr="00BD22C2">
        <w:rPr>
          <w:rFonts w:ascii="Arial" w:hAnsi="Arial" w:cs="Arial"/>
          <w:sz w:val="18"/>
          <w:szCs w:val="18"/>
          <w:lang w:val="fr-CA"/>
        </w:rPr>
        <w:t> </w:t>
      </w:r>
      <w:r w:rsidR="00240331" w:rsidRPr="00BD22C2">
        <w:rPr>
          <w:rFonts w:ascii="Arial" w:hAnsi="Arial" w:cs="Arial"/>
          <w:sz w:val="18"/>
          <w:szCs w:val="18"/>
          <w:lang w:val="fr-CA"/>
        </w:rPr>
        <w:t xml:space="preserve">», </w:t>
      </w:r>
      <w:r w:rsidR="00240331" w:rsidRPr="00BD22C2">
        <w:rPr>
          <w:rFonts w:ascii="Arial" w:hAnsi="Arial" w:cs="Arial"/>
          <w:i/>
          <w:sz w:val="18"/>
          <w:szCs w:val="18"/>
          <w:lang w:val="fr-CA"/>
        </w:rPr>
        <w:t>Le Devoir</w:t>
      </w:r>
      <w:r w:rsidR="00240331" w:rsidRPr="00BD22C2">
        <w:rPr>
          <w:rFonts w:ascii="Arial" w:hAnsi="Arial" w:cs="Arial"/>
          <w:sz w:val="18"/>
          <w:szCs w:val="18"/>
          <w:lang w:val="fr-CA"/>
        </w:rPr>
        <w:t>, 4</w:t>
      </w:r>
      <w:r w:rsidR="00762FE8">
        <w:rPr>
          <w:rFonts w:ascii="Arial" w:hAnsi="Arial" w:cs="Arial"/>
          <w:sz w:val="18"/>
          <w:szCs w:val="18"/>
          <w:lang w:val="fr-CA"/>
        </w:rPr>
        <w:t> </w:t>
      </w:r>
      <w:r w:rsidR="00240331" w:rsidRPr="00BD22C2">
        <w:rPr>
          <w:rFonts w:ascii="Arial" w:hAnsi="Arial" w:cs="Arial"/>
          <w:sz w:val="18"/>
          <w:szCs w:val="18"/>
          <w:lang w:val="fr-CA"/>
        </w:rPr>
        <w:t xml:space="preserve">mars 2024, [En ligne]. </w:t>
      </w:r>
      <w:hyperlink r:id="rId19" w:history="1">
        <w:r w:rsidR="005A17A7" w:rsidRPr="0085310E">
          <w:rPr>
            <w:rStyle w:val="Lienhypertexte"/>
            <w:rFonts w:ascii="Arial" w:hAnsi="Arial" w:cs="Arial"/>
            <w:sz w:val="18"/>
            <w:szCs w:val="18"/>
          </w:rPr>
          <w:t>https://www.ledevoir.com/politique/quebec/808374/quebec-autorise-personnes-non-binaires-utiliser-sigle-x-documents-identite</w:t>
        </w:r>
      </w:hyperlink>
      <w:r w:rsidR="005A17A7" w:rsidRPr="0085310E">
        <w:rPr>
          <w:rFonts w:ascii="Arial" w:hAnsi="Arial" w:cs="Arial"/>
          <w:sz w:val="18"/>
          <w:szCs w:val="18"/>
        </w:rPr>
        <w:t xml:space="preserve"> </w:t>
      </w:r>
    </w:p>
  </w:endnote>
  <w:endnote w:id="33">
    <w:p w14:paraId="3D27B0B6" w14:textId="0A7ED801" w:rsidR="00EB408D" w:rsidRPr="00BD22C2" w:rsidRDefault="00EB408D"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D4323D" w:rsidRPr="00BD22C2">
        <w:rPr>
          <w:rFonts w:ascii="Arial" w:hAnsi="Arial" w:cs="Arial"/>
          <w:i/>
          <w:sz w:val="18"/>
          <w:szCs w:val="18"/>
          <w:lang w:val="fr-CA"/>
        </w:rPr>
        <w:t>Procureur général du Québec</w:t>
      </w:r>
      <w:r w:rsidR="00D4323D" w:rsidRPr="00BD22C2">
        <w:rPr>
          <w:rFonts w:ascii="Arial" w:hAnsi="Arial" w:cs="Arial"/>
          <w:sz w:val="18"/>
          <w:szCs w:val="18"/>
          <w:lang w:val="fr-CA"/>
        </w:rPr>
        <w:t xml:space="preserve"> c. </w:t>
      </w:r>
      <w:r w:rsidR="00D4323D" w:rsidRPr="00BD22C2">
        <w:rPr>
          <w:rFonts w:ascii="Arial" w:hAnsi="Arial" w:cs="Arial"/>
          <w:i/>
          <w:sz w:val="18"/>
          <w:szCs w:val="18"/>
          <w:lang w:val="fr-CA"/>
        </w:rPr>
        <w:t>Centre de lutte contre l</w:t>
      </w:r>
      <w:r w:rsidR="003B361F" w:rsidRPr="00BD22C2">
        <w:rPr>
          <w:rFonts w:ascii="Arial" w:hAnsi="Arial" w:cs="Arial"/>
          <w:i/>
          <w:sz w:val="18"/>
          <w:szCs w:val="18"/>
          <w:lang w:val="fr-CA"/>
        </w:rPr>
        <w:t>’</w:t>
      </w:r>
      <w:r w:rsidR="00D4323D" w:rsidRPr="00BD22C2">
        <w:rPr>
          <w:rFonts w:ascii="Arial" w:hAnsi="Arial" w:cs="Arial"/>
          <w:i/>
          <w:sz w:val="18"/>
          <w:szCs w:val="18"/>
          <w:lang w:val="fr-CA"/>
        </w:rPr>
        <w:t>oppression des genres</w:t>
      </w:r>
      <w:r w:rsidR="00D4323D" w:rsidRPr="00BD22C2">
        <w:rPr>
          <w:rFonts w:ascii="Arial" w:hAnsi="Arial" w:cs="Arial"/>
          <w:sz w:val="18"/>
          <w:szCs w:val="18"/>
          <w:lang w:val="fr-CA"/>
        </w:rPr>
        <w:t>, 2024</w:t>
      </w:r>
      <w:r w:rsidR="00B32B61">
        <w:rPr>
          <w:rFonts w:ascii="Arial" w:hAnsi="Arial" w:cs="Arial"/>
          <w:sz w:val="18"/>
          <w:szCs w:val="18"/>
          <w:lang w:val="fr-CA"/>
        </w:rPr>
        <w:t> </w:t>
      </w:r>
      <w:r w:rsidR="00D4323D" w:rsidRPr="00BD22C2">
        <w:rPr>
          <w:rFonts w:ascii="Arial" w:hAnsi="Arial" w:cs="Arial"/>
          <w:sz w:val="18"/>
          <w:szCs w:val="18"/>
          <w:lang w:val="fr-CA"/>
        </w:rPr>
        <w:t>QCCA</w:t>
      </w:r>
      <w:r w:rsidR="00CC76DE" w:rsidRPr="00BD22C2">
        <w:rPr>
          <w:rFonts w:ascii="Arial" w:hAnsi="Arial" w:cs="Arial"/>
          <w:sz w:val="18"/>
          <w:szCs w:val="18"/>
          <w:lang w:val="fr-CA"/>
        </w:rPr>
        <w:t> </w:t>
      </w:r>
      <w:r w:rsidR="00D4323D" w:rsidRPr="00BD22C2">
        <w:rPr>
          <w:rFonts w:ascii="Arial" w:hAnsi="Arial" w:cs="Arial"/>
          <w:sz w:val="18"/>
          <w:szCs w:val="18"/>
          <w:lang w:val="fr-CA"/>
        </w:rPr>
        <w:t>348</w:t>
      </w:r>
    </w:p>
  </w:endnote>
  <w:endnote w:id="34">
    <w:p w14:paraId="491139A0" w14:textId="56584087" w:rsidR="006637BD" w:rsidRPr="0085310E"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Déclaration : La Charte des droits et libertés du Québec protège les personnes issues de la diversité sexuelle et de genre</w:t>
      </w:r>
      <w:r w:rsidRPr="00BD22C2">
        <w:rPr>
          <w:rFonts w:ascii="Arial" w:hAnsi="Arial" w:cs="Arial"/>
          <w:sz w:val="18"/>
          <w:szCs w:val="18"/>
          <w:lang w:val="fr-CA"/>
        </w:rPr>
        <w:t>, 21</w:t>
      </w:r>
      <w:r w:rsidR="00762FE8">
        <w:rPr>
          <w:rFonts w:ascii="Arial" w:hAnsi="Arial" w:cs="Arial"/>
          <w:sz w:val="18"/>
          <w:szCs w:val="18"/>
          <w:lang w:val="fr-CA"/>
        </w:rPr>
        <w:t> </w:t>
      </w:r>
      <w:r w:rsidRPr="00BD22C2">
        <w:rPr>
          <w:rFonts w:ascii="Arial" w:hAnsi="Arial" w:cs="Arial"/>
          <w:sz w:val="18"/>
          <w:szCs w:val="18"/>
          <w:lang w:val="fr-CA"/>
        </w:rPr>
        <w:t xml:space="preserve">septembre 2023, [En ligne]. </w:t>
      </w:r>
      <w:hyperlink r:id="rId20" w:history="1">
        <w:r w:rsidRPr="0085310E">
          <w:rPr>
            <w:rStyle w:val="Lienhypertexte"/>
            <w:rFonts w:ascii="Arial" w:hAnsi="Arial" w:cs="Arial"/>
            <w:sz w:val="18"/>
            <w:szCs w:val="18"/>
            <w:lang w:val="fr-CA"/>
          </w:rPr>
          <w:t>https://www.cdpdj.qc.ca/fr/actualites/declaration-propos-transphobes</w:t>
        </w:r>
      </w:hyperlink>
      <w:r w:rsidRPr="0085310E">
        <w:rPr>
          <w:rFonts w:ascii="Arial" w:hAnsi="Arial" w:cs="Arial"/>
          <w:sz w:val="18"/>
          <w:szCs w:val="18"/>
          <w:lang w:val="fr-CA"/>
        </w:rPr>
        <w:t xml:space="preserve"> </w:t>
      </w:r>
    </w:p>
  </w:endnote>
  <w:endnote w:id="35">
    <w:p w14:paraId="34DC8F55" w14:textId="5EE7A77D"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Mila </w:t>
      </w:r>
      <w:r w:rsidRPr="00BD22C2">
        <w:rPr>
          <w:rFonts w:ascii="Arial" w:hAnsi="Arial" w:cs="Arial"/>
          <w:smallCaps/>
          <w:sz w:val="18"/>
          <w:szCs w:val="18"/>
          <w:lang w:val="fr-CA"/>
        </w:rPr>
        <w:t xml:space="preserve">Kingsbury </w:t>
      </w:r>
      <w:r w:rsidRPr="00BD22C2">
        <w:rPr>
          <w:rFonts w:ascii="Arial" w:hAnsi="Arial" w:cs="Arial"/>
          <w:sz w:val="18"/>
          <w:szCs w:val="18"/>
          <w:lang w:val="fr-CA"/>
        </w:rPr>
        <w:t xml:space="preserve">et Rubab </w:t>
      </w:r>
      <w:r w:rsidRPr="00BD22C2">
        <w:rPr>
          <w:rFonts w:ascii="Arial" w:hAnsi="Arial" w:cs="Arial"/>
          <w:smallCaps/>
          <w:sz w:val="18"/>
          <w:szCs w:val="18"/>
          <w:lang w:val="fr-CA"/>
        </w:rPr>
        <w:t>Arim</w:t>
      </w:r>
      <w:r w:rsidRPr="00BD22C2">
        <w:rPr>
          <w:rFonts w:ascii="Arial" w:hAnsi="Arial" w:cs="Arial"/>
          <w:sz w:val="18"/>
          <w:szCs w:val="18"/>
          <w:lang w:val="fr-CA"/>
        </w:rPr>
        <w:t>, «</w:t>
      </w:r>
      <w:r w:rsidR="00974BD5" w:rsidRPr="00BD22C2">
        <w:rPr>
          <w:rFonts w:ascii="Arial" w:hAnsi="Arial" w:cs="Arial"/>
          <w:sz w:val="18"/>
          <w:szCs w:val="18"/>
          <w:lang w:val="fr-CA"/>
        </w:rPr>
        <w:t> </w:t>
      </w:r>
      <w:r w:rsidRPr="00BD22C2">
        <w:rPr>
          <w:rFonts w:ascii="Arial" w:hAnsi="Arial" w:cs="Arial"/>
          <w:sz w:val="18"/>
          <w:szCs w:val="18"/>
          <w:lang w:val="fr-CA"/>
        </w:rPr>
        <w:t>La cybervictimisation et la santé mentale chez les jeunes Canadiens</w:t>
      </w:r>
      <w:r w:rsidR="00974BD5" w:rsidRPr="00BD22C2">
        <w:rPr>
          <w:rFonts w:ascii="Arial" w:hAnsi="Arial" w:cs="Arial"/>
          <w:sz w:val="18"/>
          <w:szCs w:val="18"/>
          <w:lang w:val="fr-CA"/>
        </w:rPr>
        <w:t> </w:t>
      </w:r>
      <w:r w:rsidRPr="00BD22C2">
        <w:rPr>
          <w:rFonts w:ascii="Arial" w:hAnsi="Arial" w:cs="Arial"/>
          <w:sz w:val="18"/>
          <w:szCs w:val="18"/>
          <w:lang w:val="fr-CA"/>
        </w:rPr>
        <w:t xml:space="preserve">», Statistique Canada, 2023, [En ligne]. </w:t>
      </w:r>
      <w:hyperlink r:id="rId21" w:history="1">
        <w:r w:rsidR="00FF0551" w:rsidRPr="00BD22C2">
          <w:rPr>
            <w:rStyle w:val="Lienhypertexte"/>
            <w:rFonts w:ascii="Arial" w:hAnsi="Arial" w:cs="Arial"/>
            <w:sz w:val="18"/>
            <w:szCs w:val="18"/>
            <w:lang w:val="fr-CA"/>
          </w:rPr>
          <w:t>https://www150.statcan.gc.ca/n1/fr/pub/82-003-x/2023009/article/00001-fra.pdf?st=kZzi-QRr</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Statistique Canada</w:t>
      </w:r>
      <w:r w:rsidRPr="00BD22C2">
        <w:rPr>
          <w:rFonts w:ascii="Arial" w:hAnsi="Arial" w:cs="Arial"/>
          <w:sz w:val="18"/>
          <w:szCs w:val="18"/>
          <w:lang w:val="fr-CA"/>
        </w:rPr>
        <w:t>, «</w:t>
      </w:r>
      <w:r w:rsidR="00974BD5" w:rsidRPr="00BD22C2">
        <w:rPr>
          <w:rFonts w:ascii="Arial" w:hAnsi="Arial" w:cs="Arial"/>
          <w:sz w:val="18"/>
          <w:szCs w:val="18"/>
          <w:lang w:val="fr-CA"/>
        </w:rPr>
        <w:t> </w:t>
      </w:r>
      <w:r w:rsidRPr="00BD22C2">
        <w:rPr>
          <w:rFonts w:ascii="Arial" w:hAnsi="Arial" w:cs="Arial"/>
          <w:sz w:val="18"/>
          <w:szCs w:val="18"/>
          <w:lang w:val="fr-CA"/>
        </w:rPr>
        <w:t>Les crimes haineux déclarés par la police, 2021</w:t>
      </w:r>
      <w:r w:rsidR="00974BD5" w:rsidRPr="00BD22C2">
        <w:rPr>
          <w:rFonts w:ascii="Arial" w:hAnsi="Arial" w:cs="Arial"/>
          <w:sz w:val="18"/>
          <w:szCs w:val="18"/>
          <w:lang w:val="fr-CA"/>
        </w:rPr>
        <w:t> </w:t>
      </w:r>
      <w:r w:rsidRPr="00BD22C2">
        <w:rPr>
          <w:rFonts w:ascii="Arial" w:hAnsi="Arial" w:cs="Arial"/>
          <w:sz w:val="18"/>
          <w:szCs w:val="18"/>
          <w:lang w:val="fr-CA"/>
        </w:rPr>
        <w:t xml:space="preserve">», </w:t>
      </w:r>
      <w:r w:rsidR="00743670" w:rsidRPr="00BD22C2">
        <w:rPr>
          <w:rFonts w:ascii="Arial" w:hAnsi="Arial" w:cs="Arial"/>
          <w:i/>
          <w:iCs/>
          <w:sz w:val="18"/>
          <w:szCs w:val="18"/>
          <w:lang w:val="fr-CA"/>
        </w:rPr>
        <w:t>Le Quotidien</w:t>
      </w:r>
      <w:r w:rsidR="00743670" w:rsidRPr="00BD22C2">
        <w:rPr>
          <w:rFonts w:ascii="Arial" w:hAnsi="Arial" w:cs="Arial"/>
          <w:sz w:val="18"/>
          <w:szCs w:val="18"/>
          <w:lang w:val="fr-CA"/>
        </w:rPr>
        <w:t xml:space="preserve">, </w:t>
      </w:r>
      <w:r w:rsidRPr="00BD22C2">
        <w:rPr>
          <w:rFonts w:ascii="Arial" w:hAnsi="Arial" w:cs="Arial"/>
          <w:sz w:val="18"/>
          <w:szCs w:val="18"/>
          <w:lang w:val="fr-CA"/>
        </w:rPr>
        <w:t xml:space="preserve">2023, [En ligne]. </w:t>
      </w:r>
      <w:hyperlink r:id="rId22" w:history="1">
        <w:r w:rsidRPr="00BD22C2">
          <w:rPr>
            <w:rStyle w:val="Lienhypertexte"/>
            <w:rFonts w:ascii="Arial" w:hAnsi="Arial" w:cs="Arial"/>
            <w:sz w:val="18"/>
            <w:szCs w:val="18"/>
            <w:lang w:val="fr-CA"/>
          </w:rPr>
          <w:t>https://www150.statcan.gc.ca/n1/fr/daily-quotidien/230322/dq230322a-fra.pdf?st=gsKlB8ui</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Darcy </w:t>
      </w:r>
      <w:r w:rsidRPr="00BD22C2">
        <w:rPr>
          <w:rFonts w:ascii="Arial" w:hAnsi="Arial" w:cs="Arial"/>
          <w:smallCaps/>
          <w:sz w:val="18"/>
          <w:szCs w:val="18"/>
          <w:lang w:val="fr-CA"/>
        </w:rPr>
        <w:t>Hango</w:t>
      </w:r>
      <w:r w:rsidRPr="00BD22C2">
        <w:rPr>
          <w:rFonts w:ascii="Arial" w:hAnsi="Arial" w:cs="Arial"/>
          <w:sz w:val="18"/>
          <w:szCs w:val="18"/>
          <w:lang w:val="fr-CA"/>
        </w:rPr>
        <w:t xml:space="preserve"> et Melissa </w:t>
      </w:r>
      <w:r w:rsidRPr="00BD22C2">
        <w:rPr>
          <w:rFonts w:ascii="Arial" w:hAnsi="Arial" w:cs="Arial"/>
          <w:smallCaps/>
          <w:sz w:val="18"/>
          <w:szCs w:val="18"/>
          <w:lang w:val="fr-CA"/>
        </w:rPr>
        <w:t>Moyser</w:t>
      </w:r>
      <w:r w:rsidRPr="00BD22C2">
        <w:rPr>
          <w:rFonts w:ascii="Arial" w:hAnsi="Arial" w:cs="Arial"/>
          <w:sz w:val="18"/>
          <w:szCs w:val="18"/>
          <w:lang w:val="fr-CA"/>
        </w:rPr>
        <w:t>, «</w:t>
      </w:r>
      <w:r w:rsidR="00974BD5" w:rsidRPr="00BD22C2">
        <w:rPr>
          <w:rFonts w:ascii="Arial" w:hAnsi="Arial" w:cs="Arial"/>
          <w:sz w:val="18"/>
          <w:szCs w:val="18"/>
          <w:lang w:val="fr-CA"/>
        </w:rPr>
        <w:t> </w:t>
      </w:r>
      <w:r w:rsidRPr="00BD22C2">
        <w:rPr>
          <w:rFonts w:ascii="Arial" w:hAnsi="Arial" w:cs="Arial"/>
          <w:sz w:val="18"/>
          <w:szCs w:val="18"/>
          <w:lang w:val="fr-CA"/>
        </w:rPr>
        <w:t>Harcèlement en milieu de travail au Canada</w:t>
      </w:r>
      <w:r w:rsidR="00974BD5" w:rsidRPr="00BD22C2">
        <w:rPr>
          <w:rFonts w:ascii="Arial" w:hAnsi="Arial" w:cs="Arial"/>
          <w:sz w:val="18"/>
          <w:szCs w:val="18"/>
          <w:lang w:val="fr-CA"/>
        </w:rPr>
        <w:t> </w:t>
      </w:r>
      <w:r w:rsidRPr="00BD22C2">
        <w:rPr>
          <w:rFonts w:ascii="Arial" w:hAnsi="Arial" w:cs="Arial"/>
          <w:sz w:val="18"/>
          <w:szCs w:val="18"/>
          <w:lang w:val="fr-CA"/>
        </w:rPr>
        <w:t xml:space="preserve">», Statistique Canada, 2018, [En ligne]. </w:t>
      </w:r>
      <w:hyperlink r:id="rId23" w:history="1">
        <w:r w:rsidRPr="00BD22C2">
          <w:rPr>
            <w:rStyle w:val="Lienhypertexte"/>
            <w:rFonts w:ascii="Arial" w:hAnsi="Arial" w:cs="Arial"/>
            <w:sz w:val="18"/>
            <w:szCs w:val="18"/>
            <w:lang w:val="fr-CA"/>
          </w:rPr>
          <w:t>https://www150.statcan.gc.ca/n1/pub/75-006-x/2018001/article/54982-fra.pdf</w:t>
        </w:r>
      </w:hyperlink>
      <w:r w:rsidR="00CF0C74" w:rsidRPr="00BD22C2">
        <w:rPr>
          <w:rFonts w:ascii="Arial" w:hAnsi="Arial" w:cs="Arial"/>
          <w:sz w:val="18"/>
          <w:szCs w:val="18"/>
          <w:lang w:val="fr-CA"/>
        </w:rPr>
        <w:t> </w:t>
      </w:r>
      <w:r w:rsidRPr="00BD22C2">
        <w:rPr>
          <w:rFonts w:ascii="Arial" w:hAnsi="Arial" w:cs="Arial"/>
          <w:sz w:val="18"/>
          <w:szCs w:val="18"/>
          <w:lang w:val="fr-CA"/>
        </w:rPr>
        <w:t>; Projet SAVIE-LGBTQ, «</w:t>
      </w:r>
      <w:r w:rsidR="00974BD5" w:rsidRPr="00BD22C2">
        <w:rPr>
          <w:rFonts w:ascii="Arial" w:hAnsi="Arial" w:cs="Arial"/>
          <w:sz w:val="18"/>
          <w:szCs w:val="18"/>
          <w:lang w:val="fr-CA"/>
        </w:rPr>
        <w:t> </w:t>
      </w:r>
      <w:r w:rsidRPr="00BD22C2">
        <w:rPr>
          <w:rFonts w:ascii="Arial" w:hAnsi="Arial" w:cs="Arial"/>
          <w:sz w:val="18"/>
          <w:szCs w:val="18"/>
          <w:lang w:val="fr-CA"/>
        </w:rPr>
        <w:t>Intimidation et discrimination en milieu scolaire</w:t>
      </w:r>
      <w:r w:rsidR="00974BD5" w:rsidRPr="00BD22C2">
        <w:rPr>
          <w:rFonts w:ascii="Arial" w:hAnsi="Arial" w:cs="Arial"/>
          <w:sz w:val="18"/>
          <w:szCs w:val="18"/>
          <w:lang w:val="fr-CA"/>
        </w:rPr>
        <w:t> </w:t>
      </w:r>
      <w:r w:rsidRPr="00BD22C2">
        <w:rPr>
          <w:rFonts w:ascii="Arial" w:hAnsi="Arial" w:cs="Arial"/>
          <w:sz w:val="18"/>
          <w:szCs w:val="18"/>
          <w:lang w:val="fr-CA"/>
        </w:rPr>
        <w:t xml:space="preserve">», Infographie, [En ligne]. </w:t>
      </w:r>
      <w:hyperlink r:id="rId24" w:history="1">
        <w:r w:rsidR="00E37547" w:rsidRPr="0085310E">
          <w:rPr>
            <w:rStyle w:val="Lienhypertexte"/>
            <w:rFonts w:ascii="Arial" w:hAnsi="Arial" w:cs="Arial"/>
            <w:sz w:val="18"/>
            <w:szCs w:val="18"/>
          </w:rPr>
          <w:t>https://savie-lgbtq.uqam.ca/wp-content/uploads/2022/08/19_aout_milieu_scolaire.jpg</w:t>
        </w:r>
      </w:hyperlink>
      <w:r w:rsidRPr="0085310E">
        <w:rPr>
          <w:rFonts w:ascii="Arial" w:hAnsi="Arial" w:cs="Arial"/>
          <w:sz w:val="18"/>
          <w:szCs w:val="18"/>
        </w:rPr>
        <w:t xml:space="preserve"> </w:t>
      </w:r>
    </w:p>
  </w:endnote>
  <w:endnote w:id="36">
    <w:p w14:paraId="0C73926A" w14:textId="7AE28EDF"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Gouvernement du Nouveau-Brunswick</w:t>
      </w:r>
      <w:r w:rsidRPr="00BD22C2">
        <w:rPr>
          <w:rFonts w:ascii="Arial" w:hAnsi="Arial" w:cs="Arial"/>
          <w:sz w:val="18"/>
          <w:szCs w:val="18"/>
          <w:lang w:val="fr-CA"/>
        </w:rPr>
        <w:t xml:space="preserve">, </w:t>
      </w:r>
      <w:r w:rsidR="00A73CF0" w:rsidRPr="00BD22C2">
        <w:rPr>
          <w:rFonts w:ascii="Arial" w:hAnsi="Arial" w:cs="Arial"/>
          <w:sz w:val="18"/>
          <w:szCs w:val="18"/>
          <w:lang w:val="fr-CA"/>
        </w:rPr>
        <w:t>«</w:t>
      </w:r>
      <w:r w:rsidR="00F2620F" w:rsidRPr="00BD22C2">
        <w:rPr>
          <w:rFonts w:ascii="Arial" w:hAnsi="Arial" w:cs="Arial"/>
          <w:sz w:val="18"/>
          <w:szCs w:val="18"/>
          <w:lang w:val="fr-CA"/>
        </w:rPr>
        <w:t> </w:t>
      </w:r>
      <w:r w:rsidRPr="00BD22C2">
        <w:rPr>
          <w:rFonts w:ascii="Arial" w:hAnsi="Arial" w:cs="Arial"/>
          <w:sz w:val="18"/>
          <w:szCs w:val="18"/>
          <w:lang w:val="fr-CA"/>
        </w:rPr>
        <w:t>La politique</w:t>
      </w:r>
      <w:r w:rsidR="00CC76DE" w:rsidRPr="00BD22C2">
        <w:rPr>
          <w:rFonts w:ascii="Arial" w:hAnsi="Arial" w:cs="Arial"/>
          <w:sz w:val="18"/>
          <w:szCs w:val="18"/>
          <w:lang w:val="fr-CA"/>
        </w:rPr>
        <w:t> </w:t>
      </w:r>
      <w:r w:rsidRPr="00BD22C2">
        <w:rPr>
          <w:rFonts w:ascii="Arial" w:hAnsi="Arial" w:cs="Arial"/>
          <w:sz w:val="18"/>
          <w:szCs w:val="18"/>
          <w:lang w:val="fr-CA"/>
        </w:rPr>
        <w:t>713 clarifiée à la suite de consultations</w:t>
      </w:r>
      <w:r w:rsidR="00CF0C74" w:rsidRPr="00BD22C2">
        <w:rPr>
          <w:rFonts w:ascii="Arial" w:hAnsi="Arial" w:cs="Arial"/>
          <w:sz w:val="18"/>
          <w:szCs w:val="18"/>
          <w:lang w:val="fr-CA"/>
        </w:rPr>
        <w:t> </w:t>
      </w:r>
      <w:r w:rsidRPr="00BD22C2">
        <w:rPr>
          <w:rFonts w:ascii="Arial" w:hAnsi="Arial" w:cs="Arial"/>
          <w:sz w:val="18"/>
          <w:szCs w:val="18"/>
          <w:lang w:val="fr-CA"/>
        </w:rPr>
        <w:t xml:space="preserve">; le rôle des parents </w:t>
      </w:r>
      <w:r w:rsidR="00A73CF0" w:rsidRPr="00BD22C2">
        <w:rPr>
          <w:rFonts w:ascii="Arial" w:hAnsi="Arial" w:cs="Arial"/>
          <w:sz w:val="18"/>
          <w:szCs w:val="18"/>
          <w:lang w:val="fr-CA"/>
        </w:rPr>
        <w:t>reconnu</w:t>
      </w:r>
      <w:r w:rsidR="00F2620F" w:rsidRPr="00BD22C2">
        <w:rPr>
          <w:rFonts w:ascii="Arial" w:hAnsi="Arial" w:cs="Arial"/>
          <w:sz w:val="18"/>
          <w:szCs w:val="18"/>
          <w:lang w:val="fr-CA"/>
        </w:rPr>
        <w:t> </w:t>
      </w:r>
      <w:r w:rsidR="00A73CF0" w:rsidRPr="00BD22C2">
        <w:rPr>
          <w:rFonts w:ascii="Arial" w:hAnsi="Arial" w:cs="Arial"/>
          <w:sz w:val="18"/>
          <w:szCs w:val="18"/>
          <w:lang w:val="fr-CA"/>
        </w:rPr>
        <w:t>», Communiqué</w:t>
      </w:r>
      <w:r w:rsidR="00B554AD" w:rsidRPr="00BD22C2">
        <w:rPr>
          <w:rFonts w:ascii="Arial" w:hAnsi="Arial" w:cs="Arial"/>
          <w:sz w:val="18"/>
          <w:szCs w:val="18"/>
          <w:lang w:val="fr-CA"/>
        </w:rPr>
        <w:t>,</w:t>
      </w:r>
      <w:r w:rsidRPr="00BD22C2">
        <w:rPr>
          <w:rFonts w:ascii="Arial" w:hAnsi="Arial" w:cs="Arial"/>
          <w:sz w:val="18"/>
          <w:szCs w:val="18"/>
          <w:lang w:val="fr-CA"/>
        </w:rPr>
        <w:t xml:space="preserve"> 8</w:t>
      </w:r>
      <w:r w:rsidR="00762FE8">
        <w:rPr>
          <w:rFonts w:ascii="Arial" w:hAnsi="Arial" w:cs="Arial"/>
          <w:sz w:val="18"/>
          <w:szCs w:val="18"/>
          <w:lang w:val="fr-CA"/>
        </w:rPr>
        <w:t> </w:t>
      </w:r>
      <w:r w:rsidRPr="00BD22C2">
        <w:rPr>
          <w:rFonts w:ascii="Arial" w:hAnsi="Arial" w:cs="Arial"/>
          <w:sz w:val="18"/>
          <w:szCs w:val="18"/>
          <w:lang w:val="fr-CA"/>
        </w:rPr>
        <w:t xml:space="preserve">juin 2023, [En ligne]. </w:t>
      </w:r>
      <w:hyperlink r:id="rId25" w:history="1">
        <w:r w:rsidRPr="00BD22C2">
          <w:rPr>
            <w:rStyle w:val="Lienhypertexte"/>
            <w:rFonts w:ascii="Arial" w:hAnsi="Arial" w:cs="Arial"/>
            <w:sz w:val="18"/>
            <w:szCs w:val="18"/>
            <w:lang w:val="fr-CA"/>
          </w:rPr>
          <w:t>https://www2.gnb.ca/content/gnb/fr/nouvelles/communique.2023.06.0297.html</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Loi modifiant la Loi de 1995 sur l’éducation</w:t>
      </w:r>
      <w:r w:rsidR="001E795A" w:rsidRPr="00BD22C2">
        <w:rPr>
          <w:rFonts w:ascii="Arial" w:hAnsi="Arial" w:cs="Arial"/>
          <w:i/>
          <w:sz w:val="18"/>
          <w:szCs w:val="18"/>
          <w:lang w:val="fr-CA"/>
        </w:rPr>
        <w:t xml:space="preserve"> </w:t>
      </w:r>
      <w:r w:rsidRPr="00BD22C2">
        <w:rPr>
          <w:rFonts w:ascii="Arial" w:hAnsi="Arial" w:cs="Arial"/>
          <w:i/>
          <w:sz w:val="18"/>
          <w:szCs w:val="18"/>
          <w:lang w:val="fr-CA"/>
        </w:rPr>
        <w:t>en ce qui concerne les droits parentaux</w:t>
      </w:r>
      <w:r w:rsidRPr="00BD22C2">
        <w:rPr>
          <w:rFonts w:ascii="Arial" w:hAnsi="Arial" w:cs="Arial"/>
          <w:sz w:val="18"/>
          <w:szCs w:val="18"/>
          <w:lang w:val="fr-CA"/>
        </w:rPr>
        <w:t xml:space="preserve">, </w:t>
      </w:r>
      <w:r w:rsidR="003301C5" w:rsidRPr="00BD22C2">
        <w:rPr>
          <w:rFonts w:ascii="Arial" w:hAnsi="Arial" w:cs="Arial"/>
          <w:sz w:val="18"/>
          <w:szCs w:val="18"/>
          <w:lang w:val="fr-CA"/>
        </w:rPr>
        <w:t>L.S</w:t>
      </w:r>
      <w:r w:rsidR="00FD78EB" w:rsidRPr="00BD22C2">
        <w:rPr>
          <w:rFonts w:ascii="Arial" w:hAnsi="Arial" w:cs="Arial"/>
          <w:sz w:val="18"/>
          <w:szCs w:val="18"/>
          <w:lang w:val="fr-CA"/>
        </w:rPr>
        <w:t>, 2023,</w:t>
      </w:r>
      <w:r w:rsidR="00E11CA3" w:rsidRPr="00BD22C2">
        <w:rPr>
          <w:rFonts w:ascii="Arial" w:hAnsi="Arial" w:cs="Arial"/>
          <w:sz w:val="18"/>
          <w:szCs w:val="18"/>
          <w:lang w:val="fr-CA"/>
        </w:rPr>
        <w:t xml:space="preserve"> </w:t>
      </w:r>
      <w:r w:rsidRPr="00BD22C2">
        <w:rPr>
          <w:rFonts w:ascii="Arial" w:hAnsi="Arial" w:cs="Arial"/>
          <w:sz w:val="18"/>
          <w:szCs w:val="18"/>
          <w:lang w:val="fr-CA"/>
        </w:rPr>
        <w:t>c.</w:t>
      </w:r>
      <w:r w:rsidR="0091080B">
        <w:rPr>
          <w:rFonts w:ascii="Arial" w:hAnsi="Arial" w:cs="Arial"/>
          <w:sz w:val="18"/>
          <w:szCs w:val="18"/>
          <w:lang w:val="fr-CA"/>
        </w:rPr>
        <w:t> </w:t>
      </w:r>
      <w:r w:rsidRPr="00BD22C2">
        <w:rPr>
          <w:rFonts w:ascii="Arial" w:hAnsi="Arial" w:cs="Arial"/>
          <w:sz w:val="18"/>
          <w:szCs w:val="18"/>
          <w:lang w:val="fr-CA"/>
        </w:rPr>
        <w:t>46</w:t>
      </w:r>
      <w:r w:rsidR="00FD78EB" w:rsidRPr="00BD22C2">
        <w:rPr>
          <w:rFonts w:ascii="Arial" w:hAnsi="Arial" w:cs="Arial"/>
          <w:sz w:val="18"/>
          <w:szCs w:val="18"/>
          <w:lang w:val="fr-CA"/>
        </w:rPr>
        <w:t xml:space="preserve">. [En ligne]. </w:t>
      </w:r>
      <w:hyperlink r:id="rId26" w:anchor="/products/122292" w:history="1">
        <w:r w:rsidRPr="00BD22C2">
          <w:rPr>
            <w:rStyle w:val="Lienhypertexte"/>
            <w:rFonts w:ascii="Arial" w:hAnsi="Arial" w:cs="Arial"/>
            <w:sz w:val="18"/>
            <w:szCs w:val="18"/>
            <w:lang w:val="fr-CA"/>
          </w:rPr>
          <w:t>https://publications.saskatchewan.ca/#/products/122292</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Gouvernement de l’Alberta</w:t>
      </w:r>
      <w:r w:rsidRPr="00BD22C2">
        <w:rPr>
          <w:rFonts w:ascii="Arial" w:hAnsi="Arial" w:cs="Arial"/>
          <w:sz w:val="18"/>
          <w:szCs w:val="18"/>
          <w:lang w:val="fr-CA"/>
        </w:rPr>
        <w:t xml:space="preserve">, </w:t>
      </w:r>
      <w:r w:rsidRPr="00BD22C2">
        <w:rPr>
          <w:rFonts w:ascii="Arial" w:hAnsi="Arial" w:cs="Arial"/>
          <w:i/>
          <w:sz w:val="18"/>
          <w:szCs w:val="18"/>
          <w:lang w:val="fr-CA"/>
        </w:rPr>
        <w:t>Protéger le choix des enfants et des jeunes</w:t>
      </w:r>
      <w:r w:rsidRPr="00BD22C2">
        <w:rPr>
          <w:rFonts w:ascii="Arial" w:hAnsi="Arial" w:cs="Arial"/>
          <w:sz w:val="18"/>
          <w:szCs w:val="18"/>
          <w:lang w:val="fr-CA"/>
        </w:rPr>
        <w:t>, 1</w:t>
      </w:r>
      <w:r w:rsidRPr="00BD22C2">
        <w:rPr>
          <w:rFonts w:ascii="Arial" w:hAnsi="Arial" w:cs="Arial"/>
          <w:sz w:val="18"/>
          <w:szCs w:val="18"/>
          <w:vertAlign w:val="superscript"/>
          <w:lang w:val="fr-CA"/>
        </w:rPr>
        <w:t>er</w:t>
      </w:r>
      <w:r w:rsidR="00762FE8">
        <w:rPr>
          <w:rFonts w:ascii="Arial" w:hAnsi="Arial" w:cs="Arial"/>
          <w:sz w:val="18"/>
          <w:szCs w:val="18"/>
          <w:lang w:val="fr-CA"/>
        </w:rPr>
        <w:t> </w:t>
      </w:r>
      <w:r w:rsidRPr="00BD22C2">
        <w:rPr>
          <w:rFonts w:ascii="Arial" w:hAnsi="Arial" w:cs="Arial"/>
          <w:sz w:val="18"/>
          <w:szCs w:val="18"/>
          <w:lang w:val="fr-CA"/>
        </w:rPr>
        <w:t xml:space="preserve">février 2024, [En ligne]. </w:t>
      </w:r>
      <w:hyperlink r:id="rId27" w:history="1">
        <w:r w:rsidRPr="0085310E">
          <w:rPr>
            <w:rStyle w:val="Lienhypertexte"/>
            <w:rFonts w:ascii="Arial" w:hAnsi="Arial" w:cs="Arial"/>
            <w:sz w:val="18"/>
            <w:szCs w:val="18"/>
          </w:rPr>
          <w:t>https://www.alberta.ca/release.cfm?xID=89690FEFD06CA-AC6A-E4E1-C9274DADFC0141DC</w:t>
        </w:r>
      </w:hyperlink>
      <w:r w:rsidRPr="0085310E">
        <w:rPr>
          <w:rFonts w:ascii="Arial" w:hAnsi="Arial" w:cs="Arial"/>
          <w:sz w:val="18"/>
          <w:szCs w:val="18"/>
        </w:rPr>
        <w:t xml:space="preserve"> </w:t>
      </w:r>
    </w:p>
  </w:endnote>
  <w:endnote w:id="37">
    <w:p w14:paraId="48C49A83" w14:textId="0C948EDF"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smallCaps/>
          <w:sz w:val="18"/>
          <w:szCs w:val="18"/>
          <w:lang w:val="en-CA"/>
        </w:rPr>
        <w:t>American Civil Liberties Union</w:t>
      </w:r>
      <w:r w:rsidRPr="00E16C03">
        <w:rPr>
          <w:rFonts w:ascii="Arial" w:hAnsi="Arial" w:cs="Arial"/>
          <w:sz w:val="18"/>
          <w:szCs w:val="18"/>
          <w:lang w:val="en-CA"/>
        </w:rPr>
        <w:t xml:space="preserve">, </w:t>
      </w:r>
      <w:r w:rsidRPr="00E16C03">
        <w:rPr>
          <w:rFonts w:ascii="Arial" w:hAnsi="Arial" w:cs="Arial"/>
          <w:i/>
          <w:sz w:val="18"/>
          <w:szCs w:val="18"/>
          <w:lang w:val="en-CA"/>
        </w:rPr>
        <w:t>Mapping Attacks on LGBTQ Rights in U.S. State Legislatures in 2024</w:t>
      </w:r>
      <w:r w:rsidRPr="00E16C03">
        <w:rPr>
          <w:rFonts w:ascii="Arial" w:hAnsi="Arial" w:cs="Arial"/>
          <w:sz w:val="18"/>
          <w:szCs w:val="18"/>
          <w:lang w:val="en-CA"/>
        </w:rPr>
        <w:t xml:space="preserve">, [En ligne]. </w:t>
      </w:r>
      <w:hyperlink r:id="rId28" w:history="1">
        <w:r w:rsidRPr="00BD22C2">
          <w:rPr>
            <w:rStyle w:val="Lienhypertexte"/>
            <w:rFonts w:ascii="Arial" w:hAnsi="Arial" w:cs="Arial"/>
            <w:sz w:val="18"/>
            <w:szCs w:val="18"/>
            <w:lang w:val="fr-CA"/>
          </w:rPr>
          <w:t>https://www.aclu.org/legislative-attacks-on-lgbtq-rights-2024</w:t>
        </w:r>
      </w:hyperlink>
      <w:r w:rsidRPr="00BD22C2">
        <w:rPr>
          <w:rFonts w:ascii="Arial" w:hAnsi="Arial" w:cs="Arial"/>
          <w:sz w:val="18"/>
          <w:szCs w:val="18"/>
          <w:lang w:val="fr-CA"/>
        </w:rPr>
        <w:t xml:space="preserve"> </w:t>
      </w:r>
    </w:p>
  </w:endnote>
  <w:endnote w:id="38">
    <w:p w14:paraId="4E161F21" w14:textId="2B1F50FE" w:rsidR="00FF6A42" w:rsidRPr="00BD22C2" w:rsidRDefault="00FF6A4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Commissaire aux droits de l’homme du Conseil de l’Europe</w:t>
      </w:r>
      <w:r w:rsidRPr="00BD22C2">
        <w:rPr>
          <w:rFonts w:ascii="Arial" w:hAnsi="Arial" w:cs="Arial"/>
          <w:sz w:val="18"/>
          <w:szCs w:val="18"/>
          <w:lang w:val="fr-CA"/>
        </w:rPr>
        <w:t xml:space="preserve">, </w:t>
      </w:r>
      <w:r w:rsidRPr="00BD22C2">
        <w:rPr>
          <w:rFonts w:ascii="Arial" w:hAnsi="Arial" w:cs="Arial"/>
          <w:i/>
          <w:sz w:val="18"/>
          <w:szCs w:val="18"/>
          <w:lang w:val="fr-CA"/>
        </w:rPr>
        <w:t>Document thématique sur les droits humains et l’identité et l’expression de genre : Rapport en bref</w:t>
      </w:r>
      <w:r w:rsidRPr="00BD22C2">
        <w:rPr>
          <w:rFonts w:ascii="Arial" w:hAnsi="Arial" w:cs="Arial"/>
          <w:sz w:val="18"/>
          <w:szCs w:val="18"/>
          <w:lang w:val="fr-CA"/>
        </w:rPr>
        <w:t>, 2024, p.</w:t>
      </w:r>
      <w:r w:rsidR="0091080B">
        <w:rPr>
          <w:rFonts w:ascii="Arial" w:hAnsi="Arial" w:cs="Arial"/>
          <w:sz w:val="18"/>
          <w:szCs w:val="18"/>
          <w:lang w:val="fr-CA"/>
        </w:rPr>
        <w:t> </w:t>
      </w:r>
      <w:r w:rsidRPr="00BD22C2">
        <w:rPr>
          <w:rFonts w:ascii="Arial" w:hAnsi="Arial" w:cs="Arial"/>
          <w:sz w:val="18"/>
          <w:szCs w:val="18"/>
          <w:lang w:val="fr-CA"/>
        </w:rPr>
        <w:t xml:space="preserve">2, [En ligne]. </w:t>
      </w:r>
      <w:hyperlink r:id="rId29" w:history="1">
        <w:r w:rsidRPr="00BD22C2">
          <w:rPr>
            <w:rStyle w:val="Lienhypertexte"/>
            <w:rFonts w:ascii="Arial" w:hAnsi="Arial" w:cs="Arial"/>
            <w:sz w:val="18"/>
            <w:szCs w:val="18"/>
            <w:lang w:val="fr-CA"/>
          </w:rPr>
          <w:t>https://rm.coe.int/rapport-en-bref-du-document-thematique-droits-humains-et-identite-et-e/1680aed6a8</w:t>
        </w:r>
      </w:hyperlink>
      <w:r w:rsidRPr="00BD22C2">
        <w:rPr>
          <w:rFonts w:ascii="Arial" w:hAnsi="Arial" w:cs="Arial"/>
          <w:sz w:val="18"/>
          <w:szCs w:val="18"/>
          <w:lang w:val="fr-CA"/>
        </w:rPr>
        <w:t xml:space="preserve"> Pour lire le rapport complet en anglais : </w:t>
      </w:r>
      <w:hyperlink r:id="rId30" w:history="1">
        <w:r w:rsidR="00C105A4" w:rsidRPr="00BD22C2">
          <w:rPr>
            <w:rStyle w:val="Lienhypertexte"/>
            <w:rFonts w:ascii="Arial" w:hAnsi="Arial" w:cs="Arial"/>
            <w:sz w:val="18"/>
            <w:szCs w:val="18"/>
            <w:lang w:val="fr-CA"/>
          </w:rPr>
          <w:t>https://rm.coe.int/issue-paper-on-human-rights-and-gender-identity-and-expression-by-dunj/1680aed541</w:t>
        </w:r>
      </w:hyperlink>
      <w:r w:rsidR="00C105A4" w:rsidRPr="00BD22C2">
        <w:rPr>
          <w:rFonts w:ascii="Arial" w:hAnsi="Arial" w:cs="Arial"/>
          <w:sz w:val="18"/>
          <w:szCs w:val="18"/>
          <w:lang w:val="fr-CA"/>
        </w:rPr>
        <w:t xml:space="preserve"> </w:t>
      </w:r>
    </w:p>
  </w:endnote>
  <w:endnote w:id="39">
    <w:p w14:paraId="6A96979E" w14:textId="4FD68841" w:rsidR="00FF6A42" w:rsidRPr="00E16C03" w:rsidRDefault="00FF6A42"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i/>
          <w:sz w:val="18"/>
          <w:szCs w:val="18"/>
          <w:lang w:val="en-CA"/>
        </w:rPr>
        <w:t>Id.</w:t>
      </w:r>
    </w:p>
  </w:endnote>
  <w:endnote w:id="40">
    <w:p w14:paraId="4E4EFCA3" w14:textId="184105DD" w:rsidR="00ED2FBA" w:rsidRPr="0085310E" w:rsidRDefault="00ED2FBA"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DF756F" w:rsidRPr="00E16C03">
        <w:rPr>
          <w:rFonts w:ascii="Arial" w:hAnsi="Arial" w:cs="Arial"/>
          <w:smallCaps/>
          <w:sz w:val="18"/>
          <w:szCs w:val="18"/>
          <w:lang w:val="en-CA"/>
        </w:rPr>
        <w:t>Council for Choices in Health Care in Finland (COHERE Finland)</w:t>
      </w:r>
      <w:r w:rsidR="003B7DA3" w:rsidRPr="00E16C03">
        <w:rPr>
          <w:rFonts w:ascii="Arial" w:hAnsi="Arial" w:cs="Arial"/>
          <w:sz w:val="18"/>
          <w:szCs w:val="18"/>
          <w:lang w:val="en-CA"/>
        </w:rPr>
        <w:t>,</w:t>
      </w:r>
      <w:r w:rsidR="00970C35" w:rsidRPr="00E16C03">
        <w:rPr>
          <w:rFonts w:ascii="Arial" w:hAnsi="Arial" w:cs="Arial"/>
          <w:sz w:val="18"/>
          <w:szCs w:val="18"/>
          <w:lang w:val="en-CA"/>
        </w:rPr>
        <w:t xml:space="preserve"> </w:t>
      </w:r>
      <w:r w:rsidRPr="00E16C03">
        <w:rPr>
          <w:rFonts w:ascii="Arial" w:hAnsi="Arial" w:cs="Arial"/>
          <w:sz w:val="18"/>
          <w:szCs w:val="18"/>
          <w:lang w:val="en-CA"/>
        </w:rPr>
        <w:t>«</w:t>
      </w:r>
      <w:r w:rsidR="0051216B" w:rsidRPr="00E16C03">
        <w:rPr>
          <w:rFonts w:ascii="Arial" w:hAnsi="Arial" w:cs="Arial"/>
          <w:sz w:val="18"/>
          <w:szCs w:val="18"/>
          <w:lang w:val="en-CA"/>
        </w:rPr>
        <w:t> </w:t>
      </w:r>
      <w:r w:rsidRPr="00E16C03">
        <w:rPr>
          <w:rFonts w:ascii="Arial" w:hAnsi="Arial" w:cs="Arial"/>
          <w:sz w:val="18"/>
          <w:szCs w:val="18"/>
          <w:lang w:val="en-CA"/>
        </w:rPr>
        <w:t>Medical treatment methods for dysphoria associated with variations in gender identity in minors</w:t>
      </w:r>
      <w:r w:rsidR="00B41D67" w:rsidRPr="00E16C03">
        <w:rPr>
          <w:rFonts w:ascii="Arial" w:hAnsi="Arial" w:cs="Arial"/>
          <w:sz w:val="18"/>
          <w:szCs w:val="18"/>
          <w:lang w:val="en-CA"/>
        </w:rPr>
        <w:t xml:space="preserve"> – </w:t>
      </w:r>
      <w:r w:rsidRPr="00E16C03">
        <w:rPr>
          <w:rFonts w:ascii="Arial" w:hAnsi="Arial" w:cs="Arial"/>
          <w:sz w:val="18"/>
          <w:szCs w:val="18"/>
          <w:lang w:val="en-CA"/>
        </w:rPr>
        <w:t>recommendation</w:t>
      </w:r>
      <w:r w:rsidR="0051216B" w:rsidRPr="00E16C03">
        <w:rPr>
          <w:rFonts w:ascii="Arial" w:hAnsi="Arial" w:cs="Arial"/>
          <w:sz w:val="18"/>
          <w:szCs w:val="18"/>
          <w:lang w:val="en-CA"/>
        </w:rPr>
        <w:t> </w:t>
      </w:r>
      <w:r w:rsidRPr="00E16C03">
        <w:rPr>
          <w:rFonts w:ascii="Arial" w:hAnsi="Arial" w:cs="Arial"/>
          <w:sz w:val="18"/>
          <w:szCs w:val="18"/>
          <w:lang w:val="en-CA"/>
        </w:rPr>
        <w:t xml:space="preserve">», </w:t>
      </w:r>
      <w:r w:rsidR="003B7DA3" w:rsidRPr="00E16C03">
        <w:rPr>
          <w:rFonts w:ascii="Arial" w:hAnsi="Arial" w:cs="Arial"/>
          <w:sz w:val="18"/>
          <w:szCs w:val="18"/>
          <w:lang w:val="en-CA"/>
        </w:rPr>
        <w:t>Palvelu-</w:t>
      </w:r>
      <w:r w:rsidR="003B7DA3" w:rsidRPr="00E16C03">
        <w:rPr>
          <w:rFonts w:ascii="Arial" w:hAnsi="Arial" w:cs="Arial"/>
          <w:smallCaps/>
          <w:sz w:val="18"/>
          <w:szCs w:val="18"/>
          <w:lang w:val="en-CA"/>
        </w:rPr>
        <w:t>Valikoima</w:t>
      </w:r>
      <w:r w:rsidR="003B7DA3" w:rsidRPr="00E16C03">
        <w:rPr>
          <w:rFonts w:ascii="Arial" w:hAnsi="Arial" w:cs="Arial"/>
          <w:sz w:val="18"/>
          <w:szCs w:val="18"/>
          <w:lang w:val="en-CA"/>
        </w:rPr>
        <w:t xml:space="preserve">, </w:t>
      </w:r>
      <w:r w:rsidRPr="00E16C03">
        <w:rPr>
          <w:rFonts w:ascii="Arial" w:hAnsi="Arial" w:cs="Arial"/>
          <w:sz w:val="18"/>
          <w:szCs w:val="18"/>
          <w:lang w:val="en-CA"/>
        </w:rPr>
        <w:t xml:space="preserve">2020, [En ligne]. </w:t>
      </w:r>
      <w:hyperlink r:id="rId31" w:history="1">
        <w:r w:rsidR="00CC0D60" w:rsidRPr="00E16C03">
          <w:rPr>
            <w:rStyle w:val="Lienhypertexte"/>
            <w:rFonts w:ascii="Arial" w:hAnsi="Arial" w:cs="Arial"/>
            <w:sz w:val="18"/>
            <w:szCs w:val="18"/>
            <w:lang w:val="en-CA"/>
          </w:rPr>
          <w:t>https://palveluvalikoima.fi/documents/1237350/22895008/Summary_minors_en+(1).pdf/fa2054c5-8c35-8492-59d6-b3de1c00de49/Summary_minors_en+(1).pdf?t=1631773838474</w:t>
        </w:r>
      </w:hyperlink>
      <w:r w:rsidR="00DF756F" w:rsidRPr="00E16C03">
        <w:rPr>
          <w:rFonts w:ascii="Arial" w:hAnsi="Arial" w:cs="Arial"/>
          <w:smallCaps/>
          <w:sz w:val="18"/>
          <w:szCs w:val="18"/>
          <w:lang w:val="en-CA"/>
        </w:rPr>
        <w:t xml:space="preserve"> </w:t>
      </w:r>
      <w:r w:rsidR="00294A97">
        <w:rPr>
          <w:rFonts w:ascii="Arial" w:hAnsi="Arial" w:cs="Arial"/>
          <w:smallCaps/>
          <w:sz w:val="18"/>
          <w:szCs w:val="18"/>
          <w:lang w:val="en-CA"/>
        </w:rPr>
        <w:t xml:space="preserve">; </w:t>
      </w:r>
      <w:r w:rsidR="00DF756F" w:rsidRPr="00E16C03">
        <w:rPr>
          <w:rFonts w:ascii="Arial" w:hAnsi="Arial" w:cs="Arial"/>
          <w:smallCaps/>
          <w:sz w:val="18"/>
          <w:szCs w:val="18"/>
          <w:lang w:val="en-CA"/>
        </w:rPr>
        <w:t>Council for Choices in Health Care in Finland (COHERE Finland)</w:t>
      </w:r>
      <w:r w:rsidR="00DF756F" w:rsidRPr="00E16C03">
        <w:rPr>
          <w:rFonts w:ascii="Arial" w:hAnsi="Arial" w:cs="Arial"/>
          <w:sz w:val="18"/>
          <w:szCs w:val="18"/>
          <w:lang w:val="en-CA"/>
        </w:rPr>
        <w:t xml:space="preserve">, </w:t>
      </w:r>
      <w:r w:rsidRPr="00E16C03">
        <w:rPr>
          <w:rFonts w:ascii="Arial" w:hAnsi="Arial" w:cs="Arial"/>
          <w:sz w:val="18"/>
          <w:szCs w:val="18"/>
          <w:lang w:val="en-CA"/>
        </w:rPr>
        <w:t>«</w:t>
      </w:r>
      <w:r w:rsidR="0051216B" w:rsidRPr="00E16C03">
        <w:rPr>
          <w:rFonts w:ascii="Arial" w:hAnsi="Arial" w:cs="Arial"/>
          <w:sz w:val="18"/>
          <w:szCs w:val="18"/>
          <w:lang w:val="en-CA"/>
        </w:rPr>
        <w:t> </w:t>
      </w:r>
      <w:r w:rsidRPr="00E16C03">
        <w:rPr>
          <w:rFonts w:ascii="Arial" w:hAnsi="Arial" w:cs="Arial"/>
          <w:sz w:val="18"/>
          <w:szCs w:val="18"/>
          <w:lang w:val="en-CA"/>
        </w:rPr>
        <w:t>Medical treatment methods for gender dysphoria in non-binary adults</w:t>
      </w:r>
      <w:r w:rsidR="00B41D67" w:rsidRPr="00E16C03">
        <w:rPr>
          <w:rFonts w:ascii="Arial" w:hAnsi="Arial" w:cs="Arial"/>
          <w:sz w:val="18"/>
          <w:szCs w:val="18"/>
          <w:lang w:val="en-CA"/>
        </w:rPr>
        <w:t xml:space="preserve"> – </w:t>
      </w:r>
      <w:r w:rsidRPr="00E16C03">
        <w:rPr>
          <w:rFonts w:ascii="Arial" w:hAnsi="Arial" w:cs="Arial"/>
          <w:sz w:val="18"/>
          <w:szCs w:val="18"/>
          <w:lang w:val="en-CA"/>
        </w:rPr>
        <w:t>recommendation</w:t>
      </w:r>
      <w:r w:rsidR="0051216B" w:rsidRPr="00E16C03">
        <w:rPr>
          <w:rFonts w:ascii="Arial" w:hAnsi="Arial" w:cs="Arial"/>
          <w:sz w:val="18"/>
          <w:szCs w:val="18"/>
          <w:lang w:val="en-CA"/>
        </w:rPr>
        <w:t> </w:t>
      </w:r>
      <w:r w:rsidRPr="00E16C03">
        <w:rPr>
          <w:rFonts w:ascii="Arial" w:hAnsi="Arial" w:cs="Arial"/>
          <w:sz w:val="18"/>
          <w:szCs w:val="18"/>
          <w:lang w:val="en-CA"/>
        </w:rPr>
        <w:t xml:space="preserve">», </w:t>
      </w:r>
      <w:r w:rsidR="00CB7A2B" w:rsidRPr="00E16C03">
        <w:rPr>
          <w:rFonts w:ascii="Arial" w:hAnsi="Arial" w:cs="Arial"/>
          <w:sz w:val="18"/>
          <w:szCs w:val="18"/>
          <w:lang w:val="en-CA"/>
        </w:rPr>
        <w:t>Palvelu-</w:t>
      </w:r>
      <w:r w:rsidR="00CB7A2B" w:rsidRPr="00E16C03">
        <w:rPr>
          <w:rFonts w:ascii="Arial" w:hAnsi="Arial" w:cs="Arial"/>
          <w:smallCaps/>
          <w:sz w:val="18"/>
          <w:szCs w:val="18"/>
          <w:lang w:val="en-CA"/>
        </w:rPr>
        <w:t>Valikoima</w:t>
      </w:r>
      <w:r w:rsidR="00CB7A2B" w:rsidRPr="00E16C03">
        <w:rPr>
          <w:rFonts w:ascii="Arial" w:hAnsi="Arial" w:cs="Arial"/>
          <w:sz w:val="18"/>
          <w:szCs w:val="18"/>
          <w:lang w:val="en-CA"/>
        </w:rPr>
        <w:t xml:space="preserve">, </w:t>
      </w:r>
      <w:r w:rsidRPr="00E16C03">
        <w:rPr>
          <w:rFonts w:ascii="Arial" w:hAnsi="Arial" w:cs="Arial"/>
          <w:sz w:val="18"/>
          <w:szCs w:val="18"/>
          <w:lang w:val="en-CA"/>
        </w:rPr>
        <w:t xml:space="preserve">2020, [En ligne]. </w:t>
      </w:r>
      <w:hyperlink r:id="rId32" w:history="1">
        <w:r w:rsidRPr="00FA76A7">
          <w:rPr>
            <w:rStyle w:val="Lienhypertexte"/>
            <w:rFonts w:ascii="Arial" w:hAnsi="Arial" w:cs="Arial"/>
            <w:sz w:val="18"/>
            <w:szCs w:val="18"/>
            <w:lang w:val="en-CA"/>
          </w:rPr>
          <w:t>https://palveluvalikoima.fi/documents/1237350/22895623/Summary_non-binary_en.pdf/8e5f9035-6c98-40d9-6acd-7459516d6f92/Summary_non-binary_en.pdf?t=1592318035000</w:t>
        </w:r>
      </w:hyperlink>
      <w:r w:rsidRPr="00E16C03">
        <w:rPr>
          <w:rFonts w:ascii="Arial" w:hAnsi="Arial" w:cs="Arial"/>
          <w:sz w:val="18"/>
          <w:szCs w:val="18"/>
          <w:lang w:val="en-CA"/>
        </w:rPr>
        <w:t xml:space="preserve"> ; </w:t>
      </w:r>
      <w:r w:rsidR="00DF756F" w:rsidRPr="00E16C03">
        <w:rPr>
          <w:rFonts w:ascii="Arial" w:hAnsi="Arial" w:cs="Arial"/>
          <w:smallCaps/>
          <w:sz w:val="18"/>
          <w:szCs w:val="18"/>
          <w:lang w:val="en-CA"/>
        </w:rPr>
        <w:t>Council for Choices in Health Care in Finland (COHERE Finland)</w:t>
      </w:r>
      <w:r w:rsidR="00DF756F" w:rsidRPr="00E16C03">
        <w:rPr>
          <w:rFonts w:ascii="Arial" w:hAnsi="Arial" w:cs="Arial"/>
          <w:sz w:val="18"/>
          <w:szCs w:val="18"/>
          <w:lang w:val="en-CA"/>
        </w:rPr>
        <w:t xml:space="preserve">, </w:t>
      </w:r>
      <w:r w:rsidRPr="00E16C03">
        <w:rPr>
          <w:rFonts w:ascii="Arial" w:hAnsi="Arial" w:cs="Arial"/>
          <w:sz w:val="18"/>
          <w:szCs w:val="18"/>
          <w:lang w:val="en-CA"/>
        </w:rPr>
        <w:t>« Medical treatments for gender dysphoria that reduces functional capacity in transgender people</w:t>
      </w:r>
      <w:r w:rsidR="00B41D67" w:rsidRPr="00E16C03">
        <w:rPr>
          <w:rFonts w:ascii="Arial" w:hAnsi="Arial" w:cs="Arial"/>
          <w:sz w:val="18"/>
          <w:szCs w:val="18"/>
          <w:lang w:val="en-CA"/>
        </w:rPr>
        <w:t xml:space="preserve"> – </w:t>
      </w:r>
      <w:r w:rsidRPr="00E16C03">
        <w:rPr>
          <w:rFonts w:ascii="Arial" w:hAnsi="Arial" w:cs="Arial"/>
          <w:sz w:val="18"/>
          <w:szCs w:val="18"/>
          <w:lang w:val="en-CA"/>
        </w:rPr>
        <w:t xml:space="preserve">recommendation », 2020, [En ligne]. </w:t>
      </w:r>
      <w:hyperlink r:id="rId33" w:history="1">
        <w:r w:rsidRPr="00000B1D">
          <w:rPr>
            <w:rStyle w:val="Lienhypertexte"/>
            <w:rFonts w:ascii="Arial" w:hAnsi="Arial" w:cs="Arial"/>
            <w:sz w:val="18"/>
            <w:szCs w:val="18"/>
          </w:rPr>
          <w:t>https://palveluvalikoima.fi/documents/1237350/22895838/Summary+transgender.pdf/2cc3f053-2e34-39ce-4e21-becd685b3044/Summary+transgender.pdf?t=1592318543000</w:t>
        </w:r>
      </w:hyperlink>
      <w:r w:rsidRPr="0085310E">
        <w:rPr>
          <w:rFonts w:ascii="Arial" w:hAnsi="Arial" w:cs="Arial"/>
          <w:sz w:val="18"/>
          <w:szCs w:val="18"/>
        </w:rPr>
        <w:t xml:space="preserve"> </w:t>
      </w:r>
    </w:p>
  </w:endnote>
  <w:endnote w:id="41">
    <w:p w14:paraId="320642CA" w14:textId="6B6AFBBB" w:rsidR="00ED2FBA" w:rsidRPr="0085310E" w:rsidRDefault="00ED2FBA"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smallCaps/>
          <w:sz w:val="18"/>
          <w:szCs w:val="18"/>
          <w:lang w:val="en-CA"/>
        </w:rPr>
        <w:t>Socialstyrelsen</w:t>
      </w:r>
      <w:r w:rsidRPr="00E16C03">
        <w:rPr>
          <w:rFonts w:ascii="Arial" w:hAnsi="Arial" w:cs="Arial"/>
          <w:sz w:val="18"/>
          <w:szCs w:val="18"/>
          <w:lang w:val="en-CA"/>
        </w:rPr>
        <w:t>, «</w:t>
      </w:r>
      <w:r w:rsidR="0051216B" w:rsidRPr="00E16C03">
        <w:rPr>
          <w:rFonts w:ascii="Arial" w:hAnsi="Arial" w:cs="Arial"/>
          <w:sz w:val="18"/>
          <w:szCs w:val="18"/>
          <w:lang w:val="en-CA"/>
        </w:rPr>
        <w:t> </w:t>
      </w:r>
      <w:r w:rsidRPr="00E16C03">
        <w:rPr>
          <w:rFonts w:ascii="Arial" w:hAnsi="Arial" w:cs="Arial"/>
          <w:sz w:val="18"/>
          <w:szCs w:val="18"/>
          <w:lang w:val="en-CA"/>
        </w:rPr>
        <w:t>Uppdaterade rekommendationer för hormonbehandling vid könsdysfori hos unga</w:t>
      </w:r>
      <w:r w:rsidR="0051216B" w:rsidRPr="00E16C03">
        <w:rPr>
          <w:rFonts w:ascii="Arial" w:hAnsi="Arial" w:cs="Arial"/>
          <w:sz w:val="18"/>
          <w:szCs w:val="18"/>
          <w:lang w:val="en-CA"/>
        </w:rPr>
        <w:t> </w:t>
      </w:r>
      <w:r w:rsidRPr="00E16C03">
        <w:rPr>
          <w:rFonts w:ascii="Arial" w:hAnsi="Arial" w:cs="Arial"/>
          <w:sz w:val="18"/>
          <w:szCs w:val="18"/>
          <w:lang w:val="en-CA"/>
        </w:rPr>
        <w:t>» [Updated recommendations for hormone therapy for gender dysphoria in young people], 22</w:t>
      </w:r>
      <w:r w:rsidR="00762FE8">
        <w:rPr>
          <w:rFonts w:ascii="Arial" w:hAnsi="Arial" w:cs="Arial"/>
          <w:sz w:val="18"/>
          <w:szCs w:val="18"/>
          <w:lang w:val="en-CA"/>
        </w:rPr>
        <w:t> </w:t>
      </w:r>
      <w:r w:rsidRPr="00E16C03">
        <w:rPr>
          <w:rFonts w:ascii="Arial" w:hAnsi="Arial" w:cs="Arial"/>
          <w:sz w:val="18"/>
          <w:szCs w:val="18"/>
          <w:lang w:val="en-CA"/>
        </w:rPr>
        <w:t xml:space="preserve">février 2022, [En ligne]. </w:t>
      </w:r>
      <w:hyperlink r:id="rId34" w:history="1">
        <w:r w:rsidRPr="00E16C03">
          <w:rPr>
            <w:rStyle w:val="Lienhypertexte"/>
            <w:rFonts w:ascii="Arial" w:hAnsi="Arial" w:cs="Arial"/>
            <w:sz w:val="18"/>
            <w:szCs w:val="18"/>
            <w:lang w:val="en-CA"/>
          </w:rPr>
          <w:t>https://www.socialstyrelsen.se/om-socialstyrelsen/pressrum/press/uppdaterade-rekommendationer-for-hormonbehandling-vid-konsdysfori-hos-unga/</w:t>
        </w:r>
      </w:hyperlink>
      <w:r w:rsidRPr="00E16C03">
        <w:rPr>
          <w:rFonts w:ascii="Arial" w:hAnsi="Arial" w:cs="Arial"/>
          <w:sz w:val="18"/>
          <w:szCs w:val="18"/>
          <w:lang w:val="en-CA"/>
        </w:rPr>
        <w:t xml:space="preserve"> Voir aussi </w:t>
      </w:r>
      <w:r w:rsidRPr="00E16C03">
        <w:rPr>
          <w:rFonts w:ascii="Arial" w:hAnsi="Arial" w:cs="Arial"/>
          <w:smallCaps/>
          <w:sz w:val="18"/>
          <w:szCs w:val="18"/>
          <w:lang w:val="en-CA"/>
        </w:rPr>
        <w:t xml:space="preserve">SBU </w:t>
      </w:r>
      <w:r w:rsidR="0051216B" w:rsidRPr="00E16C03">
        <w:rPr>
          <w:rFonts w:ascii="Arial" w:hAnsi="Arial" w:cs="Arial"/>
          <w:smallCaps/>
          <w:sz w:val="18"/>
          <w:szCs w:val="18"/>
          <w:lang w:val="en-CA"/>
        </w:rPr>
        <w:t>—</w:t>
      </w:r>
      <w:r w:rsidRPr="00E16C03">
        <w:rPr>
          <w:rFonts w:ascii="Arial" w:hAnsi="Arial" w:cs="Arial"/>
          <w:smallCaps/>
          <w:sz w:val="18"/>
          <w:szCs w:val="18"/>
          <w:lang w:val="en-CA"/>
        </w:rPr>
        <w:t xml:space="preserve"> Swedish Agency for Health Technology Assessment and Assessment of Social Services</w:t>
      </w:r>
      <w:r w:rsidRPr="00E16C03">
        <w:rPr>
          <w:rFonts w:ascii="Arial" w:hAnsi="Arial" w:cs="Arial"/>
          <w:sz w:val="18"/>
          <w:szCs w:val="18"/>
          <w:lang w:val="en-CA"/>
        </w:rPr>
        <w:t xml:space="preserve">, </w:t>
      </w:r>
      <w:r w:rsidRPr="00E16C03">
        <w:rPr>
          <w:rFonts w:ascii="Arial" w:hAnsi="Arial" w:cs="Arial"/>
          <w:i/>
          <w:sz w:val="18"/>
          <w:szCs w:val="18"/>
          <w:lang w:val="en-CA"/>
        </w:rPr>
        <w:t>Gender dysphoria in children and adolescents: an inventory of the literature: A systematic scoping review</w:t>
      </w:r>
      <w:r w:rsidRPr="00E16C03">
        <w:rPr>
          <w:rFonts w:ascii="Arial" w:hAnsi="Arial" w:cs="Arial"/>
          <w:sz w:val="18"/>
          <w:szCs w:val="18"/>
          <w:lang w:val="en-CA"/>
        </w:rPr>
        <w:t>, 20</w:t>
      </w:r>
      <w:r w:rsidR="00762FE8">
        <w:rPr>
          <w:rFonts w:ascii="Arial" w:hAnsi="Arial" w:cs="Arial"/>
          <w:sz w:val="18"/>
          <w:szCs w:val="18"/>
          <w:lang w:val="en-CA"/>
        </w:rPr>
        <w:t> </w:t>
      </w:r>
      <w:r w:rsidRPr="00E16C03">
        <w:rPr>
          <w:rFonts w:ascii="Arial" w:hAnsi="Arial" w:cs="Arial"/>
          <w:sz w:val="18"/>
          <w:szCs w:val="18"/>
          <w:lang w:val="en-CA"/>
        </w:rPr>
        <w:t xml:space="preserve">décembre 2019, [En ligne]. </w:t>
      </w:r>
      <w:hyperlink r:id="rId35" w:history="1">
        <w:r w:rsidRPr="0085310E">
          <w:rPr>
            <w:rStyle w:val="Lienhypertexte"/>
            <w:rFonts w:ascii="Arial" w:hAnsi="Arial" w:cs="Arial"/>
            <w:sz w:val="18"/>
            <w:szCs w:val="18"/>
          </w:rPr>
          <w:t>https://www.sbu.se/en/publications/sbu-bereder/gender-dysphoria-in-children-and-adolescents-an-inventory-of-the-literature/</w:t>
        </w:r>
      </w:hyperlink>
      <w:r w:rsidRPr="0085310E">
        <w:rPr>
          <w:rFonts w:ascii="Arial" w:hAnsi="Arial" w:cs="Arial"/>
          <w:sz w:val="18"/>
          <w:szCs w:val="18"/>
        </w:rPr>
        <w:t xml:space="preserve"> </w:t>
      </w:r>
    </w:p>
  </w:endnote>
  <w:endnote w:id="42">
    <w:p w14:paraId="369CDE5C" w14:textId="2296863B" w:rsidR="00ED2FBA" w:rsidRPr="00E16C03" w:rsidRDefault="00ED2FBA"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AD1F96" w:rsidRPr="00CA09C3">
        <w:rPr>
          <w:rFonts w:ascii="Arial" w:hAnsi="Arial" w:cs="Arial"/>
          <w:smallCaps/>
          <w:sz w:val="18"/>
          <w:szCs w:val="18"/>
          <w:lang w:val="en-CA"/>
        </w:rPr>
        <w:t xml:space="preserve">National </w:t>
      </w:r>
      <w:r w:rsidR="00CA09C3" w:rsidRPr="00CA09C3">
        <w:rPr>
          <w:rFonts w:ascii="Arial" w:hAnsi="Arial" w:cs="Arial"/>
          <w:smallCaps/>
          <w:sz w:val="18"/>
          <w:szCs w:val="18"/>
          <w:lang w:val="en-CA"/>
        </w:rPr>
        <w:t>h</w:t>
      </w:r>
      <w:r w:rsidR="00AD1F96" w:rsidRPr="00CA09C3">
        <w:rPr>
          <w:rFonts w:ascii="Arial" w:hAnsi="Arial" w:cs="Arial"/>
          <w:smallCaps/>
          <w:sz w:val="18"/>
          <w:szCs w:val="18"/>
          <w:lang w:val="en-CA"/>
        </w:rPr>
        <w:t>eal</w:t>
      </w:r>
      <w:r w:rsidR="00CA09C3" w:rsidRPr="00CA09C3">
        <w:rPr>
          <w:rFonts w:ascii="Arial" w:hAnsi="Arial" w:cs="Arial"/>
          <w:smallCaps/>
          <w:sz w:val="18"/>
          <w:szCs w:val="18"/>
          <w:lang w:val="en-CA"/>
        </w:rPr>
        <w:t>th service</w:t>
      </w:r>
      <w:r w:rsidR="00CA09C3">
        <w:rPr>
          <w:rFonts w:ascii="Arial" w:hAnsi="Arial" w:cs="Arial"/>
          <w:sz w:val="18"/>
          <w:szCs w:val="18"/>
          <w:lang w:val="en-CA"/>
        </w:rPr>
        <w:t xml:space="preserve">, </w:t>
      </w:r>
      <w:r w:rsidRPr="00E16C03">
        <w:rPr>
          <w:rFonts w:ascii="Arial" w:hAnsi="Arial" w:cs="Arial"/>
          <w:i/>
          <w:sz w:val="18"/>
          <w:szCs w:val="18"/>
          <w:lang w:val="en-CA"/>
        </w:rPr>
        <w:t>Independent review of gender identity services for children and young people</w:t>
      </w:r>
      <w:r w:rsidRPr="00E16C03">
        <w:rPr>
          <w:rFonts w:ascii="Arial" w:hAnsi="Arial" w:cs="Arial"/>
          <w:sz w:val="18"/>
          <w:szCs w:val="18"/>
          <w:lang w:val="en-CA"/>
        </w:rPr>
        <w:t xml:space="preserve">, </w:t>
      </w:r>
      <w:r w:rsidR="00FA34E7">
        <w:rPr>
          <w:rFonts w:ascii="Arial" w:hAnsi="Arial" w:cs="Arial"/>
          <w:sz w:val="18"/>
          <w:szCs w:val="18"/>
          <w:lang w:val="en-CA"/>
        </w:rPr>
        <w:t xml:space="preserve">2020, </w:t>
      </w:r>
      <w:r w:rsidRPr="00E16C03">
        <w:rPr>
          <w:rFonts w:ascii="Arial" w:hAnsi="Arial" w:cs="Arial"/>
          <w:sz w:val="18"/>
          <w:szCs w:val="18"/>
          <w:lang w:val="en-CA"/>
        </w:rPr>
        <w:t xml:space="preserve">[En ligne]. </w:t>
      </w:r>
      <w:hyperlink r:id="rId36" w:history="1">
        <w:r w:rsidRPr="00E16C03">
          <w:rPr>
            <w:rStyle w:val="Lienhypertexte"/>
            <w:rFonts w:ascii="Arial" w:hAnsi="Arial" w:cs="Arial"/>
            <w:sz w:val="18"/>
            <w:szCs w:val="18"/>
            <w:lang w:val="en-CA"/>
          </w:rPr>
          <w:t>https://cass.independent-review.uk/</w:t>
        </w:r>
      </w:hyperlink>
      <w:r w:rsidRPr="00E16C03">
        <w:rPr>
          <w:rFonts w:ascii="Arial" w:hAnsi="Arial" w:cs="Arial"/>
          <w:sz w:val="18"/>
          <w:szCs w:val="18"/>
          <w:lang w:val="en-CA"/>
        </w:rPr>
        <w:t xml:space="preserve"> </w:t>
      </w:r>
    </w:p>
  </w:endnote>
  <w:endnote w:id="43">
    <w:p w14:paraId="7A770672" w14:textId="67994B72" w:rsidR="00F918B0" w:rsidRPr="0085310E" w:rsidRDefault="00F918B0"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08095B" w:rsidRPr="00E16C03">
        <w:rPr>
          <w:rFonts w:ascii="Arial" w:hAnsi="Arial" w:cs="Arial"/>
          <w:sz w:val="18"/>
          <w:szCs w:val="18"/>
          <w:lang w:val="en-CA"/>
        </w:rPr>
        <w:t xml:space="preserve">Joshua </w:t>
      </w:r>
      <w:r w:rsidR="0008095B" w:rsidRPr="00E16C03">
        <w:rPr>
          <w:rFonts w:ascii="Arial" w:hAnsi="Arial" w:cs="Arial"/>
          <w:smallCaps/>
          <w:sz w:val="18"/>
          <w:szCs w:val="18"/>
          <w:lang w:val="en-CA"/>
        </w:rPr>
        <w:t>Cohen,</w:t>
      </w:r>
      <w:r w:rsidR="00676484" w:rsidRPr="00E16C03">
        <w:rPr>
          <w:rFonts w:ascii="Arial" w:hAnsi="Arial" w:cs="Arial"/>
          <w:smallCaps/>
          <w:sz w:val="18"/>
          <w:szCs w:val="18"/>
          <w:lang w:val="en-CA"/>
        </w:rPr>
        <w:t xml:space="preserve"> «</w:t>
      </w:r>
      <w:r w:rsidR="0051216B" w:rsidRPr="00E16C03">
        <w:rPr>
          <w:rFonts w:ascii="Arial" w:hAnsi="Arial" w:cs="Arial"/>
          <w:smallCaps/>
          <w:sz w:val="18"/>
          <w:szCs w:val="18"/>
          <w:lang w:val="en-CA"/>
        </w:rPr>
        <w:t> </w:t>
      </w:r>
      <w:r w:rsidR="00676484" w:rsidRPr="00E16C03">
        <w:rPr>
          <w:rFonts w:ascii="Arial" w:hAnsi="Arial" w:cs="Arial"/>
          <w:sz w:val="18"/>
          <w:szCs w:val="18"/>
          <w:lang w:val="en-CA"/>
        </w:rPr>
        <w:t xml:space="preserve">Increasing Number </w:t>
      </w:r>
      <w:r w:rsidR="003F7381" w:rsidRPr="00E16C03">
        <w:rPr>
          <w:rFonts w:ascii="Arial" w:hAnsi="Arial" w:cs="Arial"/>
          <w:sz w:val="18"/>
          <w:szCs w:val="18"/>
          <w:lang w:val="en-CA"/>
        </w:rPr>
        <w:t>o</w:t>
      </w:r>
      <w:r w:rsidR="00676484" w:rsidRPr="00E16C03">
        <w:rPr>
          <w:rFonts w:ascii="Arial" w:hAnsi="Arial" w:cs="Arial"/>
          <w:sz w:val="18"/>
          <w:szCs w:val="18"/>
          <w:lang w:val="en-CA"/>
        </w:rPr>
        <w:t xml:space="preserve">f European Nations Adopt </w:t>
      </w:r>
      <w:r w:rsidR="003F7381" w:rsidRPr="00E16C03">
        <w:rPr>
          <w:rFonts w:ascii="Arial" w:hAnsi="Arial" w:cs="Arial"/>
          <w:sz w:val="18"/>
          <w:szCs w:val="18"/>
          <w:lang w:val="en-CA"/>
        </w:rPr>
        <w:t>a</w:t>
      </w:r>
      <w:r w:rsidR="00676484" w:rsidRPr="00E16C03">
        <w:rPr>
          <w:rFonts w:ascii="Arial" w:hAnsi="Arial" w:cs="Arial"/>
          <w:sz w:val="18"/>
          <w:szCs w:val="18"/>
          <w:lang w:val="en-CA"/>
        </w:rPr>
        <w:t xml:space="preserve"> More Cautious Approach </w:t>
      </w:r>
      <w:r w:rsidR="003F7381" w:rsidRPr="00E16C03">
        <w:rPr>
          <w:rFonts w:ascii="Arial" w:hAnsi="Arial" w:cs="Arial"/>
          <w:sz w:val="18"/>
          <w:szCs w:val="18"/>
          <w:lang w:val="en-CA"/>
        </w:rPr>
        <w:t>t</w:t>
      </w:r>
      <w:r w:rsidR="00676484" w:rsidRPr="00E16C03">
        <w:rPr>
          <w:rFonts w:ascii="Arial" w:hAnsi="Arial" w:cs="Arial"/>
          <w:sz w:val="18"/>
          <w:szCs w:val="18"/>
          <w:lang w:val="en-CA"/>
        </w:rPr>
        <w:t>o Gender-Affirming Care Among Minors</w:t>
      </w:r>
      <w:r w:rsidR="0051216B" w:rsidRPr="00E16C03">
        <w:rPr>
          <w:rFonts w:ascii="Arial" w:hAnsi="Arial" w:cs="Arial"/>
          <w:sz w:val="18"/>
          <w:szCs w:val="18"/>
          <w:lang w:val="en-CA"/>
        </w:rPr>
        <w:t> </w:t>
      </w:r>
      <w:r w:rsidR="00676484" w:rsidRPr="00E16C03">
        <w:rPr>
          <w:rFonts w:ascii="Arial" w:hAnsi="Arial" w:cs="Arial"/>
          <w:sz w:val="18"/>
          <w:szCs w:val="18"/>
          <w:lang w:val="en-CA"/>
        </w:rPr>
        <w:t xml:space="preserve">», </w:t>
      </w:r>
      <w:r w:rsidR="00676484" w:rsidRPr="00AE442F">
        <w:rPr>
          <w:rFonts w:ascii="Arial" w:hAnsi="Arial" w:cs="Arial"/>
          <w:i/>
          <w:sz w:val="18"/>
          <w:szCs w:val="18"/>
          <w:lang w:val="en-CA"/>
        </w:rPr>
        <w:t>For</w:t>
      </w:r>
      <w:r w:rsidR="00953940" w:rsidRPr="00AE442F">
        <w:rPr>
          <w:rFonts w:ascii="Arial" w:hAnsi="Arial" w:cs="Arial"/>
          <w:i/>
          <w:sz w:val="18"/>
          <w:szCs w:val="18"/>
          <w:lang w:val="en-CA"/>
        </w:rPr>
        <w:t>bes</w:t>
      </w:r>
      <w:r w:rsidR="00953940" w:rsidRPr="00E16C03">
        <w:rPr>
          <w:rFonts w:ascii="Arial" w:hAnsi="Arial" w:cs="Arial"/>
          <w:sz w:val="18"/>
          <w:szCs w:val="18"/>
          <w:lang w:val="en-CA"/>
        </w:rPr>
        <w:t>, 6</w:t>
      </w:r>
      <w:r w:rsidR="00762FE8">
        <w:rPr>
          <w:rFonts w:ascii="Arial" w:hAnsi="Arial" w:cs="Arial"/>
          <w:sz w:val="18"/>
          <w:szCs w:val="18"/>
          <w:lang w:val="en-CA"/>
        </w:rPr>
        <w:t> </w:t>
      </w:r>
      <w:r w:rsidR="00953940" w:rsidRPr="00E16C03">
        <w:rPr>
          <w:rFonts w:ascii="Arial" w:hAnsi="Arial" w:cs="Arial"/>
          <w:sz w:val="18"/>
          <w:szCs w:val="18"/>
          <w:lang w:val="en-CA"/>
        </w:rPr>
        <w:t>juin</w:t>
      </w:r>
      <w:r w:rsidR="004527BF" w:rsidRPr="00E16C03">
        <w:rPr>
          <w:rFonts w:ascii="Arial" w:hAnsi="Arial" w:cs="Arial"/>
          <w:sz w:val="18"/>
          <w:szCs w:val="18"/>
          <w:lang w:val="en-CA"/>
        </w:rPr>
        <w:t xml:space="preserve"> 2023</w:t>
      </w:r>
      <w:r w:rsidR="001B53A0" w:rsidRPr="00E16C03">
        <w:rPr>
          <w:rFonts w:ascii="Arial" w:hAnsi="Arial" w:cs="Arial"/>
          <w:sz w:val="18"/>
          <w:szCs w:val="18"/>
          <w:lang w:val="en-CA"/>
        </w:rPr>
        <w:t xml:space="preserve">, </w:t>
      </w:r>
      <w:r w:rsidR="00E333B5" w:rsidRPr="00E16C03">
        <w:rPr>
          <w:rFonts w:ascii="Arial" w:hAnsi="Arial" w:cs="Arial"/>
          <w:sz w:val="18"/>
          <w:szCs w:val="18"/>
          <w:lang w:val="en-CA"/>
        </w:rPr>
        <w:t>[</w:t>
      </w:r>
      <w:r w:rsidR="0064620F" w:rsidRPr="00E16C03">
        <w:rPr>
          <w:rFonts w:ascii="Arial" w:hAnsi="Arial" w:cs="Arial"/>
          <w:sz w:val="18"/>
          <w:szCs w:val="18"/>
          <w:lang w:val="en-CA"/>
        </w:rPr>
        <w:t>En ligne</w:t>
      </w:r>
      <w:r w:rsidR="0095189D" w:rsidRPr="00E16C03">
        <w:rPr>
          <w:rFonts w:ascii="Arial" w:hAnsi="Arial" w:cs="Arial"/>
          <w:sz w:val="18"/>
          <w:szCs w:val="18"/>
          <w:lang w:val="en-CA"/>
        </w:rPr>
        <w:t>].</w:t>
      </w:r>
      <w:r w:rsidR="0008095B" w:rsidRPr="00E16C03">
        <w:rPr>
          <w:rFonts w:ascii="Arial" w:hAnsi="Arial" w:cs="Arial"/>
          <w:smallCaps/>
          <w:sz w:val="18"/>
          <w:szCs w:val="18"/>
          <w:lang w:val="en-CA"/>
        </w:rPr>
        <w:t xml:space="preserve"> </w:t>
      </w:r>
      <w:hyperlink r:id="rId37" w:history="1">
        <w:r w:rsidR="0095189D" w:rsidRPr="0085310E">
          <w:rPr>
            <w:rStyle w:val="Lienhypertexte"/>
            <w:rFonts w:ascii="Arial" w:hAnsi="Arial" w:cs="Arial"/>
            <w:sz w:val="18"/>
            <w:szCs w:val="18"/>
          </w:rPr>
          <w:t>https://www.forbes.com/sites/joshuacohen/2023/06/06/increasing-number-of-european-nations-adopt-a-more-cautious-approach-to-gender-affirming-care-among-minors/?sh=61483a867efb</w:t>
        </w:r>
      </w:hyperlink>
      <w:r w:rsidR="0095189D" w:rsidRPr="0085310E">
        <w:rPr>
          <w:rFonts w:ascii="Arial" w:hAnsi="Arial" w:cs="Arial"/>
          <w:sz w:val="18"/>
          <w:szCs w:val="18"/>
        </w:rPr>
        <w:t xml:space="preserve"> </w:t>
      </w:r>
      <w:r w:rsidR="003F373F" w:rsidRPr="0085310E">
        <w:rPr>
          <w:rFonts w:ascii="Arial" w:hAnsi="Arial" w:cs="Arial"/>
          <w:sz w:val="18"/>
          <w:szCs w:val="18"/>
        </w:rPr>
        <w:t xml:space="preserve"> </w:t>
      </w:r>
    </w:p>
  </w:endnote>
  <w:endnote w:id="44">
    <w:p w14:paraId="19DEA8D8" w14:textId="641C0C61" w:rsidR="000C72FE" w:rsidRPr="00E16C03" w:rsidRDefault="000C72F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8C3A20" w:rsidRPr="00E16C03">
        <w:rPr>
          <w:rFonts w:ascii="Arial" w:hAnsi="Arial" w:cs="Arial"/>
          <w:sz w:val="18"/>
          <w:szCs w:val="18"/>
          <w:lang w:val="en-CA"/>
        </w:rPr>
        <w:tab/>
      </w:r>
      <w:r w:rsidR="007536EB" w:rsidRPr="00E16C03">
        <w:rPr>
          <w:rFonts w:ascii="Arial" w:hAnsi="Arial" w:cs="Arial"/>
          <w:sz w:val="18"/>
          <w:szCs w:val="18"/>
          <w:lang w:val="en-CA"/>
        </w:rPr>
        <w:t xml:space="preserve">Eli </w:t>
      </w:r>
      <w:r w:rsidR="007536EB" w:rsidRPr="00E16C03">
        <w:rPr>
          <w:rFonts w:ascii="Arial" w:hAnsi="Arial" w:cs="Arial"/>
          <w:smallCaps/>
          <w:sz w:val="18"/>
          <w:szCs w:val="18"/>
          <w:lang w:val="en-CA"/>
        </w:rPr>
        <w:t xml:space="preserve">Coleman </w:t>
      </w:r>
      <w:r w:rsidR="007536EB" w:rsidRPr="00E16C03">
        <w:rPr>
          <w:rFonts w:ascii="Arial" w:hAnsi="Arial" w:cs="Arial"/>
          <w:sz w:val="18"/>
          <w:szCs w:val="18"/>
          <w:lang w:val="en-CA"/>
        </w:rPr>
        <w:t>et al</w:t>
      </w:r>
      <w:r w:rsidR="007536EB" w:rsidRPr="00E16C03">
        <w:rPr>
          <w:rFonts w:ascii="Arial" w:hAnsi="Arial" w:cs="Arial"/>
          <w:smallCaps/>
          <w:sz w:val="18"/>
          <w:szCs w:val="18"/>
          <w:lang w:val="en-CA"/>
        </w:rPr>
        <w:t>., « </w:t>
      </w:r>
      <w:r w:rsidR="007536EB" w:rsidRPr="00E16C03">
        <w:rPr>
          <w:rFonts w:ascii="Arial" w:hAnsi="Arial" w:cs="Arial"/>
          <w:sz w:val="18"/>
          <w:szCs w:val="18"/>
          <w:lang w:val="en-CA"/>
        </w:rPr>
        <w:t xml:space="preserve">Standards of Care for the Health of Transgender and Gender Diverse People, Version 8 » (2022), </w:t>
      </w:r>
      <w:r w:rsidR="007536EB" w:rsidRPr="00297C90">
        <w:rPr>
          <w:rFonts w:ascii="Arial" w:hAnsi="Arial" w:cs="Arial"/>
          <w:i/>
          <w:sz w:val="18"/>
          <w:szCs w:val="18"/>
          <w:lang w:val="en-CA"/>
        </w:rPr>
        <w:t>International Journal of Transgender Health</w:t>
      </w:r>
      <w:r w:rsidR="007536EB" w:rsidRPr="00E16C03">
        <w:rPr>
          <w:rFonts w:ascii="Arial" w:hAnsi="Arial" w:cs="Arial"/>
          <w:sz w:val="18"/>
          <w:szCs w:val="18"/>
          <w:lang w:val="en-CA"/>
        </w:rPr>
        <w:t xml:space="preserve">, vol. 23, </w:t>
      </w:r>
      <w:r w:rsidR="009A73BC">
        <w:rPr>
          <w:rFonts w:ascii="Arial" w:hAnsi="Arial" w:cs="Arial"/>
          <w:sz w:val="18"/>
          <w:szCs w:val="18"/>
          <w:lang w:val="en-CA"/>
        </w:rPr>
        <w:t>supp. 1</w:t>
      </w:r>
      <w:r w:rsidR="007536EB" w:rsidRPr="00E16C03">
        <w:rPr>
          <w:rFonts w:ascii="Arial" w:hAnsi="Arial" w:cs="Arial"/>
          <w:sz w:val="18"/>
          <w:szCs w:val="18"/>
          <w:lang w:val="en-CA"/>
        </w:rPr>
        <w:t>,</w:t>
      </w:r>
      <w:r w:rsidR="009A73BC">
        <w:rPr>
          <w:rFonts w:ascii="Arial" w:hAnsi="Arial" w:cs="Arial"/>
          <w:sz w:val="18"/>
          <w:szCs w:val="18"/>
          <w:lang w:val="en-CA"/>
        </w:rPr>
        <w:t xml:space="preserve"> p.</w:t>
      </w:r>
      <w:r w:rsidR="007536EB" w:rsidRPr="00E16C03">
        <w:rPr>
          <w:rFonts w:ascii="Arial" w:hAnsi="Arial" w:cs="Arial"/>
          <w:sz w:val="18"/>
          <w:szCs w:val="18"/>
          <w:lang w:val="en-CA"/>
        </w:rPr>
        <w:t xml:space="preserve"> S1-S259, </w:t>
      </w:r>
      <w:r w:rsidR="006F56B7" w:rsidRPr="00E16C03">
        <w:rPr>
          <w:rFonts w:ascii="Arial" w:hAnsi="Arial" w:cs="Arial"/>
          <w:sz w:val="18"/>
          <w:szCs w:val="18"/>
          <w:lang w:val="en-CA"/>
        </w:rPr>
        <w:t>[E</w:t>
      </w:r>
      <w:r w:rsidR="007536EB" w:rsidRPr="00E16C03">
        <w:rPr>
          <w:rFonts w:ascii="Arial" w:hAnsi="Arial" w:cs="Arial"/>
          <w:sz w:val="18"/>
          <w:szCs w:val="18"/>
          <w:lang w:val="en-CA"/>
        </w:rPr>
        <w:t>n ligne</w:t>
      </w:r>
      <w:r w:rsidR="006F56B7" w:rsidRPr="00E16C03">
        <w:rPr>
          <w:rFonts w:ascii="Arial" w:hAnsi="Arial" w:cs="Arial"/>
          <w:sz w:val="18"/>
          <w:szCs w:val="18"/>
          <w:lang w:val="en-CA"/>
        </w:rPr>
        <w:t>].</w:t>
      </w:r>
      <w:r w:rsidR="007536EB" w:rsidRPr="00E16C03">
        <w:rPr>
          <w:rFonts w:ascii="Arial" w:hAnsi="Arial" w:cs="Arial"/>
          <w:sz w:val="18"/>
          <w:szCs w:val="18"/>
          <w:lang w:val="en-CA"/>
        </w:rPr>
        <w:t xml:space="preserve"> </w:t>
      </w:r>
      <w:hyperlink r:id="rId38" w:history="1">
        <w:r w:rsidR="006611BC" w:rsidRPr="00E16C03">
          <w:rPr>
            <w:rStyle w:val="Lienhypertexte"/>
            <w:rFonts w:ascii="Arial" w:hAnsi="Arial" w:cs="Arial"/>
            <w:sz w:val="18"/>
            <w:szCs w:val="18"/>
            <w:lang w:val="en-CA"/>
          </w:rPr>
          <w:t>https://doi.org/10.1080/26895269.2022.2100644</w:t>
        </w:r>
      </w:hyperlink>
      <w:r w:rsidR="006611BC" w:rsidRPr="00E16C03">
        <w:rPr>
          <w:rFonts w:ascii="Arial" w:hAnsi="Arial" w:cs="Arial"/>
          <w:sz w:val="18"/>
          <w:szCs w:val="18"/>
          <w:lang w:val="en-CA"/>
        </w:rPr>
        <w:t xml:space="preserve"> </w:t>
      </w:r>
    </w:p>
  </w:endnote>
  <w:endnote w:id="45">
    <w:p w14:paraId="792D606A" w14:textId="4BC383D4" w:rsidR="005F1733" w:rsidRPr="0085310E" w:rsidRDefault="005F1733" w:rsidP="00B36D7C">
      <w:pPr>
        <w:pStyle w:val="Notedefin"/>
        <w:tabs>
          <w:tab w:val="left" w:pos="709"/>
        </w:tabs>
        <w:spacing w:after="120" w:line="240" w:lineRule="auto"/>
        <w:ind w:left="709" w:hanging="709"/>
        <w:rPr>
          <w:rFonts w:ascii="Arial" w:hAnsi="Arial" w:cs="Arial"/>
          <w:smallCaps/>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665299" w:rsidRPr="009A73BC">
        <w:rPr>
          <w:rFonts w:ascii="Arial" w:hAnsi="Arial" w:cs="Arial"/>
          <w:sz w:val="18"/>
          <w:szCs w:val="18"/>
          <w:shd w:val="clear" w:color="auto" w:fill="FFFFFF"/>
          <w:lang w:val="en-CA"/>
        </w:rPr>
        <w:t>WPATH, ASIAPATH, EPATH, PATHA et USPATH</w:t>
      </w:r>
      <w:r w:rsidR="00665299" w:rsidRPr="00E16C03">
        <w:rPr>
          <w:rFonts w:ascii="Arial" w:hAnsi="Arial" w:cs="Arial"/>
          <w:sz w:val="18"/>
          <w:szCs w:val="18"/>
          <w:lang w:val="en-CA"/>
        </w:rPr>
        <w:t xml:space="preserve">, </w:t>
      </w:r>
      <w:r w:rsidR="000A024F" w:rsidRPr="00E16C03">
        <w:rPr>
          <w:rFonts w:ascii="Arial" w:hAnsi="Arial" w:cs="Arial"/>
          <w:i/>
          <w:sz w:val="18"/>
          <w:szCs w:val="18"/>
          <w:lang w:val="en-CA"/>
        </w:rPr>
        <w:t>Response to NHS England in the United Kingdom (UK)</w:t>
      </w:r>
      <w:r w:rsidR="00926C1C" w:rsidRPr="00E16C03">
        <w:rPr>
          <w:rFonts w:ascii="Arial" w:hAnsi="Arial" w:cs="Arial"/>
          <w:i/>
          <w:sz w:val="18"/>
          <w:szCs w:val="18"/>
          <w:lang w:val="en-CA"/>
        </w:rPr>
        <w:t>:</w:t>
      </w:r>
      <w:r w:rsidR="008321B5" w:rsidRPr="00E16C03">
        <w:rPr>
          <w:rFonts w:ascii="Arial" w:hAnsi="Arial" w:cs="Arial"/>
          <w:i/>
          <w:sz w:val="18"/>
          <w:szCs w:val="18"/>
          <w:lang w:val="en-CA"/>
        </w:rPr>
        <w:t xml:space="preserve"> </w:t>
      </w:r>
      <w:r w:rsidR="000A024F" w:rsidRPr="00E16C03">
        <w:rPr>
          <w:rFonts w:ascii="Arial" w:hAnsi="Arial" w:cs="Arial"/>
          <w:i/>
          <w:sz w:val="18"/>
          <w:szCs w:val="18"/>
          <w:lang w:val="en-CA"/>
        </w:rPr>
        <w:t>Statement regarding the Interim Service Specification for the Specialist Service for Children and Young People with Gender Dysphoria (Phase 1</w:t>
      </w:r>
      <w:r w:rsidR="00B32B61">
        <w:rPr>
          <w:rFonts w:ascii="Arial" w:hAnsi="Arial" w:cs="Arial"/>
          <w:i/>
          <w:sz w:val="18"/>
          <w:szCs w:val="18"/>
          <w:lang w:val="en-CA"/>
        </w:rPr>
        <w:t> </w:t>
      </w:r>
      <w:r w:rsidR="000A024F" w:rsidRPr="00E16C03">
        <w:rPr>
          <w:rFonts w:ascii="Arial" w:hAnsi="Arial" w:cs="Arial"/>
          <w:i/>
          <w:sz w:val="18"/>
          <w:szCs w:val="18"/>
          <w:lang w:val="en-CA"/>
        </w:rPr>
        <w:t>Providers) by NHS England</w:t>
      </w:r>
      <w:r w:rsidR="00972529" w:rsidRPr="00E16C03">
        <w:rPr>
          <w:rFonts w:ascii="Arial" w:hAnsi="Arial" w:cs="Arial"/>
          <w:sz w:val="18"/>
          <w:szCs w:val="18"/>
          <w:lang w:val="en-CA"/>
        </w:rPr>
        <w:t xml:space="preserve">, </w:t>
      </w:r>
      <w:r w:rsidR="00CE4D38" w:rsidRPr="00E16C03">
        <w:rPr>
          <w:rFonts w:ascii="Arial" w:hAnsi="Arial" w:cs="Arial"/>
          <w:sz w:val="18"/>
          <w:szCs w:val="18"/>
          <w:lang w:val="en-CA"/>
        </w:rPr>
        <w:t>25 no</w:t>
      </w:r>
      <w:r w:rsidR="005E74ED" w:rsidRPr="00E16C03">
        <w:rPr>
          <w:rFonts w:ascii="Arial" w:hAnsi="Arial" w:cs="Arial"/>
          <w:sz w:val="18"/>
          <w:szCs w:val="18"/>
          <w:lang w:val="en-CA"/>
        </w:rPr>
        <w:t>vembre</w:t>
      </w:r>
      <w:r w:rsidR="00741199" w:rsidRPr="00E16C03">
        <w:rPr>
          <w:rFonts w:ascii="Arial" w:hAnsi="Arial" w:cs="Arial"/>
          <w:sz w:val="18"/>
          <w:szCs w:val="18"/>
          <w:lang w:val="en-CA"/>
        </w:rPr>
        <w:t xml:space="preserve"> 2022, [En</w:t>
      </w:r>
      <w:r w:rsidR="00A91AA7" w:rsidRPr="00E16C03">
        <w:rPr>
          <w:rFonts w:ascii="Arial" w:hAnsi="Arial" w:cs="Arial"/>
          <w:sz w:val="18"/>
          <w:szCs w:val="18"/>
          <w:lang w:val="en-CA"/>
        </w:rPr>
        <w:t xml:space="preserve"> ligne]. </w:t>
      </w:r>
      <w:hyperlink r:id="rId39" w:history="1">
        <w:r w:rsidR="00417117" w:rsidRPr="0085310E">
          <w:rPr>
            <w:rStyle w:val="Lienhypertexte"/>
            <w:rFonts w:ascii="Arial" w:hAnsi="Arial" w:cs="Arial"/>
            <w:sz w:val="18"/>
            <w:szCs w:val="18"/>
          </w:rPr>
          <w:t>https://www.wpath.org/media/cms/Documents/Public%20Policies/2022/25.11.22%20AUSPATH%20Statement%20reworked%20for%20WPATH%20Final%20ASIAPATH.EPATH.PATHA.USPATH.pdf?_t=1669428978</w:t>
        </w:r>
      </w:hyperlink>
      <w:r w:rsidR="003B5E58" w:rsidRPr="0085310E">
        <w:rPr>
          <w:rFonts w:ascii="Arial" w:hAnsi="Arial" w:cs="Arial"/>
          <w:sz w:val="18"/>
          <w:szCs w:val="18"/>
        </w:rPr>
        <w:t xml:space="preserve"> </w:t>
      </w:r>
    </w:p>
  </w:endnote>
  <w:endnote w:id="46">
    <w:p w14:paraId="4A1C8FE4" w14:textId="2B38226C" w:rsidR="005F1733" w:rsidRPr="003D6F7B" w:rsidRDefault="005F173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4A1F31">
        <w:rPr>
          <w:rFonts w:ascii="Arial" w:hAnsi="Arial" w:cs="Arial"/>
          <w:sz w:val="18"/>
          <w:szCs w:val="18"/>
          <w:lang w:val="en-CA"/>
        </w:rPr>
        <w:t xml:space="preserve"> </w:t>
      </w:r>
      <w:r w:rsidRPr="004A1F31">
        <w:rPr>
          <w:rFonts w:ascii="Arial" w:hAnsi="Arial" w:cs="Arial"/>
          <w:sz w:val="18"/>
          <w:szCs w:val="18"/>
          <w:lang w:val="en-CA"/>
        </w:rPr>
        <w:tab/>
      </w:r>
      <w:r w:rsidR="004A1F31" w:rsidRPr="004A1F31">
        <w:rPr>
          <w:rFonts w:ascii="Arial" w:hAnsi="Arial" w:cs="Arial"/>
          <w:sz w:val="18"/>
          <w:szCs w:val="18"/>
          <w:lang w:val="en-CA"/>
        </w:rPr>
        <w:t xml:space="preserve">Lisa </w:t>
      </w:r>
      <w:r w:rsidR="004A1F31" w:rsidRPr="004A1F31">
        <w:rPr>
          <w:rFonts w:ascii="Arial" w:hAnsi="Arial" w:cs="Arial"/>
          <w:smallCaps/>
          <w:sz w:val="18"/>
          <w:szCs w:val="18"/>
          <w:lang w:val="en-CA"/>
        </w:rPr>
        <w:t>Johnson</w:t>
      </w:r>
      <w:r w:rsidR="004A1F31" w:rsidRPr="004A1F31">
        <w:rPr>
          <w:rFonts w:ascii="Arial" w:hAnsi="Arial" w:cs="Arial"/>
          <w:sz w:val="18"/>
          <w:szCs w:val="18"/>
          <w:lang w:val="en-CA"/>
        </w:rPr>
        <w:t>, «</w:t>
      </w:r>
      <w:r w:rsidR="00444FEB">
        <w:rPr>
          <w:rFonts w:ascii="Arial" w:hAnsi="Arial" w:cs="Arial"/>
          <w:sz w:val="18"/>
          <w:szCs w:val="18"/>
          <w:lang w:val="en-CA"/>
        </w:rPr>
        <w:t> </w:t>
      </w:r>
      <w:r w:rsidR="004A1F31" w:rsidRPr="004A1F31">
        <w:rPr>
          <w:rFonts w:ascii="Arial" w:hAnsi="Arial" w:cs="Arial"/>
          <w:sz w:val="18"/>
          <w:szCs w:val="18"/>
          <w:lang w:val="en-CA"/>
        </w:rPr>
        <w:t>What Canadian doctors say about new U.K. review questioning puberty blockers for transgender youth</w:t>
      </w:r>
      <w:r w:rsidR="00444FEB">
        <w:rPr>
          <w:rFonts w:ascii="Arial" w:hAnsi="Arial" w:cs="Arial"/>
          <w:sz w:val="18"/>
          <w:szCs w:val="18"/>
          <w:lang w:val="en-CA"/>
        </w:rPr>
        <w:t> </w:t>
      </w:r>
      <w:r w:rsidR="004A1F31" w:rsidRPr="004A1F31">
        <w:rPr>
          <w:rFonts w:ascii="Arial" w:hAnsi="Arial" w:cs="Arial"/>
          <w:sz w:val="18"/>
          <w:szCs w:val="18"/>
          <w:lang w:val="en-CA"/>
        </w:rPr>
        <w:t>»</w:t>
      </w:r>
      <w:r w:rsidR="004A1F31">
        <w:rPr>
          <w:rFonts w:ascii="Arial" w:hAnsi="Arial" w:cs="Arial"/>
          <w:sz w:val="18"/>
          <w:szCs w:val="18"/>
          <w:lang w:val="en-CA"/>
        </w:rPr>
        <w:t xml:space="preserve">, </w:t>
      </w:r>
      <w:r w:rsidR="004A1F31">
        <w:rPr>
          <w:rFonts w:ascii="Arial" w:hAnsi="Arial" w:cs="Arial"/>
          <w:i/>
          <w:iCs/>
          <w:sz w:val="18"/>
          <w:szCs w:val="18"/>
          <w:lang w:val="en-CA"/>
        </w:rPr>
        <w:t>CBC</w:t>
      </w:r>
      <w:r w:rsidR="004A1F31">
        <w:rPr>
          <w:rFonts w:ascii="Arial" w:hAnsi="Arial" w:cs="Arial"/>
          <w:sz w:val="18"/>
          <w:szCs w:val="18"/>
          <w:lang w:val="en-CA"/>
        </w:rPr>
        <w:t xml:space="preserve">, </w:t>
      </w:r>
      <w:r w:rsidR="007912BB">
        <w:rPr>
          <w:rFonts w:ascii="Arial" w:hAnsi="Arial" w:cs="Arial"/>
          <w:sz w:val="18"/>
          <w:szCs w:val="18"/>
          <w:lang w:val="en-CA"/>
        </w:rPr>
        <w:t>15</w:t>
      </w:r>
      <w:r w:rsidR="00762FE8">
        <w:rPr>
          <w:rFonts w:ascii="Arial" w:hAnsi="Arial" w:cs="Arial"/>
          <w:sz w:val="18"/>
          <w:szCs w:val="18"/>
          <w:lang w:val="en-CA"/>
        </w:rPr>
        <w:t> </w:t>
      </w:r>
      <w:r w:rsidR="007912BB">
        <w:rPr>
          <w:rFonts w:ascii="Arial" w:hAnsi="Arial" w:cs="Arial"/>
          <w:sz w:val="18"/>
          <w:szCs w:val="18"/>
          <w:lang w:val="en-CA"/>
        </w:rPr>
        <w:t>avril 2024, [En ligne].</w:t>
      </w:r>
      <w:r w:rsidR="004A1F31">
        <w:rPr>
          <w:rFonts w:ascii="Arial" w:hAnsi="Arial" w:cs="Arial"/>
          <w:sz w:val="18"/>
          <w:szCs w:val="18"/>
          <w:lang w:val="en-CA"/>
        </w:rPr>
        <w:t xml:space="preserve"> </w:t>
      </w:r>
      <w:hyperlink r:id="rId40" w:history="1">
        <w:r w:rsidRPr="003D6F7B">
          <w:rPr>
            <w:rStyle w:val="Lienhypertexte"/>
            <w:rFonts w:ascii="Arial" w:hAnsi="Arial" w:cs="Arial"/>
            <w:sz w:val="18"/>
            <w:szCs w:val="18"/>
            <w:lang w:val="fr-CA"/>
          </w:rPr>
          <w:t>https://www.cbc.ca/news/health/puberty-blockers-review-1.7172920</w:t>
        </w:r>
      </w:hyperlink>
      <w:r w:rsidRPr="003D6F7B">
        <w:rPr>
          <w:rFonts w:ascii="Arial" w:hAnsi="Arial" w:cs="Arial"/>
          <w:sz w:val="18"/>
          <w:szCs w:val="18"/>
          <w:lang w:val="fr-CA"/>
        </w:rPr>
        <w:t xml:space="preserve"> </w:t>
      </w:r>
    </w:p>
  </w:endnote>
  <w:endnote w:id="47">
    <w:p w14:paraId="56B0E9A8" w14:textId="7F27C3B6" w:rsidR="006F2D87" w:rsidRPr="0085310E" w:rsidRDefault="006F2D87"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A56B7" w:rsidRPr="00BD22C2">
        <w:rPr>
          <w:rFonts w:ascii="Arial" w:hAnsi="Arial" w:cs="Arial"/>
          <w:sz w:val="18"/>
          <w:szCs w:val="18"/>
          <w:lang w:val="fr-CA"/>
        </w:rPr>
        <w:t xml:space="preserve">Katrine </w:t>
      </w:r>
      <w:r w:rsidR="001A56B7" w:rsidRPr="00BD22C2">
        <w:rPr>
          <w:rFonts w:ascii="Arial" w:hAnsi="Arial" w:cs="Arial"/>
          <w:smallCaps/>
          <w:sz w:val="18"/>
          <w:szCs w:val="18"/>
          <w:lang w:val="fr-CA"/>
        </w:rPr>
        <w:t>Desautels</w:t>
      </w:r>
      <w:r w:rsidR="001A56B7" w:rsidRPr="00BD22C2">
        <w:rPr>
          <w:rFonts w:ascii="Arial" w:hAnsi="Arial" w:cs="Arial"/>
          <w:sz w:val="18"/>
          <w:szCs w:val="18"/>
          <w:lang w:val="fr-CA"/>
        </w:rPr>
        <w:t xml:space="preserve"> (La Presse canadienne), «</w:t>
      </w:r>
      <w:r w:rsidR="00974BD5" w:rsidRPr="00BD22C2">
        <w:rPr>
          <w:rFonts w:ascii="Arial" w:hAnsi="Arial" w:cs="Arial"/>
          <w:sz w:val="18"/>
          <w:szCs w:val="18"/>
          <w:lang w:val="fr-CA"/>
        </w:rPr>
        <w:t> </w:t>
      </w:r>
      <w:r w:rsidR="00C17ECA" w:rsidRPr="00BD22C2">
        <w:rPr>
          <w:rFonts w:ascii="Arial" w:hAnsi="Arial" w:cs="Arial"/>
          <w:sz w:val="18"/>
          <w:szCs w:val="18"/>
          <w:lang w:val="fr-CA"/>
        </w:rPr>
        <w:t>Les trans subissent les contrecoups de la désinformation sur l’identité de genre</w:t>
      </w:r>
      <w:r w:rsidR="00974BD5" w:rsidRPr="00BD22C2">
        <w:rPr>
          <w:rFonts w:ascii="Arial" w:hAnsi="Arial" w:cs="Arial"/>
          <w:sz w:val="18"/>
          <w:szCs w:val="18"/>
          <w:lang w:val="fr-CA"/>
        </w:rPr>
        <w:t> </w:t>
      </w:r>
      <w:r w:rsidR="00C17ECA" w:rsidRPr="00BD22C2">
        <w:rPr>
          <w:rFonts w:ascii="Arial" w:hAnsi="Arial" w:cs="Arial"/>
          <w:sz w:val="18"/>
          <w:szCs w:val="18"/>
          <w:lang w:val="fr-CA"/>
        </w:rPr>
        <w:t xml:space="preserve">», </w:t>
      </w:r>
      <w:r w:rsidR="00C17ECA" w:rsidRPr="00BD22C2">
        <w:rPr>
          <w:rFonts w:ascii="Arial" w:hAnsi="Arial" w:cs="Arial"/>
          <w:i/>
          <w:sz w:val="18"/>
          <w:szCs w:val="18"/>
          <w:lang w:val="fr-CA"/>
        </w:rPr>
        <w:t>Le Devoir</w:t>
      </w:r>
      <w:r w:rsidR="00C17ECA" w:rsidRPr="00BD22C2">
        <w:rPr>
          <w:rFonts w:ascii="Arial" w:hAnsi="Arial" w:cs="Arial"/>
          <w:sz w:val="18"/>
          <w:szCs w:val="18"/>
          <w:lang w:val="fr-CA"/>
        </w:rPr>
        <w:t>, 18</w:t>
      </w:r>
      <w:r w:rsidR="00762FE8">
        <w:rPr>
          <w:rFonts w:ascii="Arial" w:hAnsi="Arial" w:cs="Arial"/>
          <w:sz w:val="18"/>
          <w:szCs w:val="18"/>
          <w:lang w:val="fr-CA"/>
        </w:rPr>
        <w:t> </w:t>
      </w:r>
      <w:r w:rsidR="00C17ECA" w:rsidRPr="00BD22C2">
        <w:rPr>
          <w:rFonts w:ascii="Arial" w:hAnsi="Arial" w:cs="Arial"/>
          <w:sz w:val="18"/>
          <w:szCs w:val="18"/>
          <w:lang w:val="fr-CA"/>
        </w:rPr>
        <w:t xml:space="preserve">mars 2024, [En ligne]. </w:t>
      </w:r>
      <w:hyperlink r:id="rId41" w:history="1">
        <w:r w:rsidR="00420B2C" w:rsidRPr="0085310E">
          <w:rPr>
            <w:rStyle w:val="Lienhypertexte"/>
            <w:rFonts w:ascii="Arial" w:hAnsi="Arial" w:cs="Arial"/>
            <w:sz w:val="18"/>
            <w:szCs w:val="18"/>
          </w:rPr>
          <w:t>https://www.ledevoir.com/societe/sante/809214/societe-trans-subissent-contrecoups-desinformation-identite-genre</w:t>
        </w:r>
      </w:hyperlink>
      <w:r w:rsidR="00420B2C" w:rsidRPr="0085310E">
        <w:rPr>
          <w:rFonts w:ascii="Arial" w:hAnsi="Arial" w:cs="Arial"/>
          <w:sz w:val="18"/>
          <w:szCs w:val="18"/>
        </w:rPr>
        <w:t xml:space="preserve"> </w:t>
      </w:r>
    </w:p>
  </w:endnote>
  <w:endnote w:id="48">
    <w:p w14:paraId="68382C94" w14:textId="234D4D85" w:rsidR="006637BD" w:rsidRPr="00F11979" w:rsidRDefault="006637BD" w:rsidP="0006087A">
      <w:pPr>
        <w:pStyle w:val="Notedebasdepage"/>
        <w:rPr>
          <w:lang w:val="fr-CA"/>
        </w:rPr>
      </w:pPr>
      <w:r w:rsidRPr="00BD22C2">
        <w:rPr>
          <w:rStyle w:val="Appeldenotedefin"/>
          <w:rFonts w:cs="Arial"/>
          <w:szCs w:val="18"/>
          <w:lang w:val="fr-CA"/>
        </w:rPr>
        <w:endnoteRef/>
      </w:r>
      <w:r w:rsidRPr="00F11979">
        <w:rPr>
          <w:lang w:val="fr-CA"/>
        </w:rPr>
        <w:t xml:space="preserve"> </w:t>
      </w:r>
      <w:r w:rsidRPr="00F11979">
        <w:rPr>
          <w:lang w:val="fr-CA"/>
        </w:rPr>
        <w:tab/>
      </w:r>
      <w:bookmarkStart w:id="28" w:name="_Hlk165887742"/>
      <w:r w:rsidRPr="00F11979">
        <w:rPr>
          <w:smallCaps/>
          <w:lang w:val="fr-CA"/>
        </w:rPr>
        <w:t>Gouvernement du Québec</w:t>
      </w:r>
      <w:bookmarkEnd w:id="28"/>
      <w:r w:rsidRPr="00F11979">
        <w:rPr>
          <w:lang w:val="fr-CA"/>
        </w:rPr>
        <w:t xml:space="preserve">, </w:t>
      </w:r>
      <w:r w:rsidR="0006087A" w:rsidRPr="00F11979">
        <w:rPr>
          <w:lang w:val="fr-CA"/>
        </w:rPr>
        <w:t>préc.</w:t>
      </w:r>
      <w:r w:rsidR="00E75F7A" w:rsidRPr="00F11979">
        <w:rPr>
          <w:lang w:val="fr-CA"/>
        </w:rPr>
        <w:t>, note</w:t>
      </w:r>
      <w:r w:rsidR="0091080B">
        <w:rPr>
          <w:lang w:val="fr-CA"/>
        </w:rPr>
        <w:t> </w:t>
      </w:r>
      <w:r w:rsidR="00E75F7A" w:rsidRPr="00F11979">
        <w:rPr>
          <w:lang w:val="fr-CA"/>
        </w:rPr>
        <w:fldChar w:fldCharType="begin"/>
      </w:r>
      <w:r w:rsidR="00E75F7A" w:rsidRPr="00F11979">
        <w:rPr>
          <w:lang w:val="fr-CA"/>
        </w:rPr>
        <w:instrText xml:space="preserve"> NOTEREF _Ref166752423 \h </w:instrText>
      </w:r>
      <w:r w:rsidR="00E75F7A" w:rsidRPr="00F11979">
        <w:rPr>
          <w:lang w:val="fr-CA"/>
        </w:rPr>
      </w:r>
      <w:r w:rsidR="00E75F7A" w:rsidRPr="00F11979">
        <w:rPr>
          <w:lang w:val="fr-CA"/>
        </w:rPr>
        <w:fldChar w:fldCharType="separate"/>
      </w:r>
      <w:r w:rsidR="004B4881">
        <w:rPr>
          <w:lang w:val="fr-CA"/>
        </w:rPr>
        <w:t>13</w:t>
      </w:r>
      <w:r w:rsidR="00E75F7A" w:rsidRPr="00F11979">
        <w:rPr>
          <w:lang w:val="fr-CA"/>
        </w:rPr>
        <w:fldChar w:fldCharType="end"/>
      </w:r>
      <w:r w:rsidR="00E75F7A" w:rsidRPr="00F11979">
        <w:rPr>
          <w:lang w:val="fr-CA"/>
        </w:rPr>
        <w:t>.</w:t>
      </w:r>
      <w:r w:rsidRPr="00F11979">
        <w:rPr>
          <w:lang w:val="fr-CA"/>
        </w:rPr>
        <w:t xml:space="preserve"> </w:t>
      </w:r>
    </w:p>
  </w:endnote>
  <w:endnote w:id="49">
    <w:p w14:paraId="4E132685" w14:textId="4875DF99"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EF69E1" w:rsidRPr="00BD22C2">
        <w:rPr>
          <w:rFonts w:ascii="Arial" w:hAnsi="Arial" w:cs="Arial"/>
          <w:smallCaps/>
          <w:sz w:val="18"/>
          <w:szCs w:val="18"/>
          <w:lang w:val="fr-CA"/>
        </w:rPr>
        <w:t>Gouvernement du Québec</w:t>
      </w:r>
      <w:r w:rsidRPr="00BD22C2">
        <w:rPr>
          <w:rFonts w:ascii="Arial" w:hAnsi="Arial" w:cs="Arial"/>
          <w:sz w:val="18"/>
          <w:szCs w:val="18"/>
          <w:lang w:val="fr-CA"/>
        </w:rPr>
        <w:t xml:space="preserve">, </w:t>
      </w:r>
      <w:r w:rsidRPr="00BD22C2">
        <w:rPr>
          <w:rFonts w:ascii="Arial" w:hAnsi="Arial" w:cs="Arial"/>
          <w:i/>
          <w:sz w:val="18"/>
          <w:szCs w:val="18"/>
          <w:lang w:val="fr-CA"/>
        </w:rPr>
        <w:t>Plan d’action gouvernemental de lutte contre l’homophobie</w:t>
      </w:r>
      <w:r w:rsidR="00CC76DE" w:rsidRPr="00BD22C2">
        <w:rPr>
          <w:rFonts w:ascii="Arial" w:hAnsi="Arial" w:cs="Arial"/>
          <w:i/>
          <w:sz w:val="18"/>
          <w:szCs w:val="18"/>
          <w:lang w:val="fr-CA"/>
        </w:rPr>
        <w:t> </w:t>
      </w:r>
      <w:r w:rsidRPr="00BD22C2">
        <w:rPr>
          <w:rFonts w:ascii="Arial" w:hAnsi="Arial" w:cs="Arial"/>
          <w:i/>
          <w:sz w:val="18"/>
          <w:szCs w:val="18"/>
          <w:lang w:val="fr-CA"/>
        </w:rPr>
        <w:t>2011-2016</w:t>
      </w:r>
      <w:r w:rsidRPr="00BD22C2">
        <w:rPr>
          <w:rFonts w:ascii="Arial" w:hAnsi="Arial" w:cs="Arial"/>
          <w:sz w:val="18"/>
          <w:szCs w:val="18"/>
          <w:lang w:val="fr-CA"/>
        </w:rPr>
        <w:t xml:space="preserve">, 2011, [En ligne]. </w:t>
      </w:r>
      <w:hyperlink r:id="rId42" w:history="1">
        <w:r w:rsidRPr="00BD22C2">
          <w:rPr>
            <w:rStyle w:val="Lienhypertexte"/>
            <w:rFonts w:ascii="Arial" w:hAnsi="Arial" w:cs="Arial"/>
            <w:sz w:val="18"/>
            <w:szCs w:val="18"/>
            <w:lang w:val="fr-CA"/>
          </w:rPr>
          <w:t>https://www.bibliotheque.assnat.qc.ca/DepotNumerique_v2/AffichageFichier.aspx?idf=141767</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00EF69E1" w:rsidRPr="00BD22C2">
        <w:rPr>
          <w:rFonts w:ascii="Arial" w:hAnsi="Arial" w:cs="Arial"/>
          <w:smallCaps/>
          <w:sz w:val="18"/>
          <w:szCs w:val="18"/>
          <w:lang w:val="fr-CA"/>
        </w:rPr>
        <w:t>Gouvernement du Québec</w:t>
      </w:r>
      <w:r w:rsidRPr="00BD22C2">
        <w:rPr>
          <w:rFonts w:ascii="Arial" w:hAnsi="Arial" w:cs="Arial"/>
          <w:sz w:val="18"/>
          <w:szCs w:val="18"/>
          <w:lang w:val="fr-CA"/>
        </w:rPr>
        <w:t xml:space="preserve">, </w:t>
      </w:r>
      <w:r w:rsidRPr="00BD22C2">
        <w:rPr>
          <w:rFonts w:ascii="Arial" w:hAnsi="Arial" w:cs="Arial"/>
          <w:i/>
          <w:sz w:val="18"/>
          <w:szCs w:val="18"/>
          <w:lang w:val="fr-CA"/>
        </w:rPr>
        <w:t>Plan d’action gouvernemental de lutte contre l’homophobie et la transphobie</w:t>
      </w:r>
      <w:r w:rsidR="00CC76DE" w:rsidRPr="00BD22C2">
        <w:rPr>
          <w:rFonts w:ascii="Arial" w:hAnsi="Arial" w:cs="Arial"/>
          <w:i/>
          <w:sz w:val="18"/>
          <w:szCs w:val="18"/>
          <w:lang w:val="fr-CA"/>
        </w:rPr>
        <w:t> </w:t>
      </w:r>
      <w:r w:rsidRPr="00BD22C2">
        <w:rPr>
          <w:rFonts w:ascii="Arial" w:hAnsi="Arial" w:cs="Arial"/>
          <w:i/>
          <w:sz w:val="18"/>
          <w:szCs w:val="18"/>
          <w:lang w:val="fr-CA"/>
        </w:rPr>
        <w:t>2017-2022</w:t>
      </w:r>
      <w:r w:rsidRPr="00BD22C2">
        <w:rPr>
          <w:rFonts w:ascii="Arial" w:hAnsi="Arial" w:cs="Arial"/>
          <w:sz w:val="18"/>
          <w:szCs w:val="18"/>
          <w:lang w:val="fr-CA"/>
        </w:rPr>
        <w:t xml:space="preserve">, 2017, [En ligne]. </w:t>
      </w:r>
      <w:hyperlink r:id="rId43" w:history="1">
        <w:r w:rsidRPr="00BD22C2">
          <w:rPr>
            <w:rStyle w:val="Lienhypertexte"/>
            <w:rFonts w:ascii="Arial" w:hAnsi="Arial" w:cs="Arial"/>
            <w:sz w:val="18"/>
            <w:szCs w:val="18"/>
            <w:lang w:val="fr-CA"/>
          </w:rPr>
          <w:t>https://cdn-contenu.quebec.ca/cdn-contenu/adm/gouv/homophobie-transphobie/PL_action_PLCHT_2017-2022_MJQ.pdf</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00EF69E1" w:rsidRPr="00BD22C2">
        <w:rPr>
          <w:rFonts w:ascii="Arial" w:hAnsi="Arial" w:cs="Arial"/>
          <w:smallCaps/>
          <w:sz w:val="18"/>
          <w:szCs w:val="18"/>
          <w:lang w:val="fr-CA"/>
        </w:rPr>
        <w:t>Gouvernement du Québec</w:t>
      </w:r>
      <w:r w:rsidRPr="00BD22C2">
        <w:rPr>
          <w:rFonts w:ascii="Arial" w:hAnsi="Arial" w:cs="Arial"/>
          <w:sz w:val="18"/>
          <w:szCs w:val="18"/>
          <w:lang w:val="fr-CA"/>
        </w:rPr>
        <w:t xml:space="preserve">, </w:t>
      </w:r>
      <w:r w:rsidR="0061009F" w:rsidRPr="00BD22C2">
        <w:rPr>
          <w:rFonts w:ascii="Arial" w:hAnsi="Arial" w:cs="Arial"/>
          <w:sz w:val="18"/>
          <w:szCs w:val="18"/>
          <w:lang w:val="fr-CA"/>
        </w:rPr>
        <w:t>préc., note</w:t>
      </w:r>
      <w:r w:rsidR="0091080B">
        <w:rPr>
          <w:rFonts w:ascii="Arial" w:hAnsi="Arial" w:cs="Arial"/>
          <w:sz w:val="18"/>
          <w:szCs w:val="18"/>
          <w:lang w:val="fr-CA"/>
        </w:rPr>
        <w:t> </w:t>
      </w:r>
      <w:r w:rsidR="0061009F" w:rsidRPr="00BD22C2">
        <w:rPr>
          <w:rFonts w:ascii="Arial" w:hAnsi="Arial" w:cs="Arial"/>
          <w:sz w:val="18"/>
          <w:szCs w:val="18"/>
          <w:lang w:val="fr-CA"/>
        </w:rPr>
        <w:fldChar w:fldCharType="begin"/>
      </w:r>
      <w:r w:rsidR="0061009F" w:rsidRPr="00BD22C2">
        <w:rPr>
          <w:rFonts w:ascii="Arial" w:hAnsi="Arial" w:cs="Arial"/>
          <w:sz w:val="18"/>
          <w:szCs w:val="18"/>
          <w:lang w:val="fr-CA"/>
        </w:rPr>
        <w:instrText xml:space="preserve"> NOTEREF _Ref166750289 \h </w:instrText>
      </w:r>
      <w:r w:rsidR="0061009F" w:rsidRPr="00BD22C2">
        <w:rPr>
          <w:rFonts w:ascii="Arial" w:hAnsi="Arial" w:cs="Arial"/>
          <w:sz w:val="18"/>
          <w:szCs w:val="18"/>
          <w:lang w:val="fr-CA"/>
        </w:rPr>
      </w:r>
      <w:r w:rsidR="0061009F" w:rsidRPr="00BD22C2">
        <w:rPr>
          <w:rFonts w:ascii="Arial" w:hAnsi="Arial" w:cs="Arial"/>
          <w:sz w:val="18"/>
          <w:szCs w:val="18"/>
          <w:lang w:val="fr-CA"/>
        </w:rPr>
        <w:fldChar w:fldCharType="separate"/>
      </w:r>
      <w:r w:rsidR="004B4881">
        <w:rPr>
          <w:rFonts w:ascii="Arial" w:hAnsi="Arial" w:cs="Arial"/>
          <w:sz w:val="18"/>
          <w:szCs w:val="18"/>
          <w:lang w:val="fr-CA"/>
        </w:rPr>
        <w:t>24</w:t>
      </w:r>
      <w:r w:rsidR="0061009F" w:rsidRPr="00BD22C2">
        <w:rPr>
          <w:rFonts w:ascii="Arial" w:hAnsi="Arial" w:cs="Arial"/>
          <w:sz w:val="18"/>
          <w:szCs w:val="18"/>
          <w:lang w:val="fr-CA"/>
        </w:rPr>
        <w:fldChar w:fldCharType="end"/>
      </w:r>
      <w:r w:rsidRPr="00BD22C2">
        <w:rPr>
          <w:rFonts w:ascii="Arial" w:hAnsi="Arial" w:cs="Arial"/>
          <w:i/>
          <w:sz w:val="18"/>
          <w:szCs w:val="18"/>
          <w:lang w:val="fr-CA"/>
        </w:rPr>
        <w:t xml:space="preserve"> </w:t>
      </w:r>
      <w:r w:rsidRPr="00BD22C2">
        <w:rPr>
          <w:rFonts w:ascii="Arial" w:hAnsi="Arial" w:cs="Arial"/>
          <w:sz w:val="18"/>
          <w:szCs w:val="18"/>
          <w:lang w:val="fr-CA"/>
        </w:rPr>
        <w:t xml:space="preserve"> </w:t>
      </w:r>
    </w:p>
  </w:endnote>
  <w:endnote w:id="50">
    <w:p w14:paraId="4FB9A6B7" w14:textId="142B4802"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EF69E1" w:rsidRPr="00BD22C2">
        <w:rPr>
          <w:rFonts w:ascii="Arial" w:hAnsi="Arial" w:cs="Arial"/>
          <w:smallCaps/>
          <w:sz w:val="18"/>
          <w:szCs w:val="18"/>
          <w:lang w:val="fr-CA"/>
        </w:rPr>
        <w:t>Gouvernement du Québec</w:t>
      </w:r>
      <w:r w:rsidRPr="00BD22C2">
        <w:rPr>
          <w:rFonts w:ascii="Arial" w:hAnsi="Arial" w:cs="Arial"/>
          <w:sz w:val="18"/>
          <w:szCs w:val="18"/>
          <w:lang w:val="fr-CA"/>
        </w:rPr>
        <w:t>,</w:t>
      </w:r>
      <w:r w:rsidR="00F212BC" w:rsidRPr="00BD22C2">
        <w:rPr>
          <w:rFonts w:ascii="Arial" w:hAnsi="Arial" w:cs="Arial"/>
          <w:sz w:val="18"/>
          <w:szCs w:val="18"/>
          <w:lang w:val="fr-CA"/>
        </w:rPr>
        <w:t xml:space="preserve"> préc.</w:t>
      </w:r>
      <w:r w:rsidR="00DB07F0" w:rsidRPr="00BD22C2">
        <w:rPr>
          <w:rFonts w:ascii="Arial" w:hAnsi="Arial" w:cs="Arial"/>
          <w:sz w:val="18"/>
          <w:szCs w:val="18"/>
          <w:lang w:val="fr-CA"/>
        </w:rPr>
        <w:t>,</w:t>
      </w:r>
      <w:r w:rsidR="00F212BC" w:rsidRPr="00BD22C2">
        <w:rPr>
          <w:rFonts w:ascii="Arial" w:hAnsi="Arial" w:cs="Arial"/>
          <w:sz w:val="18"/>
          <w:szCs w:val="18"/>
          <w:lang w:val="fr-CA"/>
        </w:rPr>
        <w:t xml:space="preserve"> note</w:t>
      </w:r>
      <w:r w:rsidR="0091080B">
        <w:rPr>
          <w:rFonts w:ascii="Arial" w:hAnsi="Arial" w:cs="Arial"/>
          <w:sz w:val="18"/>
          <w:szCs w:val="18"/>
          <w:lang w:val="fr-CA"/>
        </w:rPr>
        <w:t> </w:t>
      </w:r>
      <w:r w:rsidR="00F212BC" w:rsidRPr="00BD22C2">
        <w:rPr>
          <w:rFonts w:ascii="Arial" w:hAnsi="Arial" w:cs="Arial"/>
          <w:sz w:val="18"/>
          <w:szCs w:val="18"/>
          <w:lang w:val="fr-CA"/>
        </w:rPr>
        <w:fldChar w:fldCharType="begin"/>
      </w:r>
      <w:r w:rsidR="00F212BC" w:rsidRPr="00BD22C2">
        <w:rPr>
          <w:rFonts w:ascii="Arial" w:hAnsi="Arial" w:cs="Arial"/>
          <w:sz w:val="18"/>
          <w:szCs w:val="18"/>
          <w:lang w:val="fr-CA"/>
        </w:rPr>
        <w:instrText xml:space="preserve"> NOTEREF _Ref167265816 \h </w:instrText>
      </w:r>
      <w:r w:rsidR="00F212BC" w:rsidRPr="00BD22C2">
        <w:rPr>
          <w:rFonts w:ascii="Arial" w:hAnsi="Arial" w:cs="Arial"/>
          <w:sz w:val="18"/>
          <w:szCs w:val="18"/>
          <w:lang w:val="fr-CA"/>
        </w:rPr>
      </w:r>
      <w:r w:rsidR="00F212BC" w:rsidRPr="00BD22C2">
        <w:rPr>
          <w:rFonts w:ascii="Arial" w:hAnsi="Arial" w:cs="Arial"/>
          <w:sz w:val="18"/>
          <w:szCs w:val="18"/>
          <w:lang w:val="fr-CA"/>
        </w:rPr>
        <w:fldChar w:fldCharType="separate"/>
      </w:r>
      <w:r w:rsidR="004B4881">
        <w:rPr>
          <w:rFonts w:ascii="Arial" w:hAnsi="Arial" w:cs="Arial"/>
          <w:sz w:val="18"/>
          <w:szCs w:val="18"/>
          <w:lang w:val="fr-CA"/>
        </w:rPr>
        <w:t>25</w:t>
      </w:r>
      <w:r w:rsidR="00F212BC" w:rsidRPr="00BD22C2">
        <w:rPr>
          <w:rFonts w:ascii="Arial" w:hAnsi="Arial" w:cs="Arial"/>
          <w:sz w:val="18"/>
          <w:szCs w:val="18"/>
          <w:lang w:val="fr-CA"/>
        </w:rPr>
        <w:fldChar w:fldCharType="end"/>
      </w:r>
      <w:r w:rsidR="00F212BC" w:rsidRPr="00BD22C2">
        <w:rPr>
          <w:rFonts w:ascii="Arial" w:hAnsi="Arial" w:cs="Arial"/>
          <w:sz w:val="18"/>
          <w:szCs w:val="18"/>
          <w:lang w:val="fr-CA"/>
        </w:rPr>
        <w:t>.</w:t>
      </w:r>
    </w:p>
  </w:endnote>
  <w:endnote w:id="51">
    <w:p w14:paraId="002E0D13" w14:textId="62AB79A0" w:rsidR="005318AF" w:rsidRPr="00BD22C2" w:rsidRDefault="005318A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DB07F0" w:rsidRPr="00BD22C2">
        <w:rPr>
          <w:rFonts w:ascii="Arial" w:hAnsi="Arial" w:cs="Arial"/>
          <w:sz w:val="18"/>
          <w:szCs w:val="18"/>
          <w:lang w:val="fr-CA"/>
        </w:rPr>
        <w:t xml:space="preserve">Voir </w:t>
      </w:r>
      <w:hyperlink r:id="rId44" w:history="1">
        <w:r w:rsidR="00DB07F0" w:rsidRPr="00BD22C2">
          <w:rPr>
            <w:rStyle w:val="Lienhypertexte"/>
            <w:rFonts w:ascii="Arial" w:hAnsi="Arial" w:cs="Arial"/>
            <w:sz w:val="18"/>
            <w:szCs w:val="18"/>
            <w:lang w:val="fr-CA"/>
          </w:rPr>
          <w:t>https://www.may17mai.com/</w:t>
        </w:r>
      </w:hyperlink>
    </w:p>
  </w:endnote>
  <w:endnote w:id="52">
    <w:p w14:paraId="64AC634C" w14:textId="3B3C2216"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37199A" w:rsidRPr="00BD22C2">
        <w:rPr>
          <w:rFonts w:ascii="Arial" w:hAnsi="Arial" w:cs="Arial"/>
          <w:sz w:val="18"/>
          <w:szCs w:val="18"/>
          <w:lang w:val="fr-CA"/>
        </w:rPr>
        <w:t>préc., note</w:t>
      </w:r>
      <w:r w:rsidR="0091080B">
        <w:rPr>
          <w:rFonts w:ascii="Arial" w:hAnsi="Arial" w:cs="Arial"/>
          <w:sz w:val="18"/>
          <w:szCs w:val="18"/>
          <w:lang w:val="fr-CA"/>
        </w:rPr>
        <w:t> </w:t>
      </w:r>
      <w:r w:rsidR="008848E7" w:rsidRPr="00BD22C2">
        <w:rPr>
          <w:rFonts w:ascii="Arial" w:hAnsi="Arial" w:cs="Arial"/>
          <w:sz w:val="18"/>
          <w:szCs w:val="18"/>
          <w:lang w:val="fr-CA"/>
        </w:rPr>
        <w:fldChar w:fldCharType="begin"/>
      </w:r>
      <w:r w:rsidR="008848E7" w:rsidRPr="00BD22C2">
        <w:rPr>
          <w:rFonts w:ascii="Arial" w:hAnsi="Arial" w:cs="Arial"/>
          <w:sz w:val="18"/>
          <w:szCs w:val="18"/>
          <w:lang w:val="fr-CA"/>
        </w:rPr>
        <w:instrText xml:space="preserve"> NOTEREF _Ref166854751 \h </w:instrText>
      </w:r>
      <w:r w:rsidR="008848E7" w:rsidRPr="00BD22C2">
        <w:rPr>
          <w:rFonts w:ascii="Arial" w:hAnsi="Arial" w:cs="Arial"/>
          <w:sz w:val="18"/>
          <w:szCs w:val="18"/>
          <w:lang w:val="fr-CA"/>
        </w:rPr>
      </w:r>
      <w:r w:rsidR="008848E7" w:rsidRPr="00BD22C2">
        <w:rPr>
          <w:rFonts w:ascii="Arial" w:hAnsi="Arial" w:cs="Arial"/>
          <w:sz w:val="18"/>
          <w:szCs w:val="18"/>
          <w:lang w:val="fr-CA"/>
        </w:rPr>
        <w:fldChar w:fldCharType="separate"/>
      </w:r>
      <w:r w:rsidR="004B4881">
        <w:rPr>
          <w:rFonts w:ascii="Arial" w:hAnsi="Arial" w:cs="Arial"/>
          <w:sz w:val="18"/>
          <w:szCs w:val="18"/>
          <w:lang w:val="fr-CA"/>
        </w:rPr>
        <w:t>7</w:t>
      </w:r>
      <w:r w:rsidR="008848E7" w:rsidRPr="00BD22C2">
        <w:rPr>
          <w:rFonts w:ascii="Arial" w:hAnsi="Arial" w:cs="Arial"/>
          <w:sz w:val="18"/>
          <w:szCs w:val="18"/>
          <w:lang w:val="fr-CA"/>
        </w:rPr>
        <w:fldChar w:fldCharType="end"/>
      </w:r>
      <w:r w:rsidRPr="00BD22C2">
        <w:rPr>
          <w:rFonts w:ascii="Arial" w:hAnsi="Arial" w:cs="Arial"/>
          <w:sz w:val="18"/>
          <w:szCs w:val="18"/>
          <w:lang w:val="fr-CA"/>
        </w:rPr>
        <w:t xml:space="preserve"> </w:t>
      </w:r>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DA0A95" w:rsidRPr="00BD22C2">
        <w:rPr>
          <w:rFonts w:ascii="Arial" w:hAnsi="Arial" w:cs="Arial"/>
          <w:iCs/>
          <w:sz w:val="18"/>
          <w:szCs w:val="18"/>
          <w:lang w:val="fr-CA"/>
        </w:rPr>
        <w:t>préc., note</w:t>
      </w:r>
      <w:r w:rsidR="0091080B">
        <w:rPr>
          <w:rFonts w:ascii="Arial" w:hAnsi="Arial" w:cs="Arial"/>
          <w:iCs/>
          <w:sz w:val="18"/>
          <w:szCs w:val="18"/>
          <w:lang w:val="fr-CA"/>
        </w:rPr>
        <w:t> </w:t>
      </w:r>
      <w:r w:rsidR="00DA0A95" w:rsidRPr="00BD22C2">
        <w:rPr>
          <w:rFonts w:ascii="Arial" w:hAnsi="Arial" w:cs="Arial"/>
          <w:iCs/>
          <w:sz w:val="18"/>
          <w:szCs w:val="18"/>
          <w:lang w:val="fr-CA"/>
        </w:rPr>
        <w:fldChar w:fldCharType="begin"/>
      </w:r>
      <w:r w:rsidR="00DA0A95" w:rsidRPr="00BD22C2">
        <w:rPr>
          <w:rFonts w:ascii="Arial" w:hAnsi="Arial" w:cs="Arial"/>
          <w:iCs/>
          <w:sz w:val="18"/>
          <w:szCs w:val="18"/>
          <w:lang w:val="fr-CA"/>
        </w:rPr>
        <w:instrText xml:space="preserve"> NOTEREF _Ref166749987 \h </w:instrText>
      </w:r>
      <w:r w:rsidR="00DA0A95" w:rsidRPr="00BD22C2">
        <w:rPr>
          <w:rFonts w:ascii="Arial" w:hAnsi="Arial" w:cs="Arial"/>
          <w:iCs/>
          <w:sz w:val="18"/>
          <w:szCs w:val="18"/>
          <w:lang w:val="fr-CA"/>
        </w:rPr>
      </w:r>
      <w:r w:rsidR="00DA0A95" w:rsidRPr="00BD22C2">
        <w:rPr>
          <w:rFonts w:ascii="Arial" w:hAnsi="Arial" w:cs="Arial"/>
          <w:iCs/>
          <w:sz w:val="18"/>
          <w:szCs w:val="18"/>
          <w:lang w:val="fr-CA"/>
        </w:rPr>
        <w:fldChar w:fldCharType="separate"/>
      </w:r>
      <w:r w:rsidR="004B4881">
        <w:rPr>
          <w:rFonts w:ascii="Arial" w:hAnsi="Arial" w:cs="Arial"/>
          <w:iCs/>
          <w:sz w:val="18"/>
          <w:szCs w:val="18"/>
          <w:lang w:val="fr-CA"/>
        </w:rPr>
        <w:t>10</w:t>
      </w:r>
      <w:r w:rsidR="00DA0A95" w:rsidRPr="00BD22C2">
        <w:rPr>
          <w:rFonts w:ascii="Arial" w:hAnsi="Arial" w:cs="Arial"/>
          <w:iCs/>
          <w:sz w:val="18"/>
          <w:szCs w:val="18"/>
          <w:lang w:val="fr-CA"/>
        </w:rPr>
        <w:fldChar w:fldCharType="end"/>
      </w:r>
      <w:r w:rsidR="00DA0A95" w:rsidRPr="00BD22C2">
        <w:rPr>
          <w:rFonts w:ascii="Arial" w:hAnsi="Arial" w:cs="Arial"/>
          <w:iCs/>
          <w:sz w:val="18"/>
          <w:szCs w:val="18"/>
          <w:lang w:val="fr-CA"/>
        </w:rPr>
        <w:t>.</w:t>
      </w:r>
    </w:p>
  </w:endnote>
  <w:endnote w:id="53">
    <w:p w14:paraId="203D91A0" w14:textId="176387E3"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EA0D14" w:rsidRPr="00BD22C2">
        <w:rPr>
          <w:rFonts w:ascii="Arial" w:hAnsi="Arial" w:cs="Arial"/>
          <w:smallCaps/>
          <w:sz w:val="18"/>
          <w:szCs w:val="18"/>
          <w:lang w:val="fr-CA"/>
        </w:rPr>
        <w:t xml:space="preserve">Gouvernement du Québec, </w:t>
      </w:r>
      <w:r w:rsidR="00EA0D14" w:rsidRPr="00BD22C2">
        <w:rPr>
          <w:rFonts w:ascii="Arial" w:hAnsi="Arial" w:cs="Arial"/>
          <w:sz w:val="18"/>
          <w:szCs w:val="18"/>
          <w:lang w:val="fr-CA"/>
        </w:rPr>
        <w:t>préc., note</w:t>
      </w:r>
      <w:r w:rsidR="0091080B">
        <w:rPr>
          <w:rFonts w:ascii="Arial" w:hAnsi="Arial" w:cs="Arial"/>
          <w:sz w:val="18"/>
          <w:szCs w:val="18"/>
          <w:lang w:val="fr-CA"/>
        </w:rPr>
        <w:t> </w:t>
      </w:r>
      <w:r w:rsidR="00EA0D14" w:rsidRPr="00BD22C2">
        <w:rPr>
          <w:rFonts w:ascii="Arial" w:hAnsi="Arial" w:cs="Arial"/>
          <w:sz w:val="18"/>
          <w:szCs w:val="18"/>
          <w:lang w:val="fr-CA"/>
        </w:rPr>
        <w:fldChar w:fldCharType="begin"/>
      </w:r>
      <w:r w:rsidR="00EA0D14" w:rsidRPr="00BD22C2">
        <w:rPr>
          <w:rFonts w:ascii="Arial" w:hAnsi="Arial" w:cs="Arial"/>
          <w:sz w:val="18"/>
          <w:szCs w:val="18"/>
          <w:lang w:val="fr-CA"/>
        </w:rPr>
        <w:instrText xml:space="preserve"> NOTEREF _Ref166752423 \h </w:instrText>
      </w:r>
      <w:r w:rsidR="00EA0D14" w:rsidRPr="00BD22C2">
        <w:rPr>
          <w:rFonts w:ascii="Arial" w:hAnsi="Arial" w:cs="Arial"/>
          <w:sz w:val="18"/>
          <w:szCs w:val="18"/>
          <w:lang w:val="fr-CA"/>
        </w:rPr>
      </w:r>
      <w:r w:rsidR="00EA0D14" w:rsidRPr="00BD22C2">
        <w:rPr>
          <w:rFonts w:ascii="Arial" w:hAnsi="Arial" w:cs="Arial"/>
          <w:sz w:val="18"/>
          <w:szCs w:val="18"/>
          <w:lang w:val="fr-CA"/>
        </w:rPr>
        <w:fldChar w:fldCharType="separate"/>
      </w:r>
      <w:r w:rsidR="004B4881">
        <w:rPr>
          <w:rFonts w:ascii="Arial" w:hAnsi="Arial" w:cs="Arial"/>
          <w:sz w:val="18"/>
          <w:szCs w:val="18"/>
          <w:lang w:val="fr-CA"/>
        </w:rPr>
        <w:t>13</w:t>
      </w:r>
      <w:r w:rsidR="00EA0D14" w:rsidRPr="00BD22C2">
        <w:rPr>
          <w:rFonts w:ascii="Arial" w:hAnsi="Arial" w:cs="Arial"/>
          <w:sz w:val="18"/>
          <w:szCs w:val="18"/>
          <w:lang w:val="fr-CA"/>
        </w:rPr>
        <w:fldChar w:fldCharType="end"/>
      </w:r>
      <w:r w:rsidR="00EA0D14" w:rsidRPr="00BD22C2">
        <w:rPr>
          <w:rFonts w:ascii="Arial" w:hAnsi="Arial" w:cs="Arial"/>
          <w:sz w:val="18"/>
          <w:szCs w:val="18"/>
          <w:lang w:val="fr-CA"/>
        </w:rPr>
        <w:t>.</w:t>
      </w:r>
    </w:p>
  </w:endnote>
  <w:endnote w:id="54">
    <w:p w14:paraId="6A4F4407" w14:textId="395EFE38" w:rsidR="009574E7" w:rsidRPr="00BD22C2" w:rsidRDefault="009574E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A45991" w:rsidRPr="00BD22C2">
        <w:rPr>
          <w:rFonts w:ascii="Arial" w:hAnsi="Arial" w:cs="Arial"/>
          <w:sz w:val="18"/>
          <w:szCs w:val="18"/>
          <w:lang w:val="fr-CA"/>
        </w:rPr>
        <w:tab/>
      </w:r>
      <w:r w:rsidR="00A45991" w:rsidRPr="00BD22C2">
        <w:rPr>
          <w:rFonts w:ascii="Arial" w:hAnsi="Arial" w:cs="Arial"/>
          <w:i/>
          <w:sz w:val="18"/>
          <w:szCs w:val="18"/>
          <w:lang w:val="fr-CA"/>
        </w:rPr>
        <w:t>Hansman</w:t>
      </w:r>
      <w:r w:rsidR="00A45991" w:rsidRPr="00BD22C2">
        <w:rPr>
          <w:rFonts w:ascii="Arial" w:hAnsi="Arial" w:cs="Arial"/>
          <w:sz w:val="18"/>
          <w:szCs w:val="18"/>
          <w:lang w:val="fr-CA"/>
        </w:rPr>
        <w:t xml:space="preserve"> c. </w:t>
      </w:r>
      <w:r w:rsidR="00A45991" w:rsidRPr="00BD22C2">
        <w:rPr>
          <w:rFonts w:ascii="Arial" w:hAnsi="Arial" w:cs="Arial"/>
          <w:i/>
          <w:sz w:val="18"/>
          <w:szCs w:val="18"/>
          <w:lang w:val="fr-CA"/>
        </w:rPr>
        <w:t>Neufeld</w:t>
      </w:r>
      <w:r w:rsidR="00A45991" w:rsidRPr="00BD22C2">
        <w:rPr>
          <w:rFonts w:ascii="Arial" w:hAnsi="Arial" w:cs="Arial"/>
          <w:sz w:val="18"/>
          <w:szCs w:val="18"/>
          <w:lang w:val="fr-CA"/>
        </w:rPr>
        <w:t>, 2023</w:t>
      </w:r>
      <w:r w:rsidR="00B32B61">
        <w:rPr>
          <w:rFonts w:ascii="Arial" w:hAnsi="Arial" w:cs="Arial"/>
          <w:sz w:val="18"/>
          <w:szCs w:val="18"/>
          <w:lang w:val="fr-CA"/>
        </w:rPr>
        <w:t> </w:t>
      </w:r>
      <w:r w:rsidR="00A45991" w:rsidRPr="00BD22C2">
        <w:rPr>
          <w:rFonts w:ascii="Arial" w:hAnsi="Arial" w:cs="Arial"/>
          <w:sz w:val="18"/>
          <w:szCs w:val="18"/>
          <w:lang w:val="fr-CA"/>
        </w:rPr>
        <w:t>CSC 14, par. 84.</w:t>
      </w:r>
    </w:p>
  </w:endnote>
  <w:endnote w:id="55">
    <w:p w14:paraId="39D44257" w14:textId="54654798" w:rsidR="00592889" w:rsidRPr="00BD22C2" w:rsidRDefault="0059288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A45991" w:rsidRPr="00BD22C2">
        <w:rPr>
          <w:rFonts w:ascii="Arial" w:hAnsi="Arial" w:cs="Arial"/>
          <w:sz w:val="18"/>
          <w:szCs w:val="18"/>
          <w:lang w:val="fr-CA"/>
        </w:rPr>
        <w:tab/>
      </w:r>
      <w:r w:rsidR="00A45991" w:rsidRPr="00BD22C2">
        <w:rPr>
          <w:rFonts w:ascii="Arial" w:hAnsi="Arial" w:cs="Arial"/>
          <w:i/>
          <w:sz w:val="18"/>
          <w:szCs w:val="18"/>
          <w:lang w:val="fr-CA"/>
        </w:rPr>
        <w:t>Id</w:t>
      </w:r>
      <w:r w:rsidR="00A45991" w:rsidRPr="00BD22C2">
        <w:rPr>
          <w:rFonts w:ascii="Arial" w:hAnsi="Arial" w:cs="Arial"/>
          <w:sz w:val="18"/>
          <w:szCs w:val="18"/>
          <w:lang w:val="fr-CA"/>
        </w:rPr>
        <w:t>., par. 86.</w:t>
      </w:r>
    </w:p>
  </w:endnote>
  <w:endnote w:id="56">
    <w:p w14:paraId="4C7269C5" w14:textId="76CC0EBA" w:rsidR="00E7511A" w:rsidRPr="00E16C03" w:rsidRDefault="00E7511A" w:rsidP="00707395">
      <w:pPr>
        <w:pStyle w:val="Notedebasdepage"/>
        <w:rPr>
          <w:lang w:val="en-CA"/>
        </w:rPr>
      </w:pPr>
      <w:r w:rsidRPr="00BD22C2">
        <w:rPr>
          <w:rStyle w:val="Appeldenotedefin"/>
          <w:lang w:val="fr-CA"/>
        </w:rPr>
        <w:endnoteRef/>
      </w:r>
      <w:r w:rsidRPr="00BD22C2">
        <w:rPr>
          <w:lang w:val="fr-CA"/>
        </w:rPr>
        <w:t xml:space="preserve"> </w:t>
      </w:r>
      <w:r w:rsidRPr="00BD22C2">
        <w:rPr>
          <w:lang w:val="fr-CA"/>
        </w:rPr>
        <w:tab/>
      </w:r>
      <w:r w:rsidR="00D9471C" w:rsidRPr="00BD22C2">
        <w:rPr>
          <w:lang w:val="fr-CA"/>
        </w:rPr>
        <w:t>On peut également parler de confluence des motifs, l’enjeu étant «</w:t>
      </w:r>
      <w:r w:rsidR="00444FEB">
        <w:rPr>
          <w:lang w:val="fr-CA"/>
        </w:rPr>
        <w:t> </w:t>
      </w:r>
      <w:r w:rsidR="00D9471C" w:rsidRPr="00BD22C2">
        <w:rPr>
          <w:lang w:val="fr-CA"/>
        </w:rPr>
        <w:t>de prendre en considération les interactions entre les motifs de discrimination</w:t>
      </w:r>
      <w:r w:rsidR="00444FEB">
        <w:rPr>
          <w:lang w:val="fr-CA"/>
        </w:rPr>
        <w:t> </w:t>
      </w:r>
      <w:r w:rsidR="00D9471C" w:rsidRPr="00BD22C2">
        <w:rPr>
          <w:lang w:val="fr-CA"/>
        </w:rPr>
        <w:t xml:space="preserve">», à défaut de quoi on risque de méconnaître nombre d’expériences particulières de discrimination et de ne pouvoir y remédier. Sirma </w:t>
      </w:r>
      <w:r w:rsidR="00033E7C" w:rsidRPr="00BD22C2">
        <w:rPr>
          <w:smallCaps/>
          <w:lang w:val="fr-CA"/>
        </w:rPr>
        <w:t>Bilge</w:t>
      </w:r>
      <w:r w:rsidR="00D9471C" w:rsidRPr="00BD22C2">
        <w:rPr>
          <w:lang w:val="fr-CA"/>
        </w:rPr>
        <w:t xml:space="preserve"> et Olivier </w:t>
      </w:r>
      <w:r w:rsidR="00033E7C" w:rsidRPr="00BD22C2">
        <w:rPr>
          <w:smallCaps/>
          <w:lang w:val="fr-CA"/>
        </w:rPr>
        <w:t>Roy</w:t>
      </w:r>
      <w:r w:rsidR="00D9471C" w:rsidRPr="00BD22C2">
        <w:rPr>
          <w:lang w:val="fr-CA"/>
        </w:rPr>
        <w:t>, «</w:t>
      </w:r>
      <w:r w:rsidR="00444FEB">
        <w:rPr>
          <w:lang w:val="fr-CA"/>
        </w:rPr>
        <w:t> </w:t>
      </w:r>
      <w:r w:rsidR="00D9471C" w:rsidRPr="00BD22C2">
        <w:rPr>
          <w:lang w:val="fr-CA"/>
        </w:rPr>
        <w:t>La discrimination intersectionnelle</w:t>
      </w:r>
      <w:r w:rsidR="00E30B76">
        <w:rPr>
          <w:lang w:val="fr-CA"/>
        </w:rPr>
        <w:t> </w:t>
      </w:r>
      <w:r w:rsidR="00D9471C" w:rsidRPr="00BD22C2">
        <w:rPr>
          <w:lang w:val="fr-CA"/>
        </w:rPr>
        <w:t>: la naissance et le développement d’un concept et les paradoxes de sa mise en application en droit antidiscriminatoire</w:t>
      </w:r>
      <w:r w:rsidR="00444FEB">
        <w:rPr>
          <w:lang w:val="fr-CA"/>
        </w:rPr>
        <w:t> </w:t>
      </w:r>
      <w:r w:rsidR="00D9471C" w:rsidRPr="00BD22C2">
        <w:rPr>
          <w:lang w:val="fr-CA"/>
        </w:rPr>
        <w:t>», (2010) 25</w:t>
      </w:r>
      <w:r w:rsidR="00B32B61">
        <w:rPr>
          <w:lang w:val="fr-CA"/>
        </w:rPr>
        <w:t> </w:t>
      </w:r>
      <w:r w:rsidR="00D9471C" w:rsidRPr="00BD22C2">
        <w:rPr>
          <w:lang w:val="fr-CA"/>
        </w:rPr>
        <w:t xml:space="preserve">Can. J.L. &amp; Soc. 51, 66 ; </w:t>
      </w:r>
      <w:r w:rsidR="00033E7C" w:rsidRPr="00BD22C2">
        <w:rPr>
          <w:smallCaps/>
          <w:lang w:val="fr-CA"/>
        </w:rPr>
        <w:t>Commission ontarienne des droits de la personne</w:t>
      </w:r>
      <w:r w:rsidR="00D9471C" w:rsidRPr="00BD22C2">
        <w:rPr>
          <w:lang w:val="fr-CA"/>
        </w:rPr>
        <w:t xml:space="preserve">, </w:t>
      </w:r>
      <w:r w:rsidR="00D9471C" w:rsidRPr="00BD22C2">
        <w:rPr>
          <w:i/>
          <w:lang w:val="fr-CA"/>
        </w:rPr>
        <w:t>Approche intersectionnelle de la discrimination pour traiter les plaintes relatives aux droits de la personne fondées sur des motifs multiples</w:t>
      </w:r>
      <w:r w:rsidR="00D9471C" w:rsidRPr="00BD22C2">
        <w:rPr>
          <w:lang w:val="fr-CA"/>
        </w:rPr>
        <w:t>, 9</w:t>
      </w:r>
      <w:r w:rsidR="00762FE8">
        <w:rPr>
          <w:lang w:val="fr-CA"/>
        </w:rPr>
        <w:t> </w:t>
      </w:r>
      <w:r w:rsidR="00D9471C" w:rsidRPr="00BD22C2">
        <w:rPr>
          <w:lang w:val="fr-CA"/>
        </w:rPr>
        <w:t xml:space="preserve">octobre 2001. </w:t>
      </w:r>
      <w:r w:rsidR="00D9471C" w:rsidRPr="00E16C03">
        <w:rPr>
          <w:lang w:val="en-CA"/>
        </w:rPr>
        <w:t>Comme le rapporte la professeure Colleen Sheppard</w:t>
      </w:r>
      <w:r w:rsidR="00E30B76">
        <w:rPr>
          <w:lang w:val="en-CA"/>
        </w:rPr>
        <w:t> </w:t>
      </w:r>
      <w:r w:rsidR="00D9471C" w:rsidRPr="00E16C03">
        <w:rPr>
          <w:lang w:val="en-CA"/>
        </w:rPr>
        <w:t>: «</w:t>
      </w:r>
      <w:r w:rsidR="00444FEB">
        <w:rPr>
          <w:lang w:val="en-CA"/>
        </w:rPr>
        <w:t> </w:t>
      </w:r>
      <w:r w:rsidR="00D9471C" w:rsidRPr="00E16C03">
        <w:rPr>
          <w:lang w:val="en-CA"/>
        </w:rPr>
        <w:t xml:space="preserve">[…] intersectionality captures the idea that the discrimination faced by women of colour, for </w:t>
      </w:r>
      <w:r w:rsidR="00E57F92" w:rsidRPr="00E16C03">
        <w:rPr>
          <w:lang w:val="en-CA"/>
        </w:rPr>
        <w:t>example</w:t>
      </w:r>
      <w:r w:rsidR="00D9471C" w:rsidRPr="00E16C03">
        <w:rPr>
          <w:lang w:val="en-CA"/>
        </w:rPr>
        <w:t>, is qualitatively rather than simply quantitatively different. Monture explains the same idea: "This whole idea of double discrimination, that is race and gender, just does not work. I mean look at me. I do not separate that way. My race and my gender are all in one package. My race does not come apart from my woman…".</w:t>
      </w:r>
      <w:r w:rsidR="00444FEB">
        <w:rPr>
          <w:lang w:val="en-CA"/>
        </w:rPr>
        <w:t> </w:t>
      </w:r>
      <w:r w:rsidR="00D9471C" w:rsidRPr="00E16C03">
        <w:rPr>
          <w:lang w:val="en-CA"/>
        </w:rPr>
        <w:t>» Colleen SHEPPARD, «</w:t>
      </w:r>
      <w:r w:rsidR="00444FEB">
        <w:rPr>
          <w:lang w:val="en-CA"/>
        </w:rPr>
        <w:t> </w:t>
      </w:r>
      <w:r w:rsidR="00D9471C" w:rsidRPr="00E16C03">
        <w:rPr>
          <w:lang w:val="en-CA"/>
        </w:rPr>
        <w:t>Grounds of Discrimination</w:t>
      </w:r>
      <w:r w:rsidR="00E30B76">
        <w:rPr>
          <w:lang w:val="en-CA"/>
        </w:rPr>
        <w:t> </w:t>
      </w:r>
      <w:r w:rsidR="00D9471C" w:rsidRPr="00E16C03">
        <w:rPr>
          <w:lang w:val="en-CA"/>
        </w:rPr>
        <w:t>: Towards an Inclusive and Contextual Approach</w:t>
      </w:r>
      <w:r w:rsidR="00444FEB">
        <w:rPr>
          <w:lang w:val="en-CA"/>
        </w:rPr>
        <w:t> </w:t>
      </w:r>
      <w:r w:rsidR="00D9471C" w:rsidRPr="00E16C03">
        <w:rPr>
          <w:lang w:val="en-CA"/>
        </w:rPr>
        <w:t>», dans Les 25</w:t>
      </w:r>
      <w:r w:rsidR="00B32B61">
        <w:rPr>
          <w:lang w:val="en-CA"/>
        </w:rPr>
        <w:t> </w:t>
      </w:r>
      <w:r w:rsidR="00D9471C" w:rsidRPr="00E16C03">
        <w:rPr>
          <w:lang w:val="en-CA"/>
        </w:rPr>
        <w:t>ans de la Charte québécoise, Cowansville, Éditions Yvon Blais, 2000, p.</w:t>
      </w:r>
      <w:r w:rsidR="0091080B">
        <w:rPr>
          <w:lang w:val="en-CA"/>
        </w:rPr>
        <w:t> </w:t>
      </w:r>
      <w:r w:rsidR="00D9471C" w:rsidRPr="00E16C03">
        <w:rPr>
          <w:lang w:val="en-CA"/>
        </w:rPr>
        <w:t>91 et 113; citant Patricia MONTURE, « The Violence We Women Do: A First Nations View », dans Constance BACKHOUSE and David FLAHERTY, Challenging Times – The women’s Movement in Canada and the United States, Montréal, McGill and Queens University Press, 1992, p. 193, 194.</w:t>
      </w:r>
    </w:p>
  </w:endnote>
  <w:endnote w:id="57">
    <w:p w14:paraId="1A6DF4D3" w14:textId="7DBF2D2B" w:rsidR="00CD1813" w:rsidRPr="00BD22C2" w:rsidRDefault="00CD181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B1ED1" w:rsidRPr="00BD22C2">
        <w:rPr>
          <w:rFonts w:ascii="Arial" w:hAnsi="Arial" w:cs="Arial"/>
          <w:i/>
          <w:sz w:val="18"/>
          <w:szCs w:val="18"/>
          <w:lang w:val="fr-CA"/>
        </w:rPr>
        <w:t>Commission des droits de la personne du Québec</w:t>
      </w:r>
      <w:r w:rsidR="006B1ED1" w:rsidRPr="00BD22C2">
        <w:rPr>
          <w:rFonts w:ascii="Arial" w:hAnsi="Arial" w:cs="Arial"/>
          <w:sz w:val="18"/>
          <w:szCs w:val="18"/>
          <w:lang w:val="fr-CA"/>
        </w:rPr>
        <w:t xml:space="preserve"> c. </w:t>
      </w:r>
      <w:r w:rsidR="006B1ED1" w:rsidRPr="00BD22C2">
        <w:rPr>
          <w:rFonts w:ascii="Arial" w:hAnsi="Arial" w:cs="Arial"/>
          <w:i/>
          <w:sz w:val="18"/>
          <w:szCs w:val="18"/>
          <w:lang w:val="fr-CA"/>
        </w:rPr>
        <w:t>Centre d’accueil Villa Plaisance</w:t>
      </w:r>
      <w:r w:rsidR="006B1ED1" w:rsidRPr="00BD22C2">
        <w:rPr>
          <w:rFonts w:ascii="Arial" w:hAnsi="Arial" w:cs="Arial"/>
          <w:sz w:val="18"/>
          <w:szCs w:val="18"/>
          <w:lang w:val="fr-CA"/>
        </w:rPr>
        <w:t>, [1996] R.J.Q. 511 (TDPQ), par. 79 à 81</w:t>
      </w:r>
      <w:r w:rsidR="0051216B" w:rsidRPr="00BD22C2">
        <w:rPr>
          <w:rFonts w:ascii="Arial" w:hAnsi="Arial" w:cs="Arial"/>
          <w:sz w:val="18"/>
          <w:szCs w:val="18"/>
          <w:lang w:val="fr-CA"/>
        </w:rPr>
        <w:t> </w:t>
      </w:r>
      <w:r w:rsidR="006B1ED1" w:rsidRPr="00BD22C2">
        <w:rPr>
          <w:rFonts w:ascii="Arial" w:hAnsi="Arial" w:cs="Arial"/>
          <w:sz w:val="18"/>
          <w:szCs w:val="18"/>
          <w:lang w:val="fr-CA"/>
        </w:rPr>
        <w:t xml:space="preserve">; citant </w:t>
      </w:r>
      <w:r w:rsidR="006B1ED1" w:rsidRPr="00BD22C2">
        <w:rPr>
          <w:rFonts w:ascii="Arial" w:hAnsi="Arial" w:cs="Arial"/>
          <w:i/>
          <w:sz w:val="18"/>
          <w:szCs w:val="18"/>
          <w:lang w:val="fr-CA"/>
        </w:rPr>
        <w:t>Dagenais</w:t>
      </w:r>
      <w:r w:rsidR="006B1ED1" w:rsidRPr="00BD22C2">
        <w:rPr>
          <w:rFonts w:ascii="Arial" w:hAnsi="Arial" w:cs="Arial"/>
          <w:sz w:val="18"/>
          <w:szCs w:val="18"/>
          <w:lang w:val="fr-CA"/>
        </w:rPr>
        <w:t xml:space="preserve"> c. </w:t>
      </w:r>
      <w:r w:rsidR="006B1ED1" w:rsidRPr="00BD22C2">
        <w:rPr>
          <w:rFonts w:ascii="Arial" w:hAnsi="Arial" w:cs="Arial"/>
          <w:i/>
          <w:sz w:val="18"/>
          <w:szCs w:val="18"/>
          <w:lang w:val="fr-CA"/>
        </w:rPr>
        <w:t>Société Radio-Canada</w:t>
      </w:r>
      <w:r w:rsidR="006B1ED1" w:rsidRPr="00BD22C2">
        <w:rPr>
          <w:rFonts w:ascii="Arial" w:hAnsi="Arial" w:cs="Arial"/>
          <w:sz w:val="18"/>
          <w:szCs w:val="18"/>
          <w:lang w:val="fr-CA"/>
        </w:rPr>
        <w:t>, [1994] 3</w:t>
      </w:r>
      <w:r w:rsidR="00B32B61">
        <w:rPr>
          <w:rFonts w:ascii="Arial" w:hAnsi="Arial" w:cs="Arial"/>
          <w:sz w:val="18"/>
          <w:szCs w:val="18"/>
          <w:lang w:val="fr-CA"/>
        </w:rPr>
        <w:t> </w:t>
      </w:r>
      <w:r w:rsidR="006B1ED1" w:rsidRPr="00BD22C2">
        <w:rPr>
          <w:rFonts w:ascii="Arial" w:hAnsi="Arial" w:cs="Arial"/>
          <w:sz w:val="18"/>
          <w:szCs w:val="18"/>
          <w:lang w:val="fr-CA"/>
        </w:rPr>
        <w:t>R.C.S.</w:t>
      </w:r>
      <w:r w:rsidR="0091080B">
        <w:rPr>
          <w:rFonts w:ascii="Arial" w:hAnsi="Arial" w:cs="Arial"/>
          <w:sz w:val="18"/>
          <w:szCs w:val="18"/>
          <w:lang w:val="fr-CA"/>
        </w:rPr>
        <w:t> </w:t>
      </w:r>
      <w:r w:rsidR="006B1ED1" w:rsidRPr="00BD22C2">
        <w:rPr>
          <w:rFonts w:ascii="Arial" w:hAnsi="Arial" w:cs="Arial"/>
          <w:sz w:val="18"/>
          <w:szCs w:val="18"/>
          <w:lang w:val="fr-CA"/>
        </w:rPr>
        <w:t>835, par. 72. Voir également</w:t>
      </w:r>
      <w:r w:rsidR="0051216B" w:rsidRPr="00BD22C2">
        <w:rPr>
          <w:rFonts w:ascii="Arial" w:hAnsi="Arial" w:cs="Arial"/>
          <w:sz w:val="18"/>
          <w:szCs w:val="18"/>
          <w:lang w:val="fr-CA"/>
        </w:rPr>
        <w:t> </w:t>
      </w:r>
      <w:r w:rsidR="006B1ED1" w:rsidRPr="00BD22C2">
        <w:rPr>
          <w:rFonts w:ascii="Arial" w:hAnsi="Arial" w:cs="Arial"/>
          <w:sz w:val="18"/>
          <w:szCs w:val="18"/>
          <w:lang w:val="fr-CA"/>
        </w:rPr>
        <w:t xml:space="preserve">: </w:t>
      </w:r>
      <w:r w:rsidR="006B1ED1" w:rsidRPr="00BD22C2">
        <w:rPr>
          <w:rFonts w:ascii="Arial" w:hAnsi="Arial" w:cs="Arial"/>
          <w:i/>
          <w:sz w:val="18"/>
          <w:szCs w:val="18"/>
          <w:lang w:val="fr-CA"/>
        </w:rPr>
        <w:t>Hôpital général juif Sir Mortimer B. Davis</w:t>
      </w:r>
      <w:r w:rsidR="006B1ED1" w:rsidRPr="00BD22C2">
        <w:rPr>
          <w:rFonts w:ascii="Arial" w:hAnsi="Arial" w:cs="Arial"/>
          <w:sz w:val="18"/>
          <w:szCs w:val="18"/>
          <w:lang w:val="fr-CA"/>
        </w:rPr>
        <w:t xml:space="preserve"> c. </w:t>
      </w:r>
      <w:r w:rsidR="006B1ED1" w:rsidRPr="00BD22C2">
        <w:rPr>
          <w:rFonts w:ascii="Arial" w:hAnsi="Arial" w:cs="Arial"/>
          <w:i/>
          <w:sz w:val="18"/>
          <w:szCs w:val="18"/>
          <w:lang w:val="fr-CA"/>
        </w:rPr>
        <w:t>Commission des droits de la personne et des droits de la jeunesse</w:t>
      </w:r>
      <w:r w:rsidR="006B1ED1" w:rsidRPr="00BD22C2">
        <w:rPr>
          <w:rFonts w:ascii="Arial" w:hAnsi="Arial" w:cs="Arial"/>
          <w:sz w:val="18"/>
          <w:szCs w:val="18"/>
          <w:lang w:val="fr-CA"/>
        </w:rPr>
        <w:t>, J.</w:t>
      </w:r>
      <w:r w:rsidR="006305FE">
        <w:rPr>
          <w:rFonts w:ascii="Arial" w:hAnsi="Arial" w:cs="Arial"/>
          <w:sz w:val="18"/>
          <w:szCs w:val="18"/>
          <w:lang w:val="fr-CA"/>
        </w:rPr>
        <w:t> </w:t>
      </w:r>
      <w:r w:rsidR="006B1ED1" w:rsidRPr="00BD22C2">
        <w:rPr>
          <w:rFonts w:ascii="Arial" w:hAnsi="Arial" w:cs="Arial"/>
          <w:sz w:val="18"/>
          <w:szCs w:val="18"/>
          <w:lang w:val="fr-CA"/>
        </w:rPr>
        <w:t>E.</w:t>
      </w:r>
      <w:r w:rsidR="0091080B">
        <w:rPr>
          <w:rFonts w:ascii="Arial" w:hAnsi="Arial" w:cs="Arial"/>
          <w:sz w:val="18"/>
          <w:szCs w:val="18"/>
          <w:lang w:val="fr-CA"/>
        </w:rPr>
        <w:t> </w:t>
      </w:r>
      <w:r w:rsidR="006B1ED1" w:rsidRPr="00BD22C2">
        <w:rPr>
          <w:rFonts w:ascii="Arial" w:hAnsi="Arial" w:cs="Arial"/>
          <w:sz w:val="18"/>
          <w:szCs w:val="18"/>
          <w:lang w:val="fr-CA"/>
        </w:rPr>
        <w:t>2010-325 (C.A.), par. 19 (requête pour autorisation d’appeler rejetée</w:t>
      </w:r>
      <w:r w:rsidR="0051216B" w:rsidRPr="00BD22C2">
        <w:rPr>
          <w:rFonts w:ascii="Arial" w:hAnsi="Arial" w:cs="Arial"/>
          <w:sz w:val="18"/>
          <w:szCs w:val="18"/>
          <w:lang w:val="fr-CA"/>
        </w:rPr>
        <w:t> </w:t>
      </w:r>
      <w:r w:rsidR="006B1ED1" w:rsidRPr="00BD22C2">
        <w:rPr>
          <w:rFonts w:ascii="Arial" w:hAnsi="Arial" w:cs="Arial"/>
          <w:sz w:val="18"/>
          <w:szCs w:val="18"/>
          <w:lang w:val="fr-CA"/>
        </w:rPr>
        <w:t>: [2010] 2</w:t>
      </w:r>
      <w:r w:rsidR="00B32B61">
        <w:rPr>
          <w:rFonts w:ascii="Arial" w:hAnsi="Arial" w:cs="Arial"/>
          <w:sz w:val="18"/>
          <w:szCs w:val="18"/>
          <w:lang w:val="fr-CA"/>
        </w:rPr>
        <w:t> </w:t>
      </w:r>
      <w:r w:rsidR="006B1ED1" w:rsidRPr="00BD22C2">
        <w:rPr>
          <w:rFonts w:ascii="Arial" w:hAnsi="Arial" w:cs="Arial"/>
          <w:sz w:val="18"/>
          <w:szCs w:val="18"/>
          <w:lang w:val="fr-CA"/>
        </w:rPr>
        <w:t>R.C.S.</w:t>
      </w:r>
      <w:r w:rsidR="0091080B">
        <w:rPr>
          <w:rFonts w:ascii="Arial" w:hAnsi="Arial" w:cs="Arial"/>
          <w:sz w:val="18"/>
          <w:szCs w:val="18"/>
          <w:lang w:val="fr-CA"/>
        </w:rPr>
        <w:t> </w:t>
      </w:r>
      <w:r w:rsidR="006B1ED1" w:rsidRPr="00BD22C2">
        <w:rPr>
          <w:rFonts w:ascii="Arial" w:hAnsi="Arial" w:cs="Arial"/>
          <w:sz w:val="18"/>
          <w:szCs w:val="18"/>
          <w:lang w:val="fr-CA"/>
        </w:rPr>
        <w:t>vi).</w:t>
      </w:r>
    </w:p>
  </w:endnote>
  <w:endnote w:id="58">
    <w:p w14:paraId="3D1D35D7" w14:textId="7B90A44E"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D2BA8" w:rsidRPr="00BD22C2">
        <w:rPr>
          <w:rFonts w:ascii="Arial" w:hAnsi="Arial" w:cs="Arial"/>
          <w:sz w:val="18"/>
          <w:szCs w:val="18"/>
          <w:lang w:val="fr-CA"/>
        </w:rPr>
        <w:t xml:space="preserve">François </w:t>
      </w:r>
      <w:r w:rsidR="006D2BA8" w:rsidRPr="00BD22C2">
        <w:rPr>
          <w:rFonts w:ascii="Arial" w:hAnsi="Arial" w:cs="Arial"/>
          <w:smallCaps/>
          <w:sz w:val="18"/>
          <w:szCs w:val="18"/>
          <w:lang w:val="fr-CA"/>
        </w:rPr>
        <w:t>Carabin</w:t>
      </w:r>
      <w:r w:rsidR="006D2BA8" w:rsidRPr="00BD22C2">
        <w:rPr>
          <w:rFonts w:ascii="Arial" w:hAnsi="Arial" w:cs="Arial"/>
          <w:sz w:val="18"/>
          <w:szCs w:val="18"/>
          <w:lang w:val="fr-CA"/>
        </w:rPr>
        <w:t>, «</w:t>
      </w:r>
      <w:r w:rsidR="00444FEB">
        <w:rPr>
          <w:rFonts w:ascii="Arial" w:hAnsi="Arial" w:cs="Arial"/>
          <w:sz w:val="18"/>
          <w:szCs w:val="18"/>
          <w:lang w:val="fr-CA"/>
        </w:rPr>
        <w:t> </w:t>
      </w:r>
      <w:r w:rsidR="00A03DF7" w:rsidRPr="00BD22C2">
        <w:rPr>
          <w:rFonts w:ascii="Arial" w:hAnsi="Arial" w:cs="Arial"/>
          <w:sz w:val="18"/>
          <w:szCs w:val="18"/>
          <w:lang w:val="fr-CA"/>
        </w:rPr>
        <w:t>Suzanne Roy pilotera le comité des sages sur l’identité de genre</w:t>
      </w:r>
      <w:r w:rsidR="00444FEB">
        <w:rPr>
          <w:rFonts w:ascii="Arial" w:hAnsi="Arial" w:cs="Arial"/>
          <w:sz w:val="18"/>
          <w:szCs w:val="18"/>
          <w:lang w:val="fr-CA"/>
        </w:rPr>
        <w:t> </w:t>
      </w:r>
      <w:r w:rsidR="00A03DF7" w:rsidRPr="00BD22C2">
        <w:rPr>
          <w:rFonts w:ascii="Arial" w:hAnsi="Arial" w:cs="Arial"/>
          <w:sz w:val="18"/>
          <w:szCs w:val="18"/>
          <w:lang w:val="fr-CA"/>
        </w:rPr>
        <w:t xml:space="preserve">», </w:t>
      </w:r>
      <w:r w:rsidR="00A03DF7" w:rsidRPr="00BD22C2">
        <w:rPr>
          <w:rFonts w:ascii="Arial" w:hAnsi="Arial" w:cs="Arial"/>
          <w:i/>
          <w:iCs/>
          <w:sz w:val="18"/>
          <w:szCs w:val="18"/>
          <w:lang w:val="fr-CA"/>
        </w:rPr>
        <w:t>Le Devoir</w:t>
      </w:r>
      <w:r w:rsidR="00A03DF7" w:rsidRPr="00BD22C2">
        <w:rPr>
          <w:rFonts w:ascii="Arial" w:hAnsi="Arial" w:cs="Arial"/>
          <w:sz w:val="18"/>
          <w:szCs w:val="18"/>
          <w:lang w:val="fr-CA"/>
        </w:rPr>
        <w:t>, 27</w:t>
      </w:r>
      <w:r w:rsidR="00762FE8">
        <w:rPr>
          <w:rFonts w:ascii="Arial" w:hAnsi="Arial" w:cs="Arial"/>
          <w:sz w:val="18"/>
          <w:szCs w:val="18"/>
          <w:lang w:val="fr-CA"/>
        </w:rPr>
        <w:t> </w:t>
      </w:r>
      <w:r w:rsidR="00A03DF7" w:rsidRPr="00BD22C2">
        <w:rPr>
          <w:rFonts w:ascii="Arial" w:hAnsi="Arial" w:cs="Arial"/>
          <w:sz w:val="18"/>
          <w:szCs w:val="18"/>
          <w:lang w:val="fr-CA"/>
        </w:rPr>
        <w:t xml:space="preserve">septembre 2023, [En ligne]. </w:t>
      </w:r>
      <w:hyperlink r:id="rId45" w:history="1">
        <w:r w:rsidR="00572DF7" w:rsidRPr="0085310E">
          <w:rPr>
            <w:rStyle w:val="Lienhypertexte"/>
            <w:rFonts w:ascii="Arial" w:hAnsi="Arial" w:cs="Arial"/>
            <w:sz w:val="18"/>
            <w:szCs w:val="18"/>
          </w:rPr>
          <w:t>https://www.ledevoir.com/politique/798859/suzanne-roy-pilotera-comite-sages-identite-genre</w:t>
        </w:r>
      </w:hyperlink>
      <w:r w:rsidR="00572DF7" w:rsidRPr="0085310E">
        <w:rPr>
          <w:rFonts w:ascii="Arial" w:hAnsi="Arial" w:cs="Arial"/>
          <w:sz w:val="18"/>
          <w:szCs w:val="18"/>
        </w:rPr>
        <w:t xml:space="preserve"> </w:t>
      </w:r>
    </w:p>
  </w:endnote>
  <w:endnote w:id="59">
    <w:p w14:paraId="3DDB3A33" w14:textId="1DC01974" w:rsidR="00F31B9D" w:rsidRPr="00BD22C2" w:rsidRDefault="00F31B9D" w:rsidP="00707395">
      <w:pPr>
        <w:pStyle w:val="Notedebasdepage"/>
        <w:rPr>
          <w:lang w:val="fr-CA"/>
        </w:rPr>
      </w:pPr>
      <w:r w:rsidRPr="00BD22C2">
        <w:rPr>
          <w:rStyle w:val="Appeldenotedefin"/>
          <w:lang w:val="fr-CA"/>
        </w:rPr>
        <w:endnoteRef/>
      </w:r>
      <w:r w:rsidRPr="00BD22C2">
        <w:rPr>
          <w:lang w:val="fr-CA"/>
        </w:rPr>
        <w:t xml:space="preserve"> </w:t>
      </w:r>
      <w:r w:rsidR="00320334" w:rsidRPr="00BD22C2">
        <w:rPr>
          <w:lang w:val="fr-CA"/>
        </w:rPr>
        <w:tab/>
      </w:r>
      <w:r w:rsidR="00EC4F62" w:rsidRPr="00BD22C2">
        <w:rPr>
          <w:lang w:val="fr-CA"/>
        </w:rPr>
        <w:t>De 2016 à 2023, la Commission a reçu 57</w:t>
      </w:r>
      <w:r w:rsidR="00B32B61">
        <w:rPr>
          <w:lang w:val="fr-CA"/>
        </w:rPr>
        <w:t> </w:t>
      </w:r>
      <w:r w:rsidR="00EC4F62" w:rsidRPr="00BD22C2">
        <w:rPr>
          <w:lang w:val="fr-CA"/>
        </w:rPr>
        <w:t>plaintes pour le secteur du travail.</w:t>
      </w:r>
      <w:r w:rsidR="0015699C" w:rsidRPr="00BD22C2">
        <w:rPr>
          <w:lang w:val="fr-CA"/>
        </w:rPr>
        <w:t xml:space="preserve"> </w:t>
      </w:r>
      <w:r w:rsidR="003A7526" w:rsidRPr="00BD22C2">
        <w:rPr>
          <w:lang w:val="fr-CA"/>
        </w:rPr>
        <w:t>Bien qu’elle en ait</w:t>
      </w:r>
      <w:r w:rsidR="0015699C" w:rsidRPr="00BD22C2">
        <w:rPr>
          <w:lang w:val="fr-CA"/>
        </w:rPr>
        <w:t xml:space="preserve"> reçu 75 pour le secteur</w:t>
      </w:r>
      <w:r w:rsidR="00C10907" w:rsidRPr="00BD22C2">
        <w:rPr>
          <w:lang w:val="fr-CA"/>
        </w:rPr>
        <w:t xml:space="preserve"> </w:t>
      </w:r>
      <w:r w:rsidR="0015699C" w:rsidRPr="00BD22C2">
        <w:rPr>
          <w:lang w:val="fr-CA"/>
        </w:rPr>
        <w:t>«</w:t>
      </w:r>
      <w:r w:rsidR="00444FEB">
        <w:rPr>
          <w:lang w:val="fr-CA"/>
        </w:rPr>
        <w:t> </w:t>
      </w:r>
      <w:r w:rsidR="0015699C" w:rsidRPr="00BD22C2">
        <w:rPr>
          <w:lang w:val="fr-CA"/>
        </w:rPr>
        <w:t>actes juridiques</w:t>
      </w:r>
      <w:r w:rsidR="00DA1935">
        <w:rPr>
          <w:lang w:val="fr-CA"/>
        </w:rPr>
        <w:t>/</w:t>
      </w:r>
      <w:r w:rsidR="0015699C" w:rsidRPr="00BD22C2">
        <w:rPr>
          <w:lang w:val="fr-CA"/>
        </w:rPr>
        <w:t>bien</w:t>
      </w:r>
      <w:r w:rsidR="00BF2375" w:rsidRPr="00BD22C2">
        <w:rPr>
          <w:lang w:val="fr-CA"/>
        </w:rPr>
        <w:t>s</w:t>
      </w:r>
      <w:r w:rsidR="0015699C" w:rsidRPr="00BD22C2">
        <w:rPr>
          <w:lang w:val="fr-CA"/>
        </w:rPr>
        <w:t xml:space="preserve"> ou services</w:t>
      </w:r>
      <w:r w:rsidR="00444FEB">
        <w:rPr>
          <w:lang w:val="fr-CA"/>
        </w:rPr>
        <w:t> </w:t>
      </w:r>
      <w:r w:rsidR="0015699C" w:rsidRPr="00BD22C2">
        <w:rPr>
          <w:lang w:val="fr-CA"/>
        </w:rPr>
        <w:t>»,</w:t>
      </w:r>
      <w:r w:rsidR="003A7526" w:rsidRPr="00BD22C2">
        <w:rPr>
          <w:lang w:val="fr-CA"/>
        </w:rPr>
        <w:t xml:space="preserve"> le secteur du travail apparaît tout de même comme le plus f</w:t>
      </w:r>
      <w:r w:rsidR="006A1347" w:rsidRPr="00BD22C2">
        <w:rPr>
          <w:lang w:val="fr-CA"/>
        </w:rPr>
        <w:t>ré</w:t>
      </w:r>
      <w:r w:rsidR="003A7526" w:rsidRPr="00BD22C2">
        <w:rPr>
          <w:lang w:val="fr-CA"/>
        </w:rPr>
        <w:t xml:space="preserve">quent lorsqu’on ventile </w:t>
      </w:r>
      <w:r w:rsidR="00F01A73" w:rsidRPr="00BD22C2">
        <w:rPr>
          <w:lang w:val="fr-CA"/>
        </w:rPr>
        <w:t xml:space="preserve">cette </w:t>
      </w:r>
      <w:r w:rsidR="003A7526" w:rsidRPr="00BD22C2">
        <w:rPr>
          <w:lang w:val="fr-CA"/>
        </w:rPr>
        <w:t xml:space="preserve">catégorie </w:t>
      </w:r>
      <w:r w:rsidR="00026C58" w:rsidRPr="00BD22C2">
        <w:rPr>
          <w:lang w:val="fr-CA"/>
        </w:rPr>
        <w:t>très large</w:t>
      </w:r>
      <w:r w:rsidR="006A1347" w:rsidRPr="00BD22C2">
        <w:rPr>
          <w:lang w:val="fr-CA"/>
        </w:rPr>
        <w:t xml:space="preserve"> en sous-catégories</w:t>
      </w:r>
      <w:r w:rsidR="00F01A73" w:rsidRPr="00BD22C2">
        <w:rPr>
          <w:lang w:val="fr-CA"/>
        </w:rPr>
        <w:t xml:space="preserve"> de biens et services</w:t>
      </w:r>
      <w:r w:rsidR="00026C58" w:rsidRPr="00BD22C2">
        <w:rPr>
          <w:lang w:val="fr-CA"/>
        </w:rPr>
        <w:t xml:space="preserve"> (éducation, santé et services sociaux, sécurité publique</w:t>
      </w:r>
      <w:r w:rsidR="006A1347" w:rsidRPr="00BD22C2">
        <w:rPr>
          <w:lang w:val="fr-CA"/>
        </w:rPr>
        <w:t>, sports et loisirs, etc.).</w:t>
      </w:r>
    </w:p>
  </w:endnote>
  <w:endnote w:id="60">
    <w:p w14:paraId="6976746D" w14:textId="46543A16" w:rsidR="000022BE" w:rsidRPr="00BD22C2" w:rsidRDefault="000022BE" w:rsidP="00707395">
      <w:pPr>
        <w:pStyle w:val="Notedebasdepage"/>
        <w:rPr>
          <w:lang w:val="fr-CA"/>
        </w:rPr>
      </w:pPr>
      <w:r w:rsidRPr="00BD22C2">
        <w:rPr>
          <w:rStyle w:val="Appeldenotedefin"/>
          <w:lang w:val="fr-CA"/>
        </w:rPr>
        <w:endnoteRef/>
      </w:r>
      <w:r w:rsidRPr="00BD22C2">
        <w:rPr>
          <w:lang w:val="fr-CA"/>
        </w:rPr>
        <w:t xml:space="preserve"> </w:t>
      </w:r>
      <w:r w:rsidRPr="00BD22C2">
        <w:rPr>
          <w:lang w:val="fr-CA"/>
        </w:rPr>
        <w:tab/>
        <w:t xml:space="preserve">Voir le site web du projet SAVIE-LGBTQ : </w:t>
      </w:r>
      <w:hyperlink r:id="rId46" w:history="1">
        <w:r w:rsidR="003057A4" w:rsidRPr="00BD22C2">
          <w:rPr>
            <w:rStyle w:val="Lienhypertexte"/>
            <w:lang w:val="fr-CA"/>
          </w:rPr>
          <w:t>https://savie-lgbtq.uqam.ca/</w:t>
        </w:r>
      </w:hyperlink>
      <w:r w:rsidR="003057A4" w:rsidRPr="00BD22C2">
        <w:rPr>
          <w:lang w:val="fr-CA"/>
        </w:rPr>
        <w:t xml:space="preserve"> </w:t>
      </w:r>
    </w:p>
  </w:endnote>
  <w:endnote w:id="61">
    <w:p w14:paraId="4EEB74A9" w14:textId="045EA254" w:rsidR="00F36F69" w:rsidRPr="00F11979" w:rsidRDefault="00F36F69" w:rsidP="00F71161">
      <w:pPr>
        <w:pStyle w:val="Notedebasdepage"/>
        <w:rPr>
          <w:lang w:val="fr-CA"/>
        </w:rPr>
      </w:pPr>
      <w:r w:rsidRPr="00F11979">
        <w:rPr>
          <w:rStyle w:val="Appeldenotedefin"/>
          <w:lang w:val="fr-CA"/>
        </w:rPr>
        <w:endnoteRef/>
      </w:r>
      <w:r w:rsidRPr="00F11979">
        <w:rPr>
          <w:lang w:val="fr-CA"/>
        </w:rPr>
        <w:t xml:space="preserve"> </w:t>
      </w:r>
      <w:r w:rsidRPr="00F11979">
        <w:rPr>
          <w:lang w:val="fr-CA"/>
        </w:rPr>
        <w:tab/>
      </w:r>
      <w:r w:rsidR="00F71161" w:rsidRPr="00F11979">
        <w:rPr>
          <w:lang w:val="fr-CA"/>
        </w:rPr>
        <w:t xml:space="preserve">Des résultats préliminaires de cette étude ont déjà été présentés </w:t>
      </w:r>
      <w:r w:rsidR="00135664" w:rsidRPr="00F11979">
        <w:rPr>
          <w:lang w:val="fr-CA"/>
        </w:rPr>
        <w:t>en</w:t>
      </w:r>
      <w:r w:rsidR="00F71161" w:rsidRPr="00F11979">
        <w:rPr>
          <w:lang w:val="fr-CA"/>
        </w:rPr>
        <w:t xml:space="preserve"> 2021 lors des Journées annuelles SAVIE-LGBTQ</w:t>
      </w:r>
      <w:r w:rsidR="00564BE7" w:rsidRPr="00F11979">
        <w:rPr>
          <w:lang w:val="fr-CA"/>
        </w:rPr>
        <w:t>. Ceux-ci</w:t>
      </w:r>
      <w:r w:rsidR="008A2131" w:rsidRPr="00F11979">
        <w:rPr>
          <w:lang w:val="fr-CA"/>
        </w:rPr>
        <w:t xml:space="preserve"> concernaient </w:t>
      </w:r>
      <w:r w:rsidR="00AC23FF" w:rsidRPr="00F11979">
        <w:rPr>
          <w:lang w:val="fr-CA"/>
        </w:rPr>
        <w:t>environ 50</w:t>
      </w:r>
      <w:r w:rsidR="00DA1935">
        <w:rPr>
          <w:lang w:val="fr-CA"/>
        </w:rPr>
        <w:t> </w:t>
      </w:r>
      <w:r w:rsidR="00AC23FF" w:rsidRPr="00F11979">
        <w:rPr>
          <w:lang w:val="fr-CA"/>
        </w:rPr>
        <w:t>% du corpus de plaintes analysées.</w:t>
      </w:r>
      <w:r w:rsidR="001E2543" w:rsidRPr="00F11979">
        <w:rPr>
          <w:lang w:val="fr-CA"/>
        </w:rPr>
        <w:t xml:space="preserve"> </w:t>
      </w:r>
      <w:r w:rsidR="00F97B07" w:rsidRPr="00F11979">
        <w:rPr>
          <w:lang w:val="fr-CA"/>
        </w:rPr>
        <w:t xml:space="preserve">Voir </w:t>
      </w:r>
      <w:r w:rsidR="000B0BC8" w:rsidRPr="00F11979">
        <w:rPr>
          <w:lang w:val="fr-CA"/>
        </w:rPr>
        <w:t xml:space="preserve">Samuel </w:t>
      </w:r>
      <w:r w:rsidR="000B0BC8" w:rsidRPr="00F11979">
        <w:rPr>
          <w:smallCaps/>
          <w:lang w:val="fr-CA"/>
        </w:rPr>
        <w:t xml:space="preserve">Blouin </w:t>
      </w:r>
      <w:r w:rsidR="000B0BC8" w:rsidRPr="00F11979">
        <w:rPr>
          <w:lang w:val="fr-CA"/>
        </w:rPr>
        <w:t>et Mart</w:t>
      </w:r>
      <w:r w:rsidR="00965902" w:rsidRPr="00F11979">
        <w:rPr>
          <w:rFonts w:cs="Arial"/>
          <w:lang w:val="fr-CA"/>
        </w:rPr>
        <w:t>í</w:t>
      </w:r>
      <w:r w:rsidR="00965902" w:rsidRPr="00F11979">
        <w:rPr>
          <w:lang w:val="fr-CA"/>
        </w:rPr>
        <w:t xml:space="preserve">n </w:t>
      </w:r>
      <w:r w:rsidR="00965902" w:rsidRPr="00F11979">
        <w:rPr>
          <w:smallCaps/>
          <w:lang w:val="fr-CA"/>
        </w:rPr>
        <w:t xml:space="preserve">Bertolotti, </w:t>
      </w:r>
      <w:r w:rsidR="00F34FE8" w:rsidRPr="00F11979">
        <w:rPr>
          <w:smallCaps/>
          <w:lang w:val="fr-CA"/>
        </w:rPr>
        <w:t>«</w:t>
      </w:r>
      <w:r w:rsidR="00444FEB">
        <w:rPr>
          <w:smallCaps/>
          <w:lang w:val="fr-CA"/>
        </w:rPr>
        <w:t> </w:t>
      </w:r>
      <w:r w:rsidR="00F34FE8" w:rsidRPr="00F11979">
        <w:rPr>
          <w:lang w:val="fr-CA"/>
        </w:rPr>
        <w:t>‘‘Je sais que c’est pas toujours évident</w:t>
      </w:r>
      <w:r w:rsidR="00A36B99">
        <w:rPr>
          <w:lang w:val="fr-CA"/>
        </w:rPr>
        <w:t>,</w:t>
      </w:r>
      <w:r w:rsidR="00F34FE8" w:rsidRPr="00F11979">
        <w:rPr>
          <w:lang w:val="fr-CA"/>
        </w:rPr>
        <w:t xml:space="preserve"> mais je suis convaincu que j’ai été victime de discrimination’’</w:t>
      </w:r>
      <w:r w:rsidR="007D1FB7">
        <w:rPr>
          <w:lang w:val="fr-CA"/>
        </w:rPr>
        <w:t> :</w:t>
      </w:r>
      <w:r w:rsidR="00F34FE8" w:rsidRPr="00F11979">
        <w:rPr>
          <w:lang w:val="fr-CA"/>
        </w:rPr>
        <w:t xml:space="preserve"> Analyse des plaintes adressées à la CDPDJ pour discrimination sur la base de l’orientation sexuelle et l’identité ou l’expression de genre dans le domaine de l’emploi (1988-2020)</w:t>
      </w:r>
      <w:r w:rsidR="00444FEB">
        <w:rPr>
          <w:lang w:val="fr-CA"/>
        </w:rPr>
        <w:t> </w:t>
      </w:r>
      <w:r w:rsidR="00F34FE8" w:rsidRPr="00F11979">
        <w:rPr>
          <w:lang w:val="fr-CA"/>
        </w:rPr>
        <w:t xml:space="preserve">», </w:t>
      </w:r>
      <w:r w:rsidR="00135664" w:rsidRPr="00F11979">
        <w:rPr>
          <w:lang w:val="fr-CA"/>
        </w:rPr>
        <w:t>12</w:t>
      </w:r>
      <w:r w:rsidR="00762FE8">
        <w:rPr>
          <w:lang w:val="fr-CA"/>
        </w:rPr>
        <w:t> </w:t>
      </w:r>
      <w:r w:rsidR="00135664" w:rsidRPr="00F11979">
        <w:rPr>
          <w:lang w:val="fr-CA"/>
        </w:rPr>
        <w:t xml:space="preserve">novembre 2021, </w:t>
      </w:r>
      <w:r w:rsidR="0028451A" w:rsidRPr="00F11979">
        <w:rPr>
          <w:lang w:val="fr-CA"/>
        </w:rPr>
        <w:t>Journées SAVIE-LGBTQ</w:t>
      </w:r>
      <w:r w:rsidR="0091080B">
        <w:rPr>
          <w:lang w:val="fr-CA"/>
        </w:rPr>
        <w:t> </w:t>
      </w:r>
      <w:r w:rsidR="0028451A" w:rsidRPr="00F11979">
        <w:rPr>
          <w:lang w:val="fr-CA"/>
        </w:rPr>
        <w:t xml:space="preserve">2021, [En ligne]. </w:t>
      </w:r>
      <w:hyperlink r:id="rId47" w:history="1">
        <w:r w:rsidR="00E25E7A" w:rsidRPr="00F11979">
          <w:rPr>
            <w:rStyle w:val="Lienhypertexte"/>
            <w:lang w:val="fr-CA"/>
          </w:rPr>
          <w:t>https://savie-lgbtq.uqam.ca/journees-savie-lgbtq/</w:t>
        </w:r>
      </w:hyperlink>
      <w:r w:rsidR="00E25E7A" w:rsidRPr="00F11979">
        <w:rPr>
          <w:lang w:val="fr-CA"/>
        </w:rPr>
        <w:t xml:space="preserve"> </w:t>
      </w:r>
    </w:p>
  </w:endnote>
  <w:endnote w:id="62">
    <w:p w14:paraId="532789CD" w14:textId="5DC95CD3" w:rsidR="00F31B9D" w:rsidRPr="00F11979" w:rsidRDefault="00F31B9D" w:rsidP="001F1230">
      <w:pPr>
        <w:pStyle w:val="Notedebasdepage"/>
        <w:rPr>
          <w:lang w:val="fr-CA"/>
        </w:rPr>
      </w:pPr>
      <w:r w:rsidRPr="00BD22C2">
        <w:rPr>
          <w:rStyle w:val="Appeldenotedefin"/>
          <w:lang w:val="fr-CA"/>
        </w:rPr>
        <w:endnoteRef/>
      </w:r>
      <w:r w:rsidRPr="00F11979">
        <w:rPr>
          <w:lang w:val="fr-CA"/>
        </w:rPr>
        <w:t xml:space="preserve"> </w:t>
      </w:r>
      <w:r w:rsidR="001F1230" w:rsidRPr="00F11979">
        <w:rPr>
          <w:lang w:val="fr-CA"/>
        </w:rPr>
        <w:tab/>
      </w:r>
      <w:r w:rsidR="001F1230" w:rsidRPr="00F11979">
        <w:rPr>
          <w:smallCaps/>
          <w:lang w:val="fr-CA"/>
        </w:rPr>
        <w:t>Commission des droits de la personne et des droits de la jeunesse</w:t>
      </w:r>
      <w:r w:rsidR="001F1230" w:rsidRPr="00F11979">
        <w:rPr>
          <w:lang w:val="fr-CA"/>
        </w:rPr>
        <w:t xml:space="preserve">, </w:t>
      </w:r>
      <w:r w:rsidR="001F1230" w:rsidRPr="00F11979">
        <w:rPr>
          <w:i/>
          <w:iCs/>
          <w:lang w:val="fr-CA"/>
        </w:rPr>
        <w:t>Plan stratégique 2021-2025</w:t>
      </w:r>
      <w:r w:rsidR="001F1230" w:rsidRPr="00F11979">
        <w:rPr>
          <w:lang w:val="fr-CA"/>
        </w:rPr>
        <w:t>, 2021, p.</w:t>
      </w:r>
      <w:r w:rsidR="002A4272" w:rsidRPr="00F11979">
        <w:rPr>
          <w:lang w:val="fr-CA"/>
        </w:rPr>
        <w:t> </w:t>
      </w:r>
      <w:r w:rsidR="001F1230" w:rsidRPr="00F11979">
        <w:rPr>
          <w:lang w:val="fr-CA"/>
        </w:rPr>
        <w:t xml:space="preserve">17, [En ligne]. </w:t>
      </w:r>
      <w:hyperlink r:id="rId48" w:history="1">
        <w:r w:rsidR="001F1230" w:rsidRPr="00F11979">
          <w:rPr>
            <w:rStyle w:val="Lienhypertexte"/>
            <w:lang w:val="fr-CA"/>
          </w:rPr>
          <w:t>https://www.cdpdj.qc.ca/storage/app/media/publications/Planification_strategique_2021-2025.pdf</w:t>
        </w:r>
      </w:hyperlink>
    </w:p>
  </w:endnote>
  <w:endnote w:id="63">
    <w:p w14:paraId="69B005F9" w14:textId="1948F11D" w:rsidR="00C86E93" w:rsidRPr="00C86E93" w:rsidRDefault="00C86E93" w:rsidP="00C86E93">
      <w:pPr>
        <w:pStyle w:val="Notedebasdepage"/>
      </w:pPr>
      <w:r>
        <w:rPr>
          <w:rStyle w:val="Appeldenotedefin"/>
        </w:rPr>
        <w:endnoteRef/>
      </w:r>
      <w:r w:rsidRPr="00C86E93">
        <w:t xml:space="preserve"> </w:t>
      </w:r>
      <w:r>
        <w:tab/>
      </w:r>
      <w:r w:rsidRPr="004B4881">
        <w:rPr>
          <w:i/>
          <w:iCs/>
        </w:rPr>
        <w:t>Commission des droits de la personne et des droits de la jeunesse (E.B.)</w:t>
      </w:r>
      <w:r w:rsidRPr="004B4881">
        <w:t xml:space="preserve"> c. </w:t>
      </w:r>
      <w:r w:rsidRPr="004B4881">
        <w:rPr>
          <w:i/>
          <w:iCs/>
        </w:rPr>
        <w:t>9302-6573 Québec inc. (Bar Lucky 7)</w:t>
      </w:r>
      <w:r w:rsidRPr="004B4881">
        <w:t>, 2024 QCTDP 2.</w:t>
      </w:r>
    </w:p>
  </w:endnote>
  <w:endnote w:id="64">
    <w:p w14:paraId="47CCD8D1" w14:textId="0552F97B" w:rsidR="00F31B9D" w:rsidRPr="00F11979" w:rsidRDefault="00F31B9D" w:rsidP="00E62490">
      <w:pPr>
        <w:pStyle w:val="Notedebasdepage"/>
        <w:rPr>
          <w:lang w:val="fr-CA"/>
        </w:rPr>
      </w:pPr>
      <w:r w:rsidRPr="00BD22C2">
        <w:rPr>
          <w:rStyle w:val="Appeldenotedefin"/>
          <w:lang w:val="fr-CA"/>
        </w:rPr>
        <w:endnoteRef/>
      </w:r>
      <w:r w:rsidRPr="00BD22C2">
        <w:rPr>
          <w:lang w:val="fr-CA"/>
        </w:rPr>
        <w:t xml:space="preserve"> </w:t>
      </w:r>
      <w:r w:rsidR="002464C9" w:rsidRPr="00BD22C2">
        <w:rPr>
          <w:lang w:val="fr-CA"/>
        </w:rPr>
        <w:tab/>
      </w:r>
      <w:r w:rsidR="00EB4940" w:rsidRPr="00F11979">
        <w:rPr>
          <w:smallCaps/>
          <w:lang w:val="fr-CA"/>
        </w:rPr>
        <w:t>Égale Canada, Fondation Émergence et Optimus SBR</w:t>
      </w:r>
      <w:r w:rsidR="00EB4940" w:rsidRPr="00F11979">
        <w:rPr>
          <w:lang w:val="fr-CA"/>
        </w:rPr>
        <w:t xml:space="preserve">, pour le Fonds Purge LGBT, </w:t>
      </w:r>
      <w:r w:rsidR="00EB4940" w:rsidRPr="00F11979">
        <w:rPr>
          <w:i/>
          <w:iCs/>
          <w:lang w:val="fr-CA"/>
        </w:rPr>
        <w:t>Au lendemain de la Purge : État des lieux et recommandations en matière d’inclusion des personnes LGBTQI2S au fédéral</w:t>
      </w:r>
      <w:r w:rsidR="00EB4940" w:rsidRPr="00F11979">
        <w:rPr>
          <w:lang w:val="fr-CA"/>
        </w:rPr>
        <w:t xml:space="preserve">, 2021, [En ligne]. </w:t>
      </w:r>
      <w:hyperlink r:id="rId49" w:history="1">
        <w:r w:rsidR="00EB4940" w:rsidRPr="00F11979">
          <w:rPr>
            <w:rStyle w:val="Lienhypertexte"/>
            <w:lang w:val="fr-CA"/>
          </w:rPr>
          <w:t>https ://lefondspurgelgbt.com/wp-content/uploads/2021/05/Au-lendemain-de-la-Purge-final-mai-2021.pdf</w:t>
        </w:r>
      </w:hyperlink>
    </w:p>
  </w:endnote>
  <w:endnote w:id="65">
    <w:p w14:paraId="1A05EAD5" w14:textId="4DA1F7F6" w:rsidR="00650156" w:rsidRPr="00F11979" w:rsidRDefault="00650156" w:rsidP="00E62490">
      <w:pPr>
        <w:pStyle w:val="Notedebasdepage"/>
        <w:rPr>
          <w:lang w:val="fr-CA"/>
        </w:rPr>
      </w:pPr>
      <w:r w:rsidRPr="00BD22C2">
        <w:rPr>
          <w:rStyle w:val="Appeldenotedefin"/>
          <w:lang w:val="fr-CA"/>
        </w:rPr>
        <w:endnoteRef/>
      </w:r>
      <w:r w:rsidRPr="00F11979">
        <w:rPr>
          <w:lang w:val="fr-CA"/>
        </w:rPr>
        <w:t xml:space="preserve"> </w:t>
      </w:r>
      <w:r w:rsidR="00E62490" w:rsidRPr="00F11979">
        <w:rPr>
          <w:lang w:val="fr-CA"/>
        </w:rPr>
        <w:tab/>
      </w:r>
      <w:r w:rsidR="00164601" w:rsidRPr="00F11979">
        <w:rPr>
          <w:lang w:val="fr-CA"/>
        </w:rPr>
        <w:t xml:space="preserve">Adelle </w:t>
      </w:r>
      <w:r w:rsidR="00164601" w:rsidRPr="00F11979">
        <w:rPr>
          <w:smallCaps/>
          <w:lang w:val="fr-CA"/>
        </w:rPr>
        <w:t>Black</w:t>
      </w:r>
      <w:r w:rsidR="000E40BD" w:rsidRPr="00F11979">
        <w:rPr>
          <w:smallCaps/>
          <w:lang w:val="fr-CA"/>
        </w:rPr>
        <w:t>ett</w:t>
      </w:r>
      <w:r w:rsidR="000E40BD" w:rsidRPr="00F11979">
        <w:rPr>
          <w:lang w:val="fr-CA"/>
        </w:rPr>
        <w:t xml:space="preserve">, </w:t>
      </w:r>
      <w:r w:rsidR="00067F69" w:rsidRPr="00F11979">
        <w:rPr>
          <w:i/>
          <w:iCs/>
          <w:lang w:val="fr-CA"/>
        </w:rPr>
        <w:t>Réaliser et soutenir l’équité en matière d’emploi</w:t>
      </w:r>
      <w:r w:rsidR="00E30B76">
        <w:rPr>
          <w:i/>
          <w:iCs/>
          <w:lang w:val="fr-CA"/>
        </w:rPr>
        <w:t> </w:t>
      </w:r>
      <w:r w:rsidR="00067F69" w:rsidRPr="00F11979">
        <w:rPr>
          <w:i/>
          <w:iCs/>
          <w:lang w:val="fr-CA"/>
        </w:rPr>
        <w:t>: un cadre transformatif – Rapport du Groupe de travail sur l’examen de la Loi sur l’équité en matière d’emploi</w:t>
      </w:r>
      <w:r w:rsidR="00067F69" w:rsidRPr="00F11979">
        <w:rPr>
          <w:lang w:val="fr-CA"/>
        </w:rPr>
        <w:t>,</w:t>
      </w:r>
      <w:r w:rsidR="00432696" w:rsidRPr="00F11979">
        <w:rPr>
          <w:lang w:val="fr-CA"/>
        </w:rPr>
        <w:t xml:space="preserve"> </w:t>
      </w:r>
      <w:r w:rsidR="00432696" w:rsidRPr="00BD22C2">
        <w:rPr>
          <w:rFonts w:cs="Arial"/>
          <w:szCs w:val="18"/>
          <w:lang w:val="fr-CA"/>
        </w:rPr>
        <w:t>Emploi et Développement social Canada,</w:t>
      </w:r>
      <w:r w:rsidR="00067F69" w:rsidRPr="00F11979">
        <w:rPr>
          <w:lang w:val="fr-CA"/>
        </w:rPr>
        <w:t xml:space="preserve"> 202</w:t>
      </w:r>
      <w:r w:rsidR="007D3D52" w:rsidRPr="00F11979">
        <w:rPr>
          <w:lang w:val="fr-CA"/>
        </w:rPr>
        <w:t>3</w:t>
      </w:r>
      <w:r w:rsidR="00067F69" w:rsidRPr="00F11979">
        <w:rPr>
          <w:lang w:val="fr-CA"/>
        </w:rPr>
        <w:t>,</w:t>
      </w:r>
      <w:r w:rsidR="00D2006F" w:rsidRPr="00F11979">
        <w:rPr>
          <w:lang w:val="fr-CA"/>
        </w:rPr>
        <w:t xml:space="preserve"> [En ligne]. </w:t>
      </w:r>
      <w:hyperlink r:id="rId50" w:history="1">
        <w:r w:rsidR="00D2006F" w:rsidRPr="00F11979">
          <w:rPr>
            <w:rStyle w:val="Lienhypertexte"/>
            <w:lang w:val="fr-CA"/>
          </w:rPr>
          <w:t>https://www.canada.ca/fr/emploi-developpement-social/ministere/portefeuille/travail/programmes/equite-emploi/rapports/groupe-examen-loi.html</w:t>
        </w:r>
      </w:hyperlink>
      <w:r w:rsidR="00D2006F" w:rsidRPr="00F11979">
        <w:rPr>
          <w:lang w:val="fr-CA"/>
        </w:rPr>
        <w:t xml:space="preserve"> </w:t>
      </w:r>
      <w:r w:rsidR="005848FF" w:rsidRPr="00BD22C2">
        <w:rPr>
          <w:rFonts w:cs="Arial"/>
          <w:szCs w:val="18"/>
          <w:lang w:val="fr-CA"/>
        </w:rPr>
        <w:t xml:space="preserve"> </w:t>
      </w:r>
    </w:p>
  </w:endnote>
  <w:endnote w:id="66">
    <w:p w14:paraId="48C62CD1" w14:textId="4EEEF98B"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Des lignes du temps disponibles en ligne présentent les moments marquants de l’histoire des luttes et des droits des personnes LGBTQ+ au Québec et au Canada </w:t>
      </w:r>
      <w:r w:rsidRPr="00BD22C2">
        <w:rPr>
          <w:rFonts w:ascii="Arial" w:hAnsi="Arial" w:cs="Arial"/>
          <w:smallCaps/>
          <w:sz w:val="18"/>
          <w:szCs w:val="18"/>
          <w:lang w:val="fr-CA"/>
        </w:rPr>
        <w:t>: Projet de recherche partenariale Savoirs sur l’inclusion et l’exclusion des personnes LGBTQ</w:t>
      </w:r>
      <w:r w:rsidRPr="00BD22C2">
        <w:rPr>
          <w:rFonts w:ascii="Arial" w:hAnsi="Arial" w:cs="Arial"/>
          <w:sz w:val="18"/>
          <w:szCs w:val="18"/>
          <w:lang w:val="fr-CA"/>
        </w:rPr>
        <w:t xml:space="preserve">, </w:t>
      </w:r>
      <w:r w:rsidRPr="00BD22C2">
        <w:rPr>
          <w:rFonts w:ascii="Arial" w:hAnsi="Arial" w:cs="Arial"/>
          <w:i/>
          <w:sz w:val="18"/>
          <w:szCs w:val="18"/>
          <w:lang w:val="fr-CA"/>
        </w:rPr>
        <w:t>Ligne du temps des luttes et des droits LGBTQ+ au Québec</w:t>
      </w:r>
      <w:r w:rsidRPr="00BD22C2">
        <w:rPr>
          <w:rFonts w:ascii="Arial" w:hAnsi="Arial" w:cs="Arial"/>
          <w:sz w:val="18"/>
          <w:szCs w:val="18"/>
          <w:lang w:val="fr-CA"/>
        </w:rPr>
        <w:t xml:space="preserve">, [En ligne]. </w:t>
      </w:r>
      <w:hyperlink r:id="rId51" w:history="1">
        <w:r w:rsidRPr="00BD22C2">
          <w:rPr>
            <w:rStyle w:val="Lienhypertexte"/>
            <w:rFonts w:ascii="Arial" w:hAnsi="Arial" w:cs="Arial"/>
            <w:sz w:val="18"/>
            <w:szCs w:val="18"/>
            <w:lang w:val="fr-CA"/>
          </w:rPr>
          <w:t>https://chairedspg.uqam.ca/ligne-temps/</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Gouvernement du Québec</w:t>
      </w:r>
      <w:r w:rsidRPr="00BD22C2">
        <w:rPr>
          <w:rFonts w:ascii="Arial" w:hAnsi="Arial" w:cs="Arial"/>
          <w:sz w:val="18"/>
          <w:szCs w:val="18"/>
          <w:lang w:val="fr-CA"/>
        </w:rPr>
        <w:t xml:space="preserve">, </w:t>
      </w:r>
      <w:r w:rsidRPr="00BD22C2">
        <w:rPr>
          <w:rFonts w:ascii="Arial" w:hAnsi="Arial" w:cs="Arial"/>
          <w:i/>
          <w:sz w:val="18"/>
          <w:szCs w:val="18"/>
          <w:lang w:val="fr-CA"/>
        </w:rPr>
        <w:t>Historique des droits des personnes LGBTQ+,</w:t>
      </w:r>
      <w:r w:rsidRPr="00BD22C2">
        <w:rPr>
          <w:rFonts w:ascii="Arial" w:hAnsi="Arial" w:cs="Arial"/>
          <w:sz w:val="18"/>
          <w:szCs w:val="18"/>
          <w:lang w:val="fr-CA"/>
        </w:rPr>
        <w:t xml:space="preserve"> [En ligne]. </w:t>
      </w:r>
      <w:hyperlink r:id="rId52" w:history="1">
        <w:r w:rsidRPr="00BD22C2">
          <w:rPr>
            <w:rStyle w:val="Lienhypertexte"/>
            <w:rFonts w:ascii="Arial" w:hAnsi="Arial" w:cs="Arial"/>
            <w:sz w:val="18"/>
            <w:szCs w:val="18"/>
            <w:lang w:val="fr-CA"/>
          </w:rPr>
          <w:t>https://cdn-contenu.quebec.ca/cdn-contenu/adm/gouv/homophobie-transphobie/FE-feuillet-Chronologie-LGBTQplus-QC-Ca-FR-SCF.pdf</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Archives gaies du Québec</w:t>
      </w:r>
      <w:r w:rsidRPr="00BD22C2">
        <w:rPr>
          <w:rFonts w:ascii="Arial" w:hAnsi="Arial" w:cs="Arial"/>
          <w:sz w:val="18"/>
          <w:szCs w:val="18"/>
          <w:lang w:val="fr-CA"/>
        </w:rPr>
        <w:t>, «</w:t>
      </w:r>
      <w:r w:rsidR="00974BD5" w:rsidRPr="00BD22C2">
        <w:rPr>
          <w:rFonts w:ascii="Arial" w:hAnsi="Arial" w:cs="Arial"/>
          <w:sz w:val="18"/>
          <w:szCs w:val="18"/>
          <w:lang w:val="fr-CA"/>
        </w:rPr>
        <w:t> </w:t>
      </w:r>
      <w:r w:rsidRPr="00BD22C2">
        <w:rPr>
          <w:rFonts w:ascii="Arial" w:hAnsi="Arial" w:cs="Arial"/>
          <w:sz w:val="18"/>
          <w:szCs w:val="18"/>
          <w:lang w:val="fr-CA"/>
        </w:rPr>
        <w:t>Histoires des communautés LGBTQ2S+ du Québec</w:t>
      </w:r>
      <w:r w:rsidR="00974BD5" w:rsidRPr="00BD22C2">
        <w:rPr>
          <w:rFonts w:ascii="Arial" w:hAnsi="Arial" w:cs="Arial"/>
          <w:sz w:val="18"/>
          <w:szCs w:val="18"/>
          <w:lang w:val="fr-CA"/>
        </w:rPr>
        <w:t> </w:t>
      </w:r>
      <w:r w:rsidRPr="00BD22C2">
        <w:rPr>
          <w:rFonts w:ascii="Arial" w:hAnsi="Arial" w:cs="Arial"/>
          <w:sz w:val="18"/>
          <w:szCs w:val="18"/>
          <w:lang w:val="fr-CA"/>
        </w:rPr>
        <w:t xml:space="preserve">», 2019, [En ligne]. </w:t>
      </w:r>
      <w:hyperlink r:id="rId53" w:history="1">
        <w:r w:rsidRPr="0085310E">
          <w:rPr>
            <w:rStyle w:val="Lienhypertexte"/>
            <w:rFonts w:ascii="Arial" w:hAnsi="Arial" w:cs="Arial"/>
            <w:sz w:val="18"/>
            <w:szCs w:val="18"/>
          </w:rPr>
          <w:t>https://agq.qc.ca/histoire-des-communautes-lgbtq2s-du-quebec/</w:t>
        </w:r>
      </w:hyperlink>
      <w:r w:rsidRPr="0085310E">
        <w:rPr>
          <w:rFonts w:ascii="Arial" w:hAnsi="Arial" w:cs="Arial"/>
          <w:sz w:val="18"/>
          <w:szCs w:val="18"/>
        </w:rPr>
        <w:t xml:space="preserve"> </w:t>
      </w:r>
    </w:p>
  </w:endnote>
  <w:endnote w:id="67">
    <w:p w14:paraId="75B2340D" w14:textId="1F738C19"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Institut national de santé publique du Québec,</w:t>
      </w:r>
      <w:r w:rsidRPr="00BD22C2">
        <w:rPr>
          <w:rFonts w:ascii="Arial" w:hAnsi="Arial" w:cs="Arial"/>
          <w:sz w:val="18"/>
          <w:szCs w:val="18"/>
          <w:lang w:val="fr-CA"/>
        </w:rPr>
        <w:t xml:space="preserve"> </w:t>
      </w:r>
      <w:r w:rsidRPr="00BD22C2">
        <w:rPr>
          <w:rFonts w:ascii="Arial" w:hAnsi="Arial" w:cs="Arial"/>
          <w:i/>
          <w:sz w:val="18"/>
          <w:szCs w:val="18"/>
          <w:lang w:val="fr-CA"/>
        </w:rPr>
        <w:t>L</w:t>
      </w:r>
      <w:r w:rsidR="003B361F" w:rsidRPr="00BD22C2">
        <w:rPr>
          <w:rFonts w:ascii="Arial" w:hAnsi="Arial" w:cs="Arial"/>
          <w:i/>
          <w:sz w:val="18"/>
          <w:szCs w:val="18"/>
          <w:lang w:val="fr-CA"/>
        </w:rPr>
        <w:t>’</w:t>
      </w:r>
      <w:r w:rsidRPr="00BD22C2">
        <w:rPr>
          <w:rFonts w:ascii="Arial" w:hAnsi="Arial" w:cs="Arial"/>
          <w:i/>
          <w:sz w:val="18"/>
          <w:szCs w:val="18"/>
          <w:lang w:val="fr-CA"/>
        </w:rPr>
        <w:t>intimidation vécue par les personnes de la diversité sexuelle ou de genre</w:t>
      </w:r>
      <w:r w:rsidRPr="00BD22C2">
        <w:rPr>
          <w:rFonts w:ascii="Arial" w:hAnsi="Arial" w:cs="Arial"/>
          <w:sz w:val="18"/>
          <w:szCs w:val="18"/>
          <w:lang w:val="fr-CA"/>
        </w:rPr>
        <w:t>,</w:t>
      </w:r>
      <w:r w:rsidR="00775205" w:rsidRPr="00BD22C2">
        <w:rPr>
          <w:rFonts w:ascii="Arial" w:hAnsi="Arial" w:cs="Arial"/>
          <w:sz w:val="18"/>
          <w:szCs w:val="18"/>
          <w:lang w:val="fr-CA"/>
        </w:rPr>
        <w:t xml:space="preserve"> collab.de Martin </w:t>
      </w:r>
      <w:r w:rsidR="00775205" w:rsidRPr="00BD22C2">
        <w:rPr>
          <w:rFonts w:ascii="Arial" w:hAnsi="Arial" w:cs="Arial"/>
          <w:smallCaps/>
          <w:sz w:val="18"/>
          <w:szCs w:val="18"/>
          <w:lang w:val="fr-CA"/>
        </w:rPr>
        <w:t xml:space="preserve">Blais </w:t>
      </w:r>
      <w:r w:rsidR="00775205" w:rsidRPr="00BD22C2">
        <w:rPr>
          <w:rFonts w:ascii="Arial" w:hAnsi="Arial" w:cs="Arial"/>
          <w:sz w:val="18"/>
          <w:szCs w:val="18"/>
          <w:lang w:val="fr-CA"/>
        </w:rPr>
        <w:t xml:space="preserve">et Léa </w:t>
      </w:r>
      <w:r w:rsidR="00775205" w:rsidRPr="00BD22C2">
        <w:rPr>
          <w:rFonts w:ascii="Arial" w:hAnsi="Arial" w:cs="Arial"/>
          <w:smallCaps/>
          <w:sz w:val="18"/>
          <w:szCs w:val="18"/>
          <w:lang w:val="fr-CA"/>
        </w:rPr>
        <w:t>Seguin</w:t>
      </w:r>
      <w:r w:rsidR="00FF1028" w:rsidRPr="00BD22C2">
        <w:rPr>
          <w:rFonts w:ascii="Arial" w:hAnsi="Arial" w:cs="Arial"/>
          <w:sz w:val="18"/>
          <w:szCs w:val="18"/>
          <w:lang w:val="fr-CA"/>
        </w:rPr>
        <w:t xml:space="preserve">, </w:t>
      </w:r>
      <w:r w:rsidRPr="00BD22C2">
        <w:rPr>
          <w:rFonts w:ascii="Arial" w:hAnsi="Arial" w:cs="Arial"/>
          <w:sz w:val="18"/>
          <w:szCs w:val="18"/>
          <w:lang w:val="fr-CA"/>
        </w:rPr>
        <w:t xml:space="preserve">2019, [En ligne]. </w:t>
      </w:r>
      <w:hyperlink r:id="rId54" w:history="1">
        <w:r w:rsidRPr="00BD22C2">
          <w:rPr>
            <w:rStyle w:val="Lienhypertexte"/>
            <w:rFonts w:ascii="Arial" w:hAnsi="Arial" w:cs="Arial"/>
            <w:sz w:val="18"/>
            <w:szCs w:val="18"/>
            <w:lang w:val="fr-CA"/>
          </w:rPr>
          <w:t>https://www.inspq.qc.ca/intimidation/personnes-de-la-diversite-sexuelle-ou-de-genre</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Laure </w:t>
      </w:r>
      <w:r w:rsidRPr="0082687D">
        <w:rPr>
          <w:rFonts w:ascii="Arial" w:hAnsi="Arial" w:cs="Arial"/>
          <w:smallCaps/>
          <w:sz w:val="18"/>
          <w:szCs w:val="18"/>
          <w:lang w:val="fr-CA"/>
        </w:rPr>
        <w:t>Bereni</w:t>
      </w:r>
      <w:r w:rsidRPr="00BD22C2">
        <w:rPr>
          <w:rFonts w:ascii="Arial" w:hAnsi="Arial" w:cs="Arial"/>
          <w:sz w:val="18"/>
          <w:szCs w:val="18"/>
          <w:lang w:val="fr-CA"/>
        </w:rPr>
        <w:t xml:space="preserve">, Sébastien </w:t>
      </w:r>
      <w:r w:rsidRPr="00BD22C2">
        <w:rPr>
          <w:rFonts w:ascii="Arial" w:hAnsi="Arial" w:cs="Arial"/>
          <w:smallCaps/>
          <w:sz w:val="18"/>
          <w:szCs w:val="18"/>
          <w:lang w:val="fr-CA"/>
        </w:rPr>
        <w:t>Chauvin</w:t>
      </w:r>
      <w:r w:rsidRPr="00BD22C2">
        <w:rPr>
          <w:rFonts w:ascii="Arial" w:hAnsi="Arial" w:cs="Arial"/>
          <w:sz w:val="18"/>
          <w:szCs w:val="18"/>
          <w:lang w:val="fr-CA"/>
        </w:rPr>
        <w:t xml:space="preserve">, Alexandre </w:t>
      </w:r>
      <w:r w:rsidRPr="00BD22C2">
        <w:rPr>
          <w:rFonts w:ascii="Arial" w:hAnsi="Arial" w:cs="Arial"/>
          <w:smallCaps/>
          <w:sz w:val="18"/>
          <w:szCs w:val="18"/>
          <w:lang w:val="fr-CA"/>
        </w:rPr>
        <w:t xml:space="preserve">Jaunait </w:t>
      </w:r>
      <w:r w:rsidRPr="00BD22C2">
        <w:rPr>
          <w:rFonts w:ascii="Arial" w:hAnsi="Arial" w:cs="Arial"/>
          <w:sz w:val="18"/>
          <w:szCs w:val="18"/>
          <w:lang w:val="fr-CA"/>
        </w:rPr>
        <w:t xml:space="preserve">et Anne </w:t>
      </w:r>
      <w:r w:rsidRPr="00BD22C2">
        <w:rPr>
          <w:rFonts w:ascii="Arial" w:hAnsi="Arial" w:cs="Arial"/>
          <w:smallCaps/>
          <w:sz w:val="18"/>
          <w:szCs w:val="18"/>
          <w:lang w:val="fr-CA"/>
        </w:rPr>
        <w:t>Revillard,</w:t>
      </w:r>
      <w:r w:rsidRPr="00BD22C2">
        <w:rPr>
          <w:rFonts w:ascii="Arial" w:hAnsi="Arial" w:cs="Arial"/>
          <w:sz w:val="18"/>
          <w:szCs w:val="18"/>
          <w:lang w:val="fr-CA"/>
        </w:rPr>
        <w:t xml:space="preserve"> </w:t>
      </w:r>
      <w:r w:rsidRPr="00BD22C2">
        <w:rPr>
          <w:rFonts w:ascii="Arial" w:hAnsi="Arial" w:cs="Arial"/>
          <w:i/>
          <w:sz w:val="18"/>
          <w:szCs w:val="18"/>
          <w:lang w:val="fr-CA"/>
        </w:rPr>
        <w:t>Introduction aux études sur le genre,</w:t>
      </w:r>
      <w:r w:rsidRPr="00BD22C2">
        <w:rPr>
          <w:rFonts w:ascii="Arial" w:hAnsi="Arial" w:cs="Arial"/>
          <w:sz w:val="18"/>
          <w:szCs w:val="18"/>
          <w:lang w:val="fr-CA"/>
        </w:rPr>
        <w:t xml:space="preserve"> 2</w:t>
      </w:r>
      <w:r w:rsidRPr="00BD22C2">
        <w:rPr>
          <w:rFonts w:ascii="Arial" w:hAnsi="Arial" w:cs="Arial"/>
          <w:sz w:val="18"/>
          <w:szCs w:val="18"/>
          <w:vertAlign w:val="superscript"/>
          <w:lang w:val="fr-CA"/>
        </w:rPr>
        <w:t>e</w:t>
      </w:r>
      <w:r w:rsidR="00B32B61">
        <w:rPr>
          <w:rFonts w:ascii="Arial" w:hAnsi="Arial" w:cs="Arial"/>
          <w:sz w:val="18"/>
          <w:szCs w:val="18"/>
          <w:lang w:val="fr-CA"/>
        </w:rPr>
        <w:t> </w:t>
      </w:r>
      <w:r w:rsidRPr="00BD22C2">
        <w:rPr>
          <w:rFonts w:ascii="Arial" w:hAnsi="Arial" w:cs="Arial"/>
          <w:sz w:val="18"/>
          <w:szCs w:val="18"/>
          <w:lang w:val="fr-CA"/>
        </w:rPr>
        <w:t>éd</w:t>
      </w:r>
      <w:r w:rsidR="002210B9" w:rsidRPr="00BD22C2">
        <w:rPr>
          <w:rFonts w:ascii="Arial" w:hAnsi="Arial" w:cs="Arial"/>
          <w:sz w:val="18"/>
          <w:szCs w:val="18"/>
          <w:lang w:val="fr-CA"/>
        </w:rPr>
        <w:t>.</w:t>
      </w:r>
      <w:r w:rsidRPr="00BD22C2">
        <w:rPr>
          <w:rFonts w:ascii="Arial" w:hAnsi="Arial" w:cs="Arial"/>
          <w:sz w:val="18"/>
          <w:szCs w:val="18"/>
          <w:lang w:val="fr-CA"/>
        </w:rPr>
        <w:t xml:space="preserve">, </w:t>
      </w:r>
      <w:r w:rsidR="00EB1AE2" w:rsidRPr="00BD22C2">
        <w:rPr>
          <w:rFonts w:ascii="Arial" w:hAnsi="Arial" w:cs="Arial"/>
          <w:sz w:val="18"/>
          <w:szCs w:val="18"/>
          <w:lang w:val="fr-CA"/>
        </w:rPr>
        <w:t>«</w:t>
      </w:r>
      <w:r w:rsidR="0071406B" w:rsidRPr="00BD22C2">
        <w:rPr>
          <w:rFonts w:ascii="Arial" w:hAnsi="Arial" w:cs="Arial"/>
          <w:sz w:val="18"/>
          <w:szCs w:val="18"/>
          <w:lang w:val="fr-CA"/>
        </w:rPr>
        <w:t> </w:t>
      </w:r>
      <w:r w:rsidRPr="00BD22C2">
        <w:rPr>
          <w:rFonts w:ascii="Arial" w:hAnsi="Arial" w:cs="Arial"/>
          <w:sz w:val="18"/>
          <w:szCs w:val="18"/>
          <w:lang w:val="fr-CA"/>
        </w:rPr>
        <w:t>De Boeck</w:t>
      </w:r>
      <w:r w:rsidR="0071406B" w:rsidRPr="00BD22C2">
        <w:rPr>
          <w:rFonts w:ascii="Arial" w:hAnsi="Arial" w:cs="Arial"/>
          <w:sz w:val="18"/>
          <w:szCs w:val="18"/>
          <w:lang w:val="fr-CA"/>
        </w:rPr>
        <w:t> </w:t>
      </w:r>
      <w:r w:rsidR="00EB1AE2" w:rsidRPr="00BD22C2">
        <w:rPr>
          <w:rFonts w:ascii="Arial" w:hAnsi="Arial" w:cs="Arial"/>
          <w:sz w:val="18"/>
          <w:szCs w:val="18"/>
          <w:lang w:val="fr-CA"/>
        </w:rPr>
        <w:t>»</w:t>
      </w:r>
      <w:r w:rsidRPr="00BD22C2">
        <w:rPr>
          <w:rFonts w:ascii="Arial" w:hAnsi="Arial" w:cs="Arial"/>
          <w:sz w:val="18"/>
          <w:szCs w:val="18"/>
          <w:lang w:val="fr-CA"/>
        </w:rPr>
        <w:t xml:space="preserve">, </w:t>
      </w:r>
      <w:r w:rsidR="002210B9" w:rsidRPr="00BD22C2">
        <w:rPr>
          <w:rFonts w:ascii="Arial" w:hAnsi="Arial" w:cs="Arial"/>
          <w:sz w:val="18"/>
          <w:szCs w:val="18"/>
          <w:lang w:val="fr-CA"/>
        </w:rPr>
        <w:t xml:space="preserve">Bruxelles, </w:t>
      </w:r>
      <w:r w:rsidRPr="00BD22C2">
        <w:rPr>
          <w:rFonts w:ascii="Arial" w:hAnsi="Arial" w:cs="Arial"/>
          <w:sz w:val="18"/>
          <w:szCs w:val="18"/>
          <w:lang w:val="fr-CA"/>
        </w:rPr>
        <w:t>2012, p.</w:t>
      </w:r>
      <w:r w:rsidR="00CC76DE" w:rsidRPr="00BD22C2">
        <w:rPr>
          <w:rFonts w:ascii="Arial" w:hAnsi="Arial" w:cs="Arial"/>
          <w:sz w:val="18"/>
          <w:szCs w:val="18"/>
          <w:lang w:val="fr-CA"/>
        </w:rPr>
        <w:t> </w:t>
      </w:r>
      <w:r w:rsidRPr="00BD22C2">
        <w:rPr>
          <w:rFonts w:ascii="Arial" w:hAnsi="Arial" w:cs="Arial"/>
          <w:sz w:val="18"/>
          <w:szCs w:val="18"/>
          <w:lang w:val="fr-CA"/>
        </w:rPr>
        <w:t>34</w:t>
      </w:r>
      <w:r w:rsidR="004050A1" w:rsidRPr="00BD22C2">
        <w:rPr>
          <w:rFonts w:ascii="Arial" w:hAnsi="Arial" w:cs="Arial"/>
          <w:sz w:val="18"/>
          <w:szCs w:val="18"/>
          <w:lang w:val="fr-CA"/>
        </w:rPr>
        <w:t xml:space="preserve">, </w:t>
      </w:r>
      <w:r w:rsidRPr="00BD22C2">
        <w:rPr>
          <w:rFonts w:ascii="Arial" w:hAnsi="Arial" w:cs="Arial"/>
          <w:sz w:val="18"/>
          <w:szCs w:val="18"/>
          <w:lang w:val="fr-CA"/>
        </w:rPr>
        <w:t>35, 38-40. Voir aussi Janik Bastien-</w:t>
      </w:r>
      <w:r w:rsidRPr="00BD22C2">
        <w:rPr>
          <w:rFonts w:ascii="Arial" w:hAnsi="Arial" w:cs="Arial"/>
          <w:smallCaps/>
          <w:sz w:val="18"/>
          <w:szCs w:val="18"/>
          <w:lang w:val="fr-CA"/>
        </w:rPr>
        <w:t>Charlebois</w:t>
      </w:r>
      <w:r w:rsidRPr="00BD22C2">
        <w:rPr>
          <w:rFonts w:ascii="Arial" w:hAnsi="Arial" w:cs="Arial"/>
          <w:sz w:val="18"/>
          <w:szCs w:val="18"/>
          <w:lang w:val="fr-CA"/>
        </w:rPr>
        <w:t>, «</w:t>
      </w:r>
      <w:r w:rsidR="00974BD5" w:rsidRPr="00BD22C2">
        <w:rPr>
          <w:rFonts w:ascii="Arial" w:hAnsi="Arial" w:cs="Arial"/>
          <w:sz w:val="18"/>
          <w:szCs w:val="18"/>
          <w:lang w:val="fr-CA"/>
        </w:rPr>
        <w:t> </w:t>
      </w:r>
      <w:r w:rsidRPr="00BD22C2">
        <w:rPr>
          <w:rFonts w:ascii="Arial" w:hAnsi="Arial" w:cs="Arial"/>
          <w:sz w:val="18"/>
          <w:szCs w:val="18"/>
          <w:lang w:val="fr-CA"/>
        </w:rPr>
        <w:t>Au-delà de la phobie de l’homo</w:t>
      </w:r>
      <w:r w:rsidR="00E8063A" w:rsidRPr="00BD22C2">
        <w:rPr>
          <w:rFonts w:ascii="Arial" w:hAnsi="Arial" w:cs="Arial"/>
          <w:sz w:val="18"/>
          <w:szCs w:val="18"/>
          <w:lang w:val="fr-CA"/>
        </w:rPr>
        <w:t> </w:t>
      </w:r>
      <w:r w:rsidRPr="00BD22C2">
        <w:rPr>
          <w:rFonts w:ascii="Arial" w:hAnsi="Arial" w:cs="Arial"/>
          <w:sz w:val="18"/>
          <w:szCs w:val="18"/>
          <w:lang w:val="fr-CA"/>
        </w:rPr>
        <w:t>: quand le concept d’homophobie porte ombrage à la lutte contre l’hétérosexisme et l’hétéronormativité</w:t>
      </w:r>
      <w:r w:rsidR="0056005D" w:rsidRPr="00BD22C2">
        <w:rPr>
          <w:rFonts w:ascii="Arial" w:hAnsi="Arial" w:cs="Arial"/>
          <w:sz w:val="18"/>
          <w:szCs w:val="18"/>
          <w:lang w:val="fr-CA"/>
        </w:rPr>
        <w:t> </w:t>
      </w:r>
      <w:r w:rsidRPr="00BD22C2">
        <w:rPr>
          <w:rFonts w:ascii="Arial" w:hAnsi="Arial" w:cs="Arial"/>
          <w:sz w:val="18"/>
          <w:szCs w:val="18"/>
          <w:lang w:val="fr-CA"/>
        </w:rPr>
        <w:t xml:space="preserve">» (2011) </w:t>
      </w:r>
      <w:r w:rsidRPr="007B2CC1">
        <w:rPr>
          <w:rFonts w:ascii="Arial" w:hAnsi="Arial" w:cs="Arial"/>
          <w:i/>
          <w:sz w:val="18"/>
          <w:szCs w:val="18"/>
          <w:lang w:val="fr-CA"/>
        </w:rPr>
        <w:t>Reflets : revue d’intervention sociale et communautaire</w:t>
      </w:r>
      <w:r w:rsidRPr="00BD22C2">
        <w:rPr>
          <w:rFonts w:ascii="Arial" w:hAnsi="Arial" w:cs="Arial"/>
          <w:sz w:val="18"/>
          <w:szCs w:val="18"/>
          <w:lang w:val="fr-CA"/>
        </w:rPr>
        <w:t>, vol.</w:t>
      </w:r>
      <w:r w:rsidR="00CC76DE" w:rsidRPr="00BD22C2">
        <w:rPr>
          <w:rFonts w:ascii="Arial" w:hAnsi="Arial" w:cs="Arial"/>
          <w:sz w:val="18"/>
          <w:szCs w:val="18"/>
          <w:lang w:val="fr-CA"/>
        </w:rPr>
        <w:t> </w:t>
      </w:r>
      <w:r w:rsidRPr="00BD22C2">
        <w:rPr>
          <w:rFonts w:ascii="Arial" w:hAnsi="Arial" w:cs="Arial"/>
          <w:sz w:val="18"/>
          <w:szCs w:val="18"/>
          <w:lang w:val="fr-CA"/>
        </w:rPr>
        <w:t>17, no</w:t>
      </w:r>
      <w:r w:rsidR="00CC76DE" w:rsidRPr="00BD22C2">
        <w:rPr>
          <w:rFonts w:ascii="Arial" w:hAnsi="Arial" w:cs="Arial"/>
          <w:sz w:val="18"/>
          <w:szCs w:val="18"/>
          <w:lang w:val="fr-CA"/>
        </w:rPr>
        <w:t> </w:t>
      </w:r>
      <w:r w:rsidRPr="00BD22C2">
        <w:rPr>
          <w:rFonts w:ascii="Arial" w:hAnsi="Arial" w:cs="Arial"/>
          <w:sz w:val="18"/>
          <w:szCs w:val="18"/>
          <w:lang w:val="fr-CA"/>
        </w:rPr>
        <w:t>1, p.</w:t>
      </w:r>
      <w:r w:rsidR="00CC76DE" w:rsidRPr="00BD22C2">
        <w:rPr>
          <w:rFonts w:ascii="Arial" w:hAnsi="Arial" w:cs="Arial"/>
          <w:sz w:val="18"/>
          <w:szCs w:val="18"/>
          <w:lang w:val="fr-CA"/>
        </w:rPr>
        <w:t> </w:t>
      </w:r>
      <w:r w:rsidRPr="00BD22C2">
        <w:rPr>
          <w:rFonts w:ascii="Arial" w:hAnsi="Arial" w:cs="Arial"/>
          <w:sz w:val="18"/>
          <w:szCs w:val="18"/>
          <w:lang w:val="fr-CA"/>
        </w:rPr>
        <w:t>112</w:t>
      </w:r>
      <w:r w:rsidR="004F36F8">
        <w:rPr>
          <w:rFonts w:ascii="Arial" w:hAnsi="Arial" w:cs="Arial"/>
          <w:sz w:val="18"/>
          <w:szCs w:val="18"/>
          <w:lang w:val="fr-CA"/>
        </w:rPr>
        <w:t xml:space="preserve"> à </w:t>
      </w:r>
      <w:r w:rsidRPr="00BD22C2">
        <w:rPr>
          <w:rFonts w:ascii="Arial" w:hAnsi="Arial" w:cs="Arial"/>
          <w:sz w:val="18"/>
          <w:szCs w:val="18"/>
          <w:lang w:val="fr-CA"/>
        </w:rPr>
        <w:t>149</w:t>
      </w:r>
      <w:r w:rsidR="000D07E1" w:rsidRPr="00BD22C2">
        <w:rPr>
          <w:rFonts w:ascii="Arial" w:hAnsi="Arial" w:cs="Arial"/>
          <w:sz w:val="18"/>
          <w:szCs w:val="18"/>
          <w:lang w:val="fr-CA"/>
        </w:rPr>
        <w:t>, [En ligne].</w:t>
      </w:r>
      <w:r w:rsidRPr="00BD22C2">
        <w:rPr>
          <w:rFonts w:ascii="Arial" w:hAnsi="Arial" w:cs="Arial"/>
          <w:sz w:val="18"/>
          <w:szCs w:val="18"/>
          <w:lang w:val="fr-CA"/>
        </w:rPr>
        <w:t xml:space="preserve"> </w:t>
      </w:r>
      <w:hyperlink r:id="rId55" w:history="1">
        <w:r w:rsidRPr="0085310E">
          <w:rPr>
            <w:rStyle w:val="Lienhypertexte"/>
            <w:rFonts w:ascii="Arial" w:hAnsi="Arial" w:cs="Arial"/>
            <w:sz w:val="18"/>
            <w:szCs w:val="18"/>
          </w:rPr>
          <w:t>https://www.erudit.org/en/journals/ref/2011-v17-n1-ref1812734/1005235ar/abstract/</w:t>
        </w:r>
      </w:hyperlink>
      <w:r w:rsidRPr="0085310E">
        <w:rPr>
          <w:rFonts w:ascii="Arial" w:hAnsi="Arial" w:cs="Arial"/>
          <w:sz w:val="18"/>
          <w:szCs w:val="18"/>
        </w:rPr>
        <w:t xml:space="preserve"> </w:t>
      </w:r>
    </w:p>
  </w:endnote>
  <w:endnote w:id="68">
    <w:p w14:paraId="79B4BA0C" w14:textId="5ADF44CB" w:rsidR="00DA1488" w:rsidRPr="00BD22C2" w:rsidRDefault="00DA1488" w:rsidP="00707395">
      <w:pPr>
        <w:pStyle w:val="Notedebasdepage"/>
        <w:rPr>
          <w:lang w:val="fr-CA"/>
        </w:rPr>
      </w:pPr>
      <w:r w:rsidRPr="00BD22C2">
        <w:rPr>
          <w:rStyle w:val="Appeldenotedefin"/>
          <w:lang w:val="fr-CA"/>
        </w:rPr>
        <w:endnoteRef/>
      </w:r>
      <w:r w:rsidRPr="00BD22C2">
        <w:rPr>
          <w:lang w:val="fr-CA"/>
        </w:rPr>
        <w:t xml:space="preserve"> </w:t>
      </w:r>
      <w:r w:rsidRPr="00BD22C2">
        <w:rPr>
          <w:lang w:val="fr-CA"/>
        </w:rPr>
        <w:tab/>
        <w:t xml:space="preserve">Arnaud </w:t>
      </w:r>
      <w:r w:rsidRPr="00BD22C2">
        <w:rPr>
          <w:smallCaps/>
          <w:lang w:val="fr-CA"/>
        </w:rPr>
        <w:t xml:space="preserve">Alessandrin, </w:t>
      </w:r>
      <w:r w:rsidRPr="00BD22C2">
        <w:rPr>
          <w:i/>
          <w:lang w:val="fr-CA"/>
        </w:rPr>
        <w:t>Sociologie des transidentités</w:t>
      </w:r>
      <w:r w:rsidRPr="00BD22C2">
        <w:rPr>
          <w:lang w:val="fr-CA"/>
        </w:rPr>
        <w:t>, 2</w:t>
      </w:r>
      <w:r w:rsidRPr="00BD22C2">
        <w:rPr>
          <w:vertAlign w:val="superscript"/>
          <w:lang w:val="fr-CA"/>
        </w:rPr>
        <w:t>e</w:t>
      </w:r>
      <w:r w:rsidR="00B32B61">
        <w:rPr>
          <w:lang w:val="fr-CA"/>
        </w:rPr>
        <w:t> </w:t>
      </w:r>
      <w:r w:rsidRPr="00BD22C2">
        <w:rPr>
          <w:lang w:val="fr-CA"/>
        </w:rPr>
        <w:t>éd., Éditions Le Cavalier Bleu, 2023, p.</w:t>
      </w:r>
      <w:r w:rsidR="0091080B">
        <w:rPr>
          <w:lang w:val="fr-CA"/>
        </w:rPr>
        <w:t> </w:t>
      </w:r>
      <w:r w:rsidRPr="00BD22C2">
        <w:rPr>
          <w:lang w:val="fr-CA"/>
        </w:rPr>
        <w:t>21 et suiv.</w:t>
      </w:r>
    </w:p>
  </w:endnote>
  <w:endnote w:id="69">
    <w:p w14:paraId="1B52C670" w14:textId="57D43653" w:rsidR="00DA1488" w:rsidRPr="00BD22C2" w:rsidRDefault="00DA1488" w:rsidP="00707395">
      <w:pPr>
        <w:pStyle w:val="Notedebasdepage"/>
        <w:rPr>
          <w:lang w:val="fr-CA"/>
        </w:rPr>
      </w:pPr>
      <w:r w:rsidRPr="00BD22C2">
        <w:rPr>
          <w:rStyle w:val="Appeldenotedefin"/>
          <w:lang w:val="fr-CA"/>
        </w:rPr>
        <w:endnoteRef/>
      </w:r>
      <w:r w:rsidRPr="00BD22C2">
        <w:rPr>
          <w:lang w:val="fr-CA"/>
        </w:rPr>
        <w:t xml:space="preserve"> </w:t>
      </w:r>
      <w:r w:rsidRPr="00BD22C2">
        <w:rPr>
          <w:lang w:val="fr-CA"/>
        </w:rPr>
        <w:tab/>
      </w:r>
      <w:r w:rsidRPr="00BD22C2">
        <w:rPr>
          <w:smallCaps/>
          <w:lang w:val="fr-CA"/>
        </w:rPr>
        <w:t>Gouvernement du Canada</w:t>
      </w:r>
      <w:r w:rsidRPr="00BD22C2">
        <w:rPr>
          <w:lang w:val="fr-CA"/>
        </w:rPr>
        <w:t>, «</w:t>
      </w:r>
      <w:r w:rsidR="00444FEB">
        <w:rPr>
          <w:lang w:val="fr-CA"/>
        </w:rPr>
        <w:t> </w:t>
      </w:r>
      <w:r w:rsidRPr="00BD22C2">
        <w:rPr>
          <w:lang w:val="fr-CA"/>
        </w:rPr>
        <w:t>Terminologie</w:t>
      </w:r>
      <w:r w:rsidR="008B4522">
        <w:rPr>
          <w:lang w:val="fr-CA"/>
        </w:rPr>
        <w:t> </w:t>
      </w:r>
      <w:r w:rsidRPr="00BD22C2">
        <w:rPr>
          <w:lang w:val="fr-CA"/>
        </w:rPr>
        <w:t>2ELGBTQI+ – Glossaire et acronymes fréquents</w:t>
      </w:r>
      <w:r w:rsidR="00444FEB">
        <w:rPr>
          <w:lang w:val="fr-CA"/>
        </w:rPr>
        <w:t> </w:t>
      </w:r>
      <w:r w:rsidRPr="00BD22C2">
        <w:rPr>
          <w:lang w:val="fr-CA"/>
        </w:rPr>
        <w:t xml:space="preserve">», 2022, [En ligne]. </w:t>
      </w:r>
      <w:hyperlink r:id="rId56" w:history="1">
        <w:r w:rsidRPr="00BD22C2">
          <w:rPr>
            <w:rStyle w:val="Lienhypertexte"/>
            <w:lang w:val="fr-CA"/>
          </w:rPr>
          <w:t>https://www.canada.ca/fr/femmes-egalite-genres/sois-toi-meme/glossaire-2elgbtqi-plus.html</w:t>
        </w:r>
      </w:hyperlink>
      <w:r w:rsidRPr="00BD22C2">
        <w:rPr>
          <w:lang w:val="fr-CA"/>
        </w:rPr>
        <w:t xml:space="preserve"> </w:t>
      </w:r>
    </w:p>
  </w:endnote>
  <w:endnote w:id="70">
    <w:p w14:paraId="076B5648" w14:textId="1FA94D77" w:rsidR="00DA1488" w:rsidRPr="00BD22C2" w:rsidRDefault="00DA1488" w:rsidP="00707395">
      <w:pPr>
        <w:pStyle w:val="Notedebasdepage"/>
        <w:rPr>
          <w:lang w:val="fr-CA"/>
        </w:rPr>
      </w:pPr>
      <w:r w:rsidRPr="00BD22C2">
        <w:rPr>
          <w:rStyle w:val="Appeldenotedefin"/>
          <w:lang w:val="fr-CA"/>
        </w:rPr>
        <w:endnoteRef/>
      </w:r>
      <w:r w:rsidRPr="00BD22C2">
        <w:rPr>
          <w:lang w:val="fr-CA"/>
        </w:rPr>
        <w:t xml:space="preserve"> </w:t>
      </w:r>
      <w:r w:rsidRPr="00BD22C2">
        <w:rPr>
          <w:lang w:val="fr-CA"/>
        </w:rPr>
        <w:tab/>
      </w:r>
      <w:r w:rsidR="00886FD0">
        <w:rPr>
          <w:lang w:val="fr-CA"/>
        </w:rPr>
        <w:t>A</w:t>
      </w:r>
      <w:r w:rsidR="00D6317C">
        <w:rPr>
          <w:lang w:val="fr-CA"/>
        </w:rPr>
        <w:t>.</w:t>
      </w:r>
      <w:r w:rsidR="006305FE">
        <w:rPr>
          <w:lang w:val="fr-CA"/>
        </w:rPr>
        <w:t> </w:t>
      </w:r>
      <w:r w:rsidRPr="00BD22C2">
        <w:rPr>
          <w:smallCaps/>
          <w:lang w:val="fr-CA"/>
        </w:rPr>
        <w:t xml:space="preserve">Alessandrin, </w:t>
      </w:r>
      <w:r w:rsidR="00BF727A" w:rsidRPr="00BD22C2">
        <w:rPr>
          <w:iCs/>
          <w:lang w:val="fr-CA"/>
        </w:rPr>
        <w:t xml:space="preserve">préc., note </w:t>
      </w:r>
      <w:r w:rsidR="00DB07F0" w:rsidRPr="00BD22C2">
        <w:rPr>
          <w:iCs/>
          <w:lang w:val="fr-CA"/>
        </w:rPr>
        <w:fldChar w:fldCharType="begin"/>
      </w:r>
      <w:r w:rsidR="00DB07F0" w:rsidRPr="00BD22C2">
        <w:rPr>
          <w:iCs/>
          <w:lang w:val="fr-CA"/>
        </w:rPr>
        <w:instrText xml:space="preserve"> NOTEREF _Ref167270520 \h </w:instrText>
      </w:r>
      <w:r w:rsidR="00DB07F0" w:rsidRPr="00BD22C2">
        <w:rPr>
          <w:iCs/>
          <w:lang w:val="fr-CA"/>
        </w:rPr>
      </w:r>
      <w:r w:rsidR="00DB07F0" w:rsidRPr="00BD22C2">
        <w:rPr>
          <w:iCs/>
          <w:lang w:val="fr-CA"/>
        </w:rPr>
        <w:fldChar w:fldCharType="separate"/>
      </w:r>
      <w:r w:rsidR="004B4881">
        <w:rPr>
          <w:iCs/>
          <w:lang w:val="fr-CA"/>
        </w:rPr>
        <w:t>67</w:t>
      </w:r>
      <w:r w:rsidR="00DB07F0" w:rsidRPr="00BD22C2">
        <w:rPr>
          <w:iCs/>
          <w:lang w:val="fr-CA"/>
        </w:rPr>
        <w:fldChar w:fldCharType="end"/>
      </w:r>
      <w:r w:rsidR="00DB07F0" w:rsidRPr="00BD22C2">
        <w:rPr>
          <w:iCs/>
          <w:lang w:val="fr-CA"/>
        </w:rPr>
        <w:t>.</w:t>
      </w:r>
    </w:p>
  </w:endnote>
  <w:endnote w:id="71">
    <w:p w14:paraId="37D39763" w14:textId="4C9D09C1" w:rsidR="00DA1488" w:rsidRPr="00BD22C2" w:rsidRDefault="00DA1488" w:rsidP="00707395">
      <w:pPr>
        <w:pStyle w:val="Notedebasdepage"/>
        <w:rPr>
          <w:lang w:val="fr-CA"/>
        </w:rPr>
      </w:pPr>
      <w:r w:rsidRPr="00BD22C2">
        <w:rPr>
          <w:rStyle w:val="Appeldenotedefin"/>
          <w:lang w:val="fr-CA"/>
        </w:rPr>
        <w:endnoteRef/>
      </w:r>
      <w:r w:rsidRPr="00BD22C2">
        <w:rPr>
          <w:lang w:val="fr-CA"/>
        </w:rPr>
        <w:t xml:space="preserve"> </w:t>
      </w:r>
      <w:r w:rsidRPr="00BD22C2">
        <w:rPr>
          <w:lang w:val="fr-CA"/>
        </w:rPr>
        <w:tab/>
      </w:r>
      <w:r w:rsidR="00BB2611" w:rsidRPr="00BD22C2">
        <w:rPr>
          <w:lang w:val="fr-CA"/>
        </w:rPr>
        <w:t xml:space="preserve">Lou </w:t>
      </w:r>
      <w:r w:rsidRPr="00BD22C2">
        <w:rPr>
          <w:smallCaps/>
          <w:lang w:val="fr-CA"/>
        </w:rPr>
        <w:t>Tajeddine</w:t>
      </w:r>
      <w:r w:rsidRPr="00BD22C2">
        <w:rPr>
          <w:lang w:val="fr-CA"/>
        </w:rPr>
        <w:t xml:space="preserve"> et L</w:t>
      </w:r>
      <w:r w:rsidR="00CF4A87" w:rsidRPr="00BD22C2">
        <w:rPr>
          <w:lang w:val="fr-CA"/>
        </w:rPr>
        <w:t>oïs</w:t>
      </w:r>
      <w:r w:rsidRPr="00BD22C2">
        <w:rPr>
          <w:lang w:val="fr-CA"/>
        </w:rPr>
        <w:t xml:space="preserve"> </w:t>
      </w:r>
      <w:r w:rsidRPr="00BD22C2">
        <w:rPr>
          <w:smallCaps/>
          <w:lang w:val="fr-CA"/>
        </w:rPr>
        <w:t>Crémier</w:t>
      </w:r>
      <w:r w:rsidRPr="00BD22C2">
        <w:rPr>
          <w:lang w:val="fr-CA"/>
        </w:rPr>
        <w:t xml:space="preserve">. </w:t>
      </w:r>
      <w:r w:rsidRPr="00BD22C2">
        <w:rPr>
          <w:i/>
          <w:lang w:val="fr-CA"/>
        </w:rPr>
        <w:t>Mieux nommer et mieux comprendre : changer de regard sur les enjeux trans et les réalités de la diversité sexuelle et de genre</w:t>
      </w:r>
      <w:r w:rsidRPr="00BD22C2">
        <w:rPr>
          <w:lang w:val="fr-CA"/>
        </w:rPr>
        <w:t>, Conseil québécois LGBT, 2021, p.</w:t>
      </w:r>
      <w:r w:rsidR="0091080B">
        <w:rPr>
          <w:lang w:val="fr-CA"/>
        </w:rPr>
        <w:t> </w:t>
      </w:r>
      <w:r w:rsidRPr="00BD22C2">
        <w:rPr>
          <w:lang w:val="fr-CA"/>
        </w:rPr>
        <w:t>26</w:t>
      </w:r>
      <w:r w:rsidR="00430657" w:rsidRPr="00BD22C2">
        <w:rPr>
          <w:lang w:val="fr-CA"/>
        </w:rPr>
        <w:t>, [En ligne]</w:t>
      </w:r>
      <w:r w:rsidR="00A0754C" w:rsidRPr="00BD22C2">
        <w:rPr>
          <w:lang w:val="fr-CA"/>
        </w:rPr>
        <w:t xml:space="preserve">. </w:t>
      </w:r>
      <w:hyperlink r:id="rId57" w:history="1">
        <w:r w:rsidR="008A4406" w:rsidRPr="00BD22C2">
          <w:rPr>
            <w:rStyle w:val="Lienhypertexte"/>
            <w:lang w:val="fr-CA"/>
          </w:rPr>
          <w:t>https://conseil-lgbt.ca/wp-content/uploads/2023/05/Tajeddine-et-Cremier-CQLGBT-2021-Enjeux-trans-diversite-de-genre.pdf</w:t>
        </w:r>
      </w:hyperlink>
      <w:r w:rsidR="008A4406" w:rsidRPr="00BD22C2">
        <w:rPr>
          <w:lang w:val="fr-CA"/>
        </w:rPr>
        <w:t xml:space="preserve"> </w:t>
      </w:r>
    </w:p>
  </w:endnote>
  <w:endnote w:id="72">
    <w:p w14:paraId="0DAC3B23" w14:textId="793133F5" w:rsidR="00DA1488" w:rsidRPr="00BD22C2" w:rsidRDefault="00DA1488" w:rsidP="00707395">
      <w:pPr>
        <w:pStyle w:val="Notedebasdepage"/>
        <w:rPr>
          <w:lang w:val="fr-CA"/>
        </w:rPr>
      </w:pPr>
      <w:r w:rsidRPr="00BD22C2">
        <w:rPr>
          <w:rStyle w:val="Appeldenotedefin"/>
          <w:lang w:val="fr-CA"/>
        </w:rPr>
        <w:endnoteRef/>
      </w:r>
      <w:r w:rsidRPr="001C283B">
        <w:rPr>
          <w:lang w:val="en-CA"/>
        </w:rPr>
        <w:t xml:space="preserve"> </w:t>
      </w:r>
      <w:r w:rsidRPr="001C283B">
        <w:rPr>
          <w:lang w:val="en-CA"/>
        </w:rPr>
        <w:tab/>
      </w:r>
      <w:r w:rsidR="00DE7DA6" w:rsidRPr="001C283B">
        <w:rPr>
          <w:i/>
          <w:lang w:val="en-CA"/>
        </w:rPr>
        <w:t>I</w:t>
      </w:r>
      <w:r w:rsidR="00E149B1" w:rsidRPr="001C283B">
        <w:rPr>
          <w:i/>
          <w:lang w:val="en-CA"/>
        </w:rPr>
        <w:t>d</w:t>
      </w:r>
      <w:r w:rsidR="00E149B1" w:rsidRPr="001C283B">
        <w:rPr>
          <w:lang w:val="en-CA"/>
        </w:rPr>
        <w:t xml:space="preserve">. ; </w:t>
      </w:r>
      <w:r w:rsidRPr="001C283B">
        <w:rPr>
          <w:lang w:val="en-CA"/>
        </w:rPr>
        <w:t xml:space="preserve">Kristen </w:t>
      </w:r>
      <w:r w:rsidRPr="001C283B">
        <w:rPr>
          <w:smallCaps/>
          <w:lang w:val="en-CA"/>
        </w:rPr>
        <w:t xml:space="preserve">Schilt </w:t>
      </w:r>
      <w:r w:rsidRPr="001C283B">
        <w:rPr>
          <w:lang w:val="en-CA"/>
        </w:rPr>
        <w:t xml:space="preserve">et Danya </w:t>
      </w:r>
      <w:r w:rsidRPr="001C283B">
        <w:rPr>
          <w:smallCaps/>
          <w:lang w:val="en-CA"/>
        </w:rPr>
        <w:t>Lagos</w:t>
      </w:r>
      <w:r w:rsidRPr="001C283B">
        <w:rPr>
          <w:lang w:val="en-CA"/>
        </w:rPr>
        <w:t xml:space="preserve">, « The Development of Transgender Studies in Sociology », </w:t>
      </w:r>
      <w:r w:rsidRPr="001C283B">
        <w:rPr>
          <w:i/>
          <w:lang w:val="en-CA"/>
        </w:rPr>
        <w:t>Annual Review of Sociology</w:t>
      </w:r>
      <w:r w:rsidRPr="001C283B">
        <w:rPr>
          <w:lang w:val="en-CA"/>
        </w:rPr>
        <w:t xml:space="preserve">, 2017, vol. 43, p. 425, à la p. 427, [En ligne]. </w:t>
      </w:r>
      <w:r>
        <w:fldChar w:fldCharType="begin"/>
      </w:r>
      <w:r w:rsidRPr="003E3312">
        <w:rPr>
          <w:lang w:val="en-CA"/>
        </w:rPr>
        <w:instrText>HYPERLINK "https://doi.org/10.1146/annurev-soc-060116-053348"</w:instrText>
      </w:r>
      <w:r>
        <w:fldChar w:fldCharType="separate"/>
      </w:r>
      <w:r w:rsidRPr="00BD22C2">
        <w:rPr>
          <w:rStyle w:val="Lienhypertexte"/>
          <w:lang w:val="fr-CA"/>
        </w:rPr>
        <w:t>https://doi.org/10.1146/annurev-soc-060116-053348</w:t>
      </w:r>
      <w:r>
        <w:rPr>
          <w:rStyle w:val="Lienhypertexte"/>
          <w:lang w:val="fr-CA"/>
        </w:rPr>
        <w:fldChar w:fldCharType="end"/>
      </w:r>
      <w:r w:rsidRPr="00BD22C2">
        <w:rPr>
          <w:lang w:val="fr-CA"/>
        </w:rPr>
        <w:t xml:space="preserve"> </w:t>
      </w:r>
    </w:p>
  </w:endnote>
  <w:endnote w:id="73">
    <w:p w14:paraId="5083C6AA" w14:textId="648229D4" w:rsidR="006637BD" w:rsidRPr="0085310E" w:rsidRDefault="006637BD" w:rsidP="00B36D7C">
      <w:pPr>
        <w:pStyle w:val="Notedefin"/>
        <w:tabs>
          <w:tab w:val="left" w:pos="709"/>
        </w:tabs>
        <w:spacing w:after="120" w:line="240" w:lineRule="auto"/>
        <w:ind w:left="709" w:hanging="709"/>
        <w:rPr>
          <w:rFonts w:ascii="Arial" w:hAnsi="Arial" w:cs="Arial"/>
          <w:b/>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Statistique Canada</w:t>
      </w:r>
      <w:r w:rsidRPr="00BD22C2">
        <w:rPr>
          <w:rFonts w:ascii="Arial" w:hAnsi="Arial" w:cs="Arial"/>
          <w:sz w:val="18"/>
          <w:szCs w:val="18"/>
          <w:lang w:val="fr-CA"/>
        </w:rPr>
        <w:t xml:space="preserve">, </w:t>
      </w:r>
      <w:r w:rsidRPr="00BD22C2">
        <w:rPr>
          <w:rFonts w:ascii="Arial" w:hAnsi="Arial" w:cs="Arial"/>
          <w:i/>
          <w:sz w:val="18"/>
          <w:szCs w:val="18"/>
          <w:lang w:val="fr-CA"/>
        </w:rPr>
        <w:t>Le Canada est le premier pays à produire des données sur les personnes transgenres et les personnes non binaires à l</w:t>
      </w:r>
      <w:r w:rsidR="003B361F" w:rsidRPr="00BD22C2">
        <w:rPr>
          <w:rFonts w:ascii="Arial" w:hAnsi="Arial" w:cs="Arial"/>
          <w:i/>
          <w:sz w:val="18"/>
          <w:szCs w:val="18"/>
          <w:lang w:val="fr-CA"/>
        </w:rPr>
        <w:t>’</w:t>
      </w:r>
      <w:r w:rsidRPr="00BD22C2">
        <w:rPr>
          <w:rFonts w:ascii="Arial" w:hAnsi="Arial" w:cs="Arial"/>
          <w:i/>
          <w:sz w:val="18"/>
          <w:szCs w:val="18"/>
          <w:lang w:val="fr-CA"/>
        </w:rPr>
        <w:t>aide du recensement</w:t>
      </w:r>
      <w:r w:rsidRPr="00BD22C2">
        <w:rPr>
          <w:rFonts w:ascii="Arial" w:hAnsi="Arial" w:cs="Arial"/>
          <w:sz w:val="18"/>
          <w:szCs w:val="18"/>
          <w:lang w:val="fr-CA"/>
        </w:rPr>
        <w:t>, 27</w:t>
      </w:r>
      <w:r w:rsidR="00762FE8">
        <w:rPr>
          <w:rFonts w:ascii="Arial" w:hAnsi="Arial" w:cs="Arial"/>
          <w:sz w:val="18"/>
          <w:szCs w:val="18"/>
          <w:lang w:val="fr-CA"/>
        </w:rPr>
        <w:t> </w:t>
      </w:r>
      <w:r w:rsidRPr="00BD22C2">
        <w:rPr>
          <w:rFonts w:ascii="Arial" w:hAnsi="Arial" w:cs="Arial"/>
          <w:sz w:val="18"/>
          <w:szCs w:val="18"/>
          <w:lang w:val="fr-CA"/>
        </w:rPr>
        <w:t xml:space="preserve">avril 2022, [En ligne]. </w:t>
      </w:r>
      <w:hyperlink r:id="rId58" w:history="1">
        <w:r w:rsidRPr="0085310E">
          <w:rPr>
            <w:rStyle w:val="Lienhypertexte"/>
            <w:rFonts w:ascii="Arial" w:hAnsi="Arial" w:cs="Arial"/>
            <w:sz w:val="18"/>
            <w:szCs w:val="18"/>
          </w:rPr>
          <w:t>https://www150.statcan.gc.ca/n1/daily-quotidien/220427/dq220427b-fra.htm</w:t>
        </w:r>
      </w:hyperlink>
      <w:r w:rsidRPr="0085310E">
        <w:rPr>
          <w:rFonts w:ascii="Arial" w:hAnsi="Arial" w:cs="Arial"/>
          <w:sz w:val="18"/>
          <w:szCs w:val="18"/>
        </w:rPr>
        <w:t xml:space="preserve"> </w:t>
      </w:r>
    </w:p>
  </w:endnote>
  <w:endnote w:id="74">
    <w:p w14:paraId="6A694FFB" w14:textId="37928916" w:rsidR="006637BD" w:rsidRPr="00E16C03" w:rsidRDefault="006637BD"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Enquête nationale sur les femmes et les filles autochtones disparues et assassinées</w:t>
      </w:r>
      <w:r w:rsidRPr="00BD22C2">
        <w:rPr>
          <w:rFonts w:ascii="Arial" w:hAnsi="Arial" w:cs="Arial"/>
          <w:sz w:val="18"/>
          <w:szCs w:val="18"/>
          <w:lang w:val="fr-CA"/>
        </w:rPr>
        <w:t xml:space="preserve">, </w:t>
      </w:r>
      <w:r w:rsidRPr="00BD22C2">
        <w:rPr>
          <w:rFonts w:ascii="Arial" w:hAnsi="Arial" w:cs="Arial"/>
          <w:i/>
          <w:sz w:val="18"/>
          <w:szCs w:val="18"/>
          <w:lang w:val="fr-CA"/>
        </w:rPr>
        <w:t>Réclamer notre pouvoir et notre place</w:t>
      </w:r>
      <w:r w:rsidR="00E8063A" w:rsidRPr="00BD22C2">
        <w:rPr>
          <w:rFonts w:ascii="Arial" w:hAnsi="Arial" w:cs="Arial"/>
          <w:i/>
          <w:sz w:val="18"/>
          <w:szCs w:val="18"/>
          <w:lang w:val="fr-CA"/>
        </w:rPr>
        <w:t> </w:t>
      </w:r>
      <w:r w:rsidRPr="00BD22C2">
        <w:rPr>
          <w:rFonts w:ascii="Arial" w:hAnsi="Arial" w:cs="Arial"/>
          <w:i/>
          <w:sz w:val="18"/>
          <w:szCs w:val="18"/>
          <w:lang w:val="fr-CA"/>
        </w:rPr>
        <w:t>: le rapport final de l’Enquête nationale sur les femmes et les filles autochtones disparus et assassinées, volume</w:t>
      </w:r>
      <w:r w:rsidR="008B4522">
        <w:rPr>
          <w:rFonts w:ascii="Arial" w:hAnsi="Arial" w:cs="Arial"/>
          <w:i/>
          <w:sz w:val="18"/>
          <w:szCs w:val="18"/>
          <w:lang w:val="fr-CA"/>
        </w:rPr>
        <w:t> </w:t>
      </w:r>
      <w:r w:rsidR="00902768" w:rsidRPr="00BD22C2">
        <w:rPr>
          <w:rFonts w:ascii="Arial" w:hAnsi="Arial" w:cs="Arial"/>
          <w:i/>
          <w:sz w:val="18"/>
          <w:szCs w:val="18"/>
          <w:lang w:val="fr-CA"/>
        </w:rPr>
        <w:t>1a</w:t>
      </w:r>
      <w:r w:rsidRPr="00BD22C2">
        <w:rPr>
          <w:rFonts w:ascii="Arial" w:hAnsi="Arial" w:cs="Arial"/>
          <w:sz w:val="18"/>
          <w:szCs w:val="18"/>
          <w:lang w:val="fr-CA"/>
        </w:rPr>
        <w:t>, 2019, p.</w:t>
      </w:r>
      <w:r w:rsidR="00CC76DE" w:rsidRPr="00BD22C2">
        <w:rPr>
          <w:rFonts w:ascii="Arial" w:hAnsi="Arial" w:cs="Arial"/>
          <w:sz w:val="18"/>
          <w:szCs w:val="18"/>
          <w:lang w:val="fr-CA"/>
        </w:rPr>
        <w:t> </w:t>
      </w:r>
      <w:r w:rsidRPr="00BD22C2">
        <w:rPr>
          <w:rFonts w:ascii="Arial" w:hAnsi="Arial" w:cs="Arial"/>
          <w:sz w:val="18"/>
          <w:szCs w:val="18"/>
          <w:lang w:val="fr-CA"/>
        </w:rPr>
        <w:t>187</w:t>
      </w:r>
      <w:r w:rsidR="000D07E1" w:rsidRPr="00BD22C2">
        <w:rPr>
          <w:rFonts w:ascii="Arial" w:hAnsi="Arial" w:cs="Arial"/>
          <w:sz w:val="18"/>
          <w:szCs w:val="18"/>
          <w:lang w:val="fr-CA"/>
        </w:rPr>
        <w:t xml:space="preserve"> à </w:t>
      </w:r>
      <w:r w:rsidRPr="00BD22C2">
        <w:rPr>
          <w:rFonts w:ascii="Arial" w:hAnsi="Arial" w:cs="Arial"/>
          <w:sz w:val="18"/>
          <w:szCs w:val="18"/>
          <w:lang w:val="fr-CA"/>
        </w:rPr>
        <w:t>190</w:t>
      </w:r>
      <w:r w:rsidR="008B7315" w:rsidRPr="00BD22C2">
        <w:rPr>
          <w:rFonts w:ascii="Arial" w:hAnsi="Arial" w:cs="Arial"/>
          <w:sz w:val="18"/>
          <w:szCs w:val="18"/>
          <w:lang w:val="fr-CA"/>
        </w:rPr>
        <w:t>,</w:t>
      </w:r>
      <w:r w:rsidRPr="00BD22C2">
        <w:rPr>
          <w:rFonts w:ascii="Arial" w:hAnsi="Arial" w:cs="Arial"/>
          <w:sz w:val="18"/>
          <w:szCs w:val="18"/>
          <w:lang w:val="fr-CA"/>
        </w:rPr>
        <w:t xml:space="preserve"> [En ligne]. </w:t>
      </w:r>
      <w:hyperlink r:id="rId59" w:history="1">
        <w:r w:rsidRPr="00E16C03">
          <w:rPr>
            <w:rStyle w:val="Lienhypertexte"/>
            <w:rFonts w:ascii="Arial" w:hAnsi="Arial" w:cs="Arial"/>
            <w:sz w:val="18"/>
            <w:szCs w:val="18"/>
            <w:lang w:val="en-CA"/>
          </w:rPr>
          <w:t>https://www.mmiwg-ffada.ca/fr/final-report/</w:t>
        </w:r>
      </w:hyperlink>
      <w:r w:rsidRPr="00E16C03">
        <w:rPr>
          <w:rFonts w:ascii="Arial" w:hAnsi="Arial" w:cs="Arial"/>
          <w:sz w:val="18"/>
          <w:szCs w:val="18"/>
          <w:lang w:val="en-CA"/>
        </w:rPr>
        <w:t xml:space="preserve"> </w:t>
      </w:r>
      <w:r w:rsidR="009D1D29" w:rsidRPr="00E16C03">
        <w:rPr>
          <w:rFonts w:ascii="Arial" w:hAnsi="Arial" w:cs="Arial"/>
          <w:sz w:val="18"/>
          <w:szCs w:val="18"/>
          <w:lang w:val="en-CA"/>
        </w:rPr>
        <w:t xml:space="preserve"> </w:t>
      </w:r>
    </w:p>
  </w:endnote>
  <w:endnote w:id="75">
    <w:p w14:paraId="652E436C" w14:textId="1A939D1D"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Kritika </w:t>
      </w:r>
      <w:r w:rsidRPr="00E16C03">
        <w:rPr>
          <w:rFonts w:ascii="Arial" w:hAnsi="Arial" w:cs="Arial"/>
          <w:smallCaps/>
          <w:sz w:val="18"/>
          <w:szCs w:val="18"/>
          <w:lang w:val="en-CA"/>
        </w:rPr>
        <w:t>Agarwal</w:t>
      </w:r>
      <w:r w:rsidRPr="00E16C03">
        <w:rPr>
          <w:rFonts w:ascii="Arial" w:hAnsi="Arial" w:cs="Arial"/>
          <w:sz w:val="18"/>
          <w:szCs w:val="18"/>
          <w:lang w:val="en-CA"/>
        </w:rPr>
        <w:t>, «</w:t>
      </w:r>
      <w:r w:rsidR="0056005D" w:rsidRPr="00E16C03">
        <w:rPr>
          <w:rFonts w:ascii="Arial" w:hAnsi="Arial" w:cs="Arial"/>
          <w:sz w:val="18"/>
          <w:szCs w:val="18"/>
          <w:lang w:val="en-CA"/>
        </w:rPr>
        <w:t> </w:t>
      </w:r>
      <w:r w:rsidRPr="00E16C03">
        <w:rPr>
          <w:rFonts w:ascii="Arial" w:hAnsi="Arial" w:cs="Arial"/>
          <w:sz w:val="18"/>
          <w:szCs w:val="18"/>
          <w:lang w:val="en-CA"/>
        </w:rPr>
        <w:t xml:space="preserve">What is trans history? From activist and academic roots, a field takes shape », </w:t>
      </w:r>
      <w:r w:rsidRPr="00E16C03">
        <w:rPr>
          <w:rFonts w:ascii="Arial" w:hAnsi="Arial" w:cs="Arial"/>
          <w:i/>
          <w:sz w:val="18"/>
          <w:szCs w:val="18"/>
          <w:lang w:val="en-CA"/>
        </w:rPr>
        <w:t>Perspectives on history: The magazine of the American Historical Association</w:t>
      </w:r>
      <w:r w:rsidRPr="00E16C03">
        <w:rPr>
          <w:rFonts w:ascii="Arial" w:hAnsi="Arial" w:cs="Arial"/>
          <w:sz w:val="18"/>
          <w:szCs w:val="18"/>
          <w:lang w:val="en-CA"/>
        </w:rPr>
        <w:t xml:space="preserve">, 2018, [En ligne]. </w:t>
      </w:r>
      <w:hyperlink r:id="rId60" w:history="1">
        <w:r w:rsidRPr="00BD22C2">
          <w:rPr>
            <w:rStyle w:val="Lienhypertexte"/>
            <w:rFonts w:ascii="Arial" w:hAnsi="Arial" w:cs="Arial"/>
            <w:sz w:val="18"/>
            <w:szCs w:val="18"/>
            <w:lang w:val="fr-CA"/>
          </w:rPr>
          <w:t>https://www.historians.org/research-and-publications/perspectives-on-history/may-2018/what-is-trans-history-from-activist-and-academic-roots-a-field-takes-shape</w:t>
        </w:r>
      </w:hyperlink>
      <w:r w:rsidRPr="00BD22C2">
        <w:rPr>
          <w:rFonts w:ascii="Arial" w:hAnsi="Arial" w:cs="Arial"/>
          <w:sz w:val="18"/>
          <w:szCs w:val="18"/>
          <w:lang w:val="fr-CA"/>
        </w:rPr>
        <w:t xml:space="preserve"> Des archives en ligne rassemblent aussi une grande variété de sources mettant de l’avant le point de vue de personnes trans à travers l’histoire : voir par exemple </w:t>
      </w:r>
      <w:r w:rsidR="00473584" w:rsidRPr="00BD22C2">
        <w:rPr>
          <w:rFonts w:ascii="Arial" w:hAnsi="Arial" w:cs="Arial"/>
          <w:sz w:val="18"/>
          <w:szCs w:val="18"/>
          <w:lang w:val="fr-CA"/>
        </w:rPr>
        <w:t xml:space="preserve">les Archives gaies du Québec, </w:t>
      </w:r>
      <w:hyperlink r:id="rId61" w:history="1">
        <w:r w:rsidR="00E00D5B" w:rsidRPr="00BD22C2">
          <w:rPr>
            <w:rStyle w:val="Lienhypertexte"/>
            <w:rFonts w:ascii="Arial" w:hAnsi="Arial" w:cs="Arial"/>
            <w:sz w:val="18"/>
            <w:szCs w:val="18"/>
            <w:lang w:val="fr-CA"/>
          </w:rPr>
          <w:t>https://agq.qc.ca/</w:t>
        </w:r>
      </w:hyperlink>
      <w:r w:rsidR="00E00D5B" w:rsidRPr="00BD22C2">
        <w:rPr>
          <w:rFonts w:ascii="Arial" w:hAnsi="Arial" w:cs="Arial"/>
          <w:sz w:val="18"/>
          <w:szCs w:val="18"/>
          <w:lang w:val="fr-CA"/>
        </w:rPr>
        <w:t xml:space="preserve">, </w:t>
      </w:r>
      <w:r w:rsidRPr="00BD22C2">
        <w:rPr>
          <w:rFonts w:ascii="Arial" w:hAnsi="Arial" w:cs="Arial"/>
          <w:sz w:val="18"/>
          <w:szCs w:val="18"/>
          <w:lang w:val="fr-CA"/>
        </w:rPr>
        <w:t>The Transgender Archives de l’Université de Victoria</w:t>
      </w:r>
      <w:r w:rsidR="00081078" w:rsidRPr="00BD22C2">
        <w:rPr>
          <w:rFonts w:ascii="Arial" w:hAnsi="Arial" w:cs="Arial"/>
          <w:sz w:val="18"/>
          <w:szCs w:val="18"/>
          <w:lang w:val="fr-CA"/>
        </w:rPr>
        <w:t>,</w:t>
      </w:r>
      <w:r w:rsidRPr="00BD22C2">
        <w:rPr>
          <w:rFonts w:ascii="Arial" w:hAnsi="Arial" w:cs="Arial"/>
          <w:sz w:val="18"/>
          <w:szCs w:val="18"/>
          <w:lang w:val="fr-CA"/>
        </w:rPr>
        <w:t xml:space="preserve"> </w:t>
      </w:r>
      <w:hyperlink r:id="rId62" w:history="1">
        <w:r w:rsidRPr="00BD22C2">
          <w:rPr>
            <w:rStyle w:val="Lienhypertexte"/>
            <w:rFonts w:ascii="Arial" w:hAnsi="Arial" w:cs="Arial"/>
            <w:sz w:val="18"/>
            <w:szCs w:val="18"/>
            <w:lang w:val="fr-CA"/>
          </w:rPr>
          <w:t>https://www.uvic.ca/transgenderarchives/</w:t>
        </w:r>
      </w:hyperlink>
      <w:r w:rsidR="00081078" w:rsidRPr="00BD22C2">
        <w:rPr>
          <w:rStyle w:val="Lienhypertexte"/>
          <w:rFonts w:ascii="Arial" w:hAnsi="Arial" w:cs="Arial"/>
          <w:sz w:val="18"/>
          <w:szCs w:val="18"/>
          <w:lang w:val="fr-CA"/>
        </w:rPr>
        <w:t>,</w:t>
      </w:r>
      <w:r w:rsidRPr="00BD22C2">
        <w:rPr>
          <w:rFonts w:ascii="Arial" w:hAnsi="Arial" w:cs="Arial"/>
          <w:sz w:val="18"/>
          <w:szCs w:val="18"/>
          <w:lang w:val="fr-CA"/>
        </w:rPr>
        <w:t xml:space="preserve"> </w:t>
      </w:r>
      <w:r w:rsidR="00F33A9E" w:rsidRPr="00BD22C2">
        <w:rPr>
          <w:rFonts w:ascii="Arial" w:hAnsi="Arial" w:cs="Arial"/>
          <w:sz w:val="18"/>
          <w:szCs w:val="18"/>
          <w:lang w:val="fr-CA"/>
        </w:rPr>
        <w:t xml:space="preserve">et </w:t>
      </w:r>
      <w:r w:rsidR="002D047C" w:rsidRPr="00BD22C2">
        <w:rPr>
          <w:rFonts w:ascii="Arial" w:hAnsi="Arial" w:cs="Arial"/>
          <w:sz w:val="18"/>
          <w:szCs w:val="18"/>
          <w:lang w:val="fr-CA"/>
        </w:rPr>
        <w:t xml:space="preserve">le </w:t>
      </w:r>
      <w:r w:rsidR="00C25712" w:rsidRPr="00BD22C2">
        <w:rPr>
          <w:rFonts w:ascii="Arial" w:hAnsi="Arial" w:cs="Arial"/>
          <w:sz w:val="18"/>
          <w:szCs w:val="18"/>
          <w:lang w:val="fr-CA"/>
        </w:rPr>
        <w:t xml:space="preserve">projet </w:t>
      </w:r>
      <w:r w:rsidR="002D047C" w:rsidRPr="00BD22C2">
        <w:rPr>
          <w:rFonts w:ascii="Arial" w:hAnsi="Arial" w:cs="Arial"/>
          <w:sz w:val="18"/>
          <w:szCs w:val="18"/>
          <w:lang w:val="fr-CA"/>
        </w:rPr>
        <w:t>Lesbian and Gay</w:t>
      </w:r>
      <w:r w:rsidR="00C25712" w:rsidRPr="00BD22C2">
        <w:rPr>
          <w:rFonts w:ascii="Arial" w:hAnsi="Arial" w:cs="Arial"/>
          <w:sz w:val="18"/>
          <w:szCs w:val="18"/>
          <w:lang w:val="fr-CA"/>
        </w:rPr>
        <w:t xml:space="preserve"> Liberation in Canada (LGLC)</w:t>
      </w:r>
      <w:r w:rsidR="00081078" w:rsidRPr="00BD22C2">
        <w:rPr>
          <w:rFonts w:ascii="Arial" w:hAnsi="Arial" w:cs="Arial"/>
          <w:sz w:val="18"/>
          <w:szCs w:val="18"/>
          <w:lang w:val="fr-CA"/>
        </w:rPr>
        <w:t xml:space="preserve">, </w:t>
      </w:r>
      <w:hyperlink r:id="rId63" w:history="1">
        <w:r w:rsidR="00473584" w:rsidRPr="00BD22C2">
          <w:rPr>
            <w:rStyle w:val="Lienhypertexte"/>
            <w:rFonts w:ascii="Arial" w:hAnsi="Arial" w:cs="Arial"/>
            <w:sz w:val="18"/>
            <w:szCs w:val="18"/>
            <w:lang w:val="fr-CA"/>
          </w:rPr>
          <w:t>https://lglc.ca/</w:t>
        </w:r>
      </w:hyperlink>
      <w:r w:rsidR="00081078" w:rsidRPr="00BD22C2">
        <w:rPr>
          <w:rFonts w:ascii="Arial" w:hAnsi="Arial" w:cs="Arial"/>
          <w:sz w:val="18"/>
          <w:szCs w:val="18"/>
          <w:lang w:val="fr-CA"/>
        </w:rPr>
        <w:t xml:space="preserve"> </w:t>
      </w:r>
    </w:p>
  </w:endnote>
  <w:endnote w:id="76">
    <w:p w14:paraId="3ADD6E03" w14:textId="7711C083" w:rsidR="006637BD" w:rsidRPr="006515B0" w:rsidRDefault="006637BD"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Marie-Pierre</w:t>
      </w:r>
      <w:r w:rsidRPr="00BD22C2">
        <w:rPr>
          <w:rFonts w:ascii="Arial" w:hAnsi="Arial" w:cs="Arial"/>
          <w:smallCaps/>
          <w:sz w:val="18"/>
          <w:szCs w:val="18"/>
          <w:lang w:val="fr-CA"/>
        </w:rPr>
        <w:t xml:space="preserve"> Daigle</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Une perspective canadienne sur le retrait définitif de l’homosexualité du Manuel diagnostique et statistique des troubles mentaux</w:t>
      </w:r>
      <w:r w:rsidR="00E8063A" w:rsidRPr="00BD22C2">
        <w:rPr>
          <w:rFonts w:ascii="Arial" w:hAnsi="Arial" w:cs="Arial"/>
          <w:sz w:val="18"/>
          <w:szCs w:val="18"/>
          <w:lang w:val="fr-CA"/>
        </w:rPr>
        <w:t> </w:t>
      </w:r>
      <w:r w:rsidRPr="00BD22C2">
        <w:rPr>
          <w:rFonts w:ascii="Arial" w:hAnsi="Arial" w:cs="Arial"/>
          <w:sz w:val="18"/>
          <w:szCs w:val="18"/>
          <w:lang w:val="fr-CA"/>
        </w:rPr>
        <w:t>: un entretien avec Pierre Ritchie, Ph.D.</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A81236">
        <w:rPr>
          <w:rFonts w:ascii="Arial" w:hAnsi="Arial" w:cs="Arial"/>
          <w:i/>
          <w:sz w:val="18"/>
          <w:szCs w:val="18"/>
          <w:lang w:val="fr-CA"/>
        </w:rPr>
        <w:t>Revue d’études canadiennes</w:t>
      </w:r>
      <w:r w:rsidRPr="00BD22C2">
        <w:rPr>
          <w:rFonts w:ascii="Arial" w:hAnsi="Arial" w:cs="Arial"/>
          <w:sz w:val="18"/>
          <w:szCs w:val="18"/>
          <w:lang w:val="fr-CA"/>
        </w:rPr>
        <w:t>, vol.</w:t>
      </w:r>
      <w:r w:rsidR="00CC76DE" w:rsidRPr="00BD22C2">
        <w:rPr>
          <w:rFonts w:ascii="Arial" w:hAnsi="Arial" w:cs="Arial"/>
          <w:sz w:val="18"/>
          <w:szCs w:val="18"/>
          <w:lang w:val="fr-CA"/>
        </w:rPr>
        <w:t> </w:t>
      </w:r>
      <w:r w:rsidRPr="00BD22C2">
        <w:rPr>
          <w:rFonts w:ascii="Arial" w:hAnsi="Arial" w:cs="Arial"/>
          <w:sz w:val="18"/>
          <w:szCs w:val="18"/>
          <w:lang w:val="fr-CA"/>
        </w:rPr>
        <w:t>54, n</w:t>
      </w:r>
      <w:r w:rsidRPr="00BD22C2">
        <w:rPr>
          <w:rFonts w:ascii="Arial" w:hAnsi="Arial" w:cs="Arial"/>
          <w:sz w:val="18"/>
          <w:szCs w:val="18"/>
          <w:vertAlign w:val="superscript"/>
          <w:lang w:val="fr-CA"/>
        </w:rPr>
        <w:t>o</w:t>
      </w:r>
      <w:r w:rsidR="00CC76DE" w:rsidRPr="00BD22C2">
        <w:rPr>
          <w:rFonts w:ascii="Arial" w:hAnsi="Arial" w:cs="Arial"/>
          <w:sz w:val="18"/>
          <w:szCs w:val="18"/>
          <w:lang w:val="fr-CA"/>
        </w:rPr>
        <w:t> </w:t>
      </w:r>
      <w:r w:rsidRPr="00BD22C2">
        <w:rPr>
          <w:rFonts w:ascii="Arial" w:hAnsi="Arial" w:cs="Arial"/>
          <w:sz w:val="18"/>
          <w:szCs w:val="18"/>
          <w:lang w:val="fr-CA"/>
        </w:rPr>
        <w:t xml:space="preserve">2-3, 2020, </w:t>
      </w:r>
      <w:r w:rsidR="006548DB" w:rsidRPr="00BD22C2">
        <w:rPr>
          <w:rFonts w:ascii="Arial" w:hAnsi="Arial" w:cs="Arial"/>
          <w:sz w:val="18"/>
          <w:szCs w:val="18"/>
          <w:lang w:val="fr-CA"/>
        </w:rPr>
        <w:t xml:space="preserve">aux </w:t>
      </w:r>
      <w:r w:rsidRPr="00BD22C2">
        <w:rPr>
          <w:rFonts w:ascii="Arial" w:hAnsi="Arial" w:cs="Arial"/>
          <w:sz w:val="18"/>
          <w:szCs w:val="18"/>
          <w:lang w:val="fr-CA"/>
        </w:rPr>
        <w:t>p.</w:t>
      </w:r>
      <w:r w:rsidR="00CC76DE" w:rsidRPr="00BD22C2">
        <w:rPr>
          <w:rFonts w:ascii="Arial" w:hAnsi="Arial" w:cs="Arial"/>
          <w:sz w:val="18"/>
          <w:szCs w:val="18"/>
          <w:lang w:val="fr-CA"/>
        </w:rPr>
        <w:t> </w:t>
      </w:r>
      <w:r w:rsidRPr="00BD22C2">
        <w:rPr>
          <w:rFonts w:ascii="Arial" w:hAnsi="Arial" w:cs="Arial"/>
          <w:sz w:val="18"/>
          <w:szCs w:val="18"/>
          <w:lang w:val="fr-CA"/>
        </w:rPr>
        <w:t>562</w:t>
      </w:r>
      <w:r w:rsidR="001E4C7F">
        <w:rPr>
          <w:rFonts w:ascii="Arial" w:hAnsi="Arial" w:cs="Arial"/>
          <w:sz w:val="18"/>
          <w:szCs w:val="18"/>
          <w:lang w:val="fr-CA"/>
        </w:rPr>
        <w:t xml:space="preserve"> à </w:t>
      </w:r>
      <w:r w:rsidRPr="00BD22C2">
        <w:rPr>
          <w:rFonts w:ascii="Arial" w:hAnsi="Arial" w:cs="Arial"/>
          <w:sz w:val="18"/>
          <w:szCs w:val="18"/>
          <w:lang w:val="fr-CA"/>
        </w:rPr>
        <w:t>584</w:t>
      </w:r>
      <w:r w:rsidR="00D6555E" w:rsidRPr="00BD22C2">
        <w:rPr>
          <w:rFonts w:ascii="Arial" w:hAnsi="Arial" w:cs="Arial"/>
          <w:sz w:val="18"/>
          <w:szCs w:val="18"/>
          <w:lang w:val="fr-CA"/>
        </w:rPr>
        <w:t>, [En ligne].</w:t>
      </w:r>
      <w:r w:rsidRPr="00BD22C2">
        <w:rPr>
          <w:rFonts w:ascii="Arial" w:hAnsi="Arial" w:cs="Arial"/>
          <w:sz w:val="18"/>
          <w:szCs w:val="18"/>
          <w:lang w:val="fr-CA"/>
        </w:rPr>
        <w:t xml:space="preserve"> </w:t>
      </w:r>
      <w:hyperlink r:id="rId64" w:history="1">
        <w:r w:rsidR="00D6555E" w:rsidRPr="006515B0">
          <w:rPr>
            <w:rStyle w:val="Lienhypertexte"/>
            <w:rFonts w:ascii="Arial" w:hAnsi="Arial" w:cs="Arial"/>
            <w:sz w:val="18"/>
            <w:szCs w:val="18"/>
            <w:lang w:val="en-CA"/>
          </w:rPr>
          <w:t>https://utpjournals.press/doi/full/10.3138/jcs-2020-0067?role=tab</w:t>
        </w:r>
      </w:hyperlink>
      <w:r w:rsidRPr="006515B0">
        <w:rPr>
          <w:rFonts w:ascii="Arial" w:hAnsi="Arial" w:cs="Arial"/>
          <w:sz w:val="18"/>
          <w:szCs w:val="18"/>
          <w:lang w:val="en-CA"/>
        </w:rPr>
        <w:t xml:space="preserve"> </w:t>
      </w:r>
    </w:p>
  </w:endnote>
  <w:endnote w:id="77">
    <w:p w14:paraId="5BD23285" w14:textId="25E63722" w:rsidR="006637BD" w:rsidRPr="00E16C03" w:rsidRDefault="006637BD"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Jack </w:t>
      </w:r>
      <w:r w:rsidRPr="00E16C03">
        <w:rPr>
          <w:rFonts w:ascii="Arial" w:hAnsi="Arial" w:cs="Arial"/>
          <w:smallCaps/>
          <w:sz w:val="18"/>
          <w:szCs w:val="18"/>
          <w:lang w:val="en-CA"/>
        </w:rPr>
        <w:t>Drescher,</w:t>
      </w:r>
      <w:r w:rsidRPr="00E16C03">
        <w:rPr>
          <w:rFonts w:ascii="Arial" w:hAnsi="Arial" w:cs="Arial"/>
          <w:sz w:val="18"/>
          <w:szCs w:val="18"/>
          <w:lang w:val="en-CA"/>
        </w:rPr>
        <w:t xml:space="preserve"> «</w:t>
      </w:r>
      <w:r w:rsidR="0056005D" w:rsidRPr="00E16C03">
        <w:rPr>
          <w:rFonts w:ascii="Arial" w:hAnsi="Arial" w:cs="Arial"/>
          <w:sz w:val="18"/>
          <w:szCs w:val="18"/>
          <w:lang w:val="en-CA"/>
        </w:rPr>
        <w:t> </w:t>
      </w:r>
      <w:r w:rsidRPr="00E16C03">
        <w:rPr>
          <w:rFonts w:ascii="Arial" w:hAnsi="Arial" w:cs="Arial"/>
          <w:sz w:val="18"/>
          <w:szCs w:val="18"/>
          <w:lang w:val="en-CA"/>
        </w:rPr>
        <w:t>Out of DSM: Depathologizing Homosexuality</w:t>
      </w:r>
      <w:r w:rsidR="0056005D" w:rsidRPr="00E16C03">
        <w:rPr>
          <w:rFonts w:ascii="Arial" w:hAnsi="Arial" w:cs="Arial"/>
          <w:sz w:val="18"/>
          <w:szCs w:val="18"/>
          <w:lang w:val="en-CA"/>
        </w:rPr>
        <w:t> </w:t>
      </w:r>
      <w:r w:rsidRPr="00E16C03">
        <w:rPr>
          <w:rFonts w:ascii="Arial" w:hAnsi="Arial" w:cs="Arial"/>
          <w:sz w:val="18"/>
          <w:szCs w:val="18"/>
          <w:lang w:val="en-CA"/>
        </w:rPr>
        <w:t xml:space="preserve">», </w:t>
      </w:r>
      <w:r w:rsidRPr="00E16C03">
        <w:rPr>
          <w:rFonts w:ascii="Arial" w:hAnsi="Arial" w:cs="Arial"/>
          <w:i/>
          <w:sz w:val="18"/>
          <w:szCs w:val="18"/>
          <w:lang w:val="en-CA"/>
        </w:rPr>
        <w:t>Behavioral Science</w:t>
      </w:r>
      <w:r w:rsidRPr="00E16C03">
        <w:rPr>
          <w:rFonts w:ascii="Arial" w:hAnsi="Arial" w:cs="Arial"/>
          <w:sz w:val="18"/>
          <w:szCs w:val="18"/>
          <w:lang w:val="en-CA"/>
        </w:rPr>
        <w:t>, vol.</w:t>
      </w:r>
      <w:r w:rsidR="00CC76DE" w:rsidRPr="00E16C03">
        <w:rPr>
          <w:rFonts w:ascii="Arial" w:hAnsi="Arial" w:cs="Arial"/>
          <w:sz w:val="18"/>
          <w:szCs w:val="18"/>
          <w:lang w:val="en-CA"/>
        </w:rPr>
        <w:t> </w:t>
      </w:r>
      <w:r w:rsidRPr="00E16C03">
        <w:rPr>
          <w:rFonts w:ascii="Arial" w:hAnsi="Arial" w:cs="Arial"/>
          <w:sz w:val="18"/>
          <w:szCs w:val="18"/>
          <w:lang w:val="en-CA"/>
        </w:rPr>
        <w:t>5, n</w:t>
      </w:r>
      <w:r w:rsidRPr="00E16C03">
        <w:rPr>
          <w:rFonts w:ascii="Arial" w:hAnsi="Arial" w:cs="Arial"/>
          <w:sz w:val="18"/>
          <w:szCs w:val="18"/>
          <w:vertAlign w:val="superscript"/>
          <w:lang w:val="en-CA"/>
        </w:rPr>
        <w:t>o</w:t>
      </w:r>
      <w:r w:rsidR="00CC76DE" w:rsidRPr="00E16C03">
        <w:rPr>
          <w:rFonts w:ascii="Arial" w:hAnsi="Arial" w:cs="Arial"/>
          <w:sz w:val="18"/>
          <w:szCs w:val="18"/>
          <w:vertAlign w:val="superscript"/>
          <w:lang w:val="en-CA"/>
        </w:rPr>
        <w:t> </w:t>
      </w:r>
      <w:r w:rsidRPr="00E16C03">
        <w:rPr>
          <w:rFonts w:ascii="Arial" w:hAnsi="Arial" w:cs="Arial"/>
          <w:sz w:val="18"/>
          <w:szCs w:val="18"/>
          <w:lang w:val="en-CA"/>
        </w:rPr>
        <w:t>4, 2015, p. 571</w:t>
      </w:r>
      <w:r w:rsidR="006548DB" w:rsidRPr="00E16C03">
        <w:rPr>
          <w:rFonts w:ascii="Arial" w:hAnsi="Arial" w:cs="Arial"/>
          <w:sz w:val="18"/>
          <w:szCs w:val="18"/>
          <w:lang w:val="en-CA"/>
        </w:rPr>
        <w:t xml:space="preserve">, [En ligne]. </w:t>
      </w:r>
      <w:hyperlink r:id="rId65" w:history="1">
        <w:r w:rsidR="006548DB" w:rsidRPr="00E16C03">
          <w:rPr>
            <w:rStyle w:val="Lienhypertexte"/>
            <w:rFonts w:ascii="Arial" w:hAnsi="Arial" w:cs="Arial"/>
            <w:sz w:val="18"/>
            <w:szCs w:val="18"/>
            <w:lang w:val="en-CA"/>
          </w:rPr>
          <w:t>https://doi.org/10.3390%2Fbs5040565</w:t>
        </w:r>
      </w:hyperlink>
      <w:r w:rsidRPr="00E16C03">
        <w:rPr>
          <w:rFonts w:ascii="Arial" w:hAnsi="Arial" w:cs="Arial"/>
          <w:sz w:val="18"/>
          <w:szCs w:val="18"/>
          <w:lang w:val="en-CA"/>
        </w:rPr>
        <w:t xml:space="preserve"> </w:t>
      </w:r>
    </w:p>
  </w:endnote>
  <w:endnote w:id="78">
    <w:p w14:paraId="29E8F275" w14:textId="584F2B99"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Susan </w:t>
      </w:r>
      <w:r w:rsidRPr="00E16C03">
        <w:rPr>
          <w:rFonts w:ascii="Arial" w:hAnsi="Arial" w:cs="Arial"/>
          <w:smallCaps/>
          <w:sz w:val="18"/>
          <w:szCs w:val="18"/>
          <w:lang w:val="en-CA"/>
        </w:rPr>
        <w:t>D</w:t>
      </w:r>
      <w:r w:rsidR="000B7F36" w:rsidRPr="00E16C03">
        <w:rPr>
          <w:rFonts w:ascii="Arial" w:hAnsi="Arial" w:cs="Arial"/>
          <w:smallCaps/>
          <w:sz w:val="18"/>
          <w:szCs w:val="18"/>
          <w:lang w:val="en-CA"/>
        </w:rPr>
        <w:t> </w:t>
      </w:r>
      <w:r w:rsidRPr="00E16C03">
        <w:rPr>
          <w:rFonts w:ascii="Arial" w:hAnsi="Arial" w:cs="Arial"/>
          <w:smallCaps/>
          <w:sz w:val="18"/>
          <w:szCs w:val="18"/>
          <w:lang w:val="en-CA"/>
        </w:rPr>
        <w:t>Cochran,</w:t>
      </w:r>
      <w:r w:rsidRPr="00E16C03">
        <w:rPr>
          <w:rFonts w:ascii="Arial" w:hAnsi="Arial" w:cs="Arial"/>
          <w:sz w:val="18"/>
          <w:szCs w:val="18"/>
          <w:lang w:val="en-CA"/>
        </w:rPr>
        <w:t xml:space="preserve"> Jack </w:t>
      </w:r>
      <w:r w:rsidRPr="00E16C03">
        <w:rPr>
          <w:rFonts w:ascii="Arial" w:hAnsi="Arial" w:cs="Arial"/>
          <w:smallCaps/>
          <w:sz w:val="18"/>
          <w:szCs w:val="18"/>
          <w:lang w:val="en-CA"/>
        </w:rPr>
        <w:t>Drescher</w:t>
      </w:r>
      <w:r w:rsidRPr="00E16C03">
        <w:rPr>
          <w:rFonts w:ascii="Arial" w:hAnsi="Arial" w:cs="Arial"/>
          <w:sz w:val="18"/>
          <w:szCs w:val="18"/>
          <w:lang w:val="en-CA"/>
        </w:rPr>
        <w:t xml:space="preserve">, Eszter </w:t>
      </w:r>
      <w:r w:rsidRPr="00E16C03">
        <w:rPr>
          <w:rFonts w:ascii="Arial" w:hAnsi="Arial" w:cs="Arial"/>
          <w:smallCaps/>
          <w:sz w:val="18"/>
          <w:szCs w:val="18"/>
          <w:lang w:val="en-CA"/>
        </w:rPr>
        <w:t>Kismöd</w:t>
      </w:r>
      <w:r w:rsidRPr="00E16C03">
        <w:rPr>
          <w:rFonts w:ascii="Arial" w:hAnsi="Arial" w:cs="Arial"/>
          <w:sz w:val="18"/>
          <w:szCs w:val="18"/>
          <w:lang w:val="en-CA"/>
        </w:rPr>
        <w:t xml:space="preserve">i, Alain </w:t>
      </w:r>
      <w:r w:rsidRPr="00E16C03">
        <w:rPr>
          <w:rFonts w:ascii="Arial" w:hAnsi="Arial" w:cs="Arial"/>
          <w:smallCaps/>
          <w:sz w:val="18"/>
          <w:szCs w:val="18"/>
          <w:lang w:val="en-CA"/>
        </w:rPr>
        <w:t>Giami</w:t>
      </w:r>
      <w:r w:rsidRPr="00E16C03">
        <w:rPr>
          <w:rFonts w:ascii="Arial" w:hAnsi="Arial" w:cs="Arial"/>
          <w:sz w:val="18"/>
          <w:szCs w:val="18"/>
          <w:lang w:val="en-CA"/>
        </w:rPr>
        <w:t xml:space="preserve">, Claudia </w:t>
      </w:r>
      <w:r w:rsidRPr="00E16C03">
        <w:rPr>
          <w:rFonts w:ascii="Arial" w:hAnsi="Arial" w:cs="Arial"/>
          <w:smallCaps/>
          <w:sz w:val="18"/>
          <w:szCs w:val="18"/>
          <w:lang w:val="en-CA"/>
        </w:rPr>
        <w:t>García-Moreno</w:t>
      </w:r>
      <w:r w:rsidRPr="00E16C03">
        <w:rPr>
          <w:rFonts w:ascii="Arial" w:hAnsi="Arial" w:cs="Arial"/>
          <w:sz w:val="18"/>
          <w:szCs w:val="18"/>
          <w:lang w:val="en-CA"/>
        </w:rPr>
        <w:t xml:space="preserve">, Elham </w:t>
      </w:r>
      <w:r w:rsidRPr="00E16C03">
        <w:rPr>
          <w:rFonts w:ascii="Arial" w:hAnsi="Arial" w:cs="Arial"/>
          <w:smallCaps/>
          <w:sz w:val="18"/>
          <w:szCs w:val="18"/>
          <w:lang w:val="en-CA"/>
        </w:rPr>
        <w:t>Atalla</w:t>
      </w:r>
      <w:r w:rsidRPr="00E16C03">
        <w:rPr>
          <w:rFonts w:ascii="Arial" w:hAnsi="Arial" w:cs="Arial"/>
          <w:sz w:val="18"/>
          <w:szCs w:val="18"/>
          <w:lang w:val="en-CA"/>
        </w:rPr>
        <w:t xml:space="preserve">, Adele </w:t>
      </w:r>
      <w:r w:rsidRPr="00E16C03">
        <w:rPr>
          <w:rFonts w:ascii="Arial" w:hAnsi="Arial" w:cs="Arial"/>
          <w:smallCaps/>
          <w:sz w:val="18"/>
          <w:szCs w:val="18"/>
          <w:lang w:val="en-CA"/>
        </w:rPr>
        <w:t>Marais</w:t>
      </w:r>
      <w:r w:rsidRPr="00E16C03">
        <w:rPr>
          <w:rFonts w:ascii="Arial" w:hAnsi="Arial" w:cs="Arial"/>
          <w:sz w:val="18"/>
          <w:szCs w:val="18"/>
          <w:lang w:val="en-CA"/>
        </w:rPr>
        <w:t xml:space="preserve">, Elisabeth </w:t>
      </w:r>
      <w:r w:rsidRPr="00E16C03">
        <w:rPr>
          <w:rFonts w:ascii="Arial" w:hAnsi="Arial" w:cs="Arial"/>
          <w:smallCaps/>
          <w:sz w:val="18"/>
          <w:szCs w:val="18"/>
          <w:lang w:val="en-CA"/>
        </w:rPr>
        <w:t>Meloni Vieira</w:t>
      </w:r>
      <w:r w:rsidRPr="00E16C03">
        <w:rPr>
          <w:rFonts w:ascii="Arial" w:hAnsi="Arial" w:cs="Arial"/>
          <w:sz w:val="18"/>
          <w:szCs w:val="18"/>
          <w:lang w:val="en-CA"/>
        </w:rPr>
        <w:t xml:space="preserve"> et Geoffrey M</w:t>
      </w:r>
      <w:r w:rsidR="000B7F36" w:rsidRPr="00E16C03">
        <w:rPr>
          <w:rFonts w:ascii="Arial" w:hAnsi="Arial" w:cs="Arial"/>
          <w:sz w:val="18"/>
          <w:szCs w:val="18"/>
          <w:lang w:val="en-CA"/>
        </w:rPr>
        <w:t> </w:t>
      </w:r>
      <w:r w:rsidRPr="00E16C03">
        <w:rPr>
          <w:rFonts w:ascii="Arial" w:hAnsi="Arial" w:cs="Arial"/>
          <w:smallCaps/>
          <w:sz w:val="18"/>
          <w:szCs w:val="18"/>
          <w:lang w:val="en-CA"/>
        </w:rPr>
        <w:t>Reed</w:t>
      </w:r>
      <w:r w:rsidRPr="00E16C03">
        <w:rPr>
          <w:rFonts w:ascii="Arial" w:hAnsi="Arial" w:cs="Arial"/>
          <w:sz w:val="18"/>
          <w:szCs w:val="18"/>
          <w:lang w:val="en-CA"/>
        </w:rPr>
        <w:t>, «</w:t>
      </w:r>
      <w:r w:rsidR="00444FEB">
        <w:rPr>
          <w:rFonts w:ascii="Arial" w:hAnsi="Arial" w:cs="Arial"/>
          <w:sz w:val="18"/>
          <w:szCs w:val="18"/>
          <w:lang w:val="en-CA"/>
        </w:rPr>
        <w:t> </w:t>
      </w:r>
      <w:r w:rsidRPr="00E16C03">
        <w:rPr>
          <w:rFonts w:ascii="Arial" w:hAnsi="Arial" w:cs="Arial"/>
          <w:sz w:val="18"/>
          <w:szCs w:val="18"/>
          <w:lang w:val="en-CA"/>
        </w:rPr>
        <w:t>Proposed declassification of disease categories related to sexual orientation in the International Statistical Classification of Diseases and Related Health Problems (ICD-11)</w:t>
      </w:r>
      <w:r w:rsidR="00444FEB">
        <w:rPr>
          <w:rFonts w:ascii="Arial" w:hAnsi="Arial" w:cs="Arial"/>
          <w:sz w:val="18"/>
          <w:szCs w:val="18"/>
          <w:lang w:val="en-CA"/>
        </w:rPr>
        <w:t> </w:t>
      </w:r>
      <w:r w:rsidRPr="00E16C03">
        <w:rPr>
          <w:rFonts w:ascii="Arial" w:hAnsi="Arial" w:cs="Arial"/>
          <w:sz w:val="18"/>
          <w:szCs w:val="18"/>
          <w:lang w:val="en-CA"/>
        </w:rPr>
        <w:t xml:space="preserve">», </w:t>
      </w:r>
      <w:r w:rsidRPr="00E43324">
        <w:rPr>
          <w:rFonts w:ascii="Arial" w:hAnsi="Arial" w:cs="Arial"/>
          <w:i/>
          <w:sz w:val="18"/>
          <w:szCs w:val="18"/>
          <w:lang w:val="en-CA"/>
        </w:rPr>
        <w:t>Bull World Health Organ</w:t>
      </w:r>
      <w:r w:rsidRPr="00E16C03">
        <w:rPr>
          <w:rFonts w:ascii="Arial" w:hAnsi="Arial" w:cs="Arial"/>
          <w:sz w:val="18"/>
          <w:szCs w:val="18"/>
          <w:lang w:val="en-CA"/>
        </w:rPr>
        <w:t>, n</w:t>
      </w:r>
      <w:r w:rsidRPr="00E16C03">
        <w:rPr>
          <w:rFonts w:ascii="Arial" w:hAnsi="Arial" w:cs="Arial"/>
          <w:sz w:val="18"/>
          <w:szCs w:val="18"/>
          <w:vertAlign w:val="superscript"/>
          <w:lang w:val="en-CA"/>
        </w:rPr>
        <w:t>o</w:t>
      </w:r>
      <w:r w:rsidR="0091080B">
        <w:rPr>
          <w:rFonts w:ascii="Arial" w:hAnsi="Arial" w:cs="Arial"/>
          <w:sz w:val="18"/>
          <w:szCs w:val="18"/>
          <w:lang w:val="en-CA"/>
        </w:rPr>
        <w:t> </w:t>
      </w:r>
      <w:r w:rsidRPr="00E16C03">
        <w:rPr>
          <w:rFonts w:ascii="Arial" w:hAnsi="Arial" w:cs="Arial"/>
          <w:sz w:val="18"/>
          <w:szCs w:val="18"/>
          <w:lang w:val="en-CA"/>
        </w:rPr>
        <w:t>92, 2014, p.</w:t>
      </w:r>
      <w:r w:rsidR="0091080B">
        <w:rPr>
          <w:rFonts w:ascii="Arial" w:hAnsi="Arial" w:cs="Arial"/>
          <w:sz w:val="18"/>
          <w:szCs w:val="18"/>
          <w:lang w:val="en-CA"/>
        </w:rPr>
        <w:t> </w:t>
      </w:r>
      <w:r w:rsidRPr="00E16C03">
        <w:rPr>
          <w:rFonts w:ascii="Arial" w:hAnsi="Arial" w:cs="Arial"/>
          <w:sz w:val="18"/>
          <w:szCs w:val="18"/>
          <w:lang w:val="en-CA"/>
        </w:rPr>
        <w:t>672</w:t>
      </w:r>
      <w:r w:rsidR="00E24982" w:rsidRPr="00E16C03">
        <w:rPr>
          <w:rFonts w:ascii="Arial" w:hAnsi="Arial" w:cs="Arial"/>
          <w:sz w:val="18"/>
          <w:szCs w:val="18"/>
          <w:lang w:val="en-CA"/>
        </w:rPr>
        <w:t xml:space="preserve">, [En ligne]. </w:t>
      </w:r>
      <w:hyperlink r:id="rId66" w:history="1">
        <w:r w:rsidR="00052CF1" w:rsidRPr="00BD22C2">
          <w:rPr>
            <w:rStyle w:val="Lienhypertexte"/>
            <w:rFonts w:ascii="Arial" w:hAnsi="Arial" w:cs="Arial"/>
            <w:sz w:val="18"/>
            <w:szCs w:val="18"/>
            <w:lang w:val="fr-CA"/>
          </w:rPr>
          <w:t>http://dx.doi.org/10.2471/BLT.14.135541</w:t>
        </w:r>
      </w:hyperlink>
      <w:r w:rsidRPr="00BD22C2">
        <w:rPr>
          <w:rFonts w:ascii="Arial" w:hAnsi="Arial" w:cs="Arial"/>
          <w:sz w:val="18"/>
          <w:szCs w:val="18"/>
          <w:lang w:val="fr-CA"/>
        </w:rPr>
        <w:t xml:space="preserve"> </w:t>
      </w:r>
    </w:p>
  </w:endnote>
  <w:endnote w:id="79">
    <w:p w14:paraId="68AA39AF" w14:textId="25688514"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Voir la 11</w:t>
      </w:r>
      <w:r w:rsidRPr="00BD22C2">
        <w:rPr>
          <w:rFonts w:ascii="Arial" w:hAnsi="Arial" w:cs="Arial"/>
          <w:sz w:val="18"/>
          <w:szCs w:val="18"/>
          <w:vertAlign w:val="superscript"/>
          <w:lang w:val="fr-CA"/>
        </w:rPr>
        <w:t>e</w:t>
      </w:r>
      <w:r w:rsidR="00B32B61">
        <w:rPr>
          <w:rFonts w:ascii="Arial" w:hAnsi="Arial" w:cs="Arial"/>
          <w:sz w:val="18"/>
          <w:szCs w:val="18"/>
          <w:lang w:val="fr-CA"/>
        </w:rPr>
        <w:t> </w:t>
      </w:r>
      <w:r w:rsidRPr="00BD22C2">
        <w:rPr>
          <w:rFonts w:ascii="Arial" w:hAnsi="Arial" w:cs="Arial"/>
          <w:sz w:val="18"/>
          <w:szCs w:val="18"/>
          <w:lang w:val="fr-CA"/>
        </w:rPr>
        <w:t xml:space="preserve">version de la Classification internationale des maladies : </w:t>
      </w:r>
      <w:hyperlink r:id="rId67" w:history="1">
        <w:r w:rsidRPr="00BD22C2">
          <w:rPr>
            <w:rStyle w:val="Lienhypertexte"/>
            <w:rFonts w:ascii="Arial" w:hAnsi="Arial" w:cs="Arial"/>
            <w:sz w:val="18"/>
            <w:szCs w:val="18"/>
            <w:lang w:val="fr-CA"/>
          </w:rPr>
          <w:t>https://icd.who.int/fr</w:t>
        </w:r>
      </w:hyperlink>
      <w:r w:rsidRPr="00BD22C2">
        <w:rPr>
          <w:rFonts w:ascii="Arial" w:hAnsi="Arial" w:cs="Arial"/>
          <w:sz w:val="18"/>
          <w:szCs w:val="18"/>
          <w:lang w:val="fr-CA"/>
        </w:rPr>
        <w:t xml:space="preserve"> </w:t>
      </w:r>
    </w:p>
  </w:endnote>
  <w:endnote w:id="80">
    <w:p w14:paraId="29127732" w14:textId="77777777"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p>
  </w:endnote>
  <w:endnote w:id="81">
    <w:p w14:paraId="447376D5" w14:textId="0D4D2ADD"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884F83" w:rsidRPr="00BD22C2">
        <w:rPr>
          <w:rFonts w:ascii="Arial" w:hAnsi="Arial" w:cs="Arial"/>
          <w:sz w:val="18"/>
          <w:szCs w:val="18"/>
          <w:lang w:val="fr-CA"/>
        </w:rPr>
        <w:t>C</w:t>
      </w:r>
      <w:r w:rsidR="00884F83" w:rsidRPr="00BD22C2">
        <w:rPr>
          <w:rFonts w:ascii="Arial" w:hAnsi="Arial" w:cs="Arial"/>
          <w:smallCaps/>
          <w:sz w:val="18"/>
          <w:szCs w:val="18"/>
          <w:lang w:val="fr-CA"/>
        </w:rPr>
        <w:t>ommission des droits de la personne et des droits de la jeunesse</w:t>
      </w:r>
      <w:r w:rsidR="006634A6" w:rsidRPr="00BD22C2">
        <w:rPr>
          <w:rFonts w:ascii="Arial" w:hAnsi="Arial" w:cs="Arial"/>
          <w:sz w:val="18"/>
          <w:szCs w:val="18"/>
          <w:lang w:val="fr-CA"/>
        </w:rPr>
        <w:t>,</w:t>
      </w:r>
      <w:r w:rsidR="00884F83" w:rsidRPr="00BD22C2">
        <w:rPr>
          <w:rFonts w:ascii="Arial" w:hAnsi="Arial" w:cs="Arial"/>
          <w:sz w:val="18"/>
          <w:szCs w:val="18"/>
          <w:lang w:val="fr-CA"/>
        </w:rPr>
        <w:t xml:space="preserve"> préc., note </w:t>
      </w:r>
      <w:r w:rsidR="00DB2DA9" w:rsidRPr="00BD22C2">
        <w:rPr>
          <w:rFonts w:ascii="Arial" w:hAnsi="Arial" w:cs="Arial"/>
          <w:sz w:val="18"/>
          <w:szCs w:val="18"/>
          <w:lang w:val="fr-CA"/>
        </w:rPr>
        <w:fldChar w:fldCharType="begin"/>
      </w:r>
      <w:r w:rsidR="00DB2DA9" w:rsidRPr="00BD22C2">
        <w:rPr>
          <w:rFonts w:ascii="Arial" w:hAnsi="Arial" w:cs="Arial"/>
          <w:sz w:val="18"/>
          <w:szCs w:val="18"/>
          <w:lang w:val="fr-CA"/>
        </w:rPr>
        <w:instrText xml:space="preserve"> NOTEREF _Ref166854751 \h </w:instrText>
      </w:r>
      <w:r w:rsidR="00DB2DA9" w:rsidRPr="00BD22C2">
        <w:rPr>
          <w:rFonts w:ascii="Arial" w:hAnsi="Arial" w:cs="Arial"/>
          <w:sz w:val="18"/>
          <w:szCs w:val="18"/>
          <w:lang w:val="fr-CA"/>
        </w:rPr>
      </w:r>
      <w:r w:rsidR="00DB2DA9" w:rsidRPr="00BD22C2">
        <w:rPr>
          <w:rFonts w:ascii="Arial" w:hAnsi="Arial" w:cs="Arial"/>
          <w:sz w:val="18"/>
          <w:szCs w:val="18"/>
          <w:lang w:val="fr-CA"/>
        </w:rPr>
        <w:fldChar w:fldCharType="separate"/>
      </w:r>
      <w:r w:rsidR="004B4881">
        <w:rPr>
          <w:rFonts w:ascii="Arial" w:hAnsi="Arial" w:cs="Arial"/>
          <w:sz w:val="18"/>
          <w:szCs w:val="18"/>
          <w:lang w:val="fr-CA"/>
        </w:rPr>
        <w:t>7</w:t>
      </w:r>
      <w:r w:rsidR="00DB2DA9" w:rsidRPr="00BD22C2">
        <w:rPr>
          <w:rFonts w:ascii="Arial" w:hAnsi="Arial" w:cs="Arial"/>
          <w:sz w:val="18"/>
          <w:szCs w:val="18"/>
          <w:lang w:val="fr-CA"/>
        </w:rPr>
        <w:fldChar w:fldCharType="end"/>
      </w:r>
      <w:r w:rsidR="00DB2DA9" w:rsidRPr="00BD22C2">
        <w:rPr>
          <w:rFonts w:ascii="Arial" w:hAnsi="Arial" w:cs="Arial"/>
          <w:sz w:val="18"/>
          <w:szCs w:val="18"/>
          <w:lang w:val="fr-CA"/>
        </w:rPr>
        <w:t>,</w:t>
      </w:r>
      <w:r w:rsidR="006634A6" w:rsidRPr="00BD22C2">
        <w:rPr>
          <w:rFonts w:ascii="Arial" w:hAnsi="Arial" w:cs="Arial"/>
          <w:sz w:val="18"/>
          <w:szCs w:val="18"/>
          <w:lang w:val="fr-CA"/>
        </w:rPr>
        <w:t xml:space="preserve"> p.</w:t>
      </w:r>
      <w:r w:rsidR="0091080B">
        <w:rPr>
          <w:rFonts w:ascii="Arial" w:hAnsi="Arial" w:cs="Arial"/>
          <w:sz w:val="18"/>
          <w:szCs w:val="18"/>
          <w:lang w:val="fr-CA"/>
        </w:rPr>
        <w:t> </w:t>
      </w:r>
      <w:r w:rsidRPr="00BD22C2">
        <w:rPr>
          <w:rFonts w:ascii="Arial" w:hAnsi="Arial" w:cs="Arial"/>
          <w:sz w:val="18"/>
          <w:szCs w:val="18"/>
          <w:lang w:val="fr-CA"/>
        </w:rPr>
        <w:t>22</w:t>
      </w:r>
      <w:r w:rsidR="00DB2DA9" w:rsidRPr="00BD22C2">
        <w:rPr>
          <w:rFonts w:ascii="Arial" w:hAnsi="Arial" w:cs="Arial"/>
          <w:sz w:val="18"/>
          <w:szCs w:val="18"/>
          <w:lang w:val="fr-CA"/>
        </w:rPr>
        <w:t>.</w:t>
      </w:r>
    </w:p>
  </w:endnote>
  <w:endnote w:id="82">
    <w:p w14:paraId="521389F7" w14:textId="09F6944A" w:rsidR="005B1436" w:rsidRPr="00BD22C2" w:rsidRDefault="005B143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96702" w:rsidRPr="00BD22C2">
        <w:rPr>
          <w:rFonts w:ascii="Arial" w:hAnsi="Arial" w:cs="Arial"/>
          <w:iCs/>
          <w:sz w:val="18"/>
          <w:szCs w:val="18"/>
          <w:lang w:val="fr-CA"/>
        </w:rPr>
        <w:t>C</w:t>
      </w:r>
      <w:r w:rsidR="00196702" w:rsidRPr="00BD22C2">
        <w:rPr>
          <w:rFonts w:ascii="Arial" w:hAnsi="Arial" w:cs="Arial"/>
          <w:iCs/>
          <w:smallCaps/>
          <w:sz w:val="18"/>
          <w:szCs w:val="18"/>
          <w:lang w:val="fr-CA"/>
        </w:rPr>
        <w:t xml:space="preserve">ochran </w:t>
      </w:r>
      <w:r w:rsidR="00196702" w:rsidRPr="00BD22C2">
        <w:rPr>
          <w:rFonts w:ascii="Arial" w:hAnsi="Arial" w:cs="Arial"/>
          <w:i/>
          <w:sz w:val="18"/>
          <w:szCs w:val="18"/>
          <w:lang w:val="fr-CA"/>
        </w:rPr>
        <w:t>et al.</w:t>
      </w:r>
      <w:r w:rsidR="00196702" w:rsidRPr="00BD22C2">
        <w:rPr>
          <w:rFonts w:ascii="Arial" w:hAnsi="Arial" w:cs="Arial"/>
          <w:iCs/>
          <w:sz w:val="18"/>
          <w:szCs w:val="18"/>
          <w:lang w:val="fr-CA"/>
        </w:rPr>
        <w:t xml:space="preserve">, préc., note </w:t>
      </w:r>
      <w:r w:rsidR="00196702" w:rsidRPr="00BD22C2">
        <w:rPr>
          <w:rFonts w:ascii="Arial" w:hAnsi="Arial" w:cs="Arial"/>
          <w:iCs/>
          <w:sz w:val="18"/>
          <w:szCs w:val="18"/>
          <w:lang w:val="fr-CA"/>
        </w:rPr>
        <w:fldChar w:fldCharType="begin"/>
      </w:r>
      <w:r w:rsidR="00196702" w:rsidRPr="00BD22C2">
        <w:rPr>
          <w:rFonts w:ascii="Arial" w:hAnsi="Arial" w:cs="Arial"/>
          <w:iCs/>
          <w:sz w:val="18"/>
          <w:szCs w:val="18"/>
          <w:lang w:val="fr-CA"/>
        </w:rPr>
        <w:instrText xml:space="preserve"> NOTEREF _Ref167272095 \h </w:instrText>
      </w:r>
      <w:r w:rsidR="00196702" w:rsidRPr="00BD22C2">
        <w:rPr>
          <w:rFonts w:ascii="Arial" w:hAnsi="Arial" w:cs="Arial"/>
          <w:iCs/>
          <w:sz w:val="18"/>
          <w:szCs w:val="18"/>
          <w:lang w:val="fr-CA"/>
        </w:rPr>
      </w:r>
      <w:r w:rsidR="00196702" w:rsidRPr="00BD22C2">
        <w:rPr>
          <w:rFonts w:ascii="Arial" w:hAnsi="Arial" w:cs="Arial"/>
          <w:iCs/>
          <w:sz w:val="18"/>
          <w:szCs w:val="18"/>
          <w:lang w:val="fr-CA"/>
        </w:rPr>
        <w:fldChar w:fldCharType="separate"/>
      </w:r>
      <w:r w:rsidR="004B4881">
        <w:rPr>
          <w:rFonts w:ascii="Arial" w:hAnsi="Arial" w:cs="Arial"/>
          <w:iCs/>
          <w:sz w:val="18"/>
          <w:szCs w:val="18"/>
          <w:lang w:val="fr-CA"/>
        </w:rPr>
        <w:t>77</w:t>
      </w:r>
      <w:r w:rsidR="00196702" w:rsidRPr="00BD22C2">
        <w:rPr>
          <w:rFonts w:ascii="Arial" w:hAnsi="Arial" w:cs="Arial"/>
          <w:iCs/>
          <w:sz w:val="18"/>
          <w:szCs w:val="18"/>
          <w:lang w:val="fr-CA"/>
        </w:rPr>
        <w:fldChar w:fldCharType="end"/>
      </w:r>
      <w:r w:rsidRPr="00BD22C2">
        <w:rPr>
          <w:rFonts w:ascii="Arial" w:hAnsi="Arial" w:cs="Arial"/>
          <w:sz w:val="18"/>
          <w:szCs w:val="18"/>
          <w:lang w:val="fr-CA"/>
        </w:rPr>
        <w:t>, p. 676.</w:t>
      </w:r>
    </w:p>
  </w:endnote>
  <w:endnote w:id="83">
    <w:p w14:paraId="1CA28FAA" w14:textId="7D4C8562"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Arnaud </w:t>
      </w:r>
      <w:r w:rsidRPr="00BD22C2">
        <w:rPr>
          <w:rFonts w:ascii="Arial" w:hAnsi="Arial" w:cs="Arial"/>
          <w:smallCaps/>
          <w:sz w:val="18"/>
          <w:szCs w:val="18"/>
          <w:lang w:val="fr-CA"/>
        </w:rPr>
        <w:t>Alessandrin</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Du « </w:t>
      </w:r>
      <w:r w:rsidR="001C283B" w:rsidRPr="00BD22C2">
        <w:rPr>
          <w:rFonts w:ascii="Arial" w:hAnsi="Arial" w:cs="Arial"/>
          <w:sz w:val="18"/>
          <w:szCs w:val="18"/>
          <w:lang w:val="fr-CA"/>
        </w:rPr>
        <w:t>transsexualisme »</w:t>
      </w:r>
      <w:r w:rsidRPr="00BD22C2">
        <w:rPr>
          <w:rFonts w:ascii="Arial" w:hAnsi="Arial" w:cs="Arial"/>
          <w:sz w:val="18"/>
          <w:szCs w:val="18"/>
          <w:lang w:val="fr-CA"/>
        </w:rPr>
        <w:t xml:space="preserve"> à la « dysphorie de genre »</w:t>
      </w:r>
      <w:r w:rsidR="00E8063A" w:rsidRPr="00BD22C2">
        <w:rPr>
          <w:rFonts w:ascii="Arial" w:hAnsi="Arial" w:cs="Arial"/>
          <w:sz w:val="18"/>
          <w:szCs w:val="18"/>
          <w:lang w:val="fr-CA"/>
        </w:rPr>
        <w:t> </w:t>
      </w:r>
      <w:r w:rsidRPr="00BD22C2">
        <w:rPr>
          <w:rFonts w:ascii="Arial" w:hAnsi="Arial" w:cs="Arial"/>
          <w:sz w:val="18"/>
          <w:szCs w:val="18"/>
          <w:lang w:val="fr-CA"/>
        </w:rPr>
        <w:t>: ce que le DSM fait des variances de genre</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Socio-logos</w:t>
      </w:r>
      <w:r w:rsidRPr="00BD22C2">
        <w:rPr>
          <w:rFonts w:ascii="Arial" w:hAnsi="Arial" w:cs="Arial"/>
          <w:sz w:val="18"/>
          <w:szCs w:val="18"/>
          <w:lang w:val="fr-CA"/>
        </w:rPr>
        <w:t>, n</w:t>
      </w:r>
      <w:r w:rsidRPr="00BD22C2">
        <w:rPr>
          <w:rFonts w:ascii="Arial" w:hAnsi="Arial" w:cs="Arial"/>
          <w:sz w:val="18"/>
          <w:szCs w:val="18"/>
          <w:vertAlign w:val="superscript"/>
          <w:lang w:val="fr-CA"/>
        </w:rPr>
        <w:t>o</w:t>
      </w:r>
      <w:r w:rsidRPr="00BD22C2">
        <w:rPr>
          <w:rFonts w:ascii="Arial" w:hAnsi="Arial" w:cs="Arial"/>
          <w:sz w:val="18"/>
          <w:szCs w:val="18"/>
          <w:lang w:val="fr-CA"/>
        </w:rPr>
        <w:t xml:space="preserve"> 9, 2014, par. 2</w:t>
      </w:r>
      <w:r w:rsidR="00052CF1" w:rsidRPr="00BD22C2">
        <w:rPr>
          <w:rFonts w:ascii="Arial" w:hAnsi="Arial" w:cs="Arial"/>
          <w:sz w:val="18"/>
          <w:szCs w:val="18"/>
          <w:lang w:val="fr-CA"/>
        </w:rPr>
        <w:t>, [En ligne].</w:t>
      </w:r>
      <w:r w:rsidRPr="00BD22C2">
        <w:rPr>
          <w:rFonts w:ascii="Arial" w:hAnsi="Arial" w:cs="Arial"/>
          <w:sz w:val="18"/>
          <w:szCs w:val="18"/>
          <w:lang w:val="fr-CA"/>
        </w:rPr>
        <w:t xml:space="preserve"> </w:t>
      </w:r>
      <w:hyperlink r:id="rId68" w:history="1">
        <w:r w:rsidRPr="0085310E">
          <w:rPr>
            <w:rStyle w:val="Lienhypertexte"/>
            <w:rFonts w:ascii="Arial" w:hAnsi="Arial" w:cs="Arial"/>
            <w:sz w:val="18"/>
            <w:szCs w:val="18"/>
          </w:rPr>
          <w:t>https://doi.org/10.4000/socio-logos.2837</w:t>
        </w:r>
      </w:hyperlink>
      <w:r w:rsidR="00CF0C74" w:rsidRPr="0085310E">
        <w:rPr>
          <w:rFonts w:ascii="Arial" w:hAnsi="Arial" w:cs="Arial"/>
          <w:sz w:val="18"/>
          <w:szCs w:val="18"/>
        </w:rPr>
        <w:t> </w:t>
      </w:r>
      <w:r w:rsidRPr="0085310E">
        <w:rPr>
          <w:rFonts w:ascii="Arial" w:hAnsi="Arial" w:cs="Arial"/>
          <w:sz w:val="18"/>
          <w:szCs w:val="18"/>
        </w:rPr>
        <w:t xml:space="preserve">; Maria Elisa </w:t>
      </w:r>
      <w:r w:rsidRPr="0085310E">
        <w:rPr>
          <w:rFonts w:ascii="Arial" w:hAnsi="Arial" w:cs="Arial"/>
          <w:smallCaps/>
          <w:sz w:val="18"/>
          <w:szCs w:val="18"/>
        </w:rPr>
        <w:t>Castro-Peraza</w:t>
      </w:r>
      <w:r w:rsidRPr="0085310E">
        <w:rPr>
          <w:rFonts w:ascii="Arial" w:hAnsi="Arial" w:cs="Arial"/>
          <w:sz w:val="18"/>
          <w:szCs w:val="18"/>
        </w:rPr>
        <w:t xml:space="preserve">, Jesús Manuel </w:t>
      </w:r>
      <w:r w:rsidRPr="0085310E">
        <w:rPr>
          <w:rFonts w:ascii="Arial" w:hAnsi="Arial" w:cs="Arial"/>
          <w:smallCaps/>
          <w:sz w:val="18"/>
          <w:szCs w:val="18"/>
        </w:rPr>
        <w:t>García-Acosta</w:t>
      </w:r>
      <w:r w:rsidRPr="0085310E">
        <w:rPr>
          <w:rFonts w:ascii="Arial" w:hAnsi="Arial" w:cs="Arial"/>
          <w:sz w:val="18"/>
          <w:szCs w:val="18"/>
        </w:rPr>
        <w:t xml:space="preserve">, Naira </w:t>
      </w:r>
      <w:r w:rsidRPr="0085310E">
        <w:rPr>
          <w:rFonts w:ascii="Arial" w:hAnsi="Arial" w:cs="Arial"/>
          <w:smallCaps/>
          <w:sz w:val="18"/>
          <w:szCs w:val="18"/>
        </w:rPr>
        <w:t>Delgado</w:t>
      </w:r>
      <w:r w:rsidRPr="0085310E">
        <w:rPr>
          <w:rFonts w:ascii="Arial" w:hAnsi="Arial" w:cs="Arial"/>
          <w:sz w:val="18"/>
          <w:szCs w:val="18"/>
        </w:rPr>
        <w:t xml:space="preserve">, Ana María </w:t>
      </w:r>
      <w:r w:rsidRPr="0085310E">
        <w:rPr>
          <w:rFonts w:ascii="Arial" w:hAnsi="Arial" w:cs="Arial"/>
          <w:smallCaps/>
          <w:sz w:val="18"/>
          <w:szCs w:val="18"/>
        </w:rPr>
        <w:t>Perdomo-Hernández</w:t>
      </w:r>
      <w:r w:rsidRPr="0085310E">
        <w:rPr>
          <w:rFonts w:ascii="Arial" w:hAnsi="Arial" w:cs="Arial"/>
          <w:sz w:val="18"/>
          <w:szCs w:val="18"/>
        </w:rPr>
        <w:t xml:space="preserve">, Maria Inmaculada </w:t>
      </w:r>
      <w:r w:rsidRPr="0085310E">
        <w:rPr>
          <w:rFonts w:ascii="Arial" w:hAnsi="Arial" w:cs="Arial"/>
          <w:smallCaps/>
          <w:sz w:val="18"/>
          <w:szCs w:val="18"/>
        </w:rPr>
        <w:t>Sosa-Alvarez</w:t>
      </w:r>
      <w:r w:rsidRPr="0085310E">
        <w:rPr>
          <w:rFonts w:ascii="Arial" w:hAnsi="Arial" w:cs="Arial"/>
          <w:sz w:val="18"/>
          <w:szCs w:val="18"/>
        </w:rPr>
        <w:t xml:space="preserve">, Rosa </w:t>
      </w:r>
      <w:r w:rsidRPr="0085310E">
        <w:rPr>
          <w:rFonts w:ascii="Arial" w:hAnsi="Arial" w:cs="Arial"/>
          <w:smallCaps/>
          <w:sz w:val="18"/>
          <w:szCs w:val="18"/>
        </w:rPr>
        <w:t>Llabrés-Solé</w:t>
      </w:r>
      <w:r w:rsidRPr="0085310E">
        <w:rPr>
          <w:rFonts w:ascii="Arial" w:hAnsi="Arial" w:cs="Arial"/>
          <w:sz w:val="18"/>
          <w:szCs w:val="18"/>
        </w:rPr>
        <w:t xml:space="preserve">, Nieves Doria </w:t>
      </w:r>
      <w:r w:rsidRPr="0085310E">
        <w:rPr>
          <w:rFonts w:ascii="Arial" w:hAnsi="Arial" w:cs="Arial"/>
          <w:smallCaps/>
          <w:sz w:val="18"/>
          <w:szCs w:val="18"/>
        </w:rPr>
        <w:t>Lorenzo-Rocha</w:t>
      </w:r>
      <w:r w:rsidRPr="0085310E">
        <w:rPr>
          <w:rFonts w:ascii="Arial" w:hAnsi="Arial" w:cs="Arial"/>
          <w:sz w:val="18"/>
          <w:szCs w:val="18"/>
        </w:rPr>
        <w:t xml:space="preserve">, « Gender Identity: The Human Right of Depathologization », </w:t>
      </w:r>
      <w:r w:rsidRPr="0085310E">
        <w:rPr>
          <w:rFonts w:ascii="Arial" w:hAnsi="Arial" w:cs="Arial"/>
          <w:i/>
          <w:sz w:val="18"/>
          <w:szCs w:val="18"/>
        </w:rPr>
        <w:t>Int J Environ Res Public Health</w:t>
      </w:r>
      <w:r w:rsidRPr="0085310E">
        <w:rPr>
          <w:rFonts w:ascii="Arial" w:hAnsi="Arial" w:cs="Arial"/>
          <w:sz w:val="18"/>
          <w:szCs w:val="18"/>
        </w:rPr>
        <w:t>, 16(6), 2019, p. 978</w:t>
      </w:r>
      <w:r w:rsidR="00052CF1" w:rsidRPr="0085310E">
        <w:rPr>
          <w:rFonts w:ascii="Arial" w:hAnsi="Arial" w:cs="Arial"/>
          <w:sz w:val="18"/>
          <w:szCs w:val="18"/>
        </w:rPr>
        <w:t xml:space="preserve">, [En ligne]. </w:t>
      </w:r>
      <w:hyperlink r:id="rId69" w:history="1">
        <w:r w:rsidR="00052CF1" w:rsidRPr="00BD22C2">
          <w:rPr>
            <w:rStyle w:val="Lienhypertexte"/>
            <w:rFonts w:ascii="Arial" w:hAnsi="Arial" w:cs="Arial"/>
            <w:sz w:val="18"/>
            <w:szCs w:val="18"/>
            <w:lang w:val="fr-CA"/>
          </w:rPr>
          <w:t>https://doi.org/10.3390%2Fijerph16060978</w:t>
        </w:r>
      </w:hyperlink>
      <w:r w:rsidRPr="00BD22C2">
        <w:rPr>
          <w:rFonts w:ascii="Arial" w:hAnsi="Arial" w:cs="Arial"/>
          <w:sz w:val="18"/>
          <w:szCs w:val="18"/>
          <w:lang w:val="fr-CA"/>
        </w:rPr>
        <w:t xml:space="preserve"> </w:t>
      </w:r>
    </w:p>
  </w:endnote>
  <w:endnote w:id="84">
    <w:p w14:paraId="236E2EC6" w14:textId="0DF218DD"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American Psychiatric Association</w:t>
      </w:r>
      <w:r w:rsidR="00765603">
        <w:rPr>
          <w:rFonts w:ascii="Arial" w:hAnsi="Arial" w:cs="Arial"/>
          <w:sz w:val="18"/>
          <w:szCs w:val="18"/>
          <w:lang w:val="fr-CA"/>
        </w:rPr>
        <w:t>,</w:t>
      </w:r>
      <w:r w:rsidRPr="00BD22C2">
        <w:rPr>
          <w:rFonts w:ascii="Arial" w:hAnsi="Arial" w:cs="Arial"/>
          <w:sz w:val="18"/>
          <w:szCs w:val="18"/>
          <w:lang w:val="fr-CA"/>
        </w:rPr>
        <w:t xml:space="preserve"> </w:t>
      </w:r>
      <w:r w:rsidR="009E49B7" w:rsidRPr="00BD22C2">
        <w:rPr>
          <w:rFonts w:ascii="Arial" w:hAnsi="Arial" w:cs="Arial"/>
          <w:i/>
          <w:sz w:val="18"/>
          <w:szCs w:val="18"/>
          <w:lang w:val="fr-CA"/>
        </w:rPr>
        <w:t>DSM-5-TR : manuel diagnostique et statistique des troubles mentaux</w:t>
      </w:r>
      <w:r w:rsidR="009E49B7">
        <w:rPr>
          <w:rFonts w:ascii="Arial" w:hAnsi="Arial" w:cs="Arial"/>
          <w:i/>
          <w:sz w:val="18"/>
          <w:szCs w:val="18"/>
          <w:lang w:val="fr-CA"/>
        </w:rPr>
        <w:t>,</w:t>
      </w:r>
      <w:r w:rsidR="009E49B7" w:rsidRPr="00BD22C2">
        <w:rPr>
          <w:rFonts w:ascii="Arial" w:hAnsi="Arial" w:cs="Arial"/>
          <w:sz w:val="18"/>
          <w:szCs w:val="18"/>
          <w:lang w:val="fr-CA"/>
        </w:rPr>
        <w:t xml:space="preserve"> </w:t>
      </w:r>
      <w:r w:rsidR="00A533F3">
        <w:rPr>
          <w:rFonts w:ascii="Arial" w:hAnsi="Arial" w:cs="Arial"/>
          <w:sz w:val="18"/>
          <w:szCs w:val="18"/>
          <w:lang w:val="fr-CA"/>
        </w:rPr>
        <w:t>C</w:t>
      </w:r>
      <w:r w:rsidRPr="00BD22C2">
        <w:rPr>
          <w:rFonts w:ascii="Arial" w:hAnsi="Arial" w:cs="Arial"/>
          <w:sz w:val="18"/>
          <w:szCs w:val="18"/>
          <w:lang w:val="fr-CA"/>
        </w:rPr>
        <w:t>oordination</w:t>
      </w:r>
      <w:r w:rsidR="00E610AF">
        <w:rPr>
          <w:rFonts w:ascii="Arial" w:hAnsi="Arial" w:cs="Arial"/>
          <w:sz w:val="18"/>
          <w:szCs w:val="18"/>
          <w:lang w:val="fr-CA"/>
        </w:rPr>
        <w:t xml:space="preserve"> </w:t>
      </w:r>
      <w:r w:rsidRPr="00BD22C2">
        <w:rPr>
          <w:rFonts w:ascii="Arial" w:hAnsi="Arial" w:cs="Arial"/>
          <w:sz w:val="18"/>
          <w:szCs w:val="18"/>
          <w:lang w:val="fr-CA"/>
        </w:rPr>
        <w:t xml:space="preserve">de la traduction française, Marc-Antoine </w:t>
      </w:r>
      <w:r w:rsidRPr="006259BC">
        <w:rPr>
          <w:rFonts w:ascii="Arial" w:hAnsi="Arial" w:cs="Arial"/>
          <w:smallCaps/>
          <w:sz w:val="18"/>
          <w:szCs w:val="18"/>
          <w:lang w:val="fr-CA"/>
        </w:rPr>
        <w:t>Crocq</w:t>
      </w:r>
      <w:r w:rsidRPr="00BD22C2">
        <w:rPr>
          <w:rFonts w:ascii="Arial" w:hAnsi="Arial" w:cs="Arial"/>
          <w:sz w:val="18"/>
          <w:szCs w:val="18"/>
          <w:lang w:val="fr-CA"/>
        </w:rPr>
        <w:t xml:space="preserve">, Alexis </w:t>
      </w:r>
      <w:r w:rsidRPr="006259BC">
        <w:rPr>
          <w:rFonts w:ascii="Arial" w:hAnsi="Arial" w:cs="Arial"/>
          <w:smallCaps/>
          <w:sz w:val="18"/>
          <w:szCs w:val="18"/>
          <w:lang w:val="fr-CA"/>
        </w:rPr>
        <w:t>Boehrer</w:t>
      </w:r>
      <w:r w:rsidRPr="00BD22C2">
        <w:rPr>
          <w:rFonts w:ascii="Arial" w:hAnsi="Arial" w:cs="Arial"/>
          <w:sz w:val="18"/>
          <w:szCs w:val="18"/>
          <w:lang w:val="fr-CA"/>
        </w:rPr>
        <w:t xml:space="preserve">, Julien Daniel </w:t>
      </w:r>
      <w:r w:rsidRPr="006259BC">
        <w:rPr>
          <w:rFonts w:ascii="Arial" w:hAnsi="Arial" w:cs="Arial"/>
          <w:smallCaps/>
          <w:sz w:val="18"/>
          <w:szCs w:val="18"/>
          <w:lang w:val="fr-CA"/>
        </w:rPr>
        <w:t>Guelfi</w:t>
      </w:r>
      <w:r w:rsidR="00B72C42">
        <w:rPr>
          <w:rFonts w:ascii="Arial" w:hAnsi="Arial" w:cs="Arial"/>
          <w:sz w:val="18"/>
          <w:szCs w:val="18"/>
          <w:lang w:val="fr-CA"/>
        </w:rPr>
        <w:t xml:space="preserve">, </w:t>
      </w:r>
      <w:r w:rsidR="00BA039B">
        <w:rPr>
          <w:rFonts w:ascii="Arial" w:hAnsi="Arial" w:cs="Arial"/>
          <w:sz w:val="18"/>
          <w:szCs w:val="18"/>
          <w:lang w:val="fr-CA"/>
        </w:rPr>
        <w:t>T</w:t>
      </w:r>
      <w:r w:rsidRPr="00BD22C2">
        <w:rPr>
          <w:rFonts w:ascii="Arial" w:hAnsi="Arial" w:cs="Arial"/>
          <w:sz w:val="18"/>
          <w:szCs w:val="18"/>
          <w:lang w:val="fr-CA"/>
        </w:rPr>
        <w:t xml:space="preserve">raduction française, Alexis </w:t>
      </w:r>
      <w:r w:rsidRPr="00D3532D">
        <w:rPr>
          <w:rFonts w:ascii="Arial" w:hAnsi="Arial" w:cs="Arial"/>
          <w:smallCaps/>
          <w:sz w:val="18"/>
          <w:szCs w:val="18"/>
          <w:lang w:val="fr-CA"/>
        </w:rPr>
        <w:t>Boehrer</w:t>
      </w:r>
      <w:r w:rsidRPr="00BD22C2">
        <w:rPr>
          <w:rFonts w:ascii="Arial" w:hAnsi="Arial" w:cs="Arial"/>
          <w:sz w:val="18"/>
          <w:szCs w:val="18"/>
          <w:lang w:val="fr-CA"/>
        </w:rPr>
        <w:t xml:space="preserve">, Marc-Antoine </w:t>
      </w:r>
      <w:r w:rsidRPr="00B15DED">
        <w:rPr>
          <w:rFonts w:ascii="Arial" w:hAnsi="Arial" w:cs="Arial"/>
          <w:smallCaps/>
          <w:sz w:val="18"/>
          <w:szCs w:val="18"/>
          <w:lang w:val="fr-CA"/>
        </w:rPr>
        <w:t>Crocq</w:t>
      </w:r>
      <w:r w:rsidRPr="00BD22C2">
        <w:rPr>
          <w:rFonts w:ascii="Arial" w:hAnsi="Arial" w:cs="Arial"/>
          <w:sz w:val="18"/>
          <w:szCs w:val="18"/>
          <w:lang w:val="fr-CA"/>
        </w:rPr>
        <w:t xml:space="preserve">, Pascal </w:t>
      </w:r>
      <w:r w:rsidRPr="00B15DED">
        <w:rPr>
          <w:rFonts w:ascii="Arial" w:hAnsi="Arial" w:cs="Arial"/>
          <w:smallCaps/>
          <w:sz w:val="18"/>
          <w:szCs w:val="18"/>
          <w:lang w:val="fr-CA"/>
        </w:rPr>
        <w:t>Favré</w:t>
      </w:r>
      <w:r w:rsidRPr="00BD22C2">
        <w:rPr>
          <w:rFonts w:ascii="Arial" w:hAnsi="Arial" w:cs="Arial"/>
          <w:sz w:val="18"/>
          <w:szCs w:val="18"/>
          <w:lang w:val="fr-CA"/>
        </w:rPr>
        <w:t xml:space="preserve">, Wydad </w:t>
      </w:r>
      <w:r w:rsidRPr="004E10A3">
        <w:rPr>
          <w:rFonts w:ascii="Arial" w:hAnsi="Arial" w:cs="Arial"/>
          <w:smallCaps/>
          <w:sz w:val="18"/>
          <w:szCs w:val="18"/>
          <w:lang w:val="fr-CA"/>
        </w:rPr>
        <w:t>Hikmat</w:t>
      </w:r>
      <w:r w:rsidRPr="00BD22C2">
        <w:rPr>
          <w:rFonts w:ascii="Arial" w:hAnsi="Arial" w:cs="Arial"/>
          <w:sz w:val="18"/>
          <w:szCs w:val="18"/>
          <w:lang w:val="fr-CA"/>
        </w:rPr>
        <w:t xml:space="preserve">, Yann </w:t>
      </w:r>
      <w:r w:rsidRPr="004E10A3">
        <w:rPr>
          <w:rFonts w:ascii="Arial" w:hAnsi="Arial" w:cs="Arial"/>
          <w:smallCaps/>
          <w:sz w:val="18"/>
          <w:szCs w:val="18"/>
          <w:lang w:val="fr-CA"/>
        </w:rPr>
        <w:t>Hodé</w:t>
      </w:r>
      <w:r w:rsidRPr="00BD22C2">
        <w:rPr>
          <w:rFonts w:ascii="Arial" w:hAnsi="Arial" w:cs="Arial"/>
          <w:sz w:val="18"/>
          <w:szCs w:val="18"/>
          <w:lang w:val="fr-CA"/>
        </w:rPr>
        <w:t xml:space="preserve">, Charles </w:t>
      </w:r>
      <w:r w:rsidRPr="004E10A3">
        <w:rPr>
          <w:rFonts w:ascii="Arial" w:hAnsi="Arial" w:cs="Arial"/>
          <w:smallCaps/>
          <w:sz w:val="18"/>
          <w:szCs w:val="18"/>
          <w:lang w:val="fr-CA"/>
        </w:rPr>
        <w:t>Pull</w:t>
      </w:r>
      <w:r w:rsidRPr="00BD22C2">
        <w:rPr>
          <w:rFonts w:ascii="Arial" w:hAnsi="Arial" w:cs="Arial"/>
          <w:sz w:val="18"/>
          <w:szCs w:val="18"/>
          <w:lang w:val="fr-CA"/>
        </w:rPr>
        <w:t xml:space="preserve">, Marie-Claire </w:t>
      </w:r>
      <w:r w:rsidRPr="004E10A3">
        <w:rPr>
          <w:rFonts w:ascii="Arial" w:hAnsi="Arial" w:cs="Arial"/>
          <w:smallCaps/>
          <w:sz w:val="18"/>
          <w:szCs w:val="18"/>
          <w:lang w:val="fr-CA"/>
        </w:rPr>
        <w:t>Pull-Erpelding</w:t>
      </w:r>
      <w:r w:rsidRPr="00BD22C2">
        <w:rPr>
          <w:rFonts w:ascii="Arial" w:hAnsi="Arial" w:cs="Arial"/>
          <w:sz w:val="18"/>
          <w:szCs w:val="18"/>
          <w:lang w:val="fr-CA"/>
        </w:rPr>
        <w:t xml:space="preserve">, Jérémie </w:t>
      </w:r>
      <w:r w:rsidRPr="004E10A3">
        <w:rPr>
          <w:rFonts w:ascii="Arial" w:hAnsi="Arial" w:cs="Arial"/>
          <w:smallCaps/>
          <w:sz w:val="18"/>
          <w:szCs w:val="18"/>
          <w:lang w:val="fr-CA"/>
        </w:rPr>
        <w:t>Sinzelle</w:t>
      </w:r>
      <w:r w:rsidRPr="00BD22C2">
        <w:rPr>
          <w:rFonts w:ascii="Arial" w:hAnsi="Arial" w:cs="Arial"/>
          <w:sz w:val="18"/>
          <w:szCs w:val="18"/>
          <w:lang w:val="fr-CA"/>
        </w:rPr>
        <w:t xml:space="preserve">, 2023, </w:t>
      </w:r>
      <w:r w:rsidR="0023121B" w:rsidRPr="00BD22C2">
        <w:rPr>
          <w:rFonts w:ascii="Arial" w:hAnsi="Arial" w:cs="Arial"/>
          <w:sz w:val="18"/>
          <w:szCs w:val="18"/>
          <w:lang w:val="fr-CA"/>
        </w:rPr>
        <w:t xml:space="preserve">Elsevier Masson, </w:t>
      </w:r>
      <w:r w:rsidRPr="00BD22C2">
        <w:rPr>
          <w:rFonts w:ascii="Arial" w:hAnsi="Arial" w:cs="Arial"/>
          <w:sz w:val="18"/>
          <w:szCs w:val="18"/>
          <w:lang w:val="fr-CA"/>
        </w:rPr>
        <w:t>p.</w:t>
      </w:r>
      <w:r w:rsidR="00CC76DE" w:rsidRPr="00BD22C2">
        <w:rPr>
          <w:rFonts w:ascii="Arial" w:hAnsi="Arial" w:cs="Arial"/>
          <w:sz w:val="18"/>
          <w:szCs w:val="18"/>
          <w:lang w:val="fr-CA"/>
        </w:rPr>
        <w:t> </w:t>
      </w:r>
      <w:r w:rsidRPr="00BD22C2">
        <w:rPr>
          <w:rFonts w:ascii="Arial" w:hAnsi="Arial" w:cs="Arial"/>
          <w:sz w:val="18"/>
          <w:szCs w:val="18"/>
          <w:lang w:val="fr-CA"/>
        </w:rPr>
        <w:t>650.</w:t>
      </w:r>
    </w:p>
  </w:endnote>
  <w:endnote w:id="85">
    <w:p w14:paraId="55051661" w14:textId="77777777"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p>
  </w:endnote>
  <w:endnote w:id="86">
    <w:p w14:paraId="3F3866C6" w14:textId="2BBBB907" w:rsidR="006637BD" w:rsidRPr="00BD22C2" w:rsidRDefault="006637BD" w:rsidP="00B36D7C">
      <w:pPr>
        <w:pStyle w:val="Notedefin"/>
        <w:tabs>
          <w:tab w:val="left" w:pos="709"/>
        </w:tabs>
        <w:spacing w:after="120" w:line="240" w:lineRule="auto"/>
        <w:ind w:left="709" w:hanging="709"/>
        <w:rPr>
          <w:rFonts w:ascii="Arial" w:hAnsi="Arial" w:cs="Arial"/>
          <w:color w:val="0000FF"/>
          <w:sz w:val="18"/>
          <w:szCs w:val="18"/>
          <w:u w:val="single"/>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37D55" w:rsidRPr="00BD22C2">
        <w:rPr>
          <w:rFonts w:ascii="Arial" w:hAnsi="Arial" w:cs="Arial"/>
          <w:smallCaps/>
          <w:sz w:val="18"/>
          <w:szCs w:val="18"/>
          <w:lang w:val="fr-CA"/>
        </w:rPr>
        <w:t>Société canadienne de pédiatrie</w:t>
      </w:r>
      <w:r w:rsidR="00037D55" w:rsidRPr="00BD22C2">
        <w:rPr>
          <w:rFonts w:ascii="Arial" w:hAnsi="Arial" w:cs="Arial"/>
          <w:sz w:val="18"/>
          <w:szCs w:val="18"/>
          <w:lang w:val="fr-CA"/>
        </w:rPr>
        <w:t xml:space="preserve"> </w:t>
      </w:r>
      <w:r w:rsidR="00F91D44" w:rsidRPr="00BD22C2">
        <w:rPr>
          <w:rFonts w:ascii="Arial" w:hAnsi="Arial" w:cs="Arial"/>
          <w:sz w:val="18"/>
          <w:szCs w:val="18"/>
          <w:lang w:val="fr-CA"/>
        </w:rPr>
        <w:t>(</w:t>
      </w:r>
      <w:r w:rsidRPr="00BD22C2">
        <w:rPr>
          <w:rFonts w:ascii="Arial" w:hAnsi="Arial" w:cs="Arial"/>
          <w:sz w:val="18"/>
          <w:szCs w:val="18"/>
          <w:lang w:val="fr-CA"/>
        </w:rPr>
        <w:t xml:space="preserve">Ashley </w:t>
      </w:r>
      <w:r w:rsidRPr="00BD22C2">
        <w:rPr>
          <w:rFonts w:ascii="Arial" w:hAnsi="Arial" w:cs="Arial"/>
          <w:smallCaps/>
          <w:sz w:val="18"/>
          <w:szCs w:val="18"/>
          <w:lang w:val="fr-CA"/>
        </w:rPr>
        <w:t>Vandermorris</w:t>
      </w:r>
      <w:r w:rsidRPr="00BD22C2">
        <w:rPr>
          <w:rFonts w:ascii="Arial" w:hAnsi="Arial" w:cs="Arial"/>
          <w:sz w:val="18"/>
          <w:szCs w:val="18"/>
          <w:lang w:val="fr-CA"/>
        </w:rPr>
        <w:t xml:space="preserve"> et Daniel L. </w:t>
      </w:r>
      <w:r w:rsidRPr="00BD22C2">
        <w:rPr>
          <w:rFonts w:ascii="Arial" w:hAnsi="Arial" w:cs="Arial"/>
          <w:smallCaps/>
          <w:sz w:val="18"/>
          <w:szCs w:val="18"/>
          <w:lang w:val="fr-CA"/>
        </w:rPr>
        <w:t>Metzger</w:t>
      </w:r>
      <w:r w:rsidR="00F91D44" w:rsidRPr="00BD22C2">
        <w:rPr>
          <w:rFonts w:ascii="Arial" w:hAnsi="Arial" w:cs="Arial"/>
          <w:sz w:val="18"/>
          <w:szCs w:val="18"/>
          <w:lang w:val="fr-CA"/>
        </w:rPr>
        <w:t>)</w:t>
      </w:r>
      <w:r w:rsidRPr="00BD22C2">
        <w:rPr>
          <w:rFonts w:ascii="Arial" w:hAnsi="Arial" w:cs="Arial"/>
          <w:sz w:val="18"/>
          <w:szCs w:val="18"/>
          <w:lang w:val="fr-CA"/>
        </w:rPr>
        <w:t xml:space="preserve">, </w:t>
      </w:r>
      <w:r w:rsidR="002B0F1B" w:rsidRPr="00BD22C2">
        <w:rPr>
          <w:rFonts w:ascii="Arial" w:hAnsi="Arial" w:cs="Arial"/>
          <w:sz w:val="18"/>
          <w:szCs w:val="18"/>
          <w:lang w:val="fr-CA"/>
        </w:rPr>
        <w:t>«</w:t>
      </w:r>
      <w:r w:rsidR="00444FEB">
        <w:rPr>
          <w:rFonts w:ascii="Arial" w:hAnsi="Arial" w:cs="Arial"/>
          <w:sz w:val="18"/>
          <w:szCs w:val="18"/>
          <w:lang w:val="fr-CA"/>
        </w:rPr>
        <w:t> </w:t>
      </w:r>
      <w:r w:rsidRPr="00BD22C2">
        <w:rPr>
          <w:rFonts w:ascii="Arial" w:hAnsi="Arial" w:cs="Arial"/>
          <w:sz w:val="18"/>
          <w:szCs w:val="18"/>
          <w:lang w:val="fr-CA"/>
        </w:rPr>
        <w:t>Document de principes : Une approche d’affirmation pour les soins aux jeunes transgenres et de diverses identités de genre</w:t>
      </w:r>
      <w:r w:rsidR="00444FEB">
        <w:rPr>
          <w:rFonts w:ascii="Arial" w:hAnsi="Arial" w:cs="Arial"/>
          <w:sz w:val="18"/>
          <w:szCs w:val="18"/>
          <w:lang w:val="fr-CA"/>
        </w:rPr>
        <w:t> </w:t>
      </w:r>
      <w:r w:rsidR="002B0F1B"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Paediatrics &amp; Child Health</w:t>
      </w:r>
      <w:r w:rsidRPr="00BD22C2">
        <w:rPr>
          <w:rFonts w:ascii="Arial" w:hAnsi="Arial" w:cs="Arial"/>
          <w:sz w:val="18"/>
          <w:szCs w:val="18"/>
          <w:lang w:val="fr-CA"/>
        </w:rPr>
        <w:t>, 28</w:t>
      </w:r>
      <w:r w:rsidR="006725B0" w:rsidRPr="00BD22C2">
        <w:rPr>
          <w:rFonts w:ascii="Arial" w:hAnsi="Arial" w:cs="Arial"/>
          <w:sz w:val="18"/>
          <w:szCs w:val="18"/>
          <w:lang w:val="fr-CA"/>
        </w:rPr>
        <w:t>(7)</w:t>
      </w:r>
      <w:r w:rsidRPr="00BD22C2">
        <w:rPr>
          <w:rFonts w:ascii="Arial" w:hAnsi="Arial" w:cs="Arial"/>
          <w:sz w:val="18"/>
          <w:szCs w:val="18"/>
          <w:lang w:val="fr-CA"/>
        </w:rPr>
        <w:t>, 2023, p.</w:t>
      </w:r>
      <w:r w:rsidR="0091080B">
        <w:rPr>
          <w:rFonts w:ascii="Arial" w:hAnsi="Arial" w:cs="Arial"/>
          <w:sz w:val="18"/>
          <w:szCs w:val="18"/>
          <w:lang w:val="fr-CA"/>
        </w:rPr>
        <w:t> </w:t>
      </w:r>
      <w:r w:rsidR="0057522F" w:rsidRPr="00BD22C2">
        <w:rPr>
          <w:rFonts w:ascii="Arial" w:hAnsi="Arial" w:cs="Arial"/>
          <w:sz w:val="18"/>
          <w:szCs w:val="18"/>
          <w:lang w:val="fr-CA"/>
        </w:rPr>
        <w:t>449, à la</w:t>
      </w:r>
      <w:r w:rsidRPr="00BD22C2">
        <w:rPr>
          <w:rFonts w:ascii="Arial" w:hAnsi="Arial" w:cs="Arial"/>
          <w:sz w:val="18"/>
          <w:szCs w:val="18"/>
          <w:lang w:val="fr-CA"/>
        </w:rPr>
        <w:t xml:space="preserve"> p.</w:t>
      </w:r>
      <w:r w:rsidR="00F915F8" w:rsidRPr="00BD22C2">
        <w:rPr>
          <w:rFonts w:ascii="Arial" w:hAnsi="Arial" w:cs="Arial"/>
          <w:sz w:val="18"/>
          <w:szCs w:val="18"/>
          <w:lang w:val="fr-CA"/>
        </w:rPr>
        <w:t> </w:t>
      </w:r>
      <w:r w:rsidRPr="00BD22C2">
        <w:rPr>
          <w:rFonts w:ascii="Arial" w:hAnsi="Arial" w:cs="Arial"/>
          <w:sz w:val="18"/>
          <w:szCs w:val="18"/>
          <w:lang w:val="fr-CA"/>
        </w:rPr>
        <w:t xml:space="preserve">451. </w:t>
      </w:r>
      <w:hyperlink r:id="rId70" w:history="1">
        <w:r w:rsidRPr="00BD22C2">
          <w:rPr>
            <w:rStyle w:val="Lienhypertexte"/>
            <w:rFonts w:ascii="Arial" w:hAnsi="Arial" w:cs="Arial"/>
            <w:sz w:val="18"/>
            <w:szCs w:val="18"/>
            <w:lang w:val="fr-CA"/>
          </w:rPr>
          <w:t>https://doi.org/10.1093/pch/pxad046</w:t>
        </w:r>
      </w:hyperlink>
      <w:r w:rsidRPr="00BD22C2">
        <w:rPr>
          <w:rFonts w:ascii="Arial" w:hAnsi="Arial" w:cs="Arial"/>
          <w:sz w:val="18"/>
          <w:szCs w:val="18"/>
          <w:lang w:val="fr-CA"/>
        </w:rPr>
        <w:t xml:space="preserve"> </w:t>
      </w:r>
    </w:p>
  </w:endnote>
  <w:endnote w:id="87">
    <w:p w14:paraId="71CB841B" w14:textId="72AD22A3"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Haut-Commissariat aux droits de l’homme des Nations Unies</w:t>
      </w:r>
      <w:r w:rsidRPr="00BD22C2">
        <w:rPr>
          <w:rFonts w:ascii="Arial" w:hAnsi="Arial" w:cs="Arial"/>
          <w:sz w:val="18"/>
          <w:szCs w:val="18"/>
          <w:lang w:val="fr-CA"/>
        </w:rPr>
        <w:t xml:space="preserve">, </w:t>
      </w:r>
      <w:r w:rsidRPr="00BD22C2">
        <w:rPr>
          <w:rFonts w:ascii="Arial" w:hAnsi="Arial" w:cs="Arial"/>
          <w:i/>
          <w:sz w:val="18"/>
          <w:szCs w:val="18"/>
          <w:lang w:val="fr-CA"/>
        </w:rPr>
        <w:t>Les experts de l</w:t>
      </w:r>
      <w:r w:rsidR="003B361F" w:rsidRPr="00BD22C2">
        <w:rPr>
          <w:rFonts w:ascii="Arial" w:hAnsi="Arial" w:cs="Arial"/>
          <w:i/>
          <w:sz w:val="18"/>
          <w:szCs w:val="18"/>
          <w:lang w:val="fr-CA"/>
        </w:rPr>
        <w:t>’</w:t>
      </w:r>
      <w:r w:rsidRPr="00BD22C2">
        <w:rPr>
          <w:rFonts w:ascii="Arial" w:hAnsi="Arial" w:cs="Arial"/>
          <w:i/>
          <w:sz w:val="18"/>
          <w:szCs w:val="18"/>
          <w:lang w:val="fr-CA"/>
        </w:rPr>
        <w:t>ONU saluent la décision de "dépathologiser" les identités trans</w:t>
      </w:r>
      <w:r w:rsidRPr="00BD22C2">
        <w:rPr>
          <w:rFonts w:ascii="Arial" w:hAnsi="Arial" w:cs="Arial"/>
          <w:sz w:val="18"/>
          <w:szCs w:val="18"/>
          <w:lang w:val="fr-CA"/>
        </w:rPr>
        <w:t xml:space="preserve">, 2019, [En ligne]. </w:t>
      </w:r>
      <w:hyperlink r:id="rId71" w:history="1">
        <w:r w:rsidRPr="0085310E">
          <w:rPr>
            <w:rStyle w:val="Lienhypertexte"/>
            <w:rFonts w:ascii="Arial" w:hAnsi="Arial" w:cs="Arial"/>
            <w:sz w:val="18"/>
            <w:szCs w:val="18"/>
          </w:rPr>
          <w:t>https://www.ohchr.org/fr/2019/05/un-experts-hail-move-depathologise-trans-identities</w:t>
        </w:r>
      </w:hyperlink>
      <w:r w:rsidRPr="0085310E">
        <w:rPr>
          <w:rFonts w:ascii="Arial" w:hAnsi="Arial" w:cs="Arial"/>
          <w:sz w:val="18"/>
          <w:szCs w:val="18"/>
        </w:rPr>
        <w:t xml:space="preserve"> </w:t>
      </w:r>
    </w:p>
  </w:endnote>
  <w:endnote w:id="88">
    <w:p w14:paraId="2797F945" w14:textId="3B91D7CC"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Société canadienne de pédiatrie</w:t>
      </w:r>
      <w:r w:rsidRPr="00BD22C2">
        <w:rPr>
          <w:rFonts w:ascii="Arial" w:hAnsi="Arial" w:cs="Arial"/>
          <w:sz w:val="18"/>
          <w:szCs w:val="18"/>
          <w:lang w:val="fr-CA"/>
        </w:rPr>
        <w:t>, préc., note</w:t>
      </w:r>
      <w:r w:rsidR="00F915F8" w:rsidRPr="00BD22C2">
        <w:rPr>
          <w:rFonts w:ascii="Arial" w:hAnsi="Arial" w:cs="Arial"/>
          <w:sz w:val="18"/>
          <w:szCs w:val="18"/>
          <w:lang w:val="fr-CA"/>
        </w:rPr>
        <w:t> </w:t>
      </w:r>
      <w:r w:rsidRPr="00BD22C2">
        <w:rPr>
          <w:rFonts w:ascii="Arial" w:hAnsi="Arial" w:cs="Arial"/>
          <w:sz w:val="18"/>
          <w:szCs w:val="18"/>
          <w:lang w:val="fr-CA"/>
        </w:rPr>
        <w:fldChar w:fldCharType="begin"/>
      </w:r>
      <w:r w:rsidRPr="00BD22C2">
        <w:rPr>
          <w:rFonts w:ascii="Arial" w:hAnsi="Arial" w:cs="Arial"/>
          <w:sz w:val="18"/>
          <w:szCs w:val="18"/>
          <w:lang w:val="fr-CA"/>
        </w:rPr>
        <w:instrText xml:space="preserve"> NOTEREF _Ref161412576 \h </w:instrText>
      </w:r>
      <w:r w:rsidR="00543BB9" w:rsidRPr="00BD22C2">
        <w:rPr>
          <w:rFonts w:ascii="Arial" w:hAnsi="Arial" w:cs="Arial"/>
          <w:sz w:val="18"/>
          <w:szCs w:val="18"/>
          <w:lang w:val="fr-CA"/>
        </w:rPr>
        <w:instrText xml:space="preserve"> \* MERGEFORMAT </w:instrText>
      </w:r>
      <w:r w:rsidRPr="00BD22C2">
        <w:rPr>
          <w:rFonts w:ascii="Arial" w:hAnsi="Arial" w:cs="Arial"/>
          <w:sz w:val="18"/>
          <w:szCs w:val="18"/>
          <w:lang w:val="fr-CA"/>
        </w:rPr>
      </w:r>
      <w:r w:rsidRPr="00BD22C2">
        <w:rPr>
          <w:rFonts w:ascii="Arial" w:hAnsi="Arial" w:cs="Arial"/>
          <w:sz w:val="18"/>
          <w:szCs w:val="18"/>
          <w:lang w:val="fr-CA"/>
        </w:rPr>
        <w:fldChar w:fldCharType="separate"/>
      </w:r>
      <w:r w:rsidR="004B4881">
        <w:rPr>
          <w:rFonts w:ascii="Arial" w:hAnsi="Arial" w:cs="Arial"/>
          <w:sz w:val="18"/>
          <w:szCs w:val="18"/>
          <w:lang w:val="fr-CA"/>
        </w:rPr>
        <w:t>85</w:t>
      </w:r>
      <w:r w:rsidRPr="00BD22C2">
        <w:rPr>
          <w:rFonts w:ascii="Arial" w:hAnsi="Arial" w:cs="Arial"/>
          <w:sz w:val="18"/>
          <w:szCs w:val="18"/>
          <w:lang w:val="fr-CA"/>
        </w:rPr>
        <w:fldChar w:fldCharType="end"/>
      </w:r>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Rapport de l’Expert indépendant sur la protection contre la violence et la discrimination fondées sur l’orientation sexuelle et l’identité de genre</w:t>
      </w:r>
      <w:r w:rsidRPr="00BD22C2">
        <w:rPr>
          <w:rFonts w:ascii="Arial" w:hAnsi="Arial" w:cs="Arial"/>
          <w:sz w:val="18"/>
          <w:szCs w:val="18"/>
          <w:lang w:val="fr-CA"/>
        </w:rPr>
        <w:t>, 2018, Doc. N.</w:t>
      </w:r>
      <w:r w:rsidR="006305FE">
        <w:rPr>
          <w:rFonts w:ascii="Arial" w:hAnsi="Arial" w:cs="Arial"/>
          <w:sz w:val="18"/>
          <w:szCs w:val="18"/>
          <w:lang w:val="fr-CA"/>
        </w:rPr>
        <w:t> </w:t>
      </w:r>
      <w:r w:rsidRPr="00BD22C2">
        <w:rPr>
          <w:rFonts w:ascii="Arial" w:hAnsi="Arial" w:cs="Arial"/>
          <w:sz w:val="18"/>
          <w:szCs w:val="18"/>
          <w:lang w:val="fr-CA"/>
        </w:rPr>
        <w:t>U.</w:t>
      </w:r>
      <w:r w:rsidR="008B4522">
        <w:rPr>
          <w:rFonts w:ascii="Arial" w:hAnsi="Arial" w:cs="Arial"/>
          <w:sz w:val="18"/>
          <w:szCs w:val="18"/>
          <w:lang w:val="fr-CA"/>
        </w:rPr>
        <w:t> </w:t>
      </w:r>
      <w:r w:rsidRPr="00BD22C2">
        <w:rPr>
          <w:rFonts w:ascii="Arial" w:hAnsi="Arial" w:cs="Arial"/>
          <w:sz w:val="18"/>
          <w:szCs w:val="18"/>
          <w:lang w:val="fr-CA"/>
        </w:rPr>
        <w:t>A/73/152, par. 15.</w:t>
      </w:r>
    </w:p>
  </w:endnote>
  <w:endnote w:id="89">
    <w:p w14:paraId="0C42907B" w14:textId="5C8EE6EF" w:rsidR="006637BD" w:rsidRPr="0007145B" w:rsidRDefault="006637BD" w:rsidP="0007145B">
      <w:pPr>
        <w:pStyle w:val="Notedebasdepage"/>
      </w:pPr>
      <w:r w:rsidRPr="00BD22C2">
        <w:rPr>
          <w:rStyle w:val="Appeldenotedefin"/>
          <w:rFonts w:cs="Arial"/>
          <w:szCs w:val="18"/>
          <w:lang w:val="fr-CA"/>
        </w:rPr>
        <w:endnoteRef/>
      </w:r>
      <w:r w:rsidRPr="00E16C03">
        <w:rPr>
          <w:rFonts w:cs="Arial"/>
          <w:szCs w:val="18"/>
          <w:lang w:val="en-CA"/>
        </w:rPr>
        <w:t xml:space="preserve"> </w:t>
      </w:r>
      <w:r w:rsidRPr="00E16C03">
        <w:rPr>
          <w:rFonts w:cs="Arial"/>
          <w:szCs w:val="18"/>
          <w:lang w:val="en-CA"/>
        </w:rPr>
        <w:tab/>
        <w:t>Cette distinction est aussi faite par la D</w:t>
      </w:r>
      <w:r w:rsidRPr="00E16C03">
        <w:rPr>
          <w:rFonts w:cs="Arial"/>
          <w:szCs w:val="18"/>
          <w:vertAlign w:val="superscript"/>
          <w:lang w:val="en-CA"/>
        </w:rPr>
        <w:t>re</w:t>
      </w:r>
      <w:r w:rsidRPr="00E16C03">
        <w:rPr>
          <w:rFonts w:cs="Arial"/>
          <w:szCs w:val="18"/>
          <w:lang w:val="en-CA"/>
        </w:rPr>
        <w:t xml:space="preserve"> Hilary Cass, présidente de l’Examen indépendant des services d</w:t>
      </w:r>
      <w:r w:rsidR="003B361F" w:rsidRPr="00E16C03">
        <w:rPr>
          <w:rFonts w:cs="Arial"/>
          <w:szCs w:val="18"/>
          <w:lang w:val="en-CA"/>
        </w:rPr>
        <w:t>’</w:t>
      </w:r>
      <w:r w:rsidRPr="00E16C03">
        <w:rPr>
          <w:rFonts w:cs="Arial"/>
          <w:szCs w:val="18"/>
          <w:lang w:val="en-CA"/>
        </w:rPr>
        <w:t>identité de genre pour les enfants et les jeunes (Independent Review of Gender Identity Services for children and young people</w:t>
      </w:r>
      <w:r w:rsidR="00C567F2" w:rsidRPr="00E16C03">
        <w:rPr>
          <w:rFonts w:cs="Arial"/>
          <w:szCs w:val="18"/>
          <w:lang w:val="en-CA"/>
        </w:rPr>
        <w:t>)</w:t>
      </w:r>
      <w:r w:rsidR="00E30B76">
        <w:rPr>
          <w:rFonts w:cs="Arial"/>
          <w:szCs w:val="18"/>
          <w:lang w:val="en-CA"/>
        </w:rPr>
        <w:t> </w:t>
      </w:r>
      <w:r w:rsidR="00C567F2" w:rsidRPr="00E16C03">
        <w:rPr>
          <w:rFonts w:cs="Arial"/>
          <w:szCs w:val="18"/>
          <w:lang w:val="en-CA"/>
        </w:rPr>
        <w:t>:</w:t>
      </w:r>
      <w:r w:rsidRPr="00E16C03">
        <w:rPr>
          <w:rFonts w:cs="Arial"/>
          <w:szCs w:val="18"/>
          <w:lang w:val="en-CA"/>
        </w:rPr>
        <w:t xml:space="preserve"> «</w:t>
      </w:r>
      <w:r w:rsidR="0056005D" w:rsidRPr="00E16C03">
        <w:rPr>
          <w:rFonts w:cs="Arial"/>
          <w:szCs w:val="18"/>
          <w:lang w:val="en-CA"/>
        </w:rPr>
        <w:t> </w:t>
      </w:r>
      <w:r w:rsidRPr="00E16C03">
        <w:rPr>
          <w:rFonts w:cs="Arial"/>
          <w:szCs w:val="18"/>
          <w:lang w:val="en-CA"/>
        </w:rPr>
        <w:t>I have also noticed some debate around the inclusion of the need for a diagnosis and differential diagnosis, and whether that means we are pathologising gender identity or seeing it as a mental health problem. I think it is worth clarifying what is meant by these terms. Applying medical thinking to gender identity isn’t required until and unless a young person needs treatment</w:t>
      </w:r>
      <w:r w:rsidR="0056005D" w:rsidRPr="00E16C03">
        <w:rPr>
          <w:rFonts w:cs="Arial"/>
          <w:szCs w:val="18"/>
          <w:lang w:val="en-CA"/>
        </w:rPr>
        <w:t> </w:t>
      </w:r>
      <w:r w:rsidRPr="00E16C03">
        <w:rPr>
          <w:rFonts w:cs="Arial"/>
          <w:szCs w:val="18"/>
          <w:lang w:val="en-CA"/>
        </w:rPr>
        <w:t>»</w:t>
      </w:r>
      <w:r w:rsidR="00E25C13" w:rsidRPr="00E16C03">
        <w:rPr>
          <w:rFonts w:cs="Arial"/>
          <w:szCs w:val="18"/>
          <w:lang w:val="en-CA"/>
        </w:rPr>
        <w:t>.</w:t>
      </w:r>
      <w:r w:rsidRPr="00E16C03">
        <w:rPr>
          <w:rFonts w:cs="Arial"/>
          <w:szCs w:val="18"/>
          <w:lang w:val="en-CA"/>
        </w:rPr>
        <w:t xml:space="preserve"> Hilary </w:t>
      </w:r>
      <w:r w:rsidRPr="00E16C03">
        <w:rPr>
          <w:rFonts w:cs="Arial"/>
          <w:smallCaps/>
          <w:szCs w:val="18"/>
          <w:lang w:val="en-CA"/>
        </w:rPr>
        <w:t>Cass</w:t>
      </w:r>
      <w:r w:rsidRPr="00E16C03">
        <w:rPr>
          <w:rFonts w:cs="Arial"/>
          <w:szCs w:val="18"/>
          <w:lang w:val="en-CA"/>
        </w:rPr>
        <w:t>, «</w:t>
      </w:r>
      <w:r w:rsidR="00444FEB">
        <w:rPr>
          <w:rFonts w:cs="Arial"/>
          <w:szCs w:val="18"/>
          <w:lang w:val="en-CA"/>
        </w:rPr>
        <w:t> </w:t>
      </w:r>
      <w:r w:rsidRPr="00E16C03">
        <w:rPr>
          <w:rFonts w:cs="Arial"/>
          <w:szCs w:val="18"/>
          <w:lang w:val="en-CA"/>
        </w:rPr>
        <w:t>Entry 6</w:t>
      </w:r>
      <w:r w:rsidR="00BB3F16" w:rsidRPr="00E16C03">
        <w:rPr>
          <w:rFonts w:cs="Arial"/>
          <w:szCs w:val="18"/>
          <w:lang w:val="en-CA"/>
        </w:rPr>
        <w:t>—</w:t>
      </w:r>
      <w:r w:rsidRPr="00E16C03">
        <w:rPr>
          <w:rFonts w:cs="Arial"/>
          <w:szCs w:val="18"/>
          <w:lang w:val="en-CA"/>
        </w:rPr>
        <w:t>Following the interim report (March 2022)</w:t>
      </w:r>
      <w:r w:rsidR="00444FEB">
        <w:rPr>
          <w:rFonts w:cs="Arial"/>
          <w:szCs w:val="18"/>
          <w:lang w:val="en-CA"/>
        </w:rPr>
        <w:t> </w:t>
      </w:r>
      <w:r w:rsidRPr="00E16C03">
        <w:rPr>
          <w:rFonts w:cs="Arial"/>
          <w:szCs w:val="18"/>
          <w:lang w:val="en-CA"/>
        </w:rPr>
        <w:t>», 29</w:t>
      </w:r>
      <w:r w:rsidR="00762FE8">
        <w:rPr>
          <w:rFonts w:cs="Arial"/>
          <w:szCs w:val="18"/>
          <w:lang w:val="en-CA"/>
        </w:rPr>
        <w:t> </w:t>
      </w:r>
      <w:r w:rsidRPr="00E16C03">
        <w:rPr>
          <w:rFonts w:cs="Arial"/>
          <w:szCs w:val="18"/>
          <w:lang w:val="en-CA"/>
        </w:rPr>
        <w:t xml:space="preserve">mars 2022, [En ligne]. </w:t>
      </w:r>
      <w:r>
        <w:fldChar w:fldCharType="begin"/>
      </w:r>
      <w:r w:rsidRPr="003E3312">
        <w:rPr>
          <w:lang w:val="en-CA"/>
        </w:rPr>
        <w:instrText>HYPERLINK "https://cass.independent-review.uk/entry-6-following-the-interim-report-march-2022/"</w:instrText>
      </w:r>
      <w:r>
        <w:fldChar w:fldCharType="separate"/>
      </w:r>
      <w:r w:rsidRPr="00F74847">
        <w:rPr>
          <w:rStyle w:val="Lienhypertexte"/>
          <w:rFonts w:cs="Arial"/>
          <w:szCs w:val="18"/>
          <w:lang w:val="fr-CA"/>
        </w:rPr>
        <w:t>https://cass.independent-review.uk/entry-6-following-the-interim-report-march-2022/</w:t>
      </w:r>
      <w:r>
        <w:rPr>
          <w:rStyle w:val="Lienhypertexte"/>
          <w:rFonts w:cs="Arial"/>
          <w:szCs w:val="18"/>
          <w:lang w:val="fr-CA"/>
        </w:rPr>
        <w:fldChar w:fldCharType="end"/>
      </w:r>
      <w:r w:rsidRPr="00F74847">
        <w:rPr>
          <w:rFonts w:cs="Arial"/>
          <w:szCs w:val="18"/>
          <w:lang w:val="fr-CA"/>
        </w:rPr>
        <w:t xml:space="preserve"> </w:t>
      </w:r>
      <w:r w:rsidR="00F74847" w:rsidRPr="00F74847">
        <w:rPr>
          <w:rFonts w:cs="Arial"/>
          <w:szCs w:val="18"/>
          <w:lang w:val="fr-CA"/>
        </w:rPr>
        <w:t xml:space="preserve">Il </w:t>
      </w:r>
      <w:r w:rsidR="00F74847">
        <w:rPr>
          <w:rFonts w:cs="Arial"/>
          <w:szCs w:val="18"/>
          <w:lang w:val="fr-CA"/>
        </w:rPr>
        <w:t>est cependant à noter qu</w:t>
      </w:r>
      <w:r w:rsidR="00220EBF">
        <w:rPr>
          <w:rFonts w:cs="Arial"/>
          <w:szCs w:val="18"/>
          <w:lang w:val="fr-CA"/>
        </w:rPr>
        <w:t>’un diagnostic n’est pas considéré</w:t>
      </w:r>
      <w:r w:rsidR="009C70AD">
        <w:rPr>
          <w:rFonts w:cs="Arial"/>
          <w:szCs w:val="18"/>
          <w:lang w:val="fr-CA"/>
        </w:rPr>
        <w:t xml:space="preserve"> requis à cette fin</w:t>
      </w:r>
      <w:r w:rsidR="00220EBF">
        <w:rPr>
          <w:rFonts w:cs="Arial"/>
          <w:szCs w:val="18"/>
          <w:lang w:val="fr-CA"/>
        </w:rPr>
        <w:t xml:space="preserve"> dans tous les contextes</w:t>
      </w:r>
      <w:r w:rsidR="009C70AD">
        <w:rPr>
          <w:rFonts w:cs="Arial"/>
          <w:szCs w:val="18"/>
          <w:lang w:val="fr-CA"/>
        </w:rPr>
        <w:t>.</w:t>
      </w:r>
      <w:r w:rsidR="001E1744">
        <w:rPr>
          <w:rFonts w:cs="Arial"/>
          <w:szCs w:val="18"/>
          <w:lang w:val="fr-CA"/>
        </w:rPr>
        <w:t xml:space="preserve"> Voir D</w:t>
      </w:r>
      <w:r w:rsidR="001E1744">
        <w:rPr>
          <w:rFonts w:cs="Arial"/>
          <w:smallCaps/>
          <w:szCs w:val="18"/>
          <w:lang w:val="fr-CA"/>
        </w:rPr>
        <w:t>éfenseur des droits – République française</w:t>
      </w:r>
      <w:r w:rsidR="001E1744">
        <w:rPr>
          <w:rFonts w:cs="Arial"/>
          <w:szCs w:val="18"/>
          <w:lang w:val="fr-CA"/>
        </w:rPr>
        <w:t xml:space="preserve">, </w:t>
      </w:r>
      <w:r w:rsidR="0007145B" w:rsidRPr="007A31FF">
        <w:rPr>
          <w:i/>
          <w:iCs/>
        </w:rPr>
        <w:t>Avis du Défenseur des droits n°</w:t>
      </w:r>
      <w:r w:rsidR="0091080B">
        <w:rPr>
          <w:i/>
          <w:iCs/>
        </w:rPr>
        <w:t> </w:t>
      </w:r>
      <w:r w:rsidR="0007145B" w:rsidRPr="007A31FF">
        <w:rPr>
          <w:i/>
          <w:iCs/>
        </w:rPr>
        <w:t>24-05</w:t>
      </w:r>
      <w:r w:rsidR="0007145B">
        <w:t>, 6</w:t>
      </w:r>
      <w:r w:rsidR="00762FE8">
        <w:t> </w:t>
      </w:r>
      <w:r w:rsidR="0007145B">
        <w:t>mai 2024, p.</w:t>
      </w:r>
      <w:r w:rsidR="0091080B">
        <w:t> </w:t>
      </w:r>
      <w:r w:rsidR="0007145B">
        <w:t xml:space="preserve">11, En ligne]. </w:t>
      </w:r>
      <w:hyperlink r:id="rId72" w:history="1">
        <w:r w:rsidR="0007145B" w:rsidRPr="00380AC5">
          <w:rPr>
            <w:rStyle w:val="Lienhypertexte"/>
            <w:lang w:val="fr-CA"/>
          </w:rPr>
          <w:t>https://juridique.defenseurdesdroits.fr/index.php?lvl=notice_display&amp;id=50479&amp;opac_view=-1</w:t>
        </w:r>
      </w:hyperlink>
      <w:r w:rsidR="0007145B">
        <w:t xml:space="preserve"> </w:t>
      </w:r>
    </w:p>
  </w:endnote>
  <w:endnote w:id="90">
    <w:p w14:paraId="22144600" w14:textId="7E917B14" w:rsidR="00E23F20" w:rsidRPr="00BD22C2" w:rsidRDefault="00E23F2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CC60F4" w:rsidRPr="00E16C03">
        <w:rPr>
          <w:rFonts w:ascii="Arial" w:hAnsi="Arial" w:cs="Arial"/>
          <w:sz w:val="18"/>
          <w:szCs w:val="18"/>
          <w:lang w:val="en-CA"/>
        </w:rPr>
        <w:tab/>
      </w:r>
      <w:r w:rsidR="008217D8" w:rsidRPr="00E16C03">
        <w:rPr>
          <w:rFonts w:ascii="Arial" w:hAnsi="Arial" w:cs="Arial"/>
          <w:smallCaps/>
          <w:sz w:val="18"/>
          <w:szCs w:val="18"/>
          <w:lang w:val="en-CA"/>
        </w:rPr>
        <w:t>Independent review of gender identity services for children and young people</w:t>
      </w:r>
      <w:r w:rsidR="00E25C13" w:rsidRPr="00E16C03">
        <w:rPr>
          <w:rFonts w:ascii="Arial" w:hAnsi="Arial" w:cs="Arial"/>
          <w:smallCaps/>
          <w:sz w:val="18"/>
          <w:szCs w:val="18"/>
          <w:lang w:val="en-CA"/>
        </w:rPr>
        <w:t xml:space="preserve"> (</w:t>
      </w:r>
      <w:r w:rsidR="00F251E7" w:rsidRPr="00E16C03">
        <w:rPr>
          <w:rFonts w:ascii="Arial" w:hAnsi="Arial" w:cs="Arial"/>
          <w:sz w:val="18"/>
          <w:szCs w:val="18"/>
          <w:lang w:val="en-CA"/>
        </w:rPr>
        <w:t>Hilary</w:t>
      </w:r>
      <w:r w:rsidR="00F251E7" w:rsidRPr="00E16C03">
        <w:rPr>
          <w:rFonts w:ascii="Arial" w:hAnsi="Arial" w:cs="Arial"/>
          <w:smallCaps/>
          <w:sz w:val="18"/>
          <w:szCs w:val="18"/>
          <w:lang w:val="en-CA"/>
        </w:rPr>
        <w:t xml:space="preserve"> Cass)</w:t>
      </w:r>
      <w:r w:rsidR="008217D8" w:rsidRPr="00E16C03">
        <w:rPr>
          <w:rFonts w:ascii="Arial" w:hAnsi="Arial" w:cs="Arial"/>
          <w:sz w:val="18"/>
          <w:szCs w:val="18"/>
          <w:lang w:val="en-CA"/>
        </w:rPr>
        <w:t xml:space="preserve">, </w:t>
      </w:r>
      <w:r w:rsidR="0005368A" w:rsidRPr="00E16C03">
        <w:rPr>
          <w:rFonts w:ascii="Arial" w:hAnsi="Arial" w:cs="Arial"/>
          <w:i/>
          <w:sz w:val="18"/>
          <w:szCs w:val="18"/>
          <w:lang w:val="en-CA"/>
        </w:rPr>
        <w:t>Final Report</w:t>
      </w:r>
      <w:r w:rsidR="0005368A" w:rsidRPr="00E16C03">
        <w:rPr>
          <w:rFonts w:ascii="Arial" w:hAnsi="Arial" w:cs="Arial"/>
          <w:sz w:val="18"/>
          <w:szCs w:val="18"/>
          <w:lang w:val="en-CA"/>
        </w:rPr>
        <w:t xml:space="preserve">, 2024, </w:t>
      </w:r>
      <w:r w:rsidR="006112F4" w:rsidRPr="00E16C03">
        <w:rPr>
          <w:rFonts w:ascii="Arial" w:hAnsi="Arial" w:cs="Arial"/>
          <w:sz w:val="18"/>
          <w:szCs w:val="18"/>
          <w:lang w:val="en-CA"/>
        </w:rPr>
        <w:t>p.</w:t>
      </w:r>
      <w:r w:rsidR="00A42DB7" w:rsidRPr="00E16C03">
        <w:rPr>
          <w:rFonts w:ascii="Arial" w:hAnsi="Arial" w:cs="Arial"/>
          <w:sz w:val="18"/>
          <w:szCs w:val="18"/>
          <w:lang w:val="en-CA"/>
        </w:rPr>
        <w:t> </w:t>
      </w:r>
      <w:r w:rsidR="006112F4" w:rsidRPr="00E16C03">
        <w:rPr>
          <w:rFonts w:ascii="Arial" w:hAnsi="Arial" w:cs="Arial"/>
          <w:sz w:val="18"/>
          <w:szCs w:val="18"/>
          <w:lang w:val="en-CA"/>
        </w:rPr>
        <w:t xml:space="preserve">146, </w:t>
      </w:r>
      <w:r w:rsidR="008217D8" w:rsidRPr="00E16C03">
        <w:rPr>
          <w:rFonts w:ascii="Arial" w:hAnsi="Arial" w:cs="Arial"/>
          <w:sz w:val="18"/>
          <w:szCs w:val="18"/>
          <w:lang w:val="en-CA"/>
        </w:rPr>
        <w:t>[En ligne].</w:t>
      </w:r>
      <w:r w:rsidR="00E913F4" w:rsidRPr="00E16C03">
        <w:rPr>
          <w:rFonts w:ascii="Arial" w:hAnsi="Arial" w:cs="Arial"/>
          <w:sz w:val="18"/>
          <w:szCs w:val="18"/>
          <w:lang w:val="en-CA"/>
        </w:rPr>
        <w:t xml:space="preserve"> </w:t>
      </w:r>
      <w:hyperlink r:id="rId73" w:history="1">
        <w:r w:rsidR="00CD765B" w:rsidRPr="00BD22C2">
          <w:rPr>
            <w:rStyle w:val="Lienhypertexte"/>
            <w:rFonts w:ascii="Arial" w:hAnsi="Arial" w:cs="Arial"/>
            <w:sz w:val="18"/>
            <w:szCs w:val="18"/>
            <w:lang w:val="fr-CA"/>
          </w:rPr>
          <w:t>https://cass.independent-review.uk/home/publications/final-report/</w:t>
        </w:r>
      </w:hyperlink>
      <w:r w:rsidR="00CD765B" w:rsidRPr="00BD22C2">
        <w:rPr>
          <w:rFonts w:ascii="Arial" w:hAnsi="Arial" w:cs="Arial"/>
          <w:sz w:val="18"/>
          <w:szCs w:val="18"/>
          <w:lang w:val="fr-CA"/>
        </w:rPr>
        <w:t xml:space="preserve"> </w:t>
      </w:r>
    </w:p>
  </w:endnote>
  <w:endnote w:id="91">
    <w:p w14:paraId="4812CB4D" w14:textId="59CEA600" w:rsidR="006637BD" w:rsidRPr="00BD22C2" w:rsidRDefault="006637B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Haut-Commissariat aux droits de l’homme des Nations Unies</w:t>
      </w:r>
      <w:r w:rsidRPr="00BD22C2">
        <w:rPr>
          <w:rFonts w:ascii="Arial" w:hAnsi="Arial" w:cs="Arial"/>
          <w:sz w:val="18"/>
          <w:szCs w:val="18"/>
          <w:lang w:val="fr-CA"/>
        </w:rPr>
        <w:t>, préc., note</w:t>
      </w:r>
      <w:r w:rsidR="0091080B">
        <w:rPr>
          <w:rFonts w:ascii="Arial" w:hAnsi="Arial" w:cs="Arial"/>
          <w:sz w:val="18"/>
          <w:szCs w:val="18"/>
          <w:lang w:val="fr-CA"/>
        </w:rPr>
        <w:t> </w:t>
      </w:r>
      <w:r w:rsidRPr="00BD22C2">
        <w:rPr>
          <w:rFonts w:ascii="Arial" w:hAnsi="Arial" w:cs="Arial"/>
          <w:sz w:val="18"/>
          <w:szCs w:val="18"/>
          <w:lang w:val="fr-CA"/>
        </w:rPr>
        <w:fldChar w:fldCharType="begin"/>
      </w:r>
      <w:r w:rsidRPr="00BD22C2">
        <w:rPr>
          <w:rFonts w:ascii="Arial" w:hAnsi="Arial" w:cs="Arial"/>
          <w:sz w:val="18"/>
          <w:szCs w:val="18"/>
          <w:lang w:val="fr-CA"/>
        </w:rPr>
        <w:instrText xml:space="preserve"> NOTEREF _Ref161412587 \h </w:instrText>
      </w:r>
      <w:r w:rsidR="00543BB9" w:rsidRPr="00BD22C2">
        <w:rPr>
          <w:rFonts w:ascii="Arial" w:hAnsi="Arial" w:cs="Arial"/>
          <w:sz w:val="18"/>
          <w:szCs w:val="18"/>
          <w:lang w:val="fr-CA"/>
        </w:rPr>
        <w:instrText xml:space="preserve"> \* MERGEFORMAT </w:instrText>
      </w:r>
      <w:r w:rsidRPr="00BD22C2">
        <w:rPr>
          <w:rFonts w:ascii="Arial" w:hAnsi="Arial" w:cs="Arial"/>
          <w:sz w:val="18"/>
          <w:szCs w:val="18"/>
          <w:lang w:val="fr-CA"/>
        </w:rPr>
      </w:r>
      <w:r w:rsidRPr="00BD22C2">
        <w:rPr>
          <w:rFonts w:ascii="Arial" w:hAnsi="Arial" w:cs="Arial"/>
          <w:sz w:val="18"/>
          <w:szCs w:val="18"/>
          <w:lang w:val="fr-CA"/>
        </w:rPr>
        <w:fldChar w:fldCharType="separate"/>
      </w:r>
      <w:r w:rsidR="004B4881">
        <w:rPr>
          <w:rFonts w:ascii="Arial" w:hAnsi="Arial" w:cs="Arial"/>
          <w:sz w:val="18"/>
          <w:szCs w:val="18"/>
          <w:lang w:val="fr-CA"/>
        </w:rPr>
        <w:t>86</w:t>
      </w:r>
      <w:r w:rsidRPr="00BD22C2">
        <w:rPr>
          <w:rFonts w:ascii="Arial" w:hAnsi="Arial" w:cs="Arial"/>
          <w:sz w:val="18"/>
          <w:szCs w:val="18"/>
          <w:lang w:val="fr-CA"/>
        </w:rPr>
        <w:fldChar w:fldCharType="end"/>
      </w:r>
      <w:r w:rsidRPr="00BD22C2">
        <w:rPr>
          <w:rFonts w:ascii="Arial" w:hAnsi="Arial" w:cs="Arial"/>
          <w:sz w:val="18"/>
          <w:szCs w:val="18"/>
          <w:lang w:val="fr-CA"/>
        </w:rPr>
        <w:t>.</w:t>
      </w:r>
    </w:p>
  </w:endnote>
  <w:endnote w:id="92">
    <w:p w14:paraId="140E1F38" w14:textId="790F668A" w:rsidR="006637BD" w:rsidRPr="0085310E" w:rsidRDefault="006637B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Jane M. </w:t>
      </w:r>
      <w:r w:rsidRPr="00E16C03">
        <w:rPr>
          <w:rFonts w:ascii="Arial" w:hAnsi="Arial" w:cs="Arial"/>
          <w:smallCaps/>
          <w:sz w:val="18"/>
          <w:szCs w:val="18"/>
          <w:lang w:val="en-CA"/>
        </w:rPr>
        <w:t>Ussher</w:t>
      </w:r>
      <w:r w:rsidRPr="00E16C03">
        <w:rPr>
          <w:rFonts w:ascii="Arial" w:hAnsi="Arial" w:cs="Arial"/>
          <w:sz w:val="18"/>
          <w:szCs w:val="18"/>
          <w:lang w:val="en-CA"/>
        </w:rPr>
        <w:t>, «</w:t>
      </w:r>
      <w:r w:rsidR="0056005D" w:rsidRPr="00E16C03">
        <w:rPr>
          <w:rFonts w:ascii="Arial" w:hAnsi="Arial" w:cs="Arial"/>
          <w:sz w:val="18"/>
          <w:szCs w:val="18"/>
          <w:lang w:val="en-CA"/>
        </w:rPr>
        <w:t> </w:t>
      </w:r>
      <w:r w:rsidRPr="00E16C03">
        <w:rPr>
          <w:rFonts w:ascii="Arial" w:hAnsi="Arial" w:cs="Arial"/>
          <w:sz w:val="18"/>
          <w:szCs w:val="18"/>
          <w:lang w:val="en-CA"/>
        </w:rPr>
        <w:t>Diagnosing difficult women and pathologising femininity: Gender bias in psychiatric nosology</w:t>
      </w:r>
      <w:r w:rsidR="0056005D" w:rsidRPr="00E16C03">
        <w:rPr>
          <w:rFonts w:ascii="Arial" w:hAnsi="Arial" w:cs="Arial"/>
          <w:sz w:val="18"/>
          <w:szCs w:val="18"/>
          <w:lang w:val="en-CA"/>
        </w:rPr>
        <w:t> </w:t>
      </w:r>
      <w:r w:rsidRPr="00E16C03">
        <w:rPr>
          <w:rFonts w:ascii="Arial" w:hAnsi="Arial" w:cs="Arial"/>
          <w:sz w:val="18"/>
          <w:szCs w:val="18"/>
          <w:lang w:val="en-CA"/>
        </w:rPr>
        <w:t xml:space="preserve">», </w:t>
      </w:r>
      <w:r w:rsidRPr="00E16C03">
        <w:rPr>
          <w:rFonts w:ascii="Arial" w:hAnsi="Arial" w:cs="Arial"/>
          <w:i/>
          <w:sz w:val="18"/>
          <w:szCs w:val="18"/>
          <w:lang w:val="en-CA"/>
        </w:rPr>
        <w:t>Feminism &amp; Psychology</w:t>
      </w:r>
      <w:r w:rsidRPr="00E16C03">
        <w:rPr>
          <w:rFonts w:ascii="Arial" w:hAnsi="Arial" w:cs="Arial"/>
          <w:sz w:val="18"/>
          <w:szCs w:val="18"/>
          <w:lang w:val="en-CA"/>
        </w:rPr>
        <w:t>, 23(1), 2013, p.</w:t>
      </w:r>
      <w:r w:rsidR="00F915F8" w:rsidRPr="00E16C03">
        <w:rPr>
          <w:rFonts w:ascii="Arial" w:hAnsi="Arial" w:cs="Arial"/>
          <w:sz w:val="18"/>
          <w:szCs w:val="18"/>
          <w:lang w:val="en-CA"/>
        </w:rPr>
        <w:t> </w:t>
      </w:r>
      <w:r w:rsidRPr="00E16C03">
        <w:rPr>
          <w:rFonts w:ascii="Arial" w:hAnsi="Arial" w:cs="Arial"/>
          <w:sz w:val="18"/>
          <w:szCs w:val="18"/>
          <w:lang w:val="en-CA"/>
        </w:rPr>
        <w:t>63</w:t>
      </w:r>
      <w:r w:rsidR="001E4C7F">
        <w:rPr>
          <w:rFonts w:ascii="Arial" w:hAnsi="Arial" w:cs="Arial"/>
          <w:sz w:val="18"/>
          <w:szCs w:val="18"/>
          <w:lang w:val="en-CA"/>
        </w:rPr>
        <w:t xml:space="preserve"> à </w:t>
      </w:r>
      <w:r w:rsidRPr="00E16C03">
        <w:rPr>
          <w:rFonts w:ascii="Arial" w:hAnsi="Arial" w:cs="Arial"/>
          <w:sz w:val="18"/>
          <w:szCs w:val="18"/>
          <w:lang w:val="en-CA"/>
        </w:rPr>
        <w:t xml:space="preserve">69. </w:t>
      </w:r>
      <w:hyperlink r:id="rId74" w:history="1">
        <w:r w:rsidRPr="00BD22C2">
          <w:rPr>
            <w:rStyle w:val="Lienhypertexte"/>
            <w:rFonts w:ascii="Arial" w:hAnsi="Arial" w:cs="Arial"/>
            <w:sz w:val="18"/>
            <w:szCs w:val="18"/>
            <w:lang w:val="fr-CA"/>
          </w:rPr>
          <w:t>https://doi.org/10.1177/0959353512467968</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Suzanne </w:t>
      </w:r>
      <w:r w:rsidRPr="00BD22C2">
        <w:rPr>
          <w:rFonts w:ascii="Arial" w:hAnsi="Arial" w:cs="Arial"/>
          <w:smallCaps/>
          <w:sz w:val="18"/>
          <w:szCs w:val="18"/>
          <w:lang w:val="fr-CA"/>
        </w:rPr>
        <w:t>Zaccour</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Femmes hystériques et mères névrosées</w:t>
      </w:r>
      <w:r w:rsidR="00E8063A" w:rsidRPr="00BD22C2">
        <w:rPr>
          <w:rFonts w:ascii="Arial" w:hAnsi="Arial" w:cs="Arial"/>
          <w:sz w:val="18"/>
          <w:szCs w:val="18"/>
          <w:lang w:val="fr-CA"/>
        </w:rPr>
        <w:t> </w:t>
      </w:r>
      <w:r w:rsidRPr="00BD22C2">
        <w:rPr>
          <w:rFonts w:ascii="Arial" w:hAnsi="Arial" w:cs="Arial"/>
          <w:sz w:val="18"/>
          <w:szCs w:val="18"/>
          <w:lang w:val="fr-CA"/>
        </w:rPr>
        <w:t>: les références genrées à la santé mentale des mères dans les litiges de garde d’enfant</w:t>
      </w:r>
      <w:r w:rsidR="0056005D" w:rsidRPr="00BD22C2">
        <w:rPr>
          <w:rFonts w:ascii="Arial" w:hAnsi="Arial" w:cs="Arial"/>
          <w:sz w:val="18"/>
          <w:szCs w:val="18"/>
          <w:lang w:val="fr-CA"/>
        </w:rPr>
        <w:t> </w:t>
      </w:r>
      <w:r w:rsidRPr="00BD22C2">
        <w:rPr>
          <w:rFonts w:ascii="Arial" w:hAnsi="Arial" w:cs="Arial"/>
          <w:sz w:val="18"/>
          <w:szCs w:val="18"/>
          <w:lang w:val="fr-CA"/>
        </w:rPr>
        <w:t>», Discussions autour de recherches étudiantes sur les familles au Québec, Actes du colloque étudiant</w:t>
      </w:r>
      <w:r w:rsidR="00F915F8" w:rsidRPr="00BD22C2">
        <w:rPr>
          <w:rFonts w:ascii="Arial" w:hAnsi="Arial" w:cs="Arial"/>
          <w:sz w:val="18"/>
          <w:szCs w:val="18"/>
          <w:lang w:val="fr-CA"/>
        </w:rPr>
        <w:t> </w:t>
      </w:r>
      <w:r w:rsidRPr="00BD22C2">
        <w:rPr>
          <w:rFonts w:ascii="Arial" w:hAnsi="Arial" w:cs="Arial"/>
          <w:sz w:val="18"/>
          <w:szCs w:val="18"/>
          <w:lang w:val="fr-CA"/>
        </w:rPr>
        <w:t>2016 du Partenariat de recherche Familles en mouvance, 2017, p. 49</w:t>
      </w:r>
      <w:r w:rsidR="006516C4">
        <w:rPr>
          <w:rFonts w:ascii="Arial" w:hAnsi="Arial" w:cs="Arial"/>
          <w:sz w:val="18"/>
          <w:szCs w:val="18"/>
          <w:lang w:val="fr-CA"/>
        </w:rPr>
        <w:t xml:space="preserve"> et </w:t>
      </w:r>
      <w:r w:rsidRPr="00BD22C2">
        <w:rPr>
          <w:rFonts w:ascii="Arial" w:hAnsi="Arial" w:cs="Arial"/>
          <w:sz w:val="18"/>
          <w:szCs w:val="18"/>
          <w:lang w:val="fr-CA"/>
        </w:rPr>
        <w:t xml:space="preserve">50. </w:t>
      </w:r>
      <w:hyperlink r:id="rId75" w:history="1">
        <w:r w:rsidRPr="0085310E">
          <w:rPr>
            <w:rStyle w:val="Lienhypertexte"/>
            <w:rFonts w:ascii="Arial" w:hAnsi="Arial" w:cs="Arial"/>
            <w:sz w:val="18"/>
            <w:szCs w:val="18"/>
          </w:rPr>
          <w:t>https://espace.inrs.ca/id/eprint/6286/1/Actes_Colloque%20%C3%A9tudiant_2016.pdf</w:t>
        </w:r>
      </w:hyperlink>
      <w:r w:rsidRPr="0085310E">
        <w:rPr>
          <w:rFonts w:ascii="Arial" w:hAnsi="Arial" w:cs="Arial"/>
          <w:sz w:val="18"/>
          <w:szCs w:val="18"/>
        </w:rPr>
        <w:t xml:space="preserve"> </w:t>
      </w:r>
    </w:p>
  </w:endnote>
  <w:endnote w:id="93">
    <w:p w14:paraId="4EA0240A" w14:textId="79083E29" w:rsidR="00D57FB4" w:rsidRPr="0085310E" w:rsidRDefault="00D57FB4"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Profilage racial</w:t>
      </w:r>
      <w:r w:rsidR="00E8063A" w:rsidRPr="00BD22C2">
        <w:rPr>
          <w:rFonts w:ascii="Arial" w:hAnsi="Arial" w:cs="Arial"/>
          <w:i/>
          <w:sz w:val="18"/>
          <w:szCs w:val="18"/>
          <w:lang w:val="fr-CA"/>
        </w:rPr>
        <w:t> </w:t>
      </w:r>
      <w:r w:rsidRPr="00BD22C2">
        <w:rPr>
          <w:rFonts w:ascii="Arial" w:hAnsi="Arial" w:cs="Arial"/>
          <w:i/>
          <w:sz w:val="18"/>
          <w:szCs w:val="18"/>
          <w:lang w:val="fr-CA"/>
        </w:rPr>
        <w:t>: mise en contexte et définition</w:t>
      </w:r>
      <w:r w:rsidRPr="00BD22C2">
        <w:rPr>
          <w:rFonts w:ascii="Arial" w:hAnsi="Arial" w:cs="Arial"/>
          <w:sz w:val="18"/>
          <w:szCs w:val="18"/>
          <w:lang w:val="fr-CA"/>
        </w:rPr>
        <w:t>, M</w:t>
      </w:r>
      <w:r w:rsidRPr="00BD22C2">
        <w:rPr>
          <w:rFonts w:ascii="Arial" w:hAnsi="Arial" w:cs="Arial"/>
          <w:sz w:val="18"/>
          <w:szCs w:val="18"/>
          <w:vertAlign w:val="superscript"/>
          <w:lang w:val="fr-CA"/>
        </w:rPr>
        <w:t>e</w:t>
      </w:r>
      <w:r w:rsidRPr="00BD22C2">
        <w:rPr>
          <w:rFonts w:ascii="Arial" w:hAnsi="Arial" w:cs="Arial"/>
          <w:sz w:val="18"/>
          <w:szCs w:val="18"/>
          <w:lang w:val="fr-CA"/>
        </w:rPr>
        <w:t xml:space="preserve"> Michèle </w:t>
      </w:r>
      <w:r w:rsidRPr="007340FB">
        <w:rPr>
          <w:rFonts w:ascii="Arial" w:hAnsi="Arial" w:cs="Arial"/>
          <w:smallCaps/>
          <w:sz w:val="18"/>
          <w:szCs w:val="18"/>
          <w:lang w:val="fr-CA"/>
        </w:rPr>
        <w:t>Turenne</w:t>
      </w:r>
      <w:r w:rsidRPr="00BD22C2">
        <w:rPr>
          <w:rFonts w:ascii="Arial" w:hAnsi="Arial" w:cs="Arial"/>
          <w:sz w:val="18"/>
          <w:szCs w:val="18"/>
          <w:lang w:val="fr-CA"/>
        </w:rPr>
        <w:t>, (Cat. 2.120-1.25), 2005, p.</w:t>
      </w:r>
      <w:r w:rsidR="0091080B">
        <w:rPr>
          <w:rFonts w:ascii="Arial" w:hAnsi="Arial" w:cs="Arial"/>
          <w:sz w:val="18"/>
          <w:szCs w:val="18"/>
          <w:lang w:val="fr-CA"/>
        </w:rPr>
        <w:t> </w:t>
      </w:r>
      <w:r w:rsidRPr="00BD22C2">
        <w:rPr>
          <w:rFonts w:ascii="Arial" w:hAnsi="Arial" w:cs="Arial"/>
          <w:sz w:val="18"/>
          <w:szCs w:val="18"/>
          <w:lang w:val="fr-CA"/>
        </w:rPr>
        <w:t xml:space="preserve">15, [En ligne]. </w:t>
      </w:r>
      <w:hyperlink r:id="rId76" w:history="1">
        <w:r w:rsidRPr="0085310E">
          <w:rPr>
            <w:rStyle w:val="Lienhypertexte"/>
            <w:rFonts w:ascii="Arial" w:hAnsi="Arial" w:cs="Arial"/>
            <w:sz w:val="18"/>
            <w:szCs w:val="18"/>
          </w:rPr>
          <w:t>https://www.cdpdj.qc.ca/storage/app/media/publications/profilage_racial_definition.pdf</w:t>
        </w:r>
      </w:hyperlink>
      <w:r w:rsidRPr="0085310E">
        <w:rPr>
          <w:rFonts w:ascii="Arial" w:hAnsi="Arial" w:cs="Arial"/>
          <w:sz w:val="18"/>
          <w:szCs w:val="18"/>
        </w:rPr>
        <w:t xml:space="preserve"> </w:t>
      </w:r>
    </w:p>
  </w:endnote>
  <w:endnote w:id="94">
    <w:p w14:paraId="709369A6" w14:textId="25016F97" w:rsidR="00D57FB4" w:rsidRPr="0085310E" w:rsidRDefault="00D57FB4"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172DB" w:rsidRPr="00BD22C2">
        <w:rPr>
          <w:rFonts w:ascii="Arial" w:hAnsi="Arial" w:cs="Arial"/>
          <w:smallCaps/>
          <w:sz w:val="18"/>
          <w:szCs w:val="18"/>
          <w:lang w:val="fr-CA"/>
        </w:rPr>
        <w:t>Commission</w:t>
      </w:r>
      <w:r w:rsidRPr="00BD22C2">
        <w:rPr>
          <w:rFonts w:ascii="Arial" w:hAnsi="Arial" w:cs="Arial"/>
          <w:smallCaps/>
          <w:sz w:val="18"/>
          <w:szCs w:val="18"/>
          <w:lang w:val="fr-CA"/>
        </w:rPr>
        <w:t xml:space="preserve">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La judiciarisation des personnes itinérantes à Montréal : un profilage socia</w:t>
      </w:r>
      <w:r w:rsidRPr="00BD22C2">
        <w:rPr>
          <w:rFonts w:ascii="Arial" w:hAnsi="Arial" w:cs="Arial"/>
          <w:sz w:val="18"/>
          <w:szCs w:val="18"/>
          <w:lang w:val="fr-CA"/>
        </w:rPr>
        <w:t xml:space="preserve">l, (Cat. 2.120-8.61), 2009, p. 81 et suiv., [En ligne]. </w:t>
      </w:r>
      <w:hyperlink r:id="rId77" w:history="1">
        <w:r w:rsidR="00426636" w:rsidRPr="0085310E">
          <w:rPr>
            <w:rStyle w:val="Lienhypertexte"/>
            <w:rFonts w:ascii="Arial" w:hAnsi="Arial" w:cs="Arial"/>
            <w:sz w:val="18"/>
            <w:szCs w:val="18"/>
          </w:rPr>
          <w:t>https://www.cdpdj.qc.ca/storage/app/media/publications/itinerance_avis.pdf</w:t>
        </w:r>
      </w:hyperlink>
      <w:r w:rsidR="00426636" w:rsidRPr="0085310E">
        <w:rPr>
          <w:rFonts w:ascii="Arial" w:hAnsi="Arial" w:cs="Arial"/>
          <w:sz w:val="18"/>
          <w:szCs w:val="18"/>
        </w:rPr>
        <w:t xml:space="preserve"> </w:t>
      </w:r>
    </w:p>
  </w:endnote>
  <w:endnote w:id="95">
    <w:p w14:paraId="6248F339" w14:textId="27542D32" w:rsidR="00D57FB4" w:rsidRPr="0085310E" w:rsidRDefault="00D57FB4"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Mémoire au Comité consultatif sur la réalité policière</w:t>
      </w:r>
      <w:r w:rsidRPr="00BD22C2">
        <w:rPr>
          <w:rFonts w:ascii="Arial" w:hAnsi="Arial" w:cs="Arial"/>
          <w:sz w:val="18"/>
          <w:szCs w:val="18"/>
          <w:lang w:val="fr-CA"/>
        </w:rPr>
        <w:t>, (Cat. 2.412-62.4), 2020, p. 17</w:t>
      </w:r>
      <w:r w:rsidR="00EF1A16" w:rsidRPr="00BD22C2">
        <w:rPr>
          <w:rFonts w:ascii="Arial" w:hAnsi="Arial" w:cs="Arial"/>
          <w:sz w:val="18"/>
          <w:szCs w:val="18"/>
          <w:lang w:val="fr-CA"/>
        </w:rPr>
        <w:t xml:space="preserve"> et </w:t>
      </w:r>
      <w:r w:rsidRPr="00BD22C2">
        <w:rPr>
          <w:rFonts w:ascii="Arial" w:hAnsi="Arial" w:cs="Arial"/>
          <w:sz w:val="18"/>
          <w:szCs w:val="18"/>
          <w:lang w:val="fr-CA"/>
        </w:rPr>
        <w:t xml:space="preserve">18, [En ligne]. </w:t>
      </w:r>
      <w:hyperlink r:id="rId78" w:history="1">
        <w:r w:rsidRPr="0085310E">
          <w:rPr>
            <w:rStyle w:val="Lienhypertexte"/>
            <w:rFonts w:ascii="Arial" w:hAnsi="Arial" w:cs="Arial"/>
            <w:sz w:val="18"/>
            <w:szCs w:val="18"/>
          </w:rPr>
          <w:t>https://www.cdpdj.qc.ca/storage/app/media/publications/memoire_consultation-police_CCRP.pdf</w:t>
        </w:r>
      </w:hyperlink>
      <w:r w:rsidRPr="0085310E">
        <w:rPr>
          <w:rFonts w:ascii="Arial" w:hAnsi="Arial" w:cs="Arial"/>
          <w:sz w:val="18"/>
          <w:szCs w:val="18"/>
        </w:rPr>
        <w:t xml:space="preserve"> </w:t>
      </w:r>
    </w:p>
  </w:endnote>
  <w:endnote w:id="96">
    <w:p w14:paraId="23A7BD88" w14:textId="0AE35DD0"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Tim </w:t>
      </w:r>
      <w:r w:rsidRPr="00E16C03">
        <w:rPr>
          <w:rFonts w:ascii="Arial" w:hAnsi="Arial" w:cs="Arial"/>
          <w:smallCaps/>
          <w:sz w:val="18"/>
          <w:szCs w:val="18"/>
          <w:lang w:val="en-CA"/>
        </w:rPr>
        <w:t>Hooper</w:t>
      </w:r>
      <w:r w:rsidRPr="00E16C03">
        <w:rPr>
          <w:rFonts w:ascii="Arial" w:hAnsi="Arial" w:cs="Arial"/>
          <w:sz w:val="18"/>
          <w:szCs w:val="18"/>
          <w:lang w:val="en-CA"/>
        </w:rPr>
        <w:t xml:space="preserve">, « Queering ’69: The Recriminalization of Homosexuality in Canada », </w:t>
      </w:r>
      <w:r w:rsidRPr="00E16C03">
        <w:rPr>
          <w:rFonts w:ascii="Arial" w:hAnsi="Arial" w:cs="Arial"/>
          <w:i/>
          <w:sz w:val="18"/>
          <w:szCs w:val="18"/>
          <w:lang w:val="en-CA"/>
        </w:rPr>
        <w:t>The Canadian Historical Review</w:t>
      </w:r>
      <w:r w:rsidRPr="00E16C03">
        <w:rPr>
          <w:rFonts w:ascii="Arial" w:hAnsi="Arial" w:cs="Arial"/>
          <w:sz w:val="18"/>
          <w:szCs w:val="18"/>
          <w:lang w:val="en-CA"/>
        </w:rPr>
        <w:t>, vol. 100, no. 2, 2019, p. 257</w:t>
      </w:r>
      <w:r w:rsidR="00CC7F28">
        <w:rPr>
          <w:rFonts w:ascii="Arial" w:hAnsi="Arial" w:cs="Arial"/>
          <w:sz w:val="18"/>
          <w:szCs w:val="18"/>
          <w:lang w:val="en-CA"/>
        </w:rPr>
        <w:t xml:space="preserve"> </w:t>
      </w:r>
      <w:r w:rsidR="00CD2C0B">
        <w:rPr>
          <w:rFonts w:ascii="Arial" w:hAnsi="Arial" w:cs="Arial"/>
          <w:sz w:val="18"/>
          <w:szCs w:val="18"/>
          <w:lang w:val="en-CA"/>
        </w:rPr>
        <w:t>et</w:t>
      </w:r>
      <w:r w:rsidR="00CC7F28">
        <w:rPr>
          <w:rFonts w:ascii="Arial" w:hAnsi="Arial" w:cs="Arial"/>
          <w:sz w:val="18"/>
          <w:szCs w:val="18"/>
          <w:lang w:val="en-CA"/>
        </w:rPr>
        <w:t xml:space="preserve"> </w:t>
      </w:r>
      <w:r w:rsidRPr="00E16C03">
        <w:rPr>
          <w:rFonts w:ascii="Arial" w:hAnsi="Arial" w:cs="Arial"/>
          <w:sz w:val="18"/>
          <w:szCs w:val="18"/>
          <w:lang w:val="en-CA"/>
        </w:rPr>
        <w:t xml:space="preserve">60. </w:t>
      </w:r>
      <w:hyperlink r:id="rId79" w:history="1">
        <w:r w:rsidRPr="00BD22C2">
          <w:rPr>
            <w:rStyle w:val="Lienhypertexte"/>
            <w:rFonts w:ascii="Arial" w:hAnsi="Arial" w:cs="Arial"/>
            <w:sz w:val="18"/>
            <w:szCs w:val="18"/>
            <w:lang w:val="fr-CA"/>
          </w:rPr>
          <w:t>https://doi.org/10.3138/chr.2018-0082-4</w:t>
        </w:r>
      </w:hyperlink>
      <w:r w:rsidRPr="00BD22C2">
        <w:rPr>
          <w:rFonts w:ascii="Arial" w:hAnsi="Arial" w:cs="Arial"/>
          <w:sz w:val="18"/>
          <w:szCs w:val="18"/>
          <w:lang w:val="fr-CA"/>
        </w:rPr>
        <w:t xml:space="preserve"> </w:t>
      </w:r>
    </w:p>
  </w:endnote>
  <w:endnote w:id="97">
    <w:p w14:paraId="751ECC7D" w14:textId="491CEF9B"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préc., note</w:t>
      </w:r>
      <w:r w:rsidR="00F12725" w:rsidRPr="00BD22C2">
        <w:rPr>
          <w:rFonts w:ascii="Arial" w:hAnsi="Arial" w:cs="Arial"/>
          <w:sz w:val="18"/>
          <w:szCs w:val="18"/>
          <w:lang w:val="fr-CA"/>
        </w:rPr>
        <w:t xml:space="preserve"> </w:t>
      </w:r>
      <w:r w:rsidR="00CA36D8" w:rsidRPr="00BD22C2">
        <w:rPr>
          <w:rFonts w:ascii="Arial" w:hAnsi="Arial" w:cs="Arial"/>
          <w:sz w:val="18"/>
          <w:szCs w:val="18"/>
          <w:lang w:val="fr-CA"/>
        </w:rPr>
        <w:fldChar w:fldCharType="begin"/>
      </w:r>
      <w:r w:rsidR="00CA36D8" w:rsidRPr="00BD22C2">
        <w:rPr>
          <w:rFonts w:ascii="Arial" w:hAnsi="Arial" w:cs="Arial"/>
          <w:sz w:val="18"/>
          <w:szCs w:val="18"/>
          <w:lang w:val="fr-CA"/>
        </w:rPr>
        <w:instrText xml:space="preserve"> NOTEREF _Ref166854751 \h </w:instrText>
      </w:r>
      <w:r w:rsidR="00CA36D8" w:rsidRPr="00BD22C2">
        <w:rPr>
          <w:rFonts w:ascii="Arial" w:hAnsi="Arial" w:cs="Arial"/>
          <w:sz w:val="18"/>
          <w:szCs w:val="18"/>
          <w:lang w:val="fr-CA"/>
        </w:rPr>
      </w:r>
      <w:r w:rsidR="00CA36D8" w:rsidRPr="00BD22C2">
        <w:rPr>
          <w:rFonts w:ascii="Arial" w:hAnsi="Arial" w:cs="Arial"/>
          <w:sz w:val="18"/>
          <w:szCs w:val="18"/>
          <w:lang w:val="fr-CA"/>
        </w:rPr>
        <w:fldChar w:fldCharType="separate"/>
      </w:r>
      <w:r w:rsidR="004B4881">
        <w:rPr>
          <w:rFonts w:ascii="Arial" w:hAnsi="Arial" w:cs="Arial"/>
          <w:sz w:val="18"/>
          <w:szCs w:val="18"/>
          <w:lang w:val="fr-CA"/>
        </w:rPr>
        <w:t>7</w:t>
      </w:r>
      <w:r w:rsidR="00CA36D8" w:rsidRPr="00BD22C2">
        <w:rPr>
          <w:rFonts w:ascii="Arial" w:hAnsi="Arial" w:cs="Arial"/>
          <w:sz w:val="18"/>
          <w:szCs w:val="18"/>
          <w:lang w:val="fr-CA"/>
        </w:rPr>
        <w:fldChar w:fldCharType="end"/>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62</w:t>
      </w:r>
      <w:r w:rsidR="00CC7F28">
        <w:rPr>
          <w:rFonts w:ascii="Arial" w:hAnsi="Arial" w:cs="Arial"/>
          <w:sz w:val="18"/>
          <w:szCs w:val="18"/>
          <w:lang w:val="fr-CA"/>
        </w:rPr>
        <w:t xml:space="preserve"> et </w:t>
      </w:r>
      <w:r w:rsidRPr="00BD22C2">
        <w:rPr>
          <w:rFonts w:ascii="Arial" w:hAnsi="Arial" w:cs="Arial"/>
          <w:sz w:val="18"/>
          <w:szCs w:val="18"/>
          <w:lang w:val="fr-CA"/>
        </w:rPr>
        <w:t>63.</w:t>
      </w:r>
    </w:p>
  </w:endnote>
  <w:endnote w:id="98">
    <w:p w14:paraId="3997DF8E" w14:textId="3CDEADE2"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59.</w:t>
      </w:r>
    </w:p>
  </w:endnote>
  <w:endnote w:id="99">
    <w:p w14:paraId="12682614" w14:textId="2DE7FEF7"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57.</w:t>
      </w:r>
    </w:p>
  </w:endnote>
  <w:endnote w:id="100">
    <w:p w14:paraId="4089786D" w14:textId="324D581E"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906C4" w:rsidRPr="00BD22C2">
        <w:rPr>
          <w:rFonts w:ascii="Arial" w:hAnsi="Arial" w:cs="Arial"/>
          <w:sz w:val="18"/>
          <w:szCs w:val="18"/>
          <w:lang w:val="fr-CA"/>
        </w:rPr>
        <w:t>T.</w:t>
      </w:r>
      <w:r w:rsidR="006305FE">
        <w:rPr>
          <w:rFonts w:ascii="Arial" w:hAnsi="Arial" w:cs="Arial"/>
          <w:smallCaps/>
          <w:sz w:val="18"/>
          <w:szCs w:val="18"/>
          <w:lang w:val="fr-CA"/>
        </w:rPr>
        <w:t> </w:t>
      </w:r>
      <w:r w:rsidRPr="00BD22C2">
        <w:rPr>
          <w:rFonts w:ascii="Arial" w:hAnsi="Arial" w:cs="Arial"/>
          <w:smallCaps/>
          <w:sz w:val="18"/>
          <w:szCs w:val="18"/>
          <w:lang w:val="fr-CA"/>
        </w:rPr>
        <w:t>Hooper</w:t>
      </w:r>
      <w:r w:rsidRPr="00BD22C2">
        <w:rPr>
          <w:rFonts w:ascii="Arial" w:hAnsi="Arial" w:cs="Arial"/>
          <w:sz w:val="18"/>
          <w:szCs w:val="18"/>
          <w:lang w:val="fr-CA"/>
        </w:rPr>
        <w:t xml:space="preserve">, préc., note </w:t>
      </w:r>
      <w:r w:rsidR="00B80D31" w:rsidRPr="00BD22C2">
        <w:rPr>
          <w:rFonts w:ascii="Arial" w:hAnsi="Arial" w:cs="Arial"/>
          <w:sz w:val="18"/>
          <w:szCs w:val="18"/>
          <w:lang w:val="fr-CA"/>
        </w:rPr>
        <w:fldChar w:fldCharType="begin"/>
      </w:r>
      <w:r w:rsidR="00B80D31" w:rsidRPr="00BD22C2">
        <w:rPr>
          <w:rFonts w:ascii="Arial" w:hAnsi="Arial" w:cs="Arial"/>
          <w:sz w:val="18"/>
          <w:szCs w:val="18"/>
          <w:lang w:val="fr-CA"/>
        </w:rPr>
        <w:instrText xml:space="preserve"> NOTEREF _Ref166050479 \h </w:instrText>
      </w:r>
      <w:r w:rsidR="00A71971" w:rsidRPr="00BD22C2">
        <w:rPr>
          <w:rFonts w:ascii="Arial" w:hAnsi="Arial" w:cs="Arial"/>
          <w:sz w:val="18"/>
          <w:szCs w:val="18"/>
          <w:lang w:val="fr-CA"/>
        </w:rPr>
        <w:instrText xml:space="preserve"> \* MERGEFORMAT </w:instrText>
      </w:r>
      <w:r w:rsidR="00B80D31" w:rsidRPr="00BD22C2">
        <w:rPr>
          <w:rFonts w:ascii="Arial" w:hAnsi="Arial" w:cs="Arial"/>
          <w:sz w:val="18"/>
          <w:szCs w:val="18"/>
          <w:lang w:val="fr-CA"/>
        </w:rPr>
      </w:r>
      <w:r w:rsidR="00B80D31" w:rsidRPr="00BD22C2">
        <w:rPr>
          <w:rFonts w:ascii="Arial" w:hAnsi="Arial" w:cs="Arial"/>
          <w:sz w:val="18"/>
          <w:szCs w:val="18"/>
          <w:lang w:val="fr-CA"/>
        </w:rPr>
        <w:fldChar w:fldCharType="separate"/>
      </w:r>
      <w:r w:rsidR="004B4881">
        <w:rPr>
          <w:rFonts w:ascii="Arial" w:hAnsi="Arial" w:cs="Arial"/>
          <w:sz w:val="18"/>
          <w:szCs w:val="18"/>
          <w:lang w:val="fr-CA"/>
        </w:rPr>
        <w:t>95</w:t>
      </w:r>
      <w:r w:rsidR="00B80D31" w:rsidRPr="00BD22C2">
        <w:rPr>
          <w:rFonts w:ascii="Arial" w:hAnsi="Arial" w:cs="Arial"/>
          <w:sz w:val="18"/>
          <w:szCs w:val="18"/>
          <w:lang w:val="fr-CA"/>
        </w:rPr>
        <w:fldChar w:fldCharType="end"/>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263</w:t>
      </w:r>
      <w:r w:rsidR="00F27F48">
        <w:rPr>
          <w:rFonts w:ascii="Arial" w:hAnsi="Arial" w:cs="Arial"/>
          <w:sz w:val="18"/>
          <w:szCs w:val="18"/>
          <w:lang w:val="fr-CA"/>
        </w:rPr>
        <w:t xml:space="preserve"> et </w:t>
      </w:r>
      <w:r w:rsidRPr="00BD22C2">
        <w:rPr>
          <w:rFonts w:ascii="Arial" w:hAnsi="Arial" w:cs="Arial"/>
          <w:sz w:val="18"/>
          <w:szCs w:val="18"/>
          <w:lang w:val="fr-CA"/>
        </w:rPr>
        <w:t>264</w:t>
      </w:r>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préc., note</w:t>
      </w:r>
      <w:r w:rsidR="008364E0" w:rsidRPr="00BD22C2">
        <w:rPr>
          <w:rFonts w:ascii="Arial" w:hAnsi="Arial" w:cs="Arial"/>
          <w:sz w:val="18"/>
          <w:szCs w:val="18"/>
          <w:lang w:val="fr-CA"/>
        </w:rPr>
        <w:t xml:space="preserve"> </w:t>
      </w:r>
      <w:r w:rsidR="008364E0" w:rsidRPr="00BD22C2">
        <w:rPr>
          <w:rFonts w:ascii="Arial" w:hAnsi="Arial" w:cs="Arial"/>
          <w:sz w:val="18"/>
          <w:szCs w:val="18"/>
          <w:lang w:val="fr-CA"/>
        </w:rPr>
        <w:fldChar w:fldCharType="begin"/>
      </w:r>
      <w:r w:rsidR="008364E0" w:rsidRPr="00BD22C2">
        <w:rPr>
          <w:rFonts w:ascii="Arial" w:hAnsi="Arial" w:cs="Arial"/>
          <w:sz w:val="18"/>
          <w:szCs w:val="18"/>
          <w:lang w:val="fr-CA"/>
        </w:rPr>
        <w:instrText xml:space="preserve"> NOTEREF _Ref166854751 \h </w:instrText>
      </w:r>
      <w:r w:rsidR="008364E0" w:rsidRPr="00BD22C2">
        <w:rPr>
          <w:rFonts w:ascii="Arial" w:hAnsi="Arial" w:cs="Arial"/>
          <w:sz w:val="18"/>
          <w:szCs w:val="18"/>
          <w:lang w:val="fr-CA"/>
        </w:rPr>
      </w:r>
      <w:r w:rsidR="008364E0" w:rsidRPr="00BD22C2">
        <w:rPr>
          <w:rFonts w:ascii="Arial" w:hAnsi="Arial" w:cs="Arial"/>
          <w:sz w:val="18"/>
          <w:szCs w:val="18"/>
          <w:lang w:val="fr-CA"/>
        </w:rPr>
        <w:fldChar w:fldCharType="separate"/>
      </w:r>
      <w:r w:rsidR="004B4881">
        <w:rPr>
          <w:rFonts w:ascii="Arial" w:hAnsi="Arial" w:cs="Arial"/>
          <w:sz w:val="18"/>
          <w:szCs w:val="18"/>
          <w:lang w:val="fr-CA"/>
        </w:rPr>
        <w:t>7</w:t>
      </w:r>
      <w:r w:rsidR="008364E0" w:rsidRPr="00BD22C2">
        <w:rPr>
          <w:rFonts w:ascii="Arial" w:hAnsi="Arial" w:cs="Arial"/>
          <w:sz w:val="18"/>
          <w:szCs w:val="18"/>
          <w:lang w:val="fr-CA"/>
        </w:rPr>
        <w:fldChar w:fldCharType="end"/>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60.</w:t>
      </w:r>
    </w:p>
  </w:endnote>
  <w:endnote w:id="101">
    <w:p w14:paraId="74DDB90C" w14:textId="42B7134C" w:rsidR="00D57FB4" w:rsidRPr="0085310E" w:rsidRDefault="00D57FB4"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Premier ministre du Canada</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Discours du premier ministre Justin Trudeau pour présenter des excuses aux Canadiens</w:t>
      </w:r>
      <w:r w:rsidR="008B4522">
        <w:rPr>
          <w:rFonts w:ascii="Arial" w:hAnsi="Arial" w:cs="Arial"/>
          <w:sz w:val="18"/>
          <w:szCs w:val="18"/>
          <w:lang w:val="fr-CA"/>
        </w:rPr>
        <w:t> </w:t>
      </w:r>
      <w:r w:rsidRPr="00BD22C2">
        <w:rPr>
          <w:rFonts w:ascii="Arial" w:hAnsi="Arial" w:cs="Arial"/>
          <w:sz w:val="18"/>
          <w:szCs w:val="18"/>
          <w:lang w:val="fr-CA"/>
        </w:rPr>
        <w:t>LGBTQ2</w:t>
      </w:r>
      <w:r w:rsidR="0056005D" w:rsidRPr="00BD22C2">
        <w:rPr>
          <w:rFonts w:ascii="Arial" w:hAnsi="Arial" w:cs="Arial"/>
          <w:sz w:val="18"/>
          <w:szCs w:val="18"/>
          <w:lang w:val="fr-CA"/>
        </w:rPr>
        <w:t> </w:t>
      </w:r>
      <w:r w:rsidRPr="00BD22C2">
        <w:rPr>
          <w:rFonts w:ascii="Arial" w:hAnsi="Arial" w:cs="Arial"/>
          <w:sz w:val="18"/>
          <w:szCs w:val="18"/>
          <w:lang w:val="fr-CA"/>
        </w:rPr>
        <w:t>», 28</w:t>
      </w:r>
      <w:r w:rsidR="00762FE8">
        <w:rPr>
          <w:rFonts w:ascii="Arial" w:hAnsi="Arial" w:cs="Arial"/>
          <w:sz w:val="18"/>
          <w:szCs w:val="18"/>
          <w:lang w:val="fr-CA"/>
        </w:rPr>
        <w:t> </w:t>
      </w:r>
      <w:r w:rsidRPr="00BD22C2">
        <w:rPr>
          <w:rFonts w:ascii="Arial" w:hAnsi="Arial" w:cs="Arial"/>
          <w:sz w:val="18"/>
          <w:szCs w:val="18"/>
          <w:lang w:val="fr-CA"/>
        </w:rPr>
        <w:t xml:space="preserve">novembre 2017, [En ligne]. </w:t>
      </w:r>
      <w:hyperlink r:id="rId80" w:history="1">
        <w:r w:rsidRPr="0085310E">
          <w:rPr>
            <w:rStyle w:val="Lienhypertexte"/>
            <w:rFonts w:ascii="Arial" w:hAnsi="Arial" w:cs="Arial"/>
            <w:sz w:val="18"/>
            <w:szCs w:val="18"/>
          </w:rPr>
          <w:t>https://www.pm.gc.ca/fr/nouvelles/discours/2017/11/28/discours-du-premier-ministre-justin-trudeau-presenter-des-excuses-aux</w:t>
        </w:r>
      </w:hyperlink>
      <w:r w:rsidRPr="0085310E">
        <w:rPr>
          <w:rFonts w:ascii="Arial" w:hAnsi="Arial" w:cs="Arial"/>
          <w:sz w:val="18"/>
          <w:szCs w:val="18"/>
        </w:rPr>
        <w:t xml:space="preserve"> </w:t>
      </w:r>
    </w:p>
  </w:endnote>
  <w:endnote w:id="102">
    <w:p w14:paraId="7910FE30" w14:textId="4648C439" w:rsidR="00D57FB4" w:rsidRPr="0085310E" w:rsidRDefault="00D57FB4"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Entente de règlement définitive entre Todd Edward Ross, Martine Roy et Alida Satalic et Sa Majesté la Reine</w:t>
      </w:r>
      <w:r w:rsidRPr="00BD22C2">
        <w:rPr>
          <w:rFonts w:ascii="Arial" w:hAnsi="Arial" w:cs="Arial"/>
          <w:sz w:val="18"/>
          <w:szCs w:val="18"/>
          <w:lang w:val="fr-CA"/>
        </w:rPr>
        <w:t xml:space="preserve">, Cour fédérale, No du dossier : T-370-17, [En ligne]. </w:t>
      </w:r>
      <w:hyperlink r:id="rId81" w:history="1">
        <w:r w:rsidRPr="0085310E">
          <w:rPr>
            <w:rStyle w:val="Lienhypertexte"/>
            <w:rFonts w:ascii="Arial" w:hAnsi="Arial" w:cs="Arial"/>
            <w:sz w:val="18"/>
            <w:szCs w:val="18"/>
          </w:rPr>
          <w:t>https://lgbtpurgefund.com/wp-content/uploads/2019/08/Entente-de-R%C3%A8glement-D%C3%A9finitive.pdf</w:t>
        </w:r>
      </w:hyperlink>
      <w:r w:rsidRPr="0085310E">
        <w:rPr>
          <w:rFonts w:ascii="Arial" w:hAnsi="Arial" w:cs="Arial"/>
          <w:sz w:val="18"/>
          <w:szCs w:val="18"/>
        </w:rPr>
        <w:t xml:space="preserve"> </w:t>
      </w:r>
    </w:p>
  </w:endnote>
  <w:endnote w:id="103">
    <w:p w14:paraId="1BF468F5" w14:textId="40EB97AC"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préc., note</w:t>
      </w:r>
      <w:r w:rsidR="0091080B">
        <w:rPr>
          <w:rFonts w:ascii="Arial" w:hAnsi="Arial" w:cs="Arial"/>
          <w:sz w:val="18"/>
          <w:szCs w:val="18"/>
          <w:lang w:val="fr-CA"/>
        </w:rPr>
        <w:t> </w:t>
      </w:r>
      <w:r w:rsidR="003D3022" w:rsidRPr="00BD22C2">
        <w:rPr>
          <w:rFonts w:ascii="Arial" w:hAnsi="Arial" w:cs="Arial"/>
          <w:sz w:val="18"/>
          <w:szCs w:val="18"/>
          <w:lang w:val="fr-CA"/>
        </w:rPr>
        <w:fldChar w:fldCharType="begin"/>
      </w:r>
      <w:r w:rsidR="003D3022" w:rsidRPr="00BD22C2">
        <w:rPr>
          <w:rFonts w:ascii="Arial" w:hAnsi="Arial" w:cs="Arial"/>
          <w:sz w:val="18"/>
          <w:szCs w:val="18"/>
          <w:lang w:val="fr-CA"/>
        </w:rPr>
        <w:instrText xml:space="preserve"> NOTEREF _Ref166749987 \h </w:instrText>
      </w:r>
      <w:r w:rsidR="003D3022" w:rsidRPr="00BD22C2">
        <w:rPr>
          <w:rFonts w:ascii="Arial" w:hAnsi="Arial" w:cs="Arial"/>
          <w:sz w:val="18"/>
          <w:szCs w:val="18"/>
          <w:lang w:val="fr-CA"/>
        </w:rPr>
      </w:r>
      <w:r w:rsidR="003D3022" w:rsidRPr="00BD22C2">
        <w:rPr>
          <w:rFonts w:ascii="Arial" w:hAnsi="Arial" w:cs="Arial"/>
          <w:sz w:val="18"/>
          <w:szCs w:val="18"/>
          <w:lang w:val="fr-CA"/>
        </w:rPr>
        <w:fldChar w:fldCharType="separate"/>
      </w:r>
      <w:r w:rsidR="004B4881">
        <w:rPr>
          <w:rFonts w:ascii="Arial" w:hAnsi="Arial" w:cs="Arial"/>
          <w:sz w:val="18"/>
          <w:szCs w:val="18"/>
          <w:lang w:val="fr-CA"/>
        </w:rPr>
        <w:t>10</w:t>
      </w:r>
      <w:r w:rsidR="003D3022" w:rsidRPr="00BD22C2">
        <w:rPr>
          <w:rFonts w:ascii="Arial" w:hAnsi="Arial" w:cs="Arial"/>
          <w:sz w:val="18"/>
          <w:szCs w:val="18"/>
          <w:lang w:val="fr-CA"/>
        </w:rPr>
        <w:fldChar w:fldCharType="end"/>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57.</w:t>
      </w:r>
    </w:p>
  </w:endnote>
  <w:endnote w:id="104">
    <w:p w14:paraId="0A7F3D94" w14:textId="43B4F811"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DE03D5" w:rsidRPr="00BD22C2">
        <w:rPr>
          <w:rFonts w:ascii="Arial" w:hAnsi="Arial" w:cs="Arial"/>
          <w:sz w:val="18"/>
          <w:szCs w:val="18"/>
          <w:lang w:val="fr-CA"/>
        </w:rPr>
        <w:t>T.</w:t>
      </w:r>
      <w:r w:rsidR="006305FE">
        <w:rPr>
          <w:rFonts w:ascii="Arial" w:hAnsi="Arial" w:cs="Arial"/>
          <w:sz w:val="18"/>
          <w:szCs w:val="18"/>
          <w:lang w:val="fr-CA"/>
        </w:rPr>
        <w:t> </w:t>
      </w:r>
      <w:r w:rsidRPr="00BD22C2">
        <w:rPr>
          <w:rFonts w:ascii="Arial" w:hAnsi="Arial" w:cs="Arial"/>
          <w:smallCaps/>
          <w:sz w:val="18"/>
          <w:szCs w:val="18"/>
          <w:lang w:val="fr-CA"/>
        </w:rPr>
        <w:t>Hooper</w:t>
      </w:r>
      <w:r w:rsidRPr="00BD22C2">
        <w:rPr>
          <w:rFonts w:ascii="Arial" w:hAnsi="Arial" w:cs="Arial"/>
          <w:sz w:val="18"/>
          <w:szCs w:val="18"/>
          <w:lang w:val="fr-CA"/>
        </w:rPr>
        <w:t xml:space="preserve">, préc., note </w:t>
      </w:r>
      <w:r w:rsidR="00DE03D5" w:rsidRPr="00BD22C2">
        <w:rPr>
          <w:rFonts w:ascii="Arial" w:hAnsi="Arial" w:cs="Arial"/>
          <w:sz w:val="18"/>
          <w:szCs w:val="18"/>
          <w:lang w:val="fr-CA"/>
        </w:rPr>
        <w:fldChar w:fldCharType="begin"/>
      </w:r>
      <w:r w:rsidR="00DE03D5" w:rsidRPr="00BD22C2">
        <w:rPr>
          <w:rFonts w:ascii="Arial" w:hAnsi="Arial" w:cs="Arial"/>
          <w:sz w:val="18"/>
          <w:szCs w:val="18"/>
          <w:lang w:val="fr-CA"/>
        </w:rPr>
        <w:instrText xml:space="preserve"> NOTEREF _Ref166050479 \h  \* MERGEFORMAT </w:instrText>
      </w:r>
      <w:r w:rsidR="00DE03D5" w:rsidRPr="00BD22C2">
        <w:rPr>
          <w:rFonts w:ascii="Arial" w:hAnsi="Arial" w:cs="Arial"/>
          <w:sz w:val="18"/>
          <w:szCs w:val="18"/>
          <w:lang w:val="fr-CA"/>
        </w:rPr>
      </w:r>
      <w:r w:rsidR="00DE03D5" w:rsidRPr="00BD22C2">
        <w:rPr>
          <w:rFonts w:ascii="Arial" w:hAnsi="Arial" w:cs="Arial"/>
          <w:sz w:val="18"/>
          <w:szCs w:val="18"/>
          <w:lang w:val="fr-CA"/>
        </w:rPr>
        <w:fldChar w:fldCharType="separate"/>
      </w:r>
      <w:r w:rsidR="004B4881">
        <w:rPr>
          <w:rFonts w:ascii="Arial" w:hAnsi="Arial" w:cs="Arial"/>
          <w:sz w:val="18"/>
          <w:szCs w:val="18"/>
          <w:lang w:val="fr-CA"/>
        </w:rPr>
        <w:t>95</w:t>
      </w:r>
      <w:r w:rsidR="00DE03D5" w:rsidRPr="00BD22C2">
        <w:rPr>
          <w:rFonts w:ascii="Arial" w:hAnsi="Arial" w:cs="Arial"/>
          <w:sz w:val="18"/>
          <w:szCs w:val="18"/>
          <w:lang w:val="fr-CA"/>
        </w:rPr>
        <w:fldChar w:fldCharType="end"/>
      </w:r>
      <w:r w:rsidR="00DE03D5" w:rsidRPr="00BD22C2">
        <w:rPr>
          <w:rFonts w:ascii="Arial" w:hAnsi="Arial" w:cs="Arial"/>
          <w:sz w:val="18"/>
          <w:szCs w:val="18"/>
          <w:lang w:val="fr-CA"/>
        </w:rPr>
        <w:t xml:space="preserve">, </w:t>
      </w:r>
      <w:r w:rsidRPr="00BD22C2">
        <w:rPr>
          <w:rFonts w:ascii="Arial" w:hAnsi="Arial" w:cs="Arial"/>
          <w:sz w:val="18"/>
          <w:szCs w:val="18"/>
          <w:lang w:val="fr-CA"/>
        </w:rPr>
        <w:t>p.</w:t>
      </w:r>
      <w:r w:rsidR="00F915F8" w:rsidRPr="00BD22C2">
        <w:rPr>
          <w:rFonts w:ascii="Arial" w:hAnsi="Arial" w:cs="Arial"/>
          <w:sz w:val="18"/>
          <w:szCs w:val="18"/>
          <w:lang w:val="fr-CA"/>
        </w:rPr>
        <w:t> </w:t>
      </w:r>
      <w:r w:rsidRPr="00BD22C2">
        <w:rPr>
          <w:rFonts w:ascii="Arial" w:hAnsi="Arial" w:cs="Arial"/>
          <w:sz w:val="18"/>
          <w:szCs w:val="18"/>
          <w:lang w:val="fr-CA"/>
        </w:rPr>
        <w:t>269.</w:t>
      </w:r>
    </w:p>
  </w:endnote>
  <w:endnote w:id="105">
    <w:p w14:paraId="4E905DF1" w14:textId="47987215" w:rsidR="00D57FB4" w:rsidRPr="0085310E" w:rsidRDefault="00D57FB4"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 xml:space="preserve">Institut du </w:t>
      </w:r>
      <w:r w:rsidR="005D61E2">
        <w:rPr>
          <w:rFonts w:ascii="Arial" w:hAnsi="Arial" w:cs="Arial"/>
          <w:smallCaps/>
          <w:sz w:val="18"/>
          <w:szCs w:val="18"/>
          <w:lang w:val="fr-CA"/>
        </w:rPr>
        <w:t>N</w:t>
      </w:r>
      <w:r w:rsidRPr="00BD22C2">
        <w:rPr>
          <w:rFonts w:ascii="Arial" w:hAnsi="Arial" w:cs="Arial"/>
          <w:smallCaps/>
          <w:sz w:val="18"/>
          <w:szCs w:val="18"/>
          <w:lang w:val="fr-CA"/>
        </w:rPr>
        <w:t xml:space="preserve">ouveau </w:t>
      </w:r>
      <w:r w:rsidR="005D61E2">
        <w:rPr>
          <w:rFonts w:ascii="Arial" w:hAnsi="Arial" w:cs="Arial"/>
          <w:smallCaps/>
          <w:sz w:val="18"/>
          <w:szCs w:val="18"/>
          <w:lang w:val="fr-CA"/>
        </w:rPr>
        <w:t>M</w:t>
      </w:r>
      <w:r w:rsidRPr="00BD22C2">
        <w:rPr>
          <w:rFonts w:ascii="Arial" w:hAnsi="Arial" w:cs="Arial"/>
          <w:smallCaps/>
          <w:sz w:val="18"/>
          <w:szCs w:val="18"/>
          <w:lang w:val="fr-CA"/>
        </w:rPr>
        <w:t>onde</w:t>
      </w:r>
      <w:r w:rsidRPr="00BD22C2">
        <w:rPr>
          <w:rFonts w:ascii="Arial" w:hAnsi="Arial" w:cs="Arial"/>
          <w:sz w:val="18"/>
          <w:szCs w:val="18"/>
          <w:lang w:val="fr-CA"/>
        </w:rPr>
        <w:t xml:space="preserve">, </w:t>
      </w:r>
      <w:r w:rsidRPr="00BD22C2">
        <w:rPr>
          <w:rFonts w:ascii="Arial" w:hAnsi="Arial" w:cs="Arial"/>
          <w:i/>
          <w:sz w:val="18"/>
          <w:szCs w:val="18"/>
          <w:lang w:val="fr-CA"/>
        </w:rPr>
        <w:t xml:space="preserve">Consultation des communautés LGBTQ+ à Montréal : rapport final, </w:t>
      </w:r>
      <w:r w:rsidRPr="00BD22C2">
        <w:rPr>
          <w:rFonts w:ascii="Arial" w:hAnsi="Arial" w:cs="Arial"/>
          <w:sz w:val="18"/>
          <w:szCs w:val="18"/>
          <w:lang w:val="fr-CA"/>
        </w:rPr>
        <w:t>2020, p. 44</w:t>
      </w:r>
      <w:r w:rsidR="00CF0C74" w:rsidRPr="00BD22C2">
        <w:rPr>
          <w:rFonts w:ascii="Arial" w:hAnsi="Arial" w:cs="Arial"/>
          <w:sz w:val="18"/>
          <w:szCs w:val="18"/>
          <w:lang w:val="fr-CA"/>
        </w:rPr>
        <w:t> </w:t>
      </w:r>
      <w:r w:rsidRPr="00BD22C2">
        <w:rPr>
          <w:rFonts w:ascii="Arial" w:hAnsi="Arial" w:cs="Arial"/>
          <w:sz w:val="18"/>
          <w:szCs w:val="18"/>
          <w:lang w:val="fr-CA"/>
        </w:rPr>
        <w:t>;</w:t>
      </w:r>
      <w:r w:rsidRPr="00BD22C2">
        <w:rPr>
          <w:rFonts w:ascii="Arial" w:hAnsi="Arial" w:cs="Arial"/>
          <w:i/>
          <w:sz w:val="18"/>
          <w:szCs w:val="18"/>
          <w:lang w:val="fr-CA"/>
        </w:rPr>
        <w:t xml:space="preserve"> </w:t>
      </w:r>
      <w:r w:rsidRPr="00BD22C2">
        <w:rPr>
          <w:rFonts w:ascii="Arial" w:hAnsi="Arial" w:cs="Arial"/>
          <w:smallCaps/>
          <w:sz w:val="18"/>
          <w:szCs w:val="18"/>
          <w:lang w:val="fr-CA"/>
        </w:rPr>
        <w:t>Stella, l’amie de maimie</w:t>
      </w:r>
      <w:r w:rsidRPr="00BD22C2">
        <w:rPr>
          <w:rFonts w:ascii="Arial" w:hAnsi="Arial" w:cs="Arial"/>
          <w:i/>
          <w:sz w:val="18"/>
          <w:szCs w:val="18"/>
          <w:lang w:val="fr-CA"/>
        </w:rPr>
        <w:t>, Les travailleuses du sexe et le profilage</w:t>
      </w:r>
      <w:r w:rsidR="00E8063A" w:rsidRPr="00BD22C2">
        <w:rPr>
          <w:rFonts w:ascii="Arial" w:hAnsi="Arial" w:cs="Arial"/>
          <w:i/>
          <w:sz w:val="18"/>
          <w:szCs w:val="18"/>
          <w:lang w:val="fr-CA"/>
        </w:rPr>
        <w:t> </w:t>
      </w:r>
      <w:r w:rsidRPr="00BD22C2">
        <w:rPr>
          <w:rFonts w:ascii="Arial" w:hAnsi="Arial" w:cs="Arial"/>
          <w:i/>
          <w:sz w:val="18"/>
          <w:szCs w:val="18"/>
          <w:lang w:val="fr-CA"/>
        </w:rPr>
        <w:t>: La diversité dans notre communauté emmène une diversité des moyens de profilage, Mémoire adressé à la Ville de Montréal dans le cadre de la consultation sur le profilage social et racial</w:t>
      </w:r>
      <w:r w:rsidRPr="00BD22C2">
        <w:rPr>
          <w:rFonts w:ascii="Arial" w:hAnsi="Arial" w:cs="Arial"/>
          <w:sz w:val="18"/>
          <w:szCs w:val="18"/>
          <w:lang w:val="fr-CA"/>
        </w:rPr>
        <w:t>, 2017, p.</w:t>
      </w:r>
      <w:r w:rsidR="00F915F8" w:rsidRPr="00BD22C2">
        <w:rPr>
          <w:rFonts w:ascii="Arial" w:hAnsi="Arial" w:cs="Arial"/>
          <w:sz w:val="18"/>
          <w:szCs w:val="18"/>
          <w:lang w:val="fr-CA"/>
        </w:rPr>
        <w:t> </w:t>
      </w:r>
      <w:r w:rsidRPr="00BD22C2">
        <w:rPr>
          <w:rFonts w:ascii="Arial" w:hAnsi="Arial" w:cs="Arial"/>
          <w:sz w:val="18"/>
          <w:szCs w:val="18"/>
          <w:lang w:val="fr-CA"/>
        </w:rPr>
        <w:t xml:space="preserve">11, [En ligne]. </w:t>
      </w:r>
      <w:hyperlink r:id="rId82" w:history="1">
        <w:r w:rsidRPr="00BD22C2">
          <w:rPr>
            <w:rStyle w:val="Lienhypertexte"/>
            <w:rFonts w:ascii="Arial" w:hAnsi="Arial" w:cs="Arial"/>
            <w:sz w:val="18"/>
            <w:szCs w:val="18"/>
            <w:lang w:val="fr-CA"/>
          </w:rPr>
          <w:t>https://ville.montreal.qc.ca/pls/portal/docs/PAGE/COMMISSIONS_PERM_V2_FR/MEDIA/DOCUMENTS/MEM_STELLA_20170622.PDF</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w:t>
      </w:r>
      <w:r w:rsidR="00184ECF" w:rsidRPr="00BD22C2">
        <w:rPr>
          <w:rFonts w:ascii="Arial" w:hAnsi="Arial" w:cs="Arial"/>
          <w:smallCaps/>
          <w:sz w:val="18"/>
          <w:szCs w:val="18"/>
          <w:lang w:val="fr-CA"/>
        </w:rPr>
        <w:t>Ministère de la Justice du Canada</w:t>
      </w:r>
      <w:r w:rsidR="00184ECF" w:rsidRPr="00BD22C2">
        <w:rPr>
          <w:rFonts w:ascii="Arial" w:hAnsi="Arial" w:cs="Arial"/>
          <w:sz w:val="18"/>
          <w:szCs w:val="18"/>
          <w:lang w:val="fr-CA"/>
        </w:rPr>
        <w:t xml:space="preserve">, </w:t>
      </w:r>
      <w:r w:rsidRPr="00BD22C2">
        <w:rPr>
          <w:rFonts w:ascii="Arial" w:hAnsi="Arial" w:cs="Arial"/>
          <w:i/>
          <w:sz w:val="18"/>
          <w:szCs w:val="18"/>
          <w:lang w:val="fr-CA"/>
        </w:rPr>
        <w:t>Un regard qualitatif sur les problèmes juridiques graves</w:t>
      </w:r>
      <w:r w:rsidR="00E8063A" w:rsidRPr="00BD22C2">
        <w:rPr>
          <w:rFonts w:ascii="Arial" w:hAnsi="Arial" w:cs="Arial"/>
          <w:i/>
          <w:sz w:val="18"/>
          <w:szCs w:val="18"/>
          <w:lang w:val="fr-CA"/>
        </w:rPr>
        <w:t> </w:t>
      </w:r>
      <w:r w:rsidRPr="00BD22C2">
        <w:rPr>
          <w:rFonts w:ascii="Arial" w:hAnsi="Arial" w:cs="Arial"/>
          <w:i/>
          <w:sz w:val="18"/>
          <w:szCs w:val="18"/>
          <w:lang w:val="fr-CA"/>
        </w:rPr>
        <w:t>: Les personnes trans, bispirituelles et non binaires au Canada</w:t>
      </w:r>
      <w:r w:rsidRPr="00BD22C2">
        <w:rPr>
          <w:rFonts w:ascii="Arial" w:hAnsi="Arial" w:cs="Arial"/>
          <w:sz w:val="18"/>
          <w:szCs w:val="18"/>
          <w:lang w:val="fr-CA"/>
        </w:rPr>
        <w:t xml:space="preserve">, </w:t>
      </w:r>
      <w:r w:rsidR="00184ECF" w:rsidRPr="00BD22C2">
        <w:rPr>
          <w:rFonts w:ascii="Arial" w:hAnsi="Arial" w:cs="Arial"/>
          <w:sz w:val="18"/>
          <w:szCs w:val="18"/>
          <w:lang w:val="fr-CA"/>
        </w:rPr>
        <w:t xml:space="preserve">William </w:t>
      </w:r>
      <w:r w:rsidR="00184ECF" w:rsidRPr="00BD22C2">
        <w:rPr>
          <w:rFonts w:ascii="Arial" w:hAnsi="Arial" w:cs="Arial"/>
          <w:smallCaps/>
          <w:sz w:val="18"/>
          <w:szCs w:val="18"/>
          <w:lang w:val="fr-CA"/>
        </w:rPr>
        <w:t>Hébert,</w:t>
      </w:r>
      <w:r w:rsidR="00184ECF" w:rsidRPr="00BD22C2">
        <w:rPr>
          <w:rFonts w:ascii="Arial" w:hAnsi="Arial" w:cs="Arial"/>
          <w:sz w:val="18"/>
          <w:szCs w:val="18"/>
          <w:lang w:val="fr-CA"/>
        </w:rPr>
        <w:t xml:space="preserve"> Nora </w:t>
      </w:r>
      <w:r w:rsidR="00184ECF" w:rsidRPr="00BD22C2">
        <w:rPr>
          <w:rFonts w:ascii="Arial" w:hAnsi="Arial" w:cs="Arial"/>
          <w:smallCaps/>
          <w:sz w:val="18"/>
          <w:szCs w:val="18"/>
          <w:lang w:val="fr-CA"/>
        </w:rPr>
        <w:t>Butler Burke</w:t>
      </w:r>
      <w:r w:rsidR="00184ECF" w:rsidRPr="00BD22C2">
        <w:rPr>
          <w:rFonts w:ascii="Arial" w:hAnsi="Arial" w:cs="Arial"/>
          <w:sz w:val="18"/>
          <w:szCs w:val="18"/>
          <w:lang w:val="fr-CA"/>
        </w:rPr>
        <w:t xml:space="preserve">, Tara </w:t>
      </w:r>
      <w:r w:rsidR="00184ECF" w:rsidRPr="00BD22C2">
        <w:rPr>
          <w:rFonts w:ascii="Arial" w:hAnsi="Arial" w:cs="Arial"/>
          <w:smallCaps/>
          <w:sz w:val="18"/>
          <w:szCs w:val="18"/>
          <w:lang w:val="fr-CA"/>
        </w:rPr>
        <w:t>Santini</w:t>
      </w:r>
      <w:r w:rsidR="00184ECF" w:rsidRPr="00BD22C2">
        <w:rPr>
          <w:rFonts w:ascii="Arial" w:hAnsi="Arial" w:cs="Arial"/>
          <w:sz w:val="18"/>
          <w:szCs w:val="18"/>
          <w:lang w:val="fr-CA"/>
        </w:rPr>
        <w:t xml:space="preserve">, Frank </w:t>
      </w:r>
      <w:r w:rsidR="00184ECF" w:rsidRPr="00BD22C2">
        <w:rPr>
          <w:rFonts w:ascii="Arial" w:hAnsi="Arial" w:cs="Arial"/>
          <w:smallCaps/>
          <w:sz w:val="18"/>
          <w:szCs w:val="18"/>
          <w:lang w:val="fr-CA"/>
        </w:rPr>
        <w:t>Suerich-Gulick,</w:t>
      </w:r>
      <w:r w:rsidR="00184ECF" w:rsidRPr="00BD22C2">
        <w:rPr>
          <w:rFonts w:ascii="Arial" w:hAnsi="Arial" w:cs="Arial"/>
          <w:sz w:val="18"/>
          <w:szCs w:val="18"/>
          <w:lang w:val="fr-CA"/>
        </w:rPr>
        <w:t xml:space="preserve"> Daphne </w:t>
      </w:r>
      <w:r w:rsidR="00184ECF" w:rsidRPr="00BD22C2">
        <w:rPr>
          <w:rFonts w:ascii="Arial" w:hAnsi="Arial" w:cs="Arial"/>
          <w:smallCaps/>
          <w:sz w:val="18"/>
          <w:szCs w:val="18"/>
          <w:lang w:val="fr-CA"/>
        </w:rPr>
        <w:t>Barile</w:t>
      </w:r>
      <w:r w:rsidRPr="00BD22C2">
        <w:rPr>
          <w:rFonts w:ascii="Arial" w:hAnsi="Arial" w:cs="Arial"/>
          <w:sz w:val="18"/>
          <w:szCs w:val="18"/>
          <w:lang w:val="fr-CA"/>
        </w:rPr>
        <w:t>, 2022, p.</w:t>
      </w:r>
      <w:r w:rsidR="00F915F8" w:rsidRPr="00BD22C2">
        <w:rPr>
          <w:rFonts w:ascii="Arial" w:hAnsi="Arial" w:cs="Arial"/>
          <w:sz w:val="18"/>
          <w:szCs w:val="18"/>
          <w:lang w:val="fr-CA"/>
        </w:rPr>
        <w:t> </w:t>
      </w:r>
      <w:r w:rsidRPr="00BD22C2">
        <w:rPr>
          <w:rFonts w:ascii="Arial" w:hAnsi="Arial" w:cs="Arial"/>
          <w:sz w:val="18"/>
          <w:szCs w:val="18"/>
          <w:lang w:val="fr-CA"/>
        </w:rPr>
        <w:t>51</w:t>
      </w:r>
      <w:r w:rsidR="00B530FF">
        <w:rPr>
          <w:rFonts w:ascii="Arial" w:hAnsi="Arial" w:cs="Arial"/>
          <w:sz w:val="18"/>
          <w:szCs w:val="18"/>
          <w:lang w:val="fr-CA"/>
        </w:rPr>
        <w:t xml:space="preserve"> à </w:t>
      </w:r>
      <w:r w:rsidRPr="00BD22C2">
        <w:rPr>
          <w:rFonts w:ascii="Arial" w:hAnsi="Arial" w:cs="Arial"/>
          <w:sz w:val="18"/>
          <w:szCs w:val="18"/>
          <w:lang w:val="fr-CA"/>
        </w:rPr>
        <w:t xml:space="preserve">57, [En ligne]. </w:t>
      </w:r>
      <w:hyperlink r:id="rId83" w:history="1">
        <w:r w:rsidRPr="0085310E">
          <w:rPr>
            <w:rStyle w:val="Lienhypertexte"/>
            <w:rFonts w:ascii="Arial" w:hAnsi="Arial" w:cs="Arial"/>
            <w:sz w:val="18"/>
            <w:szCs w:val="18"/>
          </w:rPr>
          <w:t>https://www.justice.gc.ca/fra/pr-rp/jr/rqpjgptbnc-qlslpttnpc/pdf/RSD_2022_Trans_2spirit_non_binary_qualitative_report_FR2.pdf</w:t>
        </w:r>
      </w:hyperlink>
      <w:r w:rsidRPr="0085310E">
        <w:rPr>
          <w:rFonts w:ascii="Arial" w:hAnsi="Arial" w:cs="Arial"/>
          <w:sz w:val="18"/>
          <w:szCs w:val="18"/>
        </w:rPr>
        <w:t xml:space="preserve"> </w:t>
      </w:r>
    </w:p>
  </w:endnote>
  <w:endnote w:id="106">
    <w:p w14:paraId="1370B3F4" w14:textId="23391486"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 xml:space="preserve">Institut du </w:t>
      </w:r>
      <w:r w:rsidR="005D61E2">
        <w:rPr>
          <w:rFonts w:ascii="Arial" w:hAnsi="Arial" w:cs="Arial"/>
          <w:smallCaps/>
          <w:sz w:val="18"/>
          <w:szCs w:val="18"/>
          <w:lang w:val="fr-CA"/>
        </w:rPr>
        <w:t>N</w:t>
      </w:r>
      <w:r w:rsidRPr="00BD22C2">
        <w:rPr>
          <w:rFonts w:ascii="Arial" w:hAnsi="Arial" w:cs="Arial"/>
          <w:smallCaps/>
          <w:sz w:val="18"/>
          <w:szCs w:val="18"/>
          <w:lang w:val="fr-CA"/>
        </w:rPr>
        <w:t xml:space="preserve">ouveau </w:t>
      </w:r>
      <w:r w:rsidR="005D61E2">
        <w:rPr>
          <w:rFonts w:ascii="Arial" w:hAnsi="Arial" w:cs="Arial"/>
          <w:smallCaps/>
          <w:sz w:val="18"/>
          <w:szCs w:val="18"/>
          <w:lang w:val="fr-CA"/>
        </w:rPr>
        <w:t>M</w:t>
      </w:r>
      <w:r w:rsidRPr="00BD22C2">
        <w:rPr>
          <w:rFonts w:ascii="Arial" w:hAnsi="Arial" w:cs="Arial"/>
          <w:smallCaps/>
          <w:sz w:val="18"/>
          <w:szCs w:val="18"/>
          <w:lang w:val="fr-CA"/>
        </w:rPr>
        <w:t>onde</w:t>
      </w:r>
      <w:r w:rsidRPr="00BD22C2">
        <w:rPr>
          <w:rFonts w:ascii="Arial" w:hAnsi="Arial" w:cs="Arial"/>
          <w:sz w:val="18"/>
          <w:szCs w:val="18"/>
          <w:lang w:val="fr-CA"/>
        </w:rPr>
        <w:t xml:space="preserve">, </w:t>
      </w:r>
      <w:r w:rsidR="004B76A5" w:rsidRPr="00BD22C2">
        <w:rPr>
          <w:rFonts w:ascii="Arial" w:hAnsi="Arial" w:cs="Arial"/>
          <w:iCs/>
          <w:sz w:val="18"/>
          <w:szCs w:val="18"/>
          <w:lang w:val="fr-CA"/>
        </w:rPr>
        <w:t>préc</w:t>
      </w:r>
      <w:r w:rsidR="00AA0264" w:rsidRPr="00BD22C2">
        <w:rPr>
          <w:rFonts w:ascii="Arial" w:hAnsi="Arial" w:cs="Arial"/>
          <w:iCs/>
          <w:sz w:val="18"/>
          <w:szCs w:val="18"/>
          <w:lang w:val="fr-CA"/>
        </w:rPr>
        <w:t>., note</w:t>
      </w:r>
      <w:r w:rsidR="0091080B">
        <w:rPr>
          <w:rFonts w:ascii="Arial" w:hAnsi="Arial" w:cs="Arial"/>
          <w:iCs/>
          <w:sz w:val="18"/>
          <w:szCs w:val="18"/>
          <w:lang w:val="fr-CA"/>
        </w:rPr>
        <w:t> </w:t>
      </w:r>
      <w:r w:rsidR="00AA0264" w:rsidRPr="00BD22C2">
        <w:rPr>
          <w:rFonts w:ascii="Arial" w:hAnsi="Arial" w:cs="Arial"/>
          <w:iCs/>
          <w:sz w:val="18"/>
          <w:szCs w:val="18"/>
          <w:lang w:val="fr-CA"/>
        </w:rPr>
        <w:fldChar w:fldCharType="begin"/>
      </w:r>
      <w:r w:rsidR="00AA0264" w:rsidRPr="00BD22C2">
        <w:rPr>
          <w:rFonts w:ascii="Arial" w:hAnsi="Arial" w:cs="Arial"/>
          <w:iCs/>
          <w:sz w:val="18"/>
          <w:szCs w:val="18"/>
          <w:lang w:val="fr-CA"/>
        </w:rPr>
        <w:instrText xml:space="preserve"> NOTEREF _Ref167185441 \h </w:instrText>
      </w:r>
      <w:r w:rsidR="00AA0264" w:rsidRPr="00BD22C2">
        <w:rPr>
          <w:rFonts w:ascii="Arial" w:hAnsi="Arial" w:cs="Arial"/>
          <w:iCs/>
          <w:sz w:val="18"/>
          <w:szCs w:val="18"/>
          <w:lang w:val="fr-CA"/>
        </w:rPr>
      </w:r>
      <w:r w:rsidR="00AA0264" w:rsidRPr="00BD22C2">
        <w:rPr>
          <w:rFonts w:ascii="Arial" w:hAnsi="Arial" w:cs="Arial"/>
          <w:iCs/>
          <w:sz w:val="18"/>
          <w:szCs w:val="18"/>
          <w:lang w:val="fr-CA"/>
        </w:rPr>
        <w:fldChar w:fldCharType="separate"/>
      </w:r>
      <w:r w:rsidR="004B4881">
        <w:rPr>
          <w:rFonts w:ascii="Arial" w:hAnsi="Arial" w:cs="Arial"/>
          <w:iCs/>
          <w:sz w:val="18"/>
          <w:szCs w:val="18"/>
          <w:lang w:val="fr-CA"/>
        </w:rPr>
        <w:t>104</w:t>
      </w:r>
      <w:r w:rsidR="00AA0264" w:rsidRPr="00BD22C2">
        <w:rPr>
          <w:rFonts w:ascii="Arial" w:hAnsi="Arial" w:cs="Arial"/>
          <w:iCs/>
          <w:sz w:val="18"/>
          <w:szCs w:val="18"/>
          <w:lang w:val="fr-CA"/>
        </w:rPr>
        <w:fldChar w:fldCharType="end"/>
      </w:r>
      <w:r w:rsidRPr="00BD22C2">
        <w:rPr>
          <w:rFonts w:ascii="Arial" w:hAnsi="Arial" w:cs="Arial"/>
          <w:sz w:val="18"/>
          <w:szCs w:val="18"/>
          <w:lang w:val="fr-CA"/>
        </w:rPr>
        <w:t>, p. 44.</w:t>
      </w:r>
    </w:p>
  </w:endnote>
  <w:endnote w:id="107">
    <w:p w14:paraId="21CA1926" w14:textId="0CDE1995"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Association canadienne des chefs de police</w:t>
      </w:r>
      <w:r w:rsidRPr="00BD22C2">
        <w:rPr>
          <w:rFonts w:ascii="Arial" w:hAnsi="Arial" w:cs="Arial"/>
          <w:sz w:val="18"/>
          <w:szCs w:val="18"/>
          <w:lang w:val="fr-CA"/>
        </w:rPr>
        <w:t xml:space="preserve">, </w:t>
      </w:r>
      <w:r w:rsidRPr="00BD22C2">
        <w:rPr>
          <w:rFonts w:ascii="Arial" w:hAnsi="Arial" w:cs="Arial"/>
          <w:i/>
          <w:sz w:val="18"/>
          <w:szCs w:val="18"/>
          <w:lang w:val="fr-CA"/>
        </w:rPr>
        <w:t>Soutenir la communauté</w:t>
      </w:r>
      <w:r w:rsidR="008B4522">
        <w:rPr>
          <w:rFonts w:ascii="Arial" w:hAnsi="Arial" w:cs="Arial"/>
          <w:i/>
          <w:sz w:val="18"/>
          <w:szCs w:val="18"/>
          <w:lang w:val="fr-CA"/>
        </w:rPr>
        <w:t> </w:t>
      </w:r>
      <w:r w:rsidRPr="00BD22C2">
        <w:rPr>
          <w:rFonts w:ascii="Arial" w:hAnsi="Arial" w:cs="Arial"/>
          <w:i/>
          <w:sz w:val="18"/>
          <w:szCs w:val="18"/>
          <w:lang w:val="fr-CA"/>
        </w:rPr>
        <w:t>2SLGBTQ+ : Boîte à outils pour l’équité et l’inclusion</w:t>
      </w:r>
      <w:r w:rsidRPr="00BD22C2">
        <w:rPr>
          <w:rFonts w:ascii="Arial" w:hAnsi="Arial" w:cs="Arial"/>
          <w:sz w:val="18"/>
          <w:szCs w:val="18"/>
          <w:lang w:val="fr-CA"/>
        </w:rPr>
        <w:t>, 2020, p.</w:t>
      </w:r>
      <w:r w:rsidR="00F915F8" w:rsidRPr="00BD22C2">
        <w:rPr>
          <w:rFonts w:ascii="Arial" w:hAnsi="Arial" w:cs="Arial"/>
          <w:sz w:val="18"/>
          <w:szCs w:val="18"/>
          <w:lang w:val="fr-CA"/>
        </w:rPr>
        <w:t> </w:t>
      </w:r>
      <w:r w:rsidR="009E2322" w:rsidRPr="00BD22C2">
        <w:rPr>
          <w:rFonts w:ascii="Arial" w:hAnsi="Arial" w:cs="Arial"/>
          <w:sz w:val="18"/>
          <w:szCs w:val="18"/>
          <w:lang w:val="fr-CA"/>
        </w:rPr>
        <w:t xml:space="preserve">6 et 37, [En ligne]. </w:t>
      </w:r>
      <w:hyperlink r:id="rId84" w:history="1">
        <w:r w:rsidR="00F32C7C" w:rsidRPr="00BD22C2">
          <w:rPr>
            <w:rStyle w:val="Lienhypertexte"/>
            <w:rFonts w:ascii="Arial" w:hAnsi="Arial" w:cs="Arial"/>
            <w:sz w:val="18"/>
            <w:szCs w:val="18"/>
            <w:lang w:val="fr-CA"/>
          </w:rPr>
          <w:t>https://www.cacp.ca/_Library/_documents/202012101218101621684590_accp2slgbtq2sequitetinclusionboteoutilsdc2020.pdf</w:t>
        </w:r>
      </w:hyperlink>
      <w:r w:rsidRPr="00BD22C2">
        <w:rPr>
          <w:rFonts w:ascii="Arial" w:hAnsi="Arial" w:cs="Arial"/>
          <w:sz w:val="18"/>
          <w:szCs w:val="18"/>
          <w:lang w:val="fr-CA"/>
        </w:rPr>
        <w:t xml:space="preserve"> </w:t>
      </w:r>
    </w:p>
  </w:endnote>
  <w:endnote w:id="108">
    <w:p w14:paraId="5458C58A" w14:textId="585866D3"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R</w:t>
      </w:r>
      <w:r w:rsidRPr="00BD22C2">
        <w:rPr>
          <w:rFonts w:ascii="Arial" w:hAnsi="Arial" w:cs="Arial"/>
          <w:sz w:val="18"/>
          <w:szCs w:val="18"/>
          <w:lang w:val="fr-CA"/>
        </w:rPr>
        <w:t xml:space="preserve">. c. </w:t>
      </w:r>
      <w:r w:rsidRPr="00BD22C2">
        <w:rPr>
          <w:rFonts w:ascii="Arial" w:hAnsi="Arial" w:cs="Arial"/>
          <w:i/>
          <w:sz w:val="18"/>
          <w:szCs w:val="18"/>
          <w:lang w:val="fr-CA"/>
        </w:rPr>
        <w:t>Lévesque</w:t>
      </w:r>
      <w:r w:rsidRPr="00BD22C2">
        <w:rPr>
          <w:rFonts w:ascii="Arial" w:hAnsi="Arial" w:cs="Arial"/>
          <w:sz w:val="18"/>
          <w:szCs w:val="18"/>
          <w:lang w:val="fr-CA"/>
        </w:rPr>
        <w:t xml:space="preserve">, </w:t>
      </w:r>
      <w:r w:rsidRPr="00BD22C2">
        <w:rPr>
          <w:rFonts w:ascii="Arial" w:hAnsi="Arial" w:cs="Arial"/>
          <w:sz w:val="18"/>
          <w:szCs w:val="18"/>
          <w:shd w:val="clear" w:color="auto" w:fill="FBFBFB"/>
          <w:lang w:val="fr-CA"/>
        </w:rPr>
        <w:t>2022 QCCQ</w:t>
      </w:r>
      <w:r w:rsidR="00F915F8" w:rsidRPr="00BD22C2">
        <w:rPr>
          <w:rFonts w:ascii="Arial" w:hAnsi="Arial" w:cs="Arial"/>
          <w:sz w:val="18"/>
          <w:szCs w:val="18"/>
          <w:shd w:val="clear" w:color="auto" w:fill="FBFBFB"/>
          <w:lang w:val="fr-CA"/>
        </w:rPr>
        <w:t> </w:t>
      </w:r>
      <w:r w:rsidRPr="00BD22C2">
        <w:rPr>
          <w:rFonts w:ascii="Arial" w:hAnsi="Arial" w:cs="Arial"/>
          <w:sz w:val="18"/>
          <w:szCs w:val="18"/>
          <w:shd w:val="clear" w:color="auto" w:fill="FBFBFB"/>
          <w:lang w:val="fr-CA"/>
        </w:rPr>
        <w:t>12793, par. 187.</w:t>
      </w:r>
    </w:p>
  </w:endnote>
  <w:endnote w:id="109">
    <w:p w14:paraId="6C9F1BE4" w14:textId="77777777"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par. 188.</w:t>
      </w:r>
    </w:p>
  </w:endnote>
  <w:endnote w:id="110">
    <w:p w14:paraId="2EFDF516" w14:textId="77777777"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par. 190.</w:t>
      </w:r>
    </w:p>
  </w:endnote>
  <w:endnote w:id="111">
    <w:p w14:paraId="5FB01F30" w14:textId="17E34871" w:rsidR="00D57FB4" w:rsidRPr="00E16C03" w:rsidRDefault="00D57FB4"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Notons que l’accusé aborde la question sous l’angle du profilage lors de son interrogatoire en chef alors qu’il est invité à relater comment il s’est senti «</w:t>
      </w:r>
      <w:r w:rsidR="0056005D" w:rsidRPr="00BD22C2">
        <w:rPr>
          <w:rFonts w:ascii="Arial" w:hAnsi="Arial" w:cs="Arial"/>
          <w:sz w:val="18"/>
          <w:szCs w:val="18"/>
          <w:lang w:val="fr-CA"/>
        </w:rPr>
        <w:t> </w:t>
      </w:r>
      <w:r w:rsidRPr="00BD22C2">
        <w:rPr>
          <w:rFonts w:ascii="Arial" w:hAnsi="Arial" w:cs="Arial"/>
          <w:sz w:val="18"/>
          <w:szCs w:val="18"/>
          <w:lang w:val="fr-CA"/>
        </w:rPr>
        <w:t>après avoir été mégenré pendant tout l’entretien et à devoir répondre à une série de questions très personnelles et intimes</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E16C03">
        <w:rPr>
          <w:rFonts w:ascii="Arial" w:hAnsi="Arial" w:cs="Arial"/>
          <w:i/>
          <w:sz w:val="18"/>
          <w:szCs w:val="18"/>
          <w:lang w:val="en-CA"/>
        </w:rPr>
        <w:t>Id</w:t>
      </w:r>
      <w:r w:rsidRPr="00E16C03">
        <w:rPr>
          <w:rFonts w:ascii="Arial" w:hAnsi="Arial" w:cs="Arial"/>
          <w:sz w:val="18"/>
          <w:szCs w:val="18"/>
          <w:lang w:val="en-CA"/>
        </w:rPr>
        <w:t>., par. 85.</w:t>
      </w:r>
    </w:p>
  </w:endnote>
  <w:endnote w:id="112">
    <w:p w14:paraId="02A9583F" w14:textId="1D61DEB8" w:rsidR="00D57FB4" w:rsidRPr="00BD22C2" w:rsidRDefault="00D57FB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Voir, par </w:t>
      </w:r>
      <w:r w:rsidR="006857FA" w:rsidRPr="00E16C03">
        <w:rPr>
          <w:rFonts w:ascii="Arial" w:hAnsi="Arial" w:cs="Arial"/>
          <w:sz w:val="18"/>
          <w:szCs w:val="18"/>
          <w:lang w:val="en-CA"/>
        </w:rPr>
        <w:t>exemple</w:t>
      </w:r>
      <w:r w:rsidR="00E30B76">
        <w:rPr>
          <w:rFonts w:ascii="Arial" w:hAnsi="Arial" w:cs="Arial"/>
          <w:sz w:val="18"/>
          <w:szCs w:val="18"/>
          <w:lang w:val="en-CA"/>
        </w:rPr>
        <w:t> </w:t>
      </w:r>
      <w:r w:rsidR="006857FA" w:rsidRPr="00E16C03">
        <w:rPr>
          <w:rFonts w:ascii="Arial" w:hAnsi="Arial" w:cs="Arial"/>
          <w:sz w:val="18"/>
          <w:szCs w:val="18"/>
          <w:lang w:val="en-CA"/>
        </w:rPr>
        <w:t>:</w:t>
      </w:r>
      <w:r w:rsidR="00595F8A" w:rsidRPr="00E16C03">
        <w:rPr>
          <w:rFonts w:ascii="Arial" w:hAnsi="Arial" w:cs="Arial"/>
          <w:sz w:val="18"/>
          <w:szCs w:val="18"/>
          <w:lang w:val="en-CA"/>
        </w:rPr>
        <w:t xml:space="preserve"> </w:t>
      </w:r>
      <w:r w:rsidR="00595F8A" w:rsidRPr="00E16C03">
        <w:rPr>
          <w:rFonts w:ascii="Arial" w:hAnsi="Arial" w:cs="Arial"/>
          <w:i/>
          <w:sz w:val="18"/>
          <w:szCs w:val="18"/>
          <w:lang w:val="en-CA"/>
        </w:rPr>
        <w:t>Lewis</w:t>
      </w:r>
      <w:r w:rsidR="00595F8A" w:rsidRPr="00E16C03">
        <w:rPr>
          <w:rFonts w:ascii="Arial" w:hAnsi="Arial" w:cs="Arial"/>
          <w:sz w:val="18"/>
          <w:szCs w:val="18"/>
          <w:lang w:val="en-CA"/>
        </w:rPr>
        <w:t xml:space="preserve"> v. </w:t>
      </w:r>
      <w:r w:rsidR="00595F8A" w:rsidRPr="00E16C03">
        <w:rPr>
          <w:rFonts w:ascii="Arial" w:hAnsi="Arial" w:cs="Arial"/>
          <w:i/>
          <w:sz w:val="18"/>
          <w:szCs w:val="18"/>
          <w:lang w:val="en-CA"/>
        </w:rPr>
        <w:t>Sugar Daddys Nightclub</w:t>
      </w:r>
      <w:r w:rsidR="00595F8A" w:rsidRPr="00E16C03">
        <w:rPr>
          <w:rFonts w:ascii="Arial" w:hAnsi="Arial" w:cs="Arial"/>
          <w:sz w:val="18"/>
          <w:szCs w:val="18"/>
          <w:lang w:val="en-CA"/>
        </w:rPr>
        <w:t>, 2016</w:t>
      </w:r>
      <w:r w:rsidR="00B32B61">
        <w:rPr>
          <w:rFonts w:ascii="Arial" w:hAnsi="Arial" w:cs="Arial"/>
          <w:sz w:val="18"/>
          <w:szCs w:val="18"/>
          <w:lang w:val="en-CA"/>
        </w:rPr>
        <w:t> </w:t>
      </w:r>
      <w:r w:rsidR="00595F8A" w:rsidRPr="00E16C03">
        <w:rPr>
          <w:rFonts w:ascii="Arial" w:hAnsi="Arial" w:cs="Arial"/>
          <w:sz w:val="18"/>
          <w:szCs w:val="18"/>
          <w:lang w:val="en-CA"/>
        </w:rPr>
        <w:t>HRTO</w:t>
      </w:r>
      <w:r w:rsidR="0091080B">
        <w:rPr>
          <w:rFonts w:ascii="Arial" w:hAnsi="Arial" w:cs="Arial"/>
          <w:sz w:val="18"/>
          <w:szCs w:val="18"/>
          <w:lang w:val="en-CA"/>
        </w:rPr>
        <w:t> </w:t>
      </w:r>
      <w:r w:rsidR="00595F8A" w:rsidRPr="00E16C03">
        <w:rPr>
          <w:rFonts w:ascii="Arial" w:hAnsi="Arial" w:cs="Arial"/>
          <w:sz w:val="18"/>
          <w:szCs w:val="18"/>
          <w:lang w:val="en-CA"/>
        </w:rPr>
        <w:t>347</w:t>
      </w:r>
      <w:r w:rsidR="00BC184C" w:rsidRPr="00E16C03">
        <w:rPr>
          <w:rFonts w:ascii="Arial" w:hAnsi="Arial" w:cs="Arial"/>
          <w:sz w:val="18"/>
          <w:szCs w:val="18"/>
          <w:lang w:val="en-CA"/>
        </w:rPr>
        <w:t xml:space="preserve">; </w:t>
      </w:r>
      <w:r w:rsidR="00BC184C" w:rsidRPr="00E16C03">
        <w:rPr>
          <w:rFonts w:ascii="Arial" w:hAnsi="Arial" w:cs="Arial"/>
          <w:i/>
          <w:sz w:val="18"/>
          <w:szCs w:val="18"/>
          <w:lang w:val="en-CA"/>
        </w:rPr>
        <w:t>Sheridan</w:t>
      </w:r>
      <w:r w:rsidR="00BC184C" w:rsidRPr="00E16C03">
        <w:rPr>
          <w:rFonts w:ascii="Arial" w:hAnsi="Arial" w:cs="Arial"/>
          <w:sz w:val="18"/>
          <w:szCs w:val="18"/>
          <w:lang w:val="en-CA"/>
        </w:rPr>
        <w:t xml:space="preserve"> v. </w:t>
      </w:r>
      <w:r w:rsidR="00BC184C" w:rsidRPr="00E16C03">
        <w:rPr>
          <w:rFonts w:ascii="Arial" w:hAnsi="Arial" w:cs="Arial"/>
          <w:i/>
          <w:sz w:val="18"/>
          <w:szCs w:val="18"/>
          <w:lang w:val="en-CA"/>
        </w:rPr>
        <w:t xml:space="preserve">Sanctuary Investments Ltd. </w:t>
      </w:r>
      <w:r w:rsidR="00BC184C" w:rsidRPr="00E47755">
        <w:rPr>
          <w:rFonts w:ascii="Arial" w:hAnsi="Arial" w:cs="Arial"/>
          <w:i/>
          <w:sz w:val="18"/>
          <w:szCs w:val="18"/>
          <w:lang w:val="fr-CA"/>
        </w:rPr>
        <w:t>(No.</w:t>
      </w:r>
      <w:r w:rsidR="0091080B" w:rsidRPr="00E47755">
        <w:rPr>
          <w:rFonts w:ascii="Arial" w:hAnsi="Arial" w:cs="Arial"/>
          <w:i/>
          <w:sz w:val="18"/>
          <w:szCs w:val="18"/>
          <w:lang w:val="fr-CA"/>
        </w:rPr>
        <w:t> </w:t>
      </w:r>
      <w:r w:rsidR="00BC184C" w:rsidRPr="00BD22C2">
        <w:rPr>
          <w:rFonts w:ascii="Arial" w:hAnsi="Arial" w:cs="Arial"/>
          <w:i/>
          <w:sz w:val="18"/>
          <w:szCs w:val="18"/>
          <w:lang w:val="fr-CA"/>
        </w:rPr>
        <w:t>3)</w:t>
      </w:r>
      <w:r w:rsidR="00BC184C" w:rsidRPr="00BD22C2">
        <w:rPr>
          <w:rFonts w:ascii="Arial" w:hAnsi="Arial" w:cs="Arial"/>
          <w:sz w:val="18"/>
          <w:szCs w:val="18"/>
          <w:lang w:val="fr-CA"/>
        </w:rPr>
        <w:t>, 1999</w:t>
      </w:r>
      <w:r w:rsidR="00B32B61">
        <w:rPr>
          <w:rFonts w:ascii="Arial" w:hAnsi="Arial" w:cs="Arial"/>
          <w:sz w:val="18"/>
          <w:szCs w:val="18"/>
          <w:lang w:val="fr-CA"/>
        </w:rPr>
        <w:t> </w:t>
      </w:r>
      <w:r w:rsidR="00BC184C" w:rsidRPr="00BD22C2">
        <w:rPr>
          <w:rFonts w:ascii="Arial" w:hAnsi="Arial" w:cs="Arial"/>
          <w:sz w:val="18"/>
          <w:szCs w:val="18"/>
          <w:lang w:val="fr-CA"/>
        </w:rPr>
        <w:t>CanLII</w:t>
      </w:r>
      <w:r w:rsidR="0091080B">
        <w:rPr>
          <w:rFonts w:ascii="Arial" w:hAnsi="Arial" w:cs="Arial"/>
          <w:sz w:val="18"/>
          <w:szCs w:val="18"/>
          <w:lang w:val="fr-CA"/>
        </w:rPr>
        <w:t> </w:t>
      </w:r>
      <w:r w:rsidR="00BC184C" w:rsidRPr="00BD22C2">
        <w:rPr>
          <w:rFonts w:ascii="Arial" w:hAnsi="Arial" w:cs="Arial"/>
          <w:sz w:val="18"/>
          <w:szCs w:val="18"/>
          <w:lang w:val="fr-CA"/>
        </w:rPr>
        <w:t>35172 (BC HRT)</w:t>
      </w:r>
    </w:p>
  </w:endnote>
  <w:endnote w:id="113">
    <w:p w14:paraId="35AB1A44" w14:textId="2FB808AB" w:rsidR="00D57FB4" w:rsidRPr="00061794" w:rsidRDefault="00D57FB4"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0518D" w:rsidRPr="00BD22C2">
        <w:rPr>
          <w:rFonts w:ascii="Arial" w:hAnsi="Arial" w:cs="Arial"/>
          <w:sz w:val="18"/>
          <w:szCs w:val="18"/>
          <w:lang w:val="fr-CA"/>
        </w:rPr>
        <w:t xml:space="preserve">Voir, par exemple : </w:t>
      </w:r>
      <w:r w:rsidRPr="00BD22C2">
        <w:rPr>
          <w:rFonts w:ascii="Arial" w:hAnsi="Arial" w:cs="Arial"/>
          <w:sz w:val="18"/>
          <w:szCs w:val="18"/>
          <w:lang w:val="fr-CA"/>
        </w:rPr>
        <w:t xml:space="preserve">Clara </w:t>
      </w:r>
      <w:r w:rsidRPr="00BD22C2">
        <w:rPr>
          <w:rFonts w:ascii="Arial" w:hAnsi="Arial" w:cs="Arial"/>
          <w:smallCaps/>
          <w:sz w:val="18"/>
          <w:szCs w:val="18"/>
          <w:lang w:val="fr-CA"/>
        </w:rPr>
        <w:t>Loiseau</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Les toilettes mixtes qui existent déjà dans les écoles plutôt bien reçues</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Le Journal de Montréal</w:t>
      </w:r>
      <w:r w:rsidRPr="00BD22C2">
        <w:rPr>
          <w:rFonts w:ascii="Arial" w:hAnsi="Arial" w:cs="Arial"/>
          <w:sz w:val="18"/>
          <w:szCs w:val="18"/>
          <w:lang w:val="fr-CA"/>
        </w:rPr>
        <w:t>, 13</w:t>
      </w:r>
      <w:r w:rsidR="00762FE8">
        <w:rPr>
          <w:rFonts w:ascii="Arial" w:hAnsi="Arial" w:cs="Arial"/>
          <w:sz w:val="18"/>
          <w:szCs w:val="18"/>
          <w:lang w:val="fr-CA"/>
        </w:rPr>
        <w:t> </w:t>
      </w:r>
      <w:r w:rsidRPr="00BD22C2">
        <w:rPr>
          <w:rFonts w:ascii="Arial" w:hAnsi="Arial" w:cs="Arial"/>
          <w:sz w:val="18"/>
          <w:szCs w:val="18"/>
          <w:lang w:val="fr-CA"/>
        </w:rPr>
        <w:t xml:space="preserve">septembre 2023, [En ligne]. </w:t>
      </w:r>
      <w:hyperlink r:id="rId85" w:history="1">
        <w:r w:rsidRPr="00BD22C2">
          <w:rPr>
            <w:rStyle w:val="Lienhypertexte"/>
            <w:rFonts w:ascii="Arial" w:hAnsi="Arial" w:cs="Arial"/>
            <w:sz w:val="18"/>
            <w:szCs w:val="18"/>
            <w:lang w:val="fr-CA"/>
          </w:rPr>
          <w:t>https://www.journaldemontreal.com/2023/09/13/les-toilettes-mixtes-qui-existent-deja-dans-les-ecoles-plutot-bien-recues</w:t>
        </w:r>
      </w:hyperlink>
      <w:r w:rsidR="00CF0C74" w:rsidRPr="00BD22C2">
        <w:rPr>
          <w:rFonts w:ascii="Arial" w:hAnsi="Arial" w:cs="Arial"/>
          <w:sz w:val="18"/>
          <w:szCs w:val="18"/>
          <w:lang w:val="fr-CA"/>
        </w:rPr>
        <w:t> </w:t>
      </w:r>
      <w:r w:rsidRPr="00BD22C2">
        <w:rPr>
          <w:rFonts w:ascii="Arial" w:hAnsi="Arial" w:cs="Arial"/>
          <w:sz w:val="18"/>
          <w:szCs w:val="18"/>
          <w:lang w:val="fr-CA"/>
        </w:rPr>
        <w:t xml:space="preserve">; Alexandre </w:t>
      </w:r>
      <w:r w:rsidRPr="00BD22C2">
        <w:rPr>
          <w:rFonts w:ascii="Arial" w:hAnsi="Arial" w:cs="Arial"/>
          <w:smallCaps/>
          <w:sz w:val="18"/>
          <w:szCs w:val="18"/>
          <w:lang w:val="fr-CA"/>
        </w:rPr>
        <w:t>Vigneault</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Quand les toilettes font peur</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La Presse</w:t>
      </w:r>
      <w:r w:rsidRPr="00BD22C2">
        <w:rPr>
          <w:rFonts w:ascii="Arial" w:hAnsi="Arial" w:cs="Arial"/>
          <w:sz w:val="18"/>
          <w:szCs w:val="18"/>
          <w:lang w:val="fr-CA"/>
        </w:rPr>
        <w:t>, 17</w:t>
      </w:r>
      <w:r w:rsidR="00762FE8">
        <w:rPr>
          <w:rFonts w:ascii="Arial" w:hAnsi="Arial" w:cs="Arial"/>
          <w:sz w:val="18"/>
          <w:szCs w:val="18"/>
          <w:lang w:val="fr-CA"/>
        </w:rPr>
        <w:t> </w:t>
      </w:r>
      <w:r w:rsidRPr="00BD22C2">
        <w:rPr>
          <w:rFonts w:ascii="Arial" w:hAnsi="Arial" w:cs="Arial"/>
          <w:sz w:val="18"/>
          <w:szCs w:val="18"/>
          <w:lang w:val="fr-CA"/>
        </w:rPr>
        <w:t xml:space="preserve">septembre 2023, [En ligne]. </w:t>
      </w:r>
      <w:hyperlink r:id="rId86" w:history="1">
        <w:r w:rsidRPr="00BD22C2">
          <w:rPr>
            <w:rStyle w:val="Lienhypertexte"/>
            <w:rFonts w:ascii="Arial" w:hAnsi="Arial" w:cs="Arial"/>
            <w:sz w:val="18"/>
            <w:szCs w:val="18"/>
            <w:lang w:val="fr-CA"/>
          </w:rPr>
          <w:t>https://www.lapresse.ca/societe/2023-09-17/quand-les-toilettes-font-peur.php</w:t>
        </w:r>
      </w:hyperlink>
      <w:r w:rsidR="0051216B" w:rsidRPr="00BD22C2">
        <w:rPr>
          <w:rStyle w:val="Lienhypertexte"/>
          <w:rFonts w:ascii="Arial" w:hAnsi="Arial" w:cs="Arial"/>
          <w:sz w:val="18"/>
          <w:szCs w:val="18"/>
          <w:lang w:val="fr-CA"/>
        </w:rPr>
        <w:t> </w:t>
      </w:r>
      <w:r w:rsidR="0070518D" w:rsidRPr="00BD22C2">
        <w:rPr>
          <w:rFonts w:ascii="Arial" w:hAnsi="Arial" w:cs="Arial"/>
          <w:sz w:val="18"/>
          <w:szCs w:val="18"/>
          <w:lang w:val="fr-CA"/>
        </w:rPr>
        <w:t xml:space="preserve">; </w:t>
      </w:r>
      <w:r w:rsidR="0070518D" w:rsidRPr="00BD22C2">
        <w:rPr>
          <w:rFonts w:ascii="Arial" w:hAnsi="Arial" w:cs="Arial"/>
          <w:smallCaps/>
          <w:sz w:val="18"/>
          <w:szCs w:val="18"/>
          <w:lang w:val="fr-CA"/>
        </w:rPr>
        <w:t>Institut du nouveau monde</w:t>
      </w:r>
      <w:r w:rsidR="0070518D" w:rsidRPr="00BD22C2">
        <w:rPr>
          <w:rFonts w:ascii="Arial" w:hAnsi="Arial" w:cs="Arial"/>
          <w:sz w:val="18"/>
          <w:szCs w:val="18"/>
          <w:lang w:val="fr-CA"/>
        </w:rPr>
        <w:t>, préc., note </w:t>
      </w:r>
      <w:r w:rsidR="00AB5410" w:rsidRPr="00BD22C2">
        <w:rPr>
          <w:rFonts w:ascii="Arial" w:hAnsi="Arial" w:cs="Arial"/>
          <w:sz w:val="18"/>
          <w:szCs w:val="18"/>
          <w:lang w:val="fr-CA"/>
        </w:rPr>
        <w:fldChar w:fldCharType="begin"/>
      </w:r>
      <w:r w:rsidR="00AB5410" w:rsidRPr="00BD22C2">
        <w:rPr>
          <w:rFonts w:ascii="Arial" w:hAnsi="Arial" w:cs="Arial"/>
          <w:sz w:val="18"/>
          <w:szCs w:val="18"/>
          <w:lang w:val="fr-CA"/>
        </w:rPr>
        <w:instrText xml:space="preserve"> NOTEREF _Ref167185441 \h </w:instrText>
      </w:r>
      <w:r w:rsidR="00AB5410" w:rsidRPr="00BD22C2">
        <w:rPr>
          <w:rFonts w:ascii="Arial" w:hAnsi="Arial" w:cs="Arial"/>
          <w:sz w:val="18"/>
          <w:szCs w:val="18"/>
          <w:lang w:val="fr-CA"/>
        </w:rPr>
      </w:r>
      <w:r w:rsidR="00AB5410" w:rsidRPr="00BD22C2">
        <w:rPr>
          <w:rFonts w:ascii="Arial" w:hAnsi="Arial" w:cs="Arial"/>
          <w:sz w:val="18"/>
          <w:szCs w:val="18"/>
          <w:lang w:val="fr-CA"/>
        </w:rPr>
        <w:fldChar w:fldCharType="separate"/>
      </w:r>
      <w:r w:rsidR="004B4881">
        <w:rPr>
          <w:rFonts w:ascii="Arial" w:hAnsi="Arial" w:cs="Arial"/>
          <w:sz w:val="18"/>
          <w:szCs w:val="18"/>
          <w:lang w:val="fr-CA"/>
        </w:rPr>
        <w:t>104</w:t>
      </w:r>
      <w:r w:rsidR="00AB5410" w:rsidRPr="00BD22C2">
        <w:rPr>
          <w:rFonts w:ascii="Arial" w:hAnsi="Arial" w:cs="Arial"/>
          <w:sz w:val="18"/>
          <w:szCs w:val="18"/>
          <w:lang w:val="fr-CA"/>
        </w:rPr>
        <w:fldChar w:fldCharType="end"/>
      </w:r>
      <w:r w:rsidR="0070518D" w:rsidRPr="00BD22C2">
        <w:rPr>
          <w:rFonts w:ascii="Arial" w:hAnsi="Arial" w:cs="Arial"/>
          <w:sz w:val="18"/>
          <w:szCs w:val="18"/>
          <w:lang w:val="fr-CA"/>
        </w:rPr>
        <w:t>, p. 26</w:t>
      </w:r>
      <w:r w:rsidR="00F27F48">
        <w:rPr>
          <w:rFonts w:ascii="Arial" w:hAnsi="Arial" w:cs="Arial"/>
          <w:sz w:val="18"/>
          <w:szCs w:val="18"/>
          <w:lang w:val="fr-CA"/>
        </w:rPr>
        <w:t xml:space="preserve"> et </w:t>
      </w:r>
      <w:r w:rsidR="0070518D" w:rsidRPr="00BD22C2">
        <w:rPr>
          <w:rFonts w:ascii="Arial" w:hAnsi="Arial" w:cs="Arial"/>
          <w:sz w:val="18"/>
          <w:szCs w:val="18"/>
          <w:lang w:val="fr-CA"/>
        </w:rPr>
        <w:t xml:space="preserve">27 ; Elisabeth </w:t>
      </w:r>
      <w:r w:rsidR="0070518D" w:rsidRPr="00BD22C2">
        <w:rPr>
          <w:rFonts w:ascii="Arial" w:hAnsi="Arial" w:cs="Arial"/>
          <w:smallCaps/>
          <w:sz w:val="18"/>
          <w:szCs w:val="18"/>
          <w:lang w:val="fr-CA"/>
        </w:rPr>
        <w:t>Dupras-Leduc,</w:t>
      </w:r>
      <w:r w:rsidR="0070518D" w:rsidRPr="00BD22C2">
        <w:rPr>
          <w:rFonts w:ascii="Arial" w:hAnsi="Arial" w:cs="Arial"/>
          <w:sz w:val="18"/>
          <w:szCs w:val="18"/>
          <w:lang w:val="fr-CA"/>
        </w:rPr>
        <w:t xml:space="preserve"> </w:t>
      </w:r>
      <w:r w:rsidR="0070518D" w:rsidRPr="00BD22C2">
        <w:rPr>
          <w:rFonts w:ascii="Arial" w:hAnsi="Arial" w:cs="Arial"/>
          <w:i/>
          <w:sz w:val="18"/>
          <w:szCs w:val="18"/>
          <w:lang w:val="fr-CA"/>
        </w:rPr>
        <w:t xml:space="preserve">La cohabitation entre femmes trans et femmes cisgenres : Défis et réalités des intervenantes </w:t>
      </w:r>
      <w:r w:rsidR="00966772" w:rsidRPr="00BD22C2">
        <w:rPr>
          <w:rFonts w:ascii="Arial" w:hAnsi="Arial" w:cs="Arial"/>
          <w:i/>
          <w:sz w:val="18"/>
          <w:szCs w:val="18"/>
          <w:lang w:val="fr-CA"/>
        </w:rPr>
        <w:t>œuvrant</w:t>
      </w:r>
      <w:r w:rsidR="0070518D" w:rsidRPr="00BD22C2">
        <w:rPr>
          <w:rFonts w:ascii="Arial" w:hAnsi="Arial" w:cs="Arial"/>
          <w:i/>
          <w:sz w:val="18"/>
          <w:szCs w:val="18"/>
          <w:lang w:val="fr-CA"/>
        </w:rPr>
        <w:t xml:space="preserve"> dans un centre d’hébergement pour femmes en situation d’itinérance accueillant les femmes trans</w:t>
      </w:r>
      <w:r w:rsidR="0070518D" w:rsidRPr="00BD22C2">
        <w:rPr>
          <w:rFonts w:ascii="Arial" w:hAnsi="Arial" w:cs="Arial"/>
          <w:sz w:val="18"/>
          <w:szCs w:val="18"/>
          <w:lang w:val="fr-CA"/>
        </w:rPr>
        <w:t xml:space="preserve">, </w:t>
      </w:r>
      <w:r w:rsidR="00C94219" w:rsidRPr="00BD22C2">
        <w:rPr>
          <w:rFonts w:ascii="Arial" w:hAnsi="Arial" w:cs="Arial"/>
          <w:sz w:val="18"/>
          <w:szCs w:val="18"/>
          <w:lang w:val="fr-CA"/>
        </w:rPr>
        <w:t>m</w:t>
      </w:r>
      <w:r w:rsidR="0070518D" w:rsidRPr="00BD22C2">
        <w:rPr>
          <w:rFonts w:ascii="Arial" w:hAnsi="Arial" w:cs="Arial"/>
          <w:sz w:val="18"/>
          <w:szCs w:val="18"/>
          <w:lang w:val="fr-CA"/>
        </w:rPr>
        <w:t xml:space="preserve">émoire de maitrise en travail social, </w:t>
      </w:r>
      <w:r w:rsidR="00C51CAE" w:rsidRPr="00BD22C2">
        <w:rPr>
          <w:rFonts w:ascii="Arial" w:hAnsi="Arial" w:cs="Arial"/>
          <w:sz w:val="18"/>
          <w:szCs w:val="18"/>
          <w:lang w:val="fr-CA"/>
        </w:rPr>
        <w:t>Faculté de</w:t>
      </w:r>
      <w:r w:rsidR="00C94219" w:rsidRPr="00BD22C2">
        <w:rPr>
          <w:rFonts w:ascii="Arial" w:hAnsi="Arial" w:cs="Arial"/>
          <w:sz w:val="18"/>
          <w:szCs w:val="18"/>
          <w:lang w:val="fr-CA"/>
        </w:rPr>
        <w:t>s</w:t>
      </w:r>
      <w:r w:rsidR="00C51CAE" w:rsidRPr="00BD22C2">
        <w:rPr>
          <w:rFonts w:ascii="Arial" w:hAnsi="Arial" w:cs="Arial"/>
          <w:sz w:val="18"/>
          <w:szCs w:val="18"/>
          <w:lang w:val="fr-CA"/>
        </w:rPr>
        <w:t xml:space="preserve"> </w:t>
      </w:r>
      <w:r w:rsidR="00C94219" w:rsidRPr="00BD22C2">
        <w:rPr>
          <w:rFonts w:ascii="Arial" w:hAnsi="Arial" w:cs="Arial"/>
          <w:sz w:val="18"/>
          <w:szCs w:val="18"/>
          <w:lang w:val="fr-CA"/>
        </w:rPr>
        <w:t>sciences humaines</w:t>
      </w:r>
      <w:r w:rsidR="0070518D" w:rsidRPr="00BD22C2">
        <w:rPr>
          <w:rFonts w:ascii="Arial" w:hAnsi="Arial" w:cs="Arial"/>
          <w:sz w:val="18"/>
          <w:szCs w:val="18"/>
          <w:lang w:val="fr-CA"/>
        </w:rPr>
        <w:t xml:space="preserve">, </w:t>
      </w:r>
      <w:r w:rsidR="00416875" w:rsidRPr="00BD22C2">
        <w:rPr>
          <w:rFonts w:ascii="Arial" w:hAnsi="Arial" w:cs="Arial"/>
          <w:sz w:val="18"/>
          <w:szCs w:val="18"/>
          <w:lang w:val="fr-CA"/>
        </w:rPr>
        <w:t xml:space="preserve">Montréal, </w:t>
      </w:r>
      <w:r w:rsidR="0070518D" w:rsidRPr="00BD22C2">
        <w:rPr>
          <w:rFonts w:ascii="Arial" w:hAnsi="Arial" w:cs="Arial"/>
          <w:sz w:val="18"/>
          <w:szCs w:val="18"/>
          <w:lang w:val="fr-CA"/>
        </w:rPr>
        <w:t xml:space="preserve">Université du Québec à Montréal, 2021. </w:t>
      </w:r>
      <w:hyperlink r:id="rId87" w:history="1">
        <w:r w:rsidR="0070518D" w:rsidRPr="00061794">
          <w:rPr>
            <w:rStyle w:val="Lienhypertexte"/>
            <w:rFonts w:ascii="Arial" w:hAnsi="Arial" w:cs="Arial"/>
            <w:sz w:val="18"/>
            <w:szCs w:val="18"/>
            <w:lang w:val="en-CA"/>
          </w:rPr>
          <w:t>https://archipel.uqam.ca/16110/</w:t>
        </w:r>
      </w:hyperlink>
    </w:p>
  </w:endnote>
  <w:endnote w:id="114">
    <w:p w14:paraId="0B4D8015" w14:textId="78DBCAD1"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i/>
          <w:sz w:val="18"/>
          <w:szCs w:val="18"/>
          <w:lang w:val="en-CA"/>
        </w:rPr>
        <w:t>Centre for Gender Advocacy</w:t>
      </w:r>
      <w:r w:rsidRPr="00E16C03">
        <w:rPr>
          <w:rFonts w:ascii="Arial" w:hAnsi="Arial" w:cs="Arial"/>
          <w:sz w:val="18"/>
          <w:szCs w:val="18"/>
          <w:lang w:val="en-CA"/>
        </w:rPr>
        <w:t xml:space="preserve"> c. </w:t>
      </w:r>
      <w:r w:rsidRPr="00E16C03">
        <w:rPr>
          <w:rFonts w:ascii="Arial" w:hAnsi="Arial" w:cs="Arial"/>
          <w:i/>
          <w:sz w:val="18"/>
          <w:szCs w:val="18"/>
          <w:lang w:val="en-CA"/>
        </w:rPr>
        <w:t>Attorney General of Quebec</w:t>
      </w:r>
      <w:r w:rsidRPr="00E16C03">
        <w:rPr>
          <w:rFonts w:ascii="Arial" w:hAnsi="Arial" w:cs="Arial"/>
          <w:sz w:val="18"/>
          <w:szCs w:val="18"/>
          <w:lang w:val="en-CA"/>
        </w:rPr>
        <w:t>, 2021 QCCS 191, par. 2 (renvoi omis).</w:t>
      </w:r>
      <w:r w:rsidR="00586D45" w:rsidRPr="00E16C03">
        <w:rPr>
          <w:rFonts w:ascii="Arial" w:hAnsi="Arial" w:cs="Arial"/>
          <w:sz w:val="18"/>
          <w:szCs w:val="18"/>
          <w:lang w:val="en-CA"/>
        </w:rPr>
        <w:t xml:space="preserve"> </w:t>
      </w:r>
      <w:r w:rsidR="00F74F01" w:rsidRPr="00BD22C2">
        <w:rPr>
          <w:rFonts w:ascii="Arial" w:hAnsi="Arial" w:cs="Arial"/>
          <w:sz w:val="18"/>
          <w:szCs w:val="18"/>
          <w:lang w:val="fr-CA"/>
        </w:rPr>
        <w:t>Décision partiellement renversée en appel</w:t>
      </w:r>
      <w:r w:rsidR="00975B62" w:rsidRPr="00BD22C2">
        <w:rPr>
          <w:rFonts w:ascii="Arial" w:hAnsi="Arial" w:cs="Arial"/>
          <w:sz w:val="18"/>
          <w:szCs w:val="18"/>
          <w:lang w:val="fr-CA"/>
        </w:rPr>
        <w:t>,</w:t>
      </w:r>
      <w:r w:rsidR="00F74F01" w:rsidRPr="00BD22C2">
        <w:rPr>
          <w:rFonts w:ascii="Arial" w:hAnsi="Arial" w:cs="Arial"/>
          <w:sz w:val="18"/>
          <w:szCs w:val="18"/>
          <w:lang w:val="fr-CA"/>
        </w:rPr>
        <w:t xml:space="preserve"> mais pas sur ce point</w:t>
      </w:r>
      <w:r w:rsidR="0051216B" w:rsidRPr="00BD22C2">
        <w:rPr>
          <w:rFonts w:ascii="Arial" w:hAnsi="Arial" w:cs="Arial"/>
          <w:sz w:val="18"/>
          <w:szCs w:val="18"/>
          <w:lang w:val="fr-CA"/>
        </w:rPr>
        <w:t> </w:t>
      </w:r>
      <w:r w:rsidR="00F74F01" w:rsidRPr="00BD22C2">
        <w:rPr>
          <w:rFonts w:ascii="Arial" w:hAnsi="Arial" w:cs="Arial"/>
          <w:sz w:val="18"/>
          <w:szCs w:val="18"/>
          <w:lang w:val="fr-CA"/>
        </w:rPr>
        <w:t xml:space="preserve">: </w:t>
      </w:r>
      <w:r w:rsidR="00044D72" w:rsidRPr="00BD22C2">
        <w:rPr>
          <w:rFonts w:ascii="Arial" w:hAnsi="Arial" w:cs="Arial"/>
          <w:i/>
          <w:sz w:val="18"/>
          <w:szCs w:val="18"/>
          <w:lang w:val="fr-CA"/>
        </w:rPr>
        <w:t>Procureur général du Québec</w:t>
      </w:r>
      <w:r w:rsidR="00044D72" w:rsidRPr="00BD22C2">
        <w:rPr>
          <w:rFonts w:ascii="Arial" w:hAnsi="Arial" w:cs="Arial"/>
          <w:sz w:val="18"/>
          <w:szCs w:val="18"/>
          <w:lang w:val="fr-CA"/>
        </w:rPr>
        <w:t xml:space="preserve"> c. </w:t>
      </w:r>
      <w:r w:rsidR="00044D72" w:rsidRPr="00BD22C2">
        <w:rPr>
          <w:rFonts w:ascii="Arial" w:hAnsi="Arial" w:cs="Arial"/>
          <w:i/>
          <w:sz w:val="18"/>
          <w:szCs w:val="18"/>
          <w:lang w:val="fr-CA"/>
        </w:rPr>
        <w:t>Centre de lutte contre l</w:t>
      </w:r>
      <w:r w:rsidR="0051216B" w:rsidRPr="00BD22C2">
        <w:rPr>
          <w:rFonts w:ascii="Arial" w:hAnsi="Arial" w:cs="Arial"/>
          <w:i/>
          <w:sz w:val="18"/>
          <w:szCs w:val="18"/>
          <w:lang w:val="fr-CA"/>
        </w:rPr>
        <w:t>’</w:t>
      </w:r>
      <w:r w:rsidR="00044D72" w:rsidRPr="00BD22C2">
        <w:rPr>
          <w:rFonts w:ascii="Arial" w:hAnsi="Arial" w:cs="Arial"/>
          <w:i/>
          <w:sz w:val="18"/>
          <w:szCs w:val="18"/>
          <w:lang w:val="fr-CA"/>
        </w:rPr>
        <w:t>oppression des genres</w:t>
      </w:r>
      <w:r w:rsidR="00044D72" w:rsidRPr="00BD22C2">
        <w:rPr>
          <w:rFonts w:ascii="Arial" w:hAnsi="Arial" w:cs="Arial"/>
          <w:sz w:val="18"/>
          <w:szCs w:val="18"/>
          <w:lang w:val="fr-CA"/>
        </w:rPr>
        <w:t>,</w:t>
      </w:r>
      <w:r w:rsidR="0027244E" w:rsidRPr="00BD22C2">
        <w:rPr>
          <w:rFonts w:ascii="Arial" w:hAnsi="Arial" w:cs="Arial"/>
          <w:sz w:val="18"/>
          <w:szCs w:val="18"/>
          <w:lang w:val="fr-CA"/>
        </w:rPr>
        <w:t xml:space="preserve"> </w:t>
      </w:r>
      <w:r w:rsidR="00E91A04" w:rsidRPr="00BD22C2">
        <w:rPr>
          <w:rFonts w:ascii="Arial" w:hAnsi="Arial" w:cs="Arial"/>
          <w:sz w:val="18"/>
          <w:szCs w:val="18"/>
          <w:lang w:val="fr-CA"/>
        </w:rPr>
        <w:t xml:space="preserve">2024, </w:t>
      </w:r>
      <w:r w:rsidR="00AC6977" w:rsidRPr="00BD22C2">
        <w:rPr>
          <w:rFonts w:ascii="Arial" w:hAnsi="Arial" w:cs="Arial"/>
          <w:sz w:val="18"/>
          <w:szCs w:val="18"/>
          <w:lang w:val="fr-CA"/>
        </w:rPr>
        <w:t>préc., note</w:t>
      </w:r>
      <w:r w:rsidR="0091080B">
        <w:rPr>
          <w:rFonts w:ascii="Arial" w:hAnsi="Arial" w:cs="Arial"/>
          <w:sz w:val="18"/>
          <w:szCs w:val="18"/>
          <w:lang w:val="fr-CA"/>
        </w:rPr>
        <w:t> </w:t>
      </w:r>
      <w:r w:rsidR="00AC6977" w:rsidRPr="00BD22C2">
        <w:rPr>
          <w:rFonts w:ascii="Arial" w:hAnsi="Arial" w:cs="Arial"/>
          <w:sz w:val="18"/>
          <w:szCs w:val="18"/>
          <w:lang w:val="fr-CA"/>
        </w:rPr>
        <w:fldChar w:fldCharType="begin"/>
      </w:r>
      <w:r w:rsidR="00AC6977" w:rsidRPr="00BD22C2">
        <w:rPr>
          <w:rFonts w:ascii="Arial" w:hAnsi="Arial" w:cs="Arial"/>
          <w:sz w:val="18"/>
          <w:szCs w:val="18"/>
          <w:lang w:val="fr-CA"/>
        </w:rPr>
        <w:instrText xml:space="preserve"> NOTEREF _Ref166756580 \h </w:instrText>
      </w:r>
      <w:r w:rsidR="00AC6977" w:rsidRPr="00BD22C2">
        <w:rPr>
          <w:rFonts w:ascii="Arial" w:hAnsi="Arial" w:cs="Arial"/>
          <w:sz w:val="18"/>
          <w:szCs w:val="18"/>
          <w:lang w:val="fr-CA"/>
        </w:rPr>
      </w:r>
      <w:r w:rsidR="00AC6977" w:rsidRPr="00BD22C2">
        <w:rPr>
          <w:rFonts w:ascii="Arial" w:hAnsi="Arial" w:cs="Arial"/>
          <w:sz w:val="18"/>
          <w:szCs w:val="18"/>
          <w:lang w:val="fr-CA"/>
        </w:rPr>
        <w:fldChar w:fldCharType="separate"/>
      </w:r>
      <w:r w:rsidR="004B4881">
        <w:rPr>
          <w:rFonts w:ascii="Arial" w:hAnsi="Arial" w:cs="Arial"/>
          <w:sz w:val="18"/>
          <w:szCs w:val="18"/>
          <w:lang w:val="fr-CA"/>
        </w:rPr>
        <w:t>32</w:t>
      </w:r>
      <w:r w:rsidR="00AC6977" w:rsidRPr="00BD22C2">
        <w:rPr>
          <w:rFonts w:ascii="Arial" w:hAnsi="Arial" w:cs="Arial"/>
          <w:sz w:val="18"/>
          <w:szCs w:val="18"/>
          <w:lang w:val="fr-CA"/>
        </w:rPr>
        <w:fldChar w:fldCharType="end"/>
      </w:r>
      <w:r w:rsidR="004B383E" w:rsidRPr="00BD22C2">
        <w:rPr>
          <w:rFonts w:ascii="Arial" w:hAnsi="Arial" w:cs="Arial"/>
          <w:sz w:val="18"/>
          <w:szCs w:val="18"/>
          <w:lang w:val="fr-CA"/>
        </w:rPr>
        <w:t>.</w:t>
      </w:r>
    </w:p>
  </w:endnote>
  <w:endnote w:id="115">
    <w:p w14:paraId="13F8AC97" w14:textId="6A7BC538" w:rsidR="00450CDC" w:rsidRPr="0085310E" w:rsidRDefault="00450CDC"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DB1409" w:rsidRPr="00BD22C2">
        <w:rPr>
          <w:rFonts w:ascii="Arial" w:hAnsi="Arial" w:cs="Arial"/>
          <w:smallCaps/>
          <w:sz w:val="18"/>
          <w:szCs w:val="18"/>
          <w:lang w:val="fr-CA"/>
        </w:rPr>
        <w:t xml:space="preserve">Québec, </w:t>
      </w:r>
      <w:r w:rsidRPr="00BD22C2">
        <w:rPr>
          <w:rFonts w:ascii="Arial" w:hAnsi="Arial" w:cs="Arial"/>
          <w:smallCaps/>
          <w:sz w:val="18"/>
          <w:szCs w:val="18"/>
          <w:lang w:val="fr-CA"/>
        </w:rPr>
        <w:t>Assemblée nationale</w:t>
      </w:r>
      <w:r w:rsidRPr="00BD22C2">
        <w:rPr>
          <w:rFonts w:ascii="Arial" w:hAnsi="Arial" w:cs="Arial"/>
          <w:sz w:val="18"/>
          <w:szCs w:val="18"/>
          <w:lang w:val="fr-CA"/>
        </w:rPr>
        <w:t xml:space="preserve">, </w:t>
      </w:r>
      <w:r w:rsidRPr="00BD22C2">
        <w:rPr>
          <w:rFonts w:ascii="Arial" w:hAnsi="Arial" w:cs="Arial"/>
          <w:i/>
          <w:iCs/>
          <w:sz w:val="18"/>
          <w:szCs w:val="18"/>
          <w:lang w:val="fr-CA"/>
        </w:rPr>
        <w:t>Journal des débats de la Commission des relations avec les citoyens</w:t>
      </w:r>
      <w:r w:rsidRPr="00BD22C2">
        <w:rPr>
          <w:rFonts w:ascii="Arial" w:hAnsi="Arial" w:cs="Arial"/>
          <w:sz w:val="18"/>
          <w:szCs w:val="18"/>
          <w:lang w:val="fr-CA"/>
        </w:rPr>
        <w:t xml:space="preserve">, </w:t>
      </w:r>
      <w:r w:rsidR="00A017C4" w:rsidRPr="00BD22C2">
        <w:rPr>
          <w:rFonts w:ascii="Arial" w:hAnsi="Arial" w:cs="Arial"/>
          <w:sz w:val="18"/>
          <w:szCs w:val="18"/>
          <w:lang w:val="fr-CA"/>
        </w:rPr>
        <w:t>1</w:t>
      </w:r>
      <w:r w:rsidR="00A017C4" w:rsidRPr="00BD22C2">
        <w:rPr>
          <w:rFonts w:ascii="Arial" w:hAnsi="Arial" w:cs="Arial"/>
          <w:sz w:val="18"/>
          <w:szCs w:val="18"/>
          <w:vertAlign w:val="superscript"/>
          <w:lang w:val="fr-CA"/>
        </w:rPr>
        <w:t>re</w:t>
      </w:r>
      <w:r w:rsidR="00A017C4" w:rsidRPr="00BD22C2">
        <w:rPr>
          <w:rFonts w:ascii="Arial" w:hAnsi="Arial" w:cs="Arial"/>
          <w:sz w:val="18"/>
          <w:szCs w:val="18"/>
          <w:lang w:val="fr-CA"/>
        </w:rPr>
        <w:t xml:space="preserve"> sess</w:t>
      </w:r>
      <w:r w:rsidR="00014B1E" w:rsidRPr="00BD22C2">
        <w:rPr>
          <w:rFonts w:ascii="Arial" w:hAnsi="Arial" w:cs="Arial"/>
          <w:sz w:val="18"/>
          <w:szCs w:val="18"/>
          <w:lang w:val="fr-CA"/>
        </w:rPr>
        <w:t xml:space="preserve">., </w:t>
      </w:r>
      <w:r w:rsidR="00DA4148" w:rsidRPr="00BD22C2">
        <w:rPr>
          <w:rFonts w:ascii="Arial" w:hAnsi="Arial" w:cs="Arial"/>
          <w:sz w:val="18"/>
          <w:szCs w:val="18"/>
          <w:lang w:val="fr-CA"/>
        </w:rPr>
        <w:t>41</w:t>
      </w:r>
      <w:r w:rsidR="00DA4148" w:rsidRPr="00BD22C2">
        <w:rPr>
          <w:rFonts w:ascii="Arial" w:hAnsi="Arial" w:cs="Arial"/>
          <w:sz w:val="18"/>
          <w:szCs w:val="18"/>
          <w:vertAlign w:val="superscript"/>
          <w:lang w:val="fr-CA"/>
        </w:rPr>
        <w:t>e</w:t>
      </w:r>
      <w:r w:rsidR="00DA4148" w:rsidRPr="00BD22C2">
        <w:rPr>
          <w:rFonts w:ascii="Arial" w:hAnsi="Arial" w:cs="Arial"/>
          <w:sz w:val="18"/>
          <w:szCs w:val="18"/>
          <w:lang w:val="fr-CA"/>
        </w:rPr>
        <w:t xml:space="preserve"> légis</w:t>
      </w:r>
      <w:r w:rsidRPr="00BD22C2">
        <w:rPr>
          <w:rFonts w:ascii="Arial" w:hAnsi="Arial" w:cs="Arial"/>
          <w:sz w:val="18"/>
          <w:szCs w:val="18"/>
          <w:lang w:val="fr-CA"/>
        </w:rPr>
        <w:t xml:space="preserve">, </w:t>
      </w:r>
      <w:r w:rsidR="005E5619" w:rsidRPr="00BD22C2">
        <w:rPr>
          <w:rFonts w:ascii="Arial" w:hAnsi="Arial" w:cs="Arial"/>
          <w:sz w:val="18"/>
          <w:szCs w:val="18"/>
          <w:lang w:val="fr-CA"/>
        </w:rPr>
        <w:t>9</w:t>
      </w:r>
      <w:r w:rsidR="00762FE8">
        <w:rPr>
          <w:rFonts w:ascii="Arial" w:hAnsi="Arial" w:cs="Arial"/>
          <w:sz w:val="18"/>
          <w:szCs w:val="18"/>
          <w:lang w:val="fr-CA"/>
        </w:rPr>
        <w:t> </w:t>
      </w:r>
      <w:r w:rsidR="005E5619" w:rsidRPr="00BD22C2">
        <w:rPr>
          <w:rFonts w:ascii="Arial" w:hAnsi="Arial" w:cs="Arial"/>
          <w:sz w:val="18"/>
          <w:szCs w:val="18"/>
          <w:lang w:val="fr-CA"/>
        </w:rPr>
        <w:t>juin 2016</w:t>
      </w:r>
      <w:r w:rsidRPr="00BD22C2">
        <w:rPr>
          <w:rFonts w:ascii="Arial" w:hAnsi="Arial" w:cs="Arial"/>
          <w:sz w:val="18"/>
          <w:szCs w:val="18"/>
          <w:lang w:val="fr-CA"/>
        </w:rPr>
        <w:t xml:space="preserve">, </w:t>
      </w:r>
      <w:r w:rsidR="00C943FA" w:rsidRPr="00BD22C2">
        <w:rPr>
          <w:rFonts w:ascii="Arial" w:hAnsi="Arial" w:cs="Arial"/>
          <w:sz w:val="18"/>
          <w:szCs w:val="18"/>
          <w:lang w:val="fr-CA"/>
        </w:rPr>
        <w:t>«</w:t>
      </w:r>
      <w:r w:rsidR="00444FEB">
        <w:rPr>
          <w:rFonts w:ascii="Arial" w:hAnsi="Arial" w:cs="Arial"/>
          <w:sz w:val="18"/>
          <w:szCs w:val="18"/>
          <w:lang w:val="fr-CA"/>
        </w:rPr>
        <w:t> </w:t>
      </w:r>
      <w:r w:rsidR="00C943FA" w:rsidRPr="00BD22C2">
        <w:rPr>
          <w:rFonts w:ascii="Arial" w:hAnsi="Arial" w:cs="Arial"/>
          <w:sz w:val="18"/>
          <w:szCs w:val="18"/>
          <w:lang w:val="fr-CA"/>
        </w:rPr>
        <w:t>Étude détaillée du projet de loi n°</w:t>
      </w:r>
      <w:r w:rsidR="0091080B">
        <w:rPr>
          <w:rFonts w:ascii="Arial" w:hAnsi="Arial" w:cs="Arial"/>
          <w:sz w:val="18"/>
          <w:szCs w:val="18"/>
          <w:lang w:val="fr-CA"/>
        </w:rPr>
        <w:t> </w:t>
      </w:r>
      <w:r w:rsidR="00C943FA" w:rsidRPr="00BD22C2">
        <w:rPr>
          <w:rFonts w:ascii="Arial" w:hAnsi="Arial" w:cs="Arial"/>
          <w:sz w:val="18"/>
          <w:szCs w:val="18"/>
          <w:lang w:val="fr-CA"/>
        </w:rPr>
        <w:t xml:space="preserve">103, </w:t>
      </w:r>
      <w:r w:rsidR="00C943FA" w:rsidRPr="00BD22C2">
        <w:rPr>
          <w:rFonts w:ascii="Arial" w:hAnsi="Arial" w:cs="Arial"/>
          <w:i/>
          <w:sz w:val="18"/>
          <w:szCs w:val="18"/>
          <w:lang w:val="fr-CA"/>
        </w:rPr>
        <w:t xml:space="preserve">Loi visant à renforcer la lutte contre la transphobie et à améliorer notamment la situation des mineurs </w:t>
      </w:r>
      <w:r w:rsidR="001433F6" w:rsidRPr="00BD22C2">
        <w:rPr>
          <w:rFonts w:ascii="Arial" w:hAnsi="Arial" w:cs="Arial"/>
          <w:i/>
          <w:sz w:val="18"/>
          <w:szCs w:val="18"/>
          <w:lang w:val="fr-CA"/>
        </w:rPr>
        <w:t>transgenres</w:t>
      </w:r>
      <w:r w:rsidR="00595E85">
        <w:rPr>
          <w:rFonts w:ascii="Arial" w:hAnsi="Arial" w:cs="Arial"/>
          <w:sz w:val="18"/>
          <w:szCs w:val="18"/>
          <w:lang w:val="fr-CA"/>
        </w:rPr>
        <w:t> </w:t>
      </w:r>
      <w:r w:rsidR="001433F6" w:rsidRPr="00BD22C2">
        <w:rPr>
          <w:rFonts w:ascii="Arial" w:hAnsi="Arial" w:cs="Arial"/>
          <w:sz w:val="18"/>
          <w:szCs w:val="18"/>
          <w:lang w:val="fr-CA"/>
        </w:rPr>
        <w:t>»</w:t>
      </w:r>
      <w:r w:rsidR="001828A2" w:rsidRPr="00BD22C2">
        <w:rPr>
          <w:rFonts w:ascii="Arial" w:hAnsi="Arial" w:cs="Arial"/>
          <w:sz w:val="18"/>
          <w:szCs w:val="18"/>
          <w:lang w:val="fr-CA"/>
        </w:rPr>
        <w:t xml:space="preserve">, </w:t>
      </w:r>
      <w:r w:rsidR="008A0ACE" w:rsidRPr="00BD22C2">
        <w:rPr>
          <w:rFonts w:ascii="Arial" w:hAnsi="Arial" w:cs="Arial"/>
          <w:sz w:val="18"/>
          <w:szCs w:val="18"/>
          <w:lang w:val="fr-CA"/>
        </w:rPr>
        <w:t>11</w:t>
      </w:r>
      <w:r w:rsidR="002E34D9">
        <w:rPr>
          <w:rFonts w:ascii="Arial" w:hAnsi="Arial" w:cs="Arial"/>
          <w:sz w:val="18"/>
          <w:szCs w:val="18"/>
          <w:lang w:val="fr-CA"/>
        </w:rPr>
        <w:t> h </w:t>
      </w:r>
      <w:r w:rsidR="008A0ACE" w:rsidRPr="00BD22C2">
        <w:rPr>
          <w:rFonts w:ascii="Arial" w:hAnsi="Arial" w:cs="Arial"/>
          <w:sz w:val="18"/>
          <w:szCs w:val="18"/>
          <w:lang w:val="fr-CA"/>
        </w:rPr>
        <w:t>42</w:t>
      </w:r>
      <w:r w:rsidR="001F771B" w:rsidRPr="00BD22C2">
        <w:rPr>
          <w:rFonts w:ascii="Arial" w:hAnsi="Arial" w:cs="Arial"/>
          <w:sz w:val="18"/>
          <w:szCs w:val="18"/>
          <w:lang w:val="fr-CA"/>
        </w:rPr>
        <w:t xml:space="preserve"> (M.</w:t>
      </w:r>
      <w:r w:rsidR="006305FE">
        <w:rPr>
          <w:rFonts w:ascii="Arial" w:hAnsi="Arial" w:cs="Arial"/>
          <w:sz w:val="18"/>
          <w:szCs w:val="18"/>
          <w:lang w:val="fr-CA"/>
        </w:rPr>
        <w:t> </w:t>
      </w:r>
      <w:r w:rsidR="000648C7" w:rsidRPr="00BD22C2">
        <w:rPr>
          <w:rFonts w:ascii="Arial" w:hAnsi="Arial" w:cs="Arial"/>
          <w:sz w:val="18"/>
          <w:szCs w:val="18"/>
          <w:lang w:val="fr-CA"/>
        </w:rPr>
        <w:t>Picard)</w:t>
      </w:r>
      <w:r w:rsidR="005F2B0B" w:rsidRPr="00BD22C2">
        <w:rPr>
          <w:rFonts w:ascii="Arial" w:hAnsi="Arial" w:cs="Arial"/>
          <w:sz w:val="18"/>
          <w:szCs w:val="18"/>
          <w:lang w:val="fr-CA"/>
        </w:rPr>
        <w:t xml:space="preserve"> </w:t>
      </w:r>
      <w:r w:rsidRPr="00BD22C2">
        <w:rPr>
          <w:rFonts w:ascii="Arial" w:hAnsi="Arial" w:cs="Arial"/>
          <w:sz w:val="18"/>
          <w:szCs w:val="18"/>
          <w:lang w:val="fr-CA"/>
        </w:rPr>
        <w:t>[En ligne].</w:t>
      </w:r>
      <w:r w:rsidR="00D51349" w:rsidRPr="00BD22C2">
        <w:rPr>
          <w:rFonts w:ascii="Arial" w:hAnsi="Arial" w:cs="Arial"/>
          <w:sz w:val="18"/>
          <w:szCs w:val="18"/>
          <w:lang w:val="fr-CA"/>
        </w:rPr>
        <w:t xml:space="preserve"> </w:t>
      </w:r>
      <w:hyperlink r:id="rId88" w:history="1">
        <w:r w:rsidR="00D51349" w:rsidRPr="0085310E">
          <w:rPr>
            <w:rStyle w:val="Lienhypertexte"/>
            <w:rFonts w:ascii="Arial" w:hAnsi="Arial" w:cs="Arial"/>
            <w:sz w:val="18"/>
            <w:szCs w:val="18"/>
          </w:rPr>
          <w:t>https://www.assnat.qc.ca/fr/travaux-parlementaires/commissions/crc-41-1/journal-debats/CRC-160609.html</w:t>
        </w:r>
      </w:hyperlink>
    </w:p>
  </w:endnote>
  <w:endnote w:id="116">
    <w:p w14:paraId="00BCBD18" w14:textId="362207AE" w:rsidR="00BA0E30" w:rsidRPr="00BD22C2" w:rsidRDefault="00BA0E30" w:rsidP="00707395">
      <w:pPr>
        <w:pStyle w:val="Notedebasdepage"/>
        <w:rPr>
          <w:lang w:val="fr-CA"/>
        </w:rPr>
      </w:pPr>
      <w:r w:rsidRPr="00BD22C2">
        <w:rPr>
          <w:rStyle w:val="Appeldenotedefin"/>
          <w:rFonts w:cs="Arial"/>
          <w:szCs w:val="18"/>
          <w:lang w:val="fr-CA"/>
        </w:rPr>
        <w:endnoteRef/>
      </w:r>
      <w:r w:rsidRPr="00BD22C2">
        <w:rPr>
          <w:lang w:val="fr-CA"/>
        </w:rPr>
        <w:t xml:space="preserve"> </w:t>
      </w:r>
      <w:r w:rsidR="00475019" w:rsidRPr="00BD22C2">
        <w:rPr>
          <w:lang w:val="fr-CA"/>
        </w:rPr>
        <w:tab/>
      </w:r>
      <w:r w:rsidRPr="00BD22C2">
        <w:rPr>
          <w:lang w:val="fr-CA"/>
        </w:rPr>
        <w:t xml:space="preserve">Voir notamment </w:t>
      </w:r>
      <w:r w:rsidRPr="00BD22C2">
        <w:rPr>
          <w:i/>
          <w:lang w:val="fr-CA"/>
        </w:rPr>
        <w:t>Miron</w:t>
      </w:r>
      <w:r w:rsidRPr="00BD22C2">
        <w:rPr>
          <w:lang w:val="fr-CA"/>
        </w:rPr>
        <w:t xml:space="preserve"> c. </w:t>
      </w:r>
      <w:r w:rsidRPr="00BD22C2">
        <w:rPr>
          <w:i/>
          <w:lang w:val="fr-CA"/>
        </w:rPr>
        <w:t>Trudel</w:t>
      </w:r>
      <w:r w:rsidRPr="00BD22C2">
        <w:rPr>
          <w:lang w:val="fr-CA"/>
        </w:rPr>
        <w:t>, [1995] 2</w:t>
      </w:r>
      <w:r w:rsidR="00B32B61">
        <w:rPr>
          <w:lang w:val="fr-CA"/>
        </w:rPr>
        <w:t> </w:t>
      </w:r>
      <w:r w:rsidRPr="00BD22C2">
        <w:rPr>
          <w:lang w:val="fr-CA"/>
        </w:rPr>
        <w:t>RCS</w:t>
      </w:r>
      <w:r w:rsidR="00F915F8" w:rsidRPr="00BD22C2">
        <w:rPr>
          <w:lang w:val="fr-CA"/>
        </w:rPr>
        <w:t> </w:t>
      </w:r>
      <w:r w:rsidRPr="00BD22C2">
        <w:rPr>
          <w:lang w:val="fr-CA"/>
        </w:rPr>
        <w:t xml:space="preserve">418. </w:t>
      </w:r>
    </w:p>
  </w:endnote>
  <w:endnote w:id="117">
    <w:p w14:paraId="2D09B5F3" w14:textId="77D41166" w:rsidR="009C301F" w:rsidRPr="00BD22C2" w:rsidRDefault="009C301F" w:rsidP="00707395">
      <w:pPr>
        <w:pStyle w:val="Notedebasdepage"/>
        <w:rPr>
          <w:lang w:val="fr-CA"/>
        </w:rPr>
      </w:pPr>
      <w:r w:rsidRPr="00BD22C2">
        <w:rPr>
          <w:rStyle w:val="Appeldenotedefin"/>
          <w:lang w:val="fr-CA"/>
        </w:rPr>
        <w:endnoteRef/>
      </w:r>
      <w:r w:rsidRPr="00BD22C2">
        <w:rPr>
          <w:lang w:val="fr-CA"/>
        </w:rPr>
        <w:t xml:space="preserve"> </w:t>
      </w:r>
      <w:r w:rsidRPr="00BD22C2">
        <w:rPr>
          <w:lang w:val="fr-CA"/>
        </w:rPr>
        <w:tab/>
        <w:t xml:space="preserve">Voir notamment : </w:t>
      </w:r>
      <w:r w:rsidR="0092226E" w:rsidRPr="00BD22C2">
        <w:rPr>
          <w:lang w:val="fr-CA"/>
        </w:rPr>
        <w:t xml:space="preserve">Louise </w:t>
      </w:r>
      <w:r w:rsidR="0092226E" w:rsidRPr="00BD22C2">
        <w:rPr>
          <w:smallCaps/>
          <w:lang w:val="fr-CA"/>
        </w:rPr>
        <w:t>Langevin</w:t>
      </w:r>
      <w:r w:rsidR="0092226E" w:rsidRPr="00BD22C2">
        <w:rPr>
          <w:lang w:val="fr-CA"/>
        </w:rPr>
        <w:t xml:space="preserve"> et Valérie </w:t>
      </w:r>
      <w:r w:rsidR="0092226E" w:rsidRPr="00BD22C2">
        <w:rPr>
          <w:smallCaps/>
          <w:lang w:val="fr-CA"/>
        </w:rPr>
        <w:t>Bouchard</w:t>
      </w:r>
      <w:r w:rsidR="0092226E" w:rsidRPr="00BD22C2">
        <w:rPr>
          <w:lang w:val="fr-CA"/>
        </w:rPr>
        <w:t>, «</w:t>
      </w:r>
      <w:r w:rsidR="00595E85">
        <w:rPr>
          <w:lang w:val="fr-CA"/>
        </w:rPr>
        <w:t> </w:t>
      </w:r>
      <w:r w:rsidR="0092226E" w:rsidRPr="00BD22C2">
        <w:rPr>
          <w:lang w:val="fr-CA"/>
        </w:rPr>
        <w:t>Les grands arrêts sur les droits des femmes : projet et réflexions théoriques féministes</w:t>
      </w:r>
      <w:r w:rsidR="00595E85">
        <w:rPr>
          <w:lang w:val="fr-CA"/>
        </w:rPr>
        <w:t> </w:t>
      </w:r>
      <w:r w:rsidR="0092226E" w:rsidRPr="00BD22C2">
        <w:rPr>
          <w:lang w:val="fr-CA"/>
        </w:rPr>
        <w:t xml:space="preserve">», (2011) </w:t>
      </w:r>
      <w:r w:rsidR="0092226E" w:rsidRPr="00BD22C2">
        <w:rPr>
          <w:i/>
          <w:lang w:val="fr-CA"/>
        </w:rPr>
        <w:t>52 C. de D</w:t>
      </w:r>
      <w:r w:rsidR="0092226E" w:rsidRPr="00BD22C2">
        <w:rPr>
          <w:lang w:val="fr-CA"/>
        </w:rPr>
        <w:t>.</w:t>
      </w:r>
      <w:r w:rsidR="0091080B">
        <w:rPr>
          <w:lang w:val="fr-CA"/>
        </w:rPr>
        <w:t> </w:t>
      </w:r>
      <w:r w:rsidR="0092226E" w:rsidRPr="00BD22C2">
        <w:rPr>
          <w:lang w:val="fr-CA"/>
        </w:rPr>
        <w:t>551</w:t>
      </w:r>
      <w:r w:rsidR="00E41139" w:rsidRPr="00BD22C2">
        <w:rPr>
          <w:lang w:val="fr-CA"/>
        </w:rPr>
        <w:t>, par. 12</w:t>
      </w:r>
      <w:r w:rsidR="006A1872" w:rsidRPr="00BD22C2">
        <w:rPr>
          <w:lang w:val="fr-CA"/>
        </w:rPr>
        <w:t>.</w:t>
      </w:r>
    </w:p>
  </w:endnote>
  <w:endnote w:id="118">
    <w:p w14:paraId="15AD429D" w14:textId="136C83E8" w:rsidR="0001537F" w:rsidRPr="00BD22C2" w:rsidRDefault="0001537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BasPageCar"/>
          <w:i/>
          <w:lang w:val="fr-CA"/>
        </w:rPr>
        <w:t>Commission des droits de la personne et des droits de la jeunesse (M.</w:t>
      </w:r>
      <w:r w:rsidR="006305FE">
        <w:rPr>
          <w:rStyle w:val="NoteBasPageCar"/>
          <w:i/>
          <w:lang w:val="fr-CA"/>
        </w:rPr>
        <w:t> </w:t>
      </w:r>
      <w:r w:rsidRPr="00BD22C2">
        <w:rPr>
          <w:rStyle w:val="NoteBasPageCar"/>
          <w:i/>
          <w:lang w:val="fr-CA"/>
        </w:rPr>
        <w:t>L.)</w:t>
      </w:r>
      <w:r w:rsidRPr="00BD22C2">
        <w:rPr>
          <w:rStyle w:val="NoteBasPageCar"/>
          <w:lang w:val="fr-CA"/>
        </w:rPr>
        <w:t xml:space="preserve"> c. </w:t>
      </w:r>
      <w:r w:rsidRPr="00BD22C2">
        <w:rPr>
          <w:rStyle w:val="NoteBasPageCar"/>
          <w:i/>
          <w:lang w:val="fr-CA"/>
        </w:rPr>
        <w:t>Maison des jeunes A…</w:t>
      </w:r>
      <w:r w:rsidRPr="00BD22C2">
        <w:rPr>
          <w:rStyle w:val="NoteBasPageCar"/>
          <w:lang w:val="fr-CA"/>
        </w:rPr>
        <w:t xml:space="preserve">, </w:t>
      </w:r>
      <w:r w:rsidR="00151AB8" w:rsidRPr="00BD22C2">
        <w:rPr>
          <w:rStyle w:val="NoteBasPageCar"/>
          <w:lang w:val="fr-CA"/>
        </w:rPr>
        <w:t>préc., note</w:t>
      </w:r>
      <w:r w:rsidR="0091080B">
        <w:rPr>
          <w:rStyle w:val="NoteBasPageCar"/>
          <w:lang w:val="fr-CA"/>
        </w:rPr>
        <w:t> </w:t>
      </w:r>
      <w:r w:rsidR="00151AB8" w:rsidRPr="00BD22C2">
        <w:rPr>
          <w:rStyle w:val="NoteBasPageCar"/>
          <w:lang w:val="fr-CA"/>
        </w:rPr>
        <w:fldChar w:fldCharType="begin"/>
      </w:r>
      <w:r w:rsidR="00151AB8" w:rsidRPr="00BD22C2">
        <w:rPr>
          <w:rStyle w:val="NoteBasPageCar"/>
          <w:lang w:val="fr-CA"/>
        </w:rPr>
        <w:instrText xml:space="preserve"> NOTEREF _Ref166844240 \h </w:instrText>
      </w:r>
      <w:r w:rsidR="00151AB8" w:rsidRPr="00BD22C2">
        <w:rPr>
          <w:rStyle w:val="NoteBasPageCar"/>
          <w:lang w:val="fr-CA"/>
        </w:rPr>
      </w:r>
      <w:r w:rsidR="00151AB8" w:rsidRPr="00BD22C2">
        <w:rPr>
          <w:rStyle w:val="NoteBasPageCar"/>
          <w:lang w:val="fr-CA"/>
        </w:rPr>
        <w:fldChar w:fldCharType="separate"/>
      </w:r>
      <w:r w:rsidR="004B4881">
        <w:rPr>
          <w:rStyle w:val="NoteBasPageCar"/>
          <w:lang w:val="fr-CA"/>
        </w:rPr>
        <w:t>9</w:t>
      </w:r>
      <w:r w:rsidR="00151AB8" w:rsidRPr="00BD22C2">
        <w:rPr>
          <w:rStyle w:val="NoteBasPageCar"/>
          <w:lang w:val="fr-CA"/>
        </w:rPr>
        <w:fldChar w:fldCharType="end"/>
      </w:r>
      <w:r w:rsidRPr="00BD22C2">
        <w:rPr>
          <w:rStyle w:val="NoteBasPageCar"/>
          <w:lang w:val="fr-CA"/>
        </w:rPr>
        <w:t xml:space="preserve">, par. </w:t>
      </w:r>
      <w:r w:rsidR="008B553E" w:rsidRPr="00BD22C2">
        <w:rPr>
          <w:rStyle w:val="NoteBasPageCar"/>
          <w:lang w:val="fr-CA"/>
        </w:rPr>
        <w:t xml:space="preserve">103. </w:t>
      </w:r>
    </w:p>
  </w:endnote>
  <w:endnote w:id="119">
    <w:p w14:paraId="64535098" w14:textId="42E97776"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51AB8" w:rsidRPr="00BD22C2">
        <w:rPr>
          <w:rFonts w:ascii="Arial" w:hAnsi="Arial" w:cs="Arial"/>
          <w:i/>
          <w:iCs/>
          <w:sz w:val="18"/>
          <w:szCs w:val="18"/>
          <w:lang w:val="fr-CA"/>
        </w:rPr>
        <w:t>Id.</w:t>
      </w:r>
      <w:r w:rsidRPr="00BD22C2">
        <w:rPr>
          <w:rFonts w:ascii="Arial" w:hAnsi="Arial" w:cs="Arial"/>
          <w:sz w:val="18"/>
          <w:szCs w:val="18"/>
          <w:lang w:val="fr-CA"/>
        </w:rPr>
        <w:t>, par. 108</w:t>
      </w:r>
      <w:r w:rsidR="00B46AE3">
        <w:rPr>
          <w:rFonts w:ascii="Arial" w:hAnsi="Arial" w:cs="Arial"/>
          <w:sz w:val="18"/>
          <w:szCs w:val="18"/>
          <w:lang w:val="fr-CA"/>
        </w:rPr>
        <w:t xml:space="preserve"> </w:t>
      </w:r>
      <w:r w:rsidR="00CF7D74">
        <w:rPr>
          <w:rFonts w:ascii="Arial" w:hAnsi="Arial" w:cs="Arial"/>
          <w:sz w:val="18"/>
          <w:szCs w:val="18"/>
          <w:lang w:val="fr-CA"/>
        </w:rPr>
        <w:t xml:space="preserve">à </w:t>
      </w:r>
      <w:r w:rsidRPr="00BD22C2">
        <w:rPr>
          <w:rFonts w:ascii="Arial" w:hAnsi="Arial" w:cs="Arial"/>
          <w:sz w:val="18"/>
          <w:szCs w:val="18"/>
          <w:lang w:val="fr-CA"/>
        </w:rPr>
        <w:t>110 (renvois omis) (nos soulignements).</w:t>
      </w:r>
    </w:p>
  </w:endnote>
  <w:endnote w:id="120">
    <w:p w14:paraId="6B47D16D" w14:textId="24463442" w:rsidR="00450CDC" w:rsidRPr="0085310E" w:rsidRDefault="00450CDC"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Gouvernement du Québec, Secrétariat à la condition féminine</w:t>
      </w:r>
      <w:r w:rsidRPr="00BD22C2">
        <w:rPr>
          <w:rFonts w:ascii="Arial" w:hAnsi="Arial" w:cs="Arial"/>
          <w:sz w:val="18"/>
          <w:szCs w:val="18"/>
          <w:lang w:val="fr-CA"/>
        </w:rPr>
        <w:t xml:space="preserve">, </w:t>
      </w:r>
      <w:r w:rsidRPr="00BD22C2">
        <w:rPr>
          <w:rFonts w:ascii="Arial" w:hAnsi="Arial" w:cs="Arial"/>
          <w:i/>
          <w:sz w:val="18"/>
          <w:szCs w:val="18"/>
          <w:lang w:val="fr-CA"/>
        </w:rPr>
        <w:t>Stratégie gouvernementale pour l’égalité entre les femmes et les hommes</w:t>
      </w:r>
      <w:r w:rsidR="00F915F8" w:rsidRPr="00BD22C2">
        <w:rPr>
          <w:rFonts w:ascii="Arial" w:hAnsi="Arial" w:cs="Arial"/>
          <w:i/>
          <w:sz w:val="18"/>
          <w:szCs w:val="18"/>
          <w:lang w:val="fr-CA"/>
        </w:rPr>
        <w:t> </w:t>
      </w:r>
      <w:r w:rsidRPr="00BD22C2">
        <w:rPr>
          <w:rFonts w:ascii="Arial" w:hAnsi="Arial" w:cs="Arial"/>
          <w:i/>
          <w:sz w:val="18"/>
          <w:szCs w:val="18"/>
          <w:lang w:val="fr-CA"/>
        </w:rPr>
        <w:t>2022-2027</w:t>
      </w:r>
      <w:r w:rsidRPr="00BD22C2">
        <w:rPr>
          <w:rFonts w:ascii="Arial" w:hAnsi="Arial" w:cs="Arial"/>
          <w:sz w:val="18"/>
          <w:szCs w:val="18"/>
          <w:lang w:val="fr-CA"/>
        </w:rPr>
        <w:t xml:space="preserve">, 2022, [En ligne]. </w:t>
      </w:r>
      <w:hyperlink r:id="rId89" w:history="1">
        <w:r w:rsidRPr="0085310E">
          <w:rPr>
            <w:rStyle w:val="Lienhypertexte"/>
            <w:rFonts w:ascii="Arial" w:hAnsi="Arial" w:cs="Arial"/>
            <w:sz w:val="18"/>
            <w:szCs w:val="18"/>
          </w:rPr>
          <w:t>https://cdn-contenu.quebec.ca/cdn-contenu/adm/org/SCF/publications/plans-strategiques/Strategie-egalite-2022-2027.pdf</w:t>
        </w:r>
      </w:hyperlink>
      <w:r w:rsidRPr="0085310E">
        <w:rPr>
          <w:rFonts w:ascii="Arial" w:hAnsi="Arial" w:cs="Arial"/>
          <w:sz w:val="18"/>
          <w:szCs w:val="18"/>
        </w:rPr>
        <w:t xml:space="preserve">  </w:t>
      </w:r>
    </w:p>
  </w:endnote>
  <w:endnote w:id="121">
    <w:p w14:paraId="3D3A2641" w14:textId="77777777"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La discrimination spécifique envers les femmes trans est parfois appelée la transmisogynie. </w:t>
      </w:r>
    </w:p>
  </w:endnote>
  <w:endnote w:id="122">
    <w:p w14:paraId="7ADA5590" w14:textId="082FAA32" w:rsidR="00450CDC" w:rsidRPr="0085310E" w:rsidRDefault="00450CDC"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La Commission ontarienne des droits de la personne reconnaît que les personnes trans ne sont pas les seules victimes de harcèlement fondé sur </w:t>
      </w:r>
      <w:r w:rsidR="009D5BE2" w:rsidRPr="00BD22C2">
        <w:rPr>
          <w:rFonts w:ascii="Arial" w:hAnsi="Arial" w:cs="Arial"/>
          <w:sz w:val="18"/>
          <w:szCs w:val="18"/>
          <w:lang w:val="fr-CA"/>
        </w:rPr>
        <w:t xml:space="preserve">l’expression de </w:t>
      </w:r>
      <w:r w:rsidRPr="00BD22C2">
        <w:rPr>
          <w:rFonts w:ascii="Arial" w:hAnsi="Arial" w:cs="Arial"/>
          <w:sz w:val="18"/>
          <w:szCs w:val="18"/>
          <w:lang w:val="fr-CA"/>
        </w:rPr>
        <w:t>l’identité sexuelle (sic) [traduction de «</w:t>
      </w:r>
      <w:r w:rsidR="0056005D" w:rsidRPr="00BD22C2">
        <w:rPr>
          <w:rFonts w:ascii="Arial" w:hAnsi="Arial" w:cs="Arial"/>
          <w:sz w:val="18"/>
          <w:szCs w:val="18"/>
          <w:lang w:val="fr-CA"/>
        </w:rPr>
        <w:t> </w:t>
      </w:r>
      <w:r w:rsidRPr="00BD22C2">
        <w:rPr>
          <w:rFonts w:ascii="Arial" w:hAnsi="Arial" w:cs="Arial"/>
          <w:sz w:val="18"/>
          <w:szCs w:val="18"/>
          <w:lang w:val="fr-CA"/>
        </w:rPr>
        <w:t>gender identity</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Commission ontarienne des droits de la personne</w:t>
      </w:r>
      <w:r w:rsidRPr="00BD22C2">
        <w:rPr>
          <w:rFonts w:ascii="Arial" w:hAnsi="Arial" w:cs="Arial"/>
          <w:sz w:val="18"/>
          <w:szCs w:val="18"/>
          <w:lang w:val="fr-CA"/>
        </w:rPr>
        <w:t xml:space="preserve">, </w:t>
      </w:r>
      <w:r w:rsidRPr="00BD22C2">
        <w:rPr>
          <w:rFonts w:ascii="Arial" w:hAnsi="Arial" w:cs="Arial"/>
          <w:i/>
          <w:sz w:val="18"/>
          <w:szCs w:val="18"/>
          <w:lang w:val="fr-CA"/>
        </w:rPr>
        <w:t>Politique sur la prévention de la discrimination fondée sur l’identité sexuelle et l’expression de l’identité sexuelle</w:t>
      </w:r>
      <w:r w:rsidRPr="00BD22C2">
        <w:rPr>
          <w:rFonts w:ascii="Arial" w:hAnsi="Arial" w:cs="Arial"/>
          <w:sz w:val="18"/>
          <w:szCs w:val="18"/>
          <w:lang w:val="fr-CA"/>
        </w:rPr>
        <w:t>, 2014, p.</w:t>
      </w:r>
      <w:r w:rsidR="00F915F8" w:rsidRPr="00BD22C2">
        <w:rPr>
          <w:rFonts w:ascii="Arial" w:hAnsi="Arial" w:cs="Arial"/>
          <w:sz w:val="18"/>
          <w:szCs w:val="18"/>
          <w:lang w:val="fr-CA"/>
        </w:rPr>
        <w:t> </w:t>
      </w:r>
      <w:r w:rsidRPr="00BD22C2">
        <w:rPr>
          <w:rFonts w:ascii="Arial" w:hAnsi="Arial" w:cs="Arial"/>
          <w:sz w:val="18"/>
          <w:szCs w:val="18"/>
          <w:lang w:val="fr-CA"/>
        </w:rPr>
        <w:t xml:space="preserve">22, [En ligne]. </w:t>
      </w:r>
      <w:hyperlink r:id="rId90" w:history="1">
        <w:r w:rsidRPr="00BD22C2">
          <w:rPr>
            <w:rStyle w:val="Lienhypertexte"/>
            <w:rFonts w:ascii="Arial" w:hAnsi="Arial" w:cs="Arial"/>
            <w:sz w:val="18"/>
            <w:szCs w:val="18"/>
            <w:lang w:val="fr-CA"/>
          </w:rPr>
          <w:t>https://www.ohrc.on.ca/fr/politique-sur-la-pr%C3%A9vention-de-la-discrimination-fond%C3%A9e-sur-l%E2%80%99identit%C3%A9-sexuelle-et-l%E2%80%99expression-de-l</w:t>
        </w:r>
      </w:hyperlink>
      <w:r w:rsidRPr="00BD22C2">
        <w:rPr>
          <w:rFonts w:ascii="Arial" w:hAnsi="Arial" w:cs="Arial"/>
          <w:sz w:val="18"/>
          <w:szCs w:val="18"/>
          <w:lang w:val="fr-CA"/>
        </w:rPr>
        <w:t xml:space="preserve"> Le préambule des Principes de Jogjakarta plus 10 considère également l’identité de genre et l’expression de genre comme des motifs distincts qui peuvent être aggravés par d’autres motifs de discrimination, dont le sexe. Voir les </w:t>
      </w:r>
      <w:r w:rsidRPr="00BD22C2">
        <w:rPr>
          <w:rFonts w:ascii="Arial" w:hAnsi="Arial" w:cs="Arial"/>
          <w:i/>
          <w:sz w:val="18"/>
          <w:szCs w:val="18"/>
          <w:lang w:val="fr-CA"/>
        </w:rPr>
        <w:t>Principes additionnels et obligations additionnelles des États au sujet de l’application du droit international des droits humains en matière d’orientation sexuelle, d’identité de genre, d’expression de genre et de caractéristiques sexuelles pour compléter les Principes de Jogjakarta (Principes de Jogjakarta plus 10)</w:t>
      </w:r>
      <w:r w:rsidRPr="00BD22C2">
        <w:rPr>
          <w:rFonts w:ascii="Arial" w:hAnsi="Arial" w:cs="Arial"/>
          <w:sz w:val="18"/>
          <w:szCs w:val="18"/>
          <w:lang w:val="fr-CA"/>
        </w:rPr>
        <w:t>,</w:t>
      </w:r>
      <w:r w:rsidRPr="00BD22C2">
        <w:rPr>
          <w:rStyle w:val="NbpCar"/>
          <w:lang w:val="fr-CA"/>
        </w:rPr>
        <w:t xml:space="preserve"> Second panel international d’experts sur le droit international des droits humains, l’orientation sexuelle, l’identité de genre, l’expression de genre et les caractéristiques sexuelles, 2017, [En ligne].</w:t>
      </w:r>
      <w:r w:rsidR="00E8063A" w:rsidRPr="00BD22C2">
        <w:rPr>
          <w:rStyle w:val="NbpCar"/>
          <w:lang w:val="fr-CA"/>
        </w:rPr>
        <w:t xml:space="preserve"> </w:t>
      </w:r>
      <w:hyperlink r:id="rId91" w:history="1">
        <w:r w:rsidRPr="0085310E">
          <w:rPr>
            <w:rStyle w:val="Lienhypertexte"/>
            <w:rFonts w:ascii="Arial" w:hAnsi="Arial" w:cs="Arial"/>
            <w:sz w:val="18"/>
            <w:szCs w:val="18"/>
          </w:rPr>
          <w:t>http://yogyakartaprinciples.org/principles-fr/les-principes-de-jogjakarta-plus-10/</w:t>
        </w:r>
      </w:hyperlink>
    </w:p>
  </w:endnote>
  <w:endnote w:id="123">
    <w:p w14:paraId="2511803B" w14:textId="402E2EFE"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C.c.Q., art.</w:t>
      </w:r>
      <w:r w:rsidR="00F915F8" w:rsidRPr="00BD22C2">
        <w:rPr>
          <w:rFonts w:ascii="Arial" w:hAnsi="Arial" w:cs="Arial"/>
          <w:sz w:val="18"/>
          <w:szCs w:val="18"/>
          <w:lang w:val="fr-CA"/>
        </w:rPr>
        <w:t> </w:t>
      </w:r>
      <w:r w:rsidRPr="00BD22C2">
        <w:rPr>
          <w:rFonts w:ascii="Arial" w:hAnsi="Arial" w:cs="Arial"/>
          <w:sz w:val="18"/>
          <w:szCs w:val="18"/>
          <w:lang w:val="fr-CA"/>
        </w:rPr>
        <w:t>70.1., al. 1 (nos soulignements)</w:t>
      </w:r>
      <w:r w:rsidR="008768F0" w:rsidRPr="00BD22C2">
        <w:rPr>
          <w:rFonts w:ascii="Arial" w:hAnsi="Arial" w:cs="Arial"/>
          <w:sz w:val="18"/>
          <w:szCs w:val="18"/>
          <w:lang w:val="fr-CA"/>
        </w:rPr>
        <w:t>.</w:t>
      </w:r>
    </w:p>
  </w:endnote>
  <w:endnote w:id="124">
    <w:p w14:paraId="734D47F4" w14:textId="482D881A"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DB277E" w:rsidRPr="00BD22C2">
        <w:rPr>
          <w:rFonts w:ascii="Arial" w:hAnsi="Arial" w:cs="Arial"/>
          <w:sz w:val="18"/>
          <w:szCs w:val="18"/>
          <w:lang w:val="fr-CA"/>
        </w:rPr>
        <w:t>C.c.C., art.</w:t>
      </w:r>
      <w:r w:rsidR="0091080B">
        <w:rPr>
          <w:rFonts w:ascii="Arial" w:hAnsi="Arial" w:cs="Arial"/>
          <w:sz w:val="18"/>
          <w:szCs w:val="18"/>
          <w:lang w:val="fr-CA"/>
        </w:rPr>
        <w:t> </w:t>
      </w:r>
      <w:r w:rsidR="00861692" w:rsidRPr="00BD22C2">
        <w:rPr>
          <w:rFonts w:ascii="Arial" w:hAnsi="Arial" w:cs="Arial"/>
          <w:sz w:val="18"/>
          <w:szCs w:val="18"/>
          <w:lang w:val="fr-CA"/>
        </w:rPr>
        <w:t>70.1 et suiv.</w:t>
      </w:r>
    </w:p>
  </w:endnote>
  <w:endnote w:id="125">
    <w:p w14:paraId="76CE49A2" w14:textId="468C08C8"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8B2BDC" w:rsidRPr="00BD22C2">
        <w:rPr>
          <w:rFonts w:ascii="Arial" w:hAnsi="Arial" w:cs="Arial"/>
          <w:i/>
          <w:iCs/>
          <w:sz w:val="18"/>
          <w:szCs w:val="18"/>
          <w:lang w:val="fr-CA"/>
        </w:rPr>
        <w:t>Règlement relatif au changement de nom et d’autres qualités de l’état civil ainsi qu’à la substitution du prénom usuel</w:t>
      </w:r>
      <w:r w:rsidR="008B2BDC" w:rsidRPr="00BD22C2">
        <w:rPr>
          <w:rFonts w:ascii="Arial" w:hAnsi="Arial" w:cs="Arial"/>
          <w:sz w:val="18"/>
          <w:szCs w:val="18"/>
          <w:lang w:val="fr-CA"/>
        </w:rPr>
        <w:t>, RLR</w:t>
      </w:r>
      <w:r w:rsidR="006B1A5D" w:rsidRPr="00BD22C2">
        <w:rPr>
          <w:rFonts w:ascii="Arial" w:hAnsi="Arial" w:cs="Arial"/>
          <w:sz w:val="18"/>
          <w:szCs w:val="18"/>
          <w:lang w:val="fr-CA"/>
        </w:rPr>
        <w:t>Q</w:t>
      </w:r>
      <w:r w:rsidR="008B2BDC" w:rsidRPr="00BD22C2">
        <w:rPr>
          <w:rFonts w:ascii="Arial" w:hAnsi="Arial" w:cs="Arial"/>
          <w:sz w:val="18"/>
          <w:szCs w:val="18"/>
          <w:lang w:val="fr-CA"/>
        </w:rPr>
        <w:t xml:space="preserve">, c. CCQ, </w:t>
      </w:r>
      <w:r w:rsidR="001E5417" w:rsidRPr="00BD22C2">
        <w:rPr>
          <w:rFonts w:ascii="Arial" w:hAnsi="Arial" w:cs="Arial"/>
          <w:sz w:val="18"/>
          <w:szCs w:val="18"/>
          <w:lang w:val="fr-CA"/>
        </w:rPr>
        <w:t>r.</w:t>
      </w:r>
      <w:r w:rsidR="0091080B">
        <w:rPr>
          <w:rFonts w:ascii="Arial" w:hAnsi="Arial" w:cs="Arial"/>
          <w:sz w:val="18"/>
          <w:szCs w:val="18"/>
          <w:lang w:val="fr-CA"/>
        </w:rPr>
        <w:t> </w:t>
      </w:r>
      <w:r w:rsidR="001E5417" w:rsidRPr="00BD22C2">
        <w:rPr>
          <w:rFonts w:ascii="Arial" w:hAnsi="Arial" w:cs="Arial"/>
          <w:sz w:val="18"/>
          <w:szCs w:val="18"/>
          <w:lang w:val="fr-CA"/>
        </w:rPr>
        <w:t>4, art.</w:t>
      </w:r>
      <w:r w:rsidR="0091080B">
        <w:rPr>
          <w:rFonts w:ascii="Arial" w:hAnsi="Arial" w:cs="Arial"/>
          <w:sz w:val="18"/>
          <w:szCs w:val="18"/>
          <w:lang w:val="fr-CA"/>
        </w:rPr>
        <w:t> </w:t>
      </w:r>
      <w:r w:rsidR="006B1A5D" w:rsidRPr="00BD22C2">
        <w:rPr>
          <w:rFonts w:ascii="Arial" w:hAnsi="Arial" w:cs="Arial"/>
          <w:sz w:val="18"/>
          <w:szCs w:val="18"/>
          <w:lang w:val="fr-CA"/>
        </w:rPr>
        <w:t>23 et suiv.</w:t>
      </w:r>
    </w:p>
  </w:endnote>
  <w:endnote w:id="126">
    <w:p w14:paraId="62EBBE91" w14:textId="6AC8D4C9"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016E4" w:rsidRPr="00BD22C2">
        <w:rPr>
          <w:rFonts w:ascii="Arial" w:hAnsi="Arial" w:cs="Arial"/>
          <w:i/>
          <w:sz w:val="18"/>
          <w:szCs w:val="18"/>
          <w:lang w:val="fr-CA"/>
        </w:rPr>
        <w:t>Loi modifiant le Code civil en matière d’état civil, de successions et de publicité des droits</w:t>
      </w:r>
      <w:r w:rsidR="002057F2" w:rsidRPr="00BD22C2">
        <w:rPr>
          <w:rFonts w:ascii="Arial" w:hAnsi="Arial" w:cs="Arial"/>
          <w:sz w:val="18"/>
          <w:szCs w:val="18"/>
          <w:lang w:val="fr-CA"/>
        </w:rPr>
        <w:t>, L.</w:t>
      </w:r>
      <w:r w:rsidR="006305FE">
        <w:rPr>
          <w:rFonts w:ascii="Arial" w:hAnsi="Arial" w:cs="Arial"/>
          <w:sz w:val="18"/>
          <w:szCs w:val="18"/>
          <w:lang w:val="fr-CA"/>
        </w:rPr>
        <w:t> </w:t>
      </w:r>
      <w:r w:rsidR="002057F2" w:rsidRPr="00BD22C2">
        <w:rPr>
          <w:rFonts w:ascii="Arial" w:hAnsi="Arial" w:cs="Arial"/>
          <w:sz w:val="18"/>
          <w:szCs w:val="18"/>
          <w:lang w:val="fr-CA"/>
        </w:rPr>
        <w:t>Q.</w:t>
      </w:r>
      <w:r w:rsidR="008768F0" w:rsidRPr="00BD22C2">
        <w:rPr>
          <w:rFonts w:ascii="Arial" w:hAnsi="Arial" w:cs="Arial"/>
          <w:sz w:val="18"/>
          <w:szCs w:val="18"/>
          <w:lang w:val="fr-CA"/>
        </w:rPr>
        <w:t xml:space="preserve"> </w:t>
      </w:r>
      <w:r w:rsidR="007B68B2" w:rsidRPr="00BD22C2">
        <w:rPr>
          <w:rFonts w:ascii="Arial" w:hAnsi="Arial" w:cs="Arial"/>
          <w:sz w:val="18"/>
          <w:szCs w:val="18"/>
          <w:lang w:val="fr-CA"/>
        </w:rPr>
        <w:t>201</w:t>
      </w:r>
      <w:r w:rsidR="00661FCB" w:rsidRPr="00BD22C2">
        <w:rPr>
          <w:rFonts w:ascii="Arial" w:hAnsi="Arial" w:cs="Arial"/>
          <w:sz w:val="18"/>
          <w:szCs w:val="18"/>
          <w:lang w:val="fr-CA"/>
        </w:rPr>
        <w:t>3</w:t>
      </w:r>
      <w:r w:rsidR="00E23A04" w:rsidRPr="00BD22C2">
        <w:rPr>
          <w:rFonts w:ascii="Arial" w:hAnsi="Arial" w:cs="Arial"/>
          <w:sz w:val="18"/>
          <w:szCs w:val="18"/>
          <w:lang w:val="fr-CA"/>
        </w:rPr>
        <w:t>, c.</w:t>
      </w:r>
      <w:r w:rsidR="0091080B">
        <w:rPr>
          <w:rFonts w:ascii="Arial" w:hAnsi="Arial" w:cs="Arial"/>
          <w:sz w:val="18"/>
          <w:szCs w:val="18"/>
          <w:lang w:val="fr-CA"/>
        </w:rPr>
        <w:t> </w:t>
      </w:r>
      <w:r w:rsidR="00E23A04" w:rsidRPr="00BD22C2">
        <w:rPr>
          <w:rFonts w:ascii="Arial" w:hAnsi="Arial" w:cs="Arial"/>
          <w:sz w:val="18"/>
          <w:szCs w:val="18"/>
          <w:lang w:val="fr-CA"/>
        </w:rPr>
        <w:t>27</w:t>
      </w:r>
      <w:r w:rsidR="00C21CA8" w:rsidRPr="00BD22C2">
        <w:rPr>
          <w:rFonts w:ascii="Arial" w:hAnsi="Arial" w:cs="Arial"/>
          <w:sz w:val="18"/>
          <w:szCs w:val="18"/>
          <w:lang w:val="fr-CA"/>
        </w:rPr>
        <w:t>, art.</w:t>
      </w:r>
      <w:r w:rsidR="0091080B">
        <w:rPr>
          <w:rFonts w:ascii="Arial" w:hAnsi="Arial" w:cs="Arial"/>
          <w:sz w:val="18"/>
          <w:szCs w:val="18"/>
          <w:lang w:val="fr-CA"/>
        </w:rPr>
        <w:t> </w:t>
      </w:r>
      <w:r w:rsidR="00C21CA8" w:rsidRPr="00BD22C2">
        <w:rPr>
          <w:rFonts w:ascii="Arial" w:hAnsi="Arial" w:cs="Arial"/>
          <w:sz w:val="18"/>
          <w:szCs w:val="18"/>
          <w:lang w:val="fr-CA"/>
        </w:rPr>
        <w:t>3</w:t>
      </w:r>
      <w:r w:rsidR="00393DA4" w:rsidRPr="00BD22C2">
        <w:rPr>
          <w:rFonts w:ascii="Arial" w:hAnsi="Arial" w:cs="Arial"/>
          <w:sz w:val="18"/>
          <w:szCs w:val="18"/>
          <w:lang w:val="fr-CA"/>
        </w:rPr>
        <w:t xml:space="preserve"> qui modifie </w:t>
      </w:r>
      <w:r w:rsidR="00415679" w:rsidRPr="00BD22C2">
        <w:rPr>
          <w:rFonts w:ascii="Arial" w:hAnsi="Arial" w:cs="Arial"/>
          <w:sz w:val="18"/>
          <w:szCs w:val="18"/>
          <w:lang w:val="fr-CA"/>
        </w:rPr>
        <w:t>l’art.</w:t>
      </w:r>
      <w:r w:rsidR="0091080B">
        <w:rPr>
          <w:rFonts w:ascii="Arial" w:hAnsi="Arial" w:cs="Arial"/>
          <w:sz w:val="18"/>
          <w:szCs w:val="18"/>
          <w:lang w:val="fr-CA"/>
        </w:rPr>
        <w:t> </w:t>
      </w:r>
      <w:r w:rsidR="00415679" w:rsidRPr="00BD22C2">
        <w:rPr>
          <w:rFonts w:ascii="Arial" w:hAnsi="Arial" w:cs="Arial"/>
          <w:sz w:val="18"/>
          <w:szCs w:val="18"/>
          <w:lang w:val="fr-CA"/>
        </w:rPr>
        <w:t>71</w:t>
      </w:r>
      <w:r w:rsidR="00600E40" w:rsidRPr="00BD22C2">
        <w:rPr>
          <w:rFonts w:ascii="Arial" w:hAnsi="Arial" w:cs="Arial"/>
          <w:sz w:val="18"/>
          <w:szCs w:val="18"/>
          <w:lang w:val="fr-CA"/>
        </w:rPr>
        <w:t xml:space="preserve"> du </w:t>
      </w:r>
      <w:r w:rsidR="00600E40" w:rsidRPr="00BD22C2">
        <w:rPr>
          <w:rFonts w:ascii="Arial" w:hAnsi="Arial" w:cs="Arial"/>
          <w:i/>
          <w:sz w:val="18"/>
          <w:szCs w:val="18"/>
          <w:lang w:val="fr-CA"/>
        </w:rPr>
        <w:t>Code civil</w:t>
      </w:r>
      <w:r w:rsidR="008768F0" w:rsidRPr="00BD22C2">
        <w:rPr>
          <w:rFonts w:ascii="Arial" w:hAnsi="Arial" w:cs="Arial"/>
          <w:i/>
          <w:sz w:val="18"/>
          <w:szCs w:val="18"/>
          <w:lang w:val="fr-CA"/>
        </w:rPr>
        <w:t>.</w:t>
      </w:r>
    </w:p>
  </w:endnote>
  <w:endnote w:id="127">
    <w:p w14:paraId="1190856C" w14:textId="67812BC9" w:rsidR="00450CDC" w:rsidRPr="00BD22C2" w:rsidRDefault="00450C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Conseil du statut de la femme</w:t>
      </w:r>
      <w:r w:rsidRPr="00BD22C2">
        <w:rPr>
          <w:rFonts w:ascii="Arial" w:hAnsi="Arial" w:cs="Arial"/>
          <w:sz w:val="18"/>
          <w:szCs w:val="18"/>
          <w:lang w:val="fr-CA"/>
        </w:rPr>
        <w:t xml:space="preserve">, </w:t>
      </w:r>
      <w:r w:rsidRPr="00BD22C2">
        <w:rPr>
          <w:rFonts w:ascii="Arial" w:hAnsi="Arial" w:cs="Arial"/>
          <w:i/>
          <w:sz w:val="18"/>
          <w:szCs w:val="18"/>
          <w:lang w:val="fr-CA"/>
        </w:rPr>
        <w:t>Lettre du 19</w:t>
      </w:r>
      <w:r w:rsidR="00762FE8">
        <w:rPr>
          <w:rFonts w:ascii="Arial" w:hAnsi="Arial" w:cs="Arial"/>
          <w:i/>
          <w:sz w:val="18"/>
          <w:szCs w:val="18"/>
          <w:lang w:val="fr-CA"/>
        </w:rPr>
        <w:t> </w:t>
      </w:r>
      <w:r w:rsidRPr="00BD22C2">
        <w:rPr>
          <w:rFonts w:ascii="Arial" w:hAnsi="Arial" w:cs="Arial"/>
          <w:i/>
          <w:sz w:val="18"/>
          <w:szCs w:val="18"/>
          <w:lang w:val="fr-CA"/>
        </w:rPr>
        <w:t>mai 2015 transmise à Mme</w:t>
      </w:r>
      <w:r w:rsidR="006305FE">
        <w:rPr>
          <w:rFonts w:ascii="Arial" w:hAnsi="Arial" w:cs="Arial"/>
          <w:i/>
          <w:sz w:val="18"/>
          <w:szCs w:val="18"/>
          <w:lang w:val="fr-CA"/>
        </w:rPr>
        <w:t> </w:t>
      </w:r>
      <w:r w:rsidRPr="00BD22C2">
        <w:rPr>
          <w:rFonts w:ascii="Arial" w:hAnsi="Arial" w:cs="Arial"/>
          <w:i/>
          <w:sz w:val="18"/>
          <w:szCs w:val="18"/>
          <w:lang w:val="fr-CA"/>
        </w:rPr>
        <w:t>Stéphanie Vallée, ministre de la Justice et ministre responsable de la Condition féminine</w:t>
      </w:r>
      <w:r w:rsidRPr="00BD22C2">
        <w:rPr>
          <w:rFonts w:ascii="Arial" w:hAnsi="Arial" w:cs="Arial"/>
          <w:sz w:val="18"/>
          <w:szCs w:val="18"/>
          <w:lang w:val="fr-CA"/>
        </w:rPr>
        <w:t>, par Mme</w:t>
      </w:r>
      <w:r w:rsidR="006305FE">
        <w:rPr>
          <w:rFonts w:ascii="Arial" w:hAnsi="Arial" w:cs="Arial"/>
          <w:sz w:val="18"/>
          <w:szCs w:val="18"/>
          <w:lang w:val="fr-CA"/>
        </w:rPr>
        <w:t> </w:t>
      </w:r>
      <w:r w:rsidRPr="00BD22C2">
        <w:rPr>
          <w:rFonts w:ascii="Arial" w:hAnsi="Arial" w:cs="Arial"/>
          <w:sz w:val="18"/>
          <w:szCs w:val="18"/>
          <w:lang w:val="fr-CA"/>
        </w:rPr>
        <w:t>Julie Miville-Dechêne ayant pour objet «</w:t>
      </w:r>
      <w:r w:rsidR="0056005D" w:rsidRPr="00BD22C2">
        <w:rPr>
          <w:rFonts w:ascii="Arial" w:hAnsi="Arial" w:cs="Arial"/>
          <w:sz w:val="18"/>
          <w:szCs w:val="18"/>
          <w:lang w:val="fr-CA"/>
        </w:rPr>
        <w:t> </w:t>
      </w:r>
      <w:r w:rsidRPr="00BD22C2">
        <w:rPr>
          <w:rFonts w:ascii="Arial" w:hAnsi="Arial" w:cs="Arial"/>
          <w:sz w:val="18"/>
          <w:szCs w:val="18"/>
          <w:lang w:val="fr-CA"/>
        </w:rPr>
        <w:t>État civil des personnes transgenres</w:t>
      </w:r>
      <w:r w:rsidR="00595E85">
        <w:rPr>
          <w:rFonts w:ascii="Arial" w:hAnsi="Arial" w:cs="Arial"/>
          <w:sz w:val="18"/>
          <w:szCs w:val="18"/>
          <w:lang w:val="fr-CA"/>
        </w:rPr>
        <w:t> </w:t>
      </w:r>
      <w:r w:rsidR="00BD5BEF" w:rsidRPr="00BD22C2">
        <w:rPr>
          <w:rFonts w:ascii="Arial" w:hAnsi="Arial" w:cs="Arial"/>
          <w:sz w:val="18"/>
          <w:szCs w:val="18"/>
          <w:lang w:val="fr-CA"/>
        </w:rPr>
        <w:t>»</w:t>
      </w:r>
      <w:r w:rsidRPr="00BD22C2">
        <w:rPr>
          <w:rFonts w:ascii="Arial" w:hAnsi="Arial" w:cs="Arial"/>
          <w:sz w:val="18"/>
          <w:szCs w:val="18"/>
          <w:lang w:val="fr-CA"/>
        </w:rPr>
        <w:t xml:space="preserve">, [En ligne]. </w:t>
      </w:r>
      <w:hyperlink r:id="rId92" w:history="1">
        <w:r w:rsidRPr="00BD22C2">
          <w:rPr>
            <w:rStyle w:val="Lienhypertexte"/>
            <w:rFonts w:ascii="Arial" w:hAnsi="Arial" w:cs="Arial"/>
            <w:sz w:val="18"/>
            <w:szCs w:val="18"/>
            <w:lang w:val="fr-CA"/>
          </w:rPr>
          <w:t>https://csf.gouv.qc.ca/article/2015/05/19/lettre-etat-civil-des-personnes-transgenres/</w:t>
        </w:r>
      </w:hyperlink>
      <w:r w:rsidRPr="00BD22C2">
        <w:rPr>
          <w:rFonts w:ascii="Arial" w:hAnsi="Arial" w:cs="Arial"/>
          <w:sz w:val="18"/>
          <w:szCs w:val="18"/>
          <w:lang w:val="fr-CA"/>
        </w:rPr>
        <w:t xml:space="preserve"> (nos soulignements)</w:t>
      </w:r>
    </w:p>
  </w:endnote>
  <w:endnote w:id="128">
    <w:p w14:paraId="545C1BAD" w14:textId="77777777" w:rsidR="002F7C70" w:rsidRPr="00BD22C2" w:rsidRDefault="002F7C7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w:t>
      </w:r>
    </w:p>
  </w:endnote>
  <w:endnote w:id="129">
    <w:p w14:paraId="6AFE9442" w14:textId="16A8C0B3" w:rsidR="002F5B3F" w:rsidRPr="0085310E" w:rsidRDefault="002F5B3F"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Hugo </w:t>
      </w:r>
      <w:r w:rsidRPr="00BD22C2">
        <w:rPr>
          <w:rFonts w:ascii="Arial" w:hAnsi="Arial" w:cs="Arial"/>
          <w:smallCaps/>
          <w:sz w:val="18"/>
          <w:szCs w:val="18"/>
          <w:lang w:val="fr-CA"/>
        </w:rPr>
        <w:t>Pilon-Larose</w:t>
      </w:r>
      <w:r w:rsidRPr="00BD22C2">
        <w:rPr>
          <w:rFonts w:ascii="Arial" w:hAnsi="Arial" w:cs="Arial"/>
          <w:sz w:val="18"/>
          <w:szCs w:val="18"/>
          <w:lang w:val="fr-CA"/>
        </w:rPr>
        <w:t xml:space="preserve">, « Changement de sexe à l’état civil : Québec recule et n’impose plus une opération génitale », </w:t>
      </w:r>
      <w:r w:rsidRPr="00BD22C2">
        <w:rPr>
          <w:rFonts w:ascii="Arial" w:hAnsi="Arial" w:cs="Arial"/>
          <w:i/>
          <w:sz w:val="18"/>
          <w:szCs w:val="18"/>
          <w:lang w:val="fr-CA"/>
        </w:rPr>
        <w:t>La Presse</w:t>
      </w:r>
      <w:r w:rsidRPr="00BD22C2">
        <w:rPr>
          <w:rFonts w:ascii="Arial" w:hAnsi="Arial" w:cs="Arial"/>
          <w:sz w:val="18"/>
          <w:szCs w:val="18"/>
          <w:lang w:val="fr-CA"/>
        </w:rPr>
        <w:t>, 9</w:t>
      </w:r>
      <w:r w:rsidR="00762FE8">
        <w:rPr>
          <w:rFonts w:ascii="Arial" w:hAnsi="Arial" w:cs="Arial"/>
          <w:sz w:val="18"/>
          <w:szCs w:val="18"/>
          <w:lang w:val="fr-CA"/>
        </w:rPr>
        <w:t> </w:t>
      </w:r>
      <w:r w:rsidRPr="00BD22C2">
        <w:rPr>
          <w:rFonts w:ascii="Arial" w:hAnsi="Arial" w:cs="Arial"/>
          <w:sz w:val="18"/>
          <w:szCs w:val="18"/>
          <w:lang w:val="fr-CA"/>
        </w:rPr>
        <w:t xml:space="preserve">novembre 2021, [En ligne]. </w:t>
      </w:r>
      <w:hyperlink r:id="rId93" w:history="1">
        <w:r w:rsidRPr="0085310E">
          <w:rPr>
            <w:rStyle w:val="Lienhypertexte"/>
            <w:rFonts w:ascii="Arial" w:hAnsi="Arial" w:cs="Arial"/>
            <w:sz w:val="18"/>
            <w:szCs w:val="18"/>
          </w:rPr>
          <w:t>https://www.lapresse.ca/actualites/politique/2021-11-09/changement-de-sexe-a-l-etat-civil/quebec-recule-et-n-impose-plus-une-operation-genitale.php</w:t>
        </w:r>
      </w:hyperlink>
      <w:r w:rsidRPr="0085310E">
        <w:rPr>
          <w:rFonts w:ascii="Arial" w:hAnsi="Arial" w:cs="Arial"/>
          <w:sz w:val="18"/>
          <w:szCs w:val="18"/>
        </w:rPr>
        <w:t xml:space="preserve"> </w:t>
      </w:r>
    </w:p>
  </w:endnote>
  <w:endnote w:id="130">
    <w:p w14:paraId="438AA57B" w14:textId="7A058D59" w:rsidR="002F5B3F" w:rsidRPr="00BD22C2" w:rsidRDefault="002F5B3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2022,</w:t>
      </w:r>
      <w:r w:rsidR="00D93DA3" w:rsidRPr="00BD22C2">
        <w:rPr>
          <w:rFonts w:ascii="Arial" w:hAnsi="Arial" w:cs="Arial"/>
          <w:sz w:val="18"/>
          <w:szCs w:val="18"/>
          <w:lang w:val="fr-CA"/>
        </w:rPr>
        <w:t xml:space="preserve"> préc., note</w:t>
      </w:r>
      <w:r w:rsidR="0091080B">
        <w:rPr>
          <w:rFonts w:ascii="Arial" w:hAnsi="Arial" w:cs="Arial"/>
          <w:sz w:val="18"/>
          <w:szCs w:val="18"/>
          <w:lang w:val="fr-CA"/>
        </w:rPr>
        <w:t> </w:t>
      </w:r>
      <w:r w:rsidR="00DB4388" w:rsidRPr="00BD22C2">
        <w:rPr>
          <w:rFonts w:ascii="Arial" w:hAnsi="Arial" w:cs="Arial"/>
          <w:sz w:val="18"/>
          <w:szCs w:val="18"/>
          <w:lang w:val="fr-CA"/>
        </w:rPr>
        <w:fldChar w:fldCharType="begin"/>
      </w:r>
      <w:r w:rsidR="00DB4388" w:rsidRPr="00BD22C2">
        <w:rPr>
          <w:rFonts w:ascii="Arial" w:hAnsi="Arial" w:cs="Arial"/>
          <w:sz w:val="18"/>
          <w:szCs w:val="18"/>
          <w:lang w:val="fr-CA"/>
        </w:rPr>
        <w:instrText xml:space="preserve"> NOTEREF _Ref167286065 \h </w:instrText>
      </w:r>
      <w:r w:rsidR="00DB4388" w:rsidRPr="00BD22C2">
        <w:rPr>
          <w:rFonts w:ascii="Arial" w:hAnsi="Arial" w:cs="Arial"/>
          <w:sz w:val="18"/>
          <w:szCs w:val="18"/>
          <w:lang w:val="fr-CA"/>
        </w:rPr>
      </w:r>
      <w:r w:rsidR="00DB4388" w:rsidRPr="00BD22C2">
        <w:rPr>
          <w:rFonts w:ascii="Arial" w:hAnsi="Arial" w:cs="Arial"/>
          <w:sz w:val="18"/>
          <w:szCs w:val="18"/>
          <w:lang w:val="fr-CA"/>
        </w:rPr>
        <w:fldChar w:fldCharType="separate"/>
      </w:r>
      <w:r w:rsidR="004B4881">
        <w:rPr>
          <w:rFonts w:ascii="Arial" w:hAnsi="Arial" w:cs="Arial"/>
          <w:sz w:val="18"/>
          <w:szCs w:val="18"/>
          <w:lang w:val="fr-CA"/>
        </w:rPr>
        <w:t>14</w:t>
      </w:r>
      <w:r w:rsidR="00DB4388" w:rsidRPr="00BD22C2">
        <w:rPr>
          <w:rFonts w:ascii="Arial" w:hAnsi="Arial" w:cs="Arial"/>
          <w:sz w:val="18"/>
          <w:szCs w:val="18"/>
          <w:lang w:val="fr-CA"/>
        </w:rPr>
        <w:fldChar w:fldCharType="end"/>
      </w:r>
      <w:r w:rsidR="00D93DA3" w:rsidRPr="00BD22C2">
        <w:rPr>
          <w:rFonts w:ascii="Arial" w:hAnsi="Arial" w:cs="Arial"/>
          <w:sz w:val="18"/>
          <w:szCs w:val="18"/>
          <w:lang w:val="fr-CA"/>
        </w:rPr>
        <w:t>,</w:t>
      </w:r>
      <w:r w:rsidRPr="00BD22C2">
        <w:rPr>
          <w:rFonts w:ascii="Arial" w:hAnsi="Arial" w:cs="Arial"/>
          <w:sz w:val="18"/>
          <w:szCs w:val="18"/>
          <w:lang w:val="fr-CA"/>
        </w:rPr>
        <w:t xml:space="preserve"> p. 96</w:t>
      </w:r>
      <w:r w:rsidR="00F27F48">
        <w:rPr>
          <w:rFonts w:ascii="Arial" w:hAnsi="Arial" w:cs="Arial"/>
          <w:sz w:val="18"/>
          <w:szCs w:val="18"/>
          <w:lang w:val="fr-CA"/>
        </w:rPr>
        <w:t xml:space="preserve"> à </w:t>
      </w:r>
      <w:r w:rsidRPr="00BD22C2">
        <w:rPr>
          <w:rFonts w:ascii="Arial" w:hAnsi="Arial" w:cs="Arial"/>
          <w:sz w:val="18"/>
          <w:szCs w:val="18"/>
          <w:lang w:val="fr-CA"/>
        </w:rPr>
        <w:t>98</w:t>
      </w:r>
      <w:r w:rsidR="00DB4388" w:rsidRPr="00BD22C2">
        <w:rPr>
          <w:rFonts w:ascii="Arial" w:hAnsi="Arial" w:cs="Arial"/>
          <w:sz w:val="18"/>
          <w:szCs w:val="18"/>
          <w:lang w:val="fr-CA"/>
        </w:rPr>
        <w:t xml:space="preserve">. </w:t>
      </w:r>
    </w:p>
  </w:endnote>
  <w:endnote w:id="131">
    <w:p w14:paraId="705B2D43" w14:textId="73B2518E" w:rsidR="00450CDC" w:rsidRPr="00E16C03" w:rsidRDefault="00450CDC"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435407" w:rsidRPr="00E16C03">
        <w:rPr>
          <w:rFonts w:ascii="Arial" w:hAnsi="Arial" w:cs="Arial"/>
          <w:i/>
          <w:sz w:val="18"/>
          <w:szCs w:val="18"/>
          <w:lang w:val="en-CA"/>
        </w:rPr>
        <w:t>Centre for Gender Advocacy</w:t>
      </w:r>
      <w:r w:rsidR="00435407" w:rsidRPr="00E16C03">
        <w:rPr>
          <w:rFonts w:ascii="Arial" w:hAnsi="Arial" w:cs="Arial"/>
          <w:sz w:val="18"/>
          <w:szCs w:val="18"/>
          <w:lang w:val="en-CA"/>
        </w:rPr>
        <w:t xml:space="preserve"> c. </w:t>
      </w:r>
      <w:r w:rsidR="00435407" w:rsidRPr="00E16C03">
        <w:rPr>
          <w:rFonts w:ascii="Arial" w:hAnsi="Arial" w:cs="Arial"/>
          <w:i/>
          <w:sz w:val="18"/>
          <w:szCs w:val="18"/>
          <w:lang w:val="en-CA"/>
        </w:rPr>
        <w:t>Attorney General of Quebec</w:t>
      </w:r>
      <w:r w:rsidR="008926CD" w:rsidRPr="00E16C03">
        <w:rPr>
          <w:rFonts w:ascii="Arial" w:hAnsi="Arial" w:cs="Arial"/>
          <w:sz w:val="18"/>
          <w:szCs w:val="18"/>
          <w:lang w:val="en-CA"/>
        </w:rPr>
        <w:t xml:space="preserve">, </w:t>
      </w:r>
      <w:r w:rsidR="00E91A04" w:rsidRPr="00E16C03">
        <w:rPr>
          <w:rFonts w:ascii="Arial" w:hAnsi="Arial" w:cs="Arial"/>
          <w:sz w:val="18"/>
          <w:szCs w:val="18"/>
          <w:lang w:val="en-CA"/>
        </w:rPr>
        <w:t xml:space="preserve">2021, </w:t>
      </w:r>
      <w:r w:rsidR="003C7393" w:rsidRPr="00E16C03">
        <w:rPr>
          <w:rFonts w:ascii="Arial" w:hAnsi="Arial" w:cs="Arial"/>
          <w:sz w:val="18"/>
          <w:szCs w:val="18"/>
          <w:lang w:val="en-CA"/>
        </w:rPr>
        <w:t>préc., note</w:t>
      </w:r>
      <w:r w:rsidR="0091080B">
        <w:rPr>
          <w:rFonts w:ascii="Arial" w:hAnsi="Arial" w:cs="Arial"/>
          <w:sz w:val="18"/>
          <w:szCs w:val="18"/>
          <w:lang w:val="en-CA"/>
        </w:rPr>
        <w:t> </w:t>
      </w:r>
      <w:r w:rsidR="00E91A04" w:rsidRPr="00F11979">
        <w:rPr>
          <w:rFonts w:ascii="Arial" w:hAnsi="Arial" w:cs="Arial"/>
          <w:sz w:val="18"/>
          <w:szCs w:val="18"/>
          <w:lang w:val="fr-CA"/>
        </w:rPr>
        <w:fldChar w:fldCharType="begin"/>
      </w:r>
      <w:r w:rsidR="00E91A04" w:rsidRPr="00E16C03">
        <w:rPr>
          <w:rFonts w:ascii="Arial" w:hAnsi="Arial" w:cs="Arial"/>
          <w:sz w:val="18"/>
          <w:szCs w:val="18"/>
          <w:lang w:val="en-CA"/>
        </w:rPr>
        <w:instrText xml:space="preserve"> NOTEREF _Ref166756816 \h </w:instrText>
      </w:r>
      <w:r w:rsidR="00E91A04" w:rsidRPr="00F11979">
        <w:rPr>
          <w:rFonts w:ascii="Arial" w:hAnsi="Arial" w:cs="Arial"/>
          <w:sz w:val="18"/>
          <w:szCs w:val="18"/>
          <w:lang w:val="fr-CA"/>
        </w:rPr>
      </w:r>
      <w:r w:rsidR="00E91A04" w:rsidRPr="00F11979">
        <w:rPr>
          <w:rFonts w:ascii="Arial" w:hAnsi="Arial" w:cs="Arial"/>
          <w:sz w:val="18"/>
          <w:szCs w:val="18"/>
          <w:lang w:val="fr-CA"/>
        </w:rPr>
        <w:fldChar w:fldCharType="separate"/>
      </w:r>
      <w:r w:rsidR="004B4881">
        <w:rPr>
          <w:rFonts w:ascii="Arial" w:hAnsi="Arial" w:cs="Arial"/>
          <w:sz w:val="18"/>
          <w:szCs w:val="18"/>
          <w:lang w:val="en-CA"/>
        </w:rPr>
        <w:t>113</w:t>
      </w:r>
      <w:r w:rsidR="00E91A04" w:rsidRPr="00F11979">
        <w:rPr>
          <w:rFonts w:ascii="Arial" w:hAnsi="Arial" w:cs="Arial"/>
          <w:sz w:val="18"/>
          <w:szCs w:val="18"/>
          <w:lang w:val="fr-CA"/>
        </w:rPr>
        <w:fldChar w:fldCharType="end"/>
      </w:r>
      <w:r w:rsidRPr="00E16C03">
        <w:rPr>
          <w:rFonts w:ascii="Arial" w:hAnsi="Arial" w:cs="Arial"/>
          <w:sz w:val="18"/>
          <w:szCs w:val="18"/>
          <w:lang w:val="en-CA"/>
        </w:rPr>
        <w:t>, par. 162 (notre soulignement).</w:t>
      </w:r>
    </w:p>
  </w:endnote>
  <w:endnote w:id="132">
    <w:p w14:paraId="756B0409" w14:textId="77EC273B" w:rsidR="0055174E" w:rsidRPr="00BD22C2" w:rsidRDefault="0055174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611657" w:rsidRPr="00BD22C2">
        <w:rPr>
          <w:rFonts w:ascii="Arial" w:hAnsi="Arial" w:cs="Arial"/>
          <w:sz w:val="18"/>
          <w:szCs w:val="18"/>
          <w:lang w:val="fr-CA"/>
        </w:rPr>
        <w:tab/>
      </w:r>
      <w:r w:rsidR="00611657" w:rsidRPr="00BD22C2">
        <w:rPr>
          <w:rFonts w:ascii="Arial" w:hAnsi="Arial" w:cs="Arial"/>
          <w:smallCaps/>
          <w:sz w:val="18"/>
          <w:szCs w:val="18"/>
          <w:lang w:val="fr-CA"/>
        </w:rPr>
        <w:t>Gouvernement du Québec, Bureau de lutte contre l’homophobie et la transphobie,</w:t>
      </w:r>
      <w:r w:rsidR="00611657" w:rsidRPr="00BD22C2">
        <w:rPr>
          <w:rFonts w:ascii="Arial" w:hAnsi="Arial" w:cs="Arial"/>
          <w:i/>
          <w:sz w:val="18"/>
          <w:szCs w:val="18"/>
          <w:lang w:val="fr-CA"/>
        </w:rPr>
        <w:t xml:space="preserve"> </w:t>
      </w:r>
      <w:r w:rsidR="00C146A6" w:rsidRPr="00BD22C2">
        <w:rPr>
          <w:rFonts w:ascii="Arial" w:hAnsi="Arial" w:cs="Arial"/>
          <w:i/>
          <w:sz w:val="18"/>
          <w:szCs w:val="18"/>
          <w:lang w:val="fr-CA"/>
        </w:rPr>
        <w:t>Lexique sur la diversité sexuelle et de genre</w:t>
      </w:r>
      <w:r w:rsidR="00C146A6" w:rsidRPr="00BD22C2">
        <w:rPr>
          <w:rFonts w:ascii="Arial" w:hAnsi="Arial" w:cs="Arial"/>
          <w:sz w:val="18"/>
          <w:szCs w:val="18"/>
          <w:lang w:val="fr-CA"/>
        </w:rPr>
        <w:t xml:space="preserve">, </w:t>
      </w:r>
      <w:r w:rsidR="002578EB" w:rsidRPr="00BD22C2">
        <w:rPr>
          <w:rFonts w:ascii="Arial" w:hAnsi="Arial" w:cs="Arial"/>
          <w:sz w:val="18"/>
          <w:szCs w:val="18"/>
          <w:lang w:val="fr-CA"/>
        </w:rPr>
        <w:t>2023, p.</w:t>
      </w:r>
      <w:r w:rsidR="00F915F8" w:rsidRPr="00BD22C2">
        <w:rPr>
          <w:rFonts w:ascii="Arial" w:hAnsi="Arial" w:cs="Arial"/>
          <w:sz w:val="18"/>
          <w:szCs w:val="18"/>
          <w:lang w:val="fr-CA"/>
        </w:rPr>
        <w:t> </w:t>
      </w:r>
      <w:r w:rsidR="002578EB" w:rsidRPr="00BD22C2">
        <w:rPr>
          <w:rFonts w:ascii="Arial" w:hAnsi="Arial" w:cs="Arial"/>
          <w:sz w:val="18"/>
          <w:szCs w:val="18"/>
          <w:lang w:val="fr-CA"/>
        </w:rPr>
        <w:t xml:space="preserve">7, [En ligne]. </w:t>
      </w:r>
      <w:hyperlink r:id="rId94" w:history="1">
        <w:r w:rsidR="004F4412" w:rsidRPr="00BD22C2">
          <w:rPr>
            <w:rStyle w:val="Lienhypertexte"/>
            <w:rFonts w:ascii="Arial" w:hAnsi="Arial" w:cs="Arial"/>
            <w:sz w:val="18"/>
            <w:szCs w:val="18"/>
            <w:lang w:val="fr-CA"/>
          </w:rPr>
          <w:t>https://cdn-contenu.quebec.ca/cdn-contenu/adm/org/SCF/Violences/LEX-lexique-diversite-sexuelle-genre-FR-SCF.pdf</w:t>
        </w:r>
      </w:hyperlink>
      <w:r w:rsidR="004F4412" w:rsidRPr="00BD22C2">
        <w:rPr>
          <w:rFonts w:ascii="Arial" w:hAnsi="Arial" w:cs="Arial"/>
          <w:sz w:val="18"/>
          <w:szCs w:val="18"/>
          <w:lang w:val="fr-CA"/>
        </w:rPr>
        <w:t xml:space="preserve"> </w:t>
      </w:r>
      <w:r w:rsidR="004934B6" w:rsidRPr="00BD22C2">
        <w:rPr>
          <w:rFonts w:ascii="Arial" w:hAnsi="Arial" w:cs="Arial"/>
          <w:sz w:val="18"/>
          <w:szCs w:val="18"/>
          <w:lang w:val="fr-CA"/>
        </w:rPr>
        <w:t>(renvoi omis) (nos soulignements)</w:t>
      </w:r>
    </w:p>
  </w:endnote>
  <w:endnote w:id="133">
    <w:p w14:paraId="4E06CA28" w14:textId="466B449F" w:rsidR="005E6735" w:rsidRPr="00BD22C2" w:rsidRDefault="005E673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2D3C7B" w:rsidRPr="00BD22C2">
        <w:rPr>
          <w:rFonts w:ascii="Arial" w:hAnsi="Arial" w:cs="Arial"/>
          <w:sz w:val="18"/>
          <w:szCs w:val="18"/>
          <w:lang w:val="fr-CA"/>
        </w:rPr>
        <w:tab/>
      </w:r>
      <w:r w:rsidR="00527015" w:rsidRPr="00BD22C2">
        <w:rPr>
          <w:rFonts w:ascii="Arial" w:hAnsi="Arial" w:cs="Arial"/>
          <w:smallCaps/>
          <w:sz w:val="18"/>
          <w:szCs w:val="18"/>
          <w:lang w:val="fr-CA"/>
        </w:rPr>
        <w:t>Libres et égaux Nations Unies</w:t>
      </w:r>
      <w:r w:rsidR="00527015" w:rsidRPr="00BD22C2">
        <w:rPr>
          <w:rFonts w:ascii="Arial" w:hAnsi="Arial" w:cs="Arial"/>
          <w:sz w:val="18"/>
          <w:szCs w:val="18"/>
          <w:lang w:val="fr-CA"/>
        </w:rPr>
        <w:t>, «</w:t>
      </w:r>
      <w:r w:rsidR="0056005D" w:rsidRPr="00BD22C2">
        <w:rPr>
          <w:rFonts w:ascii="Arial" w:hAnsi="Arial" w:cs="Arial"/>
          <w:sz w:val="18"/>
          <w:szCs w:val="18"/>
          <w:lang w:val="fr-CA"/>
        </w:rPr>
        <w:t> </w:t>
      </w:r>
      <w:r w:rsidR="00527015" w:rsidRPr="00BD22C2">
        <w:rPr>
          <w:rFonts w:ascii="Arial" w:hAnsi="Arial" w:cs="Arial"/>
          <w:sz w:val="18"/>
          <w:szCs w:val="18"/>
          <w:lang w:val="fr-CA"/>
        </w:rPr>
        <w:t>Définitions</w:t>
      </w:r>
      <w:r w:rsidR="0056005D" w:rsidRPr="00BD22C2">
        <w:rPr>
          <w:rFonts w:ascii="Arial" w:hAnsi="Arial" w:cs="Arial"/>
          <w:sz w:val="18"/>
          <w:szCs w:val="18"/>
          <w:lang w:val="fr-CA"/>
        </w:rPr>
        <w:t> </w:t>
      </w:r>
      <w:r w:rsidR="00527015" w:rsidRPr="00BD22C2">
        <w:rPr>
          <w:rFonts w:ascii="Arial" w:hAnsi="Arial" w:cs="Arial"/>
          <w:sz w:val="18"/>
          <w:szCs w:val="18"/>
          <w:lang w:val="fr-CA"/>
        </w:rPr>
        <w:t xml:space="preserve">», [En ligne]. </w:t>
      </w:r>
      <w:hyperlink r:id="rId95" w:history="1">
        <w:r w:rsidR="00E2305F" w:rsidRPr="00BD22C2">
          <w:rPr>
            <w:rStyle w:val="Lienhypertexte"/>
            <w:rFonts w:ascii="Arial" w:hAnsi="Arial" w:cs="Arial"/>
            <w:sz w:val="18"/>
            <w:szCs w:val="18"/>
            <w:lang w:val="fr-CA"/>
          </w:rPr>
          <w:t>https://www.unfe.org/fr/know-the-facts/definitions</w:t>
        </w:r>
      </w:hyperlink>
      <w:r w:rsidR="00E2305F" w:rsidRPr="00BD22C2">
        <w:rPr>
          <w:rFonts w:ascii="Arial" w:hAnsi="Arial" w:cs="Arial"/>
          <w:sz w:val="18"/>
          <w:szCs w:val="18"/>
          <w:lang w:val="fr-CA"/>
        </w:rPr>
        <w:t xml:space="preserve"> </w:t>
      </w:r>
    </w:p>
  </w:endnote>
  <w:endnote w:id="134">
    <w:p w14:paraId="7B0B8EA3" w14:textId="1DFEE03C" w:rsidR="001072FF" w:rsidRPr="00BD22C2" w:rsidRDefault="001072F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B1B8F" w:rsidRPr="00BD22C2">
        <w:rPr>
          <w:rFonts w:ascii="Arial" w:hAnsi="Arial" w:cs="Arial"/>
          <w:sz w:val="18"/>
          <w:szCs w:val="18"/>
          <w:lang w:val="fr-CA"/>
        </w:rPr>
        <w:tab/>
      </w:r>
      <w:r w:rsidR="00CE56D2" w:rsidRPr="00BD22C2">
        <w:rPr>
          <w:rFonts w:ascii="Arial" w:hAnsi="Arial" w:cs="Arial"/>
          <w:smallCaps/>
          <w:sz w:val="18"/>
          <w:szCs w:val="18"/>
          <w:lang w:val="fr-CA"/>
        </w:rPr>
        <w:t>Commission des droits de la personne et des droits de la jeunesse</w:t>
      </w:r>
      <w:r w:rsidR="00CE56D2" w:rsidRPr="00BD22C2">
        <w:rPr>
          <w:rFonts w:ascii="Arial" w:hAnsi="Arial" w:cs="Arial"/>
          <w:sz w:val="18"/>
          <w:szCs w:val="18"/>
          <w:lang w:val="fr-CA"/>
        </w:rPr>
        <w:t>, préc., note</w:t>
      </w:r>
      <w:r w:rsidR="0091080B">
        <w:rPr>
          <w:rFonts w:ascii="Arial" w:hAnsi="Arial" w:cs="Arial"/>
          <w:sz w:val="18"/>
          <w:szCs w:val="18"/>
          <w:lang w:val="fr-CA"/>
        </w:rPr>
        <w:t> </w:t>
      </w:r>
      <w:r w:rsidR="00CE56D2" w:rsidRPr="00BD22C2">
        <w:rPr>
          <w:rFonts w:ascii="Arial" w:hAnsi="Arial" w:cs="Arial"/>
          <w:sz w:val="18"/>
          <w:szCs w:val="18"/>
          <w:lang w:val="fr-CA"/>
        </w:rPr>
        <w:fldChar w:fldCharType="begin"/>
      </w:r>
      <w:r w:rsidR="00CE56D2" w:rsidRPr="00BD22C2">
        <w:rPr>
          <w:rFonts w:ascii="Arial" w:hAnsi="Arial" w:cs="Arial"/>
          <w:sz w:val="18"/>
          <w:szCs w:val="18"/>
          <w:lang w:val="fr-CA"/>
        </w:rPr>
        <w:instrText xml:space="preserve"> NOTEREF _Ref166854751 \h </w:instrText>
      </w:r>
      <w:r w:rsidR="00CE56D2" w:rsidRPr="00BD22C2">
        <w:rPr>
          <w:rFonts w:ascii="Arial" w:hAnsi="Arial" w:cs="Arial"/>
          <w:sz w:val="18"/>
          <w:szCs w:val="18"/>
          <w:lang w:val="fr-CA"/>
        </w:rPr>
      </w:r>
      <w:r w:rsidR="00CE56D2" w:rsidRPr="00BD22C2">
        <w:rPr>
          <w:rFonts w:ascii="Arial" w:hAnsi="Arial" w:cs="Arial"/>
          <w:sz w:val="18"/>
          <w:szCs w:val="18"/>
          <w:lang w:val="fr-CA"/>
        </w:rPr>
        <w:fldChar w:fldCharType="separate"/>
      </w:r>
      <w:r w:rsidR="004B4881">
        <w:rPr>
          <w:rFonts w:ascii="Arial" w:hAnsi="Arial" w:cs="Arial"/>
          <w:sz w:val="18"/>
          <w:szCs w:val="18"/>
          <w:lang w:val="fr-CA"/>
        </w:rPr>
        <w:t>7</w:t>
      </w:r>
      <w:r w:rsidR="00CE56D2" w:rsidRPr="00BD22C2">
        <w:rPr>
          <w:rFonts w:ascii="Arial" w:hAnsi="Arial" w:cs="Arial"/>
          <w:sz w:val="18"/>
          <w:szCs w:val="18"/>
          <w:lang w:val="fr-CA"/>
        </w:rPr>
        <w:fldChar w:fldCharType="end"/>
      </w:r>
      <w:r w:rsidR="00CE56D2" w:rsidRPr="00BD22C2">
        <w:rPr>
          <w:rFonts w:ascii="Arial" w:hAnsi="Arial" w:cs="Arial"/>
          <w:sz w:val="18"/>
          <w:szCs w:val="18"/>
          <w:lang w:val="fr-CA"/>
        </w:rPr>
        <w:t>, p.</w:t>
      </w:r>
      <w:r w:rsidR="0091080B">
        <w:rPr>
          <w:rFonts w:ascii="Arial" w:hAnsi="Arial" w:cs="Arial"/>
          <w:sz w:val="18"/>
          <w:szCs w:val="18"/>
          <w:lang w:val="fr-CA"/>
        </w:rPr>
        <w:t> </w:t>
      </w:r>
      <w:r w:rsidR="00CE56D2" w:rsidRPr="00BD22C2">
        <w:rPr>
          <w:rFonts w:ascii="Arial" w:hAnsi="Arial" w:cs="Arial"/>
          <w:sz w:val="18"/>
          <w:szCs w:val="18"/>
          <w:lang w:val="fr-CA"/>
        </w:rPr>
        <w:t>8.</w:t>
      </w:r>
    </w:p>
  </w:endnote>
  <w:endnote w:id="135">
    <w:p w14:paraId="15DB9986" w14:textId="061DB52E" w:rsidR="007B554A" w:rsidRPr="00BD22C2" w:rsidRDefault="007B554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0871AE" w:rsidRPr="00BD22C2">
        <w:rPr>
          <w:rFonts w:ascii="Arial" w:hAnsi="Arial" w:cs="Arial"/>
          <w:sz w:val="18"/>
          <w:szCs w:val="18"/>
          <w:lang w:val="fr-CA"/>
        </w:rPr>
        <w:tab/>
      </w:r>
      <w:r w:rsidR="002961E9" w:rsidRPr="00BD22C2">
        <w:rPr>
          <w:rFonts w:ascii="Arial" w:hAnsi="Arial" w:cs="Arial"/>
          <w:smallCaps/>
          <w:sz w:val="18"/>
          <w:szCs w:val="18"/>
          <w:lang w:val="fr-CA"/>
        </w:rPr>
        <w:t>Statistique Canada</w:t>
      </w:r>
      <w:r w:rsidR="002961E9" w:rsidRPr="00BD22C2">
        <w:rPr>
          <w:rFonts w:ascii="Arial" w:hAnsi="Arial" w:cs="Arial"/>
          <w:sz w:val="18"/>
          <w:szCs w:val="18"/>
          <w:lang w:val="fr-CA"/>
        </w:rPr>
        <w:t xml:space="preserve">, préc., note </w:t>
      </w:r>
      <w:r w:rsidR="00E51E34" w:rsidRPr="00BD22C2">
        <w:rPr>
          <w:rFonts w:ascii="Arial" w:hAnsi="Arial" w:cs="Arial"/>
          <w:sz w:val="18"/>
          <w:szCs w:val="18"/>
          <w:lang w:val="fr-CA"/>
        </w:rPr>
        <w:fldChar w:fldCharType="begin"/>
      </w:r>
      <w:r w:rsidR="00E51E34" w:rsidRPr="00BD22C2">
        <w:rPr>
          <w:rFonts w:ascii="Arial" w:hAnsi="Arial" w:cs="Arial"/>
          <w:sz w:val="18"/>
          <w:szCs w:val="18"/>
          <w:lang w:val="fr-CA"/>
        </w:rPr>
        <w:instrText xml:space="preserve"> NOTEREF _Ref167286977 \h </w:instrText>
      </w:r>
      <w:r w:rsidR="00E51E34" w:rsidRPr="00BD22C2">
        <w:rPr>
          <w:rFonts w:ascii="Arial" w:hAnsi="Arial" w:cs="Arial"/>
          <w:sz w:val="18"/>
          <w:szCs w:val="18"/>
          <w:lang w:val="fr-CA"/>
        </w:rPr>
      </w:r>
      <w:r w:rsidR="00E51E34" w:rsidRPr="00BD22C2">
        <w:rPr>
          <w:rFonts w:ascii="Arial" w:hAnsi="Arial" w:cs="Arial"/>
          <w:sz w:val="18"/>
          <w:szCs w:val="18"/>
          <w:lang w:val="fr-CA"/>
        </w:rPr>
        <w:fldChar w:fldCharType="separate"/>
      </w:r>
      <w:r w:rsidR="004B4881">
        <w:rPr>
          <w:rFonts w:ascii="Arial" w:hAnsi="Arial" w:cs="Arial"/>
          <w:sz w:val="18"/>
          <w:szCs w:val="18"/>
          <w:lang w:val="fr-CA"/>
        </w:rPr>
        <w:t>72</w:t>
      </w:r>
      <w:r w:rsidR="00E51E34" w:rsidRPr="00BD22C2">
        <w:rPr>
          <w:rFonts w:ascii="Arial" w:hAnsi="Arial" w:cs="Arial"/>
          <w:sz w:val="18"/>
          <w:szCs w:val="18"/>
          <w:lang w:val="fr-CA"/>
        </w:rPr>
        <w:fldChar w:fldCharType="end"/>
      </w:r>
      <w:r w:rsidR="00E51E34" w:rsidRPr="00BD22C2">
        <w:rPr>
          <w:rFonts w:ascii="Arial" w:hAnsi="Arial" w:cs="Arial"/>
          <w:sz w:val="18"/>
          <w:szCs w:val="18"/>
          <w:lang w:val="fr-CA"/>
        </w:rPr>
        <w:t>.</w:t>
      </w:r>
    </w:p>
  </w:endnote>
  <w:endnote w:id="136">
    <w:p w14:paraId="6A361802" w14:textId="1EB98F01" w:rsidR="008D7239" w:rsidRPr="0085310E" w:rsidRDefault="008D7239" w:rsidP="008D7239">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Statistique Canada</w:t>
      </w:r>
      <w:r w:rsidRPr="00BD22C2">
        <w:rPr>
          <w:rFonts w:ascii="Arial" w:hAnsi="Arial" w:cs="Arial"/>
          <w:sz w:val="18"/>
          <w:szCs w:val="18"/>
          <w:lang w:val="fr-CA"/>
        </w:rPr>
        <w:t xml:space="preserve">, </w:t>
      </w:r>
      <w:r w:rsidRPr="00BD22C2">
        <w:rPr>
          <w:rFonts w:ascii="Arial" w:hAnsi="Arial" w:cs="Arial"/>
          <w:i/>
          <w:sz w:val="18"/>
          <w:szCs w:val="18"/>
          <w:lang w:val="fr-CA"/>
        </w:rPr>
        <w:t>Graphique 3 - Environ 1</w:t>
      </w:r>
      <w:r>
        <w:rPr>
          <w:rFonts w:ascii="Arial" w:hAnsi="Arial" w:cs="Arial"/>
          <w:i/>
          <w:sz w:val="18"/>
          <w:szCs w:val="18"/>
          <w:lang w:val="fr-CA"/>
        </w:rPr>
        <w:t> </w:t>
      </w:r>
      <w:r w:rsidRPr="00BD22C2">
        <w:rPr>
          <w:rFonts w:ascii="Arial" w:hAnsi="Arial" w:cs="Arial"/>
          <w:i/>
          <w:sz w:val="18"/>
          <w:szCs w:val="18"/>
          <w:lang w:val="fr-CA"/>
        </w:rPr>
        <w:t>personne sur 200 vivant en Nouvelle-Écosse, au Yukon ou en Colombie-Britannique est transgenre ou non binaire, soit les proportions les plus élevées parmi les provinces et les territoires</w:t>
      </w:r>
      <w:r w:rsidRPr="00BD22C2">
        <w:rPr>
          <w:rFonts w:ascii="Arial" w:hAnsi="Arial" w:cs="Arial"/>
          <w:i/>
          <w:iCs/>
          <w:sz w:val="18"/>
          <w:szCs w:val="18"/>
          <w:lang w:val="fr-CA"/>
        </w:rPr>
        <w:t xml:space="preserve">, </w:t>
      </w:r>
      <w:r w:rsidRPr="00BD22C2">
        <w:rPr>
          <w:rFonts w:ascii="Arial" w:hAnsi="Arial" w:cs="Arial"/>
          <w:sz w:val="18"/>
          <w:szCs w:val="18"/>
          <w:lang w:val="fr-CA"/>
        </w:rPr>
        <w:t>2021</w:t>
      </w:r>
      <w:r w:rsidRPr="00BD22C2">
        <w:rPr>
          <w:rFonts w:ascii="Arial" w:hAnsi="Arial" w:cs="Arial"/>
          <w:i/>
          <w:iCs/>
          <w:sz w:val="18"/>
          <w:szCs w:val="18"/>
          <w:lang w:val="fr-CA"/>
        </w:rPr>
        <w:t xml:space="preserve">, </w:t>
      </w:r>
      <w:r w:rsidRPr="00BD22C2">
        <w:rPr>
          <w:rFonts w:ascii="Arial" w:hAnsi="Arial" w:cs="Arial"/>
          <w:sz w:val="18"/>
          <w:szCs w:val="18"/>
          <w:lang w:val="fr-CA"/>
        </w:rPr>
        <w:t xml:space="preserve">[En ligne]. </w:t>
      </w:r>
      <w:r>
        <w:fldChar w:fldCharType="begin"/>
      </w:r>
      <w:r w:rsidRPr="003E3312">
        <w:rPr>
          <w:lang w:val="fr-CA"/>
        </w:rPr>
        <w:instrText>HYPERLINK "https://www150.statcan.gc.ca/n1/daily-quotidien/220427/cg-b003-fra.htm"</w:instrText>
      </w:r>
      <w:r>
        <w:fldChar w:fldCharType="separate"/>
      </w:r>
      <w:r w:rsidRPr="00E622C4">
        <w:rPr>
          <w:rStyle w:val="Lienhypertexte"/>
          <w:rFonts w:ascii="Arial" w:hAnsi="Arial" w:cs="Arial"/>
          <w:sz w:val="18"/>
          <w:szCs w:val="18"/>
        </w:rPr>
        <w:t>https://www150.statcan.gc.ca/n1/daily-quotidien/220427/cg-b003-fra.htm</w:t>
      </w:r>
      <w:r>
        <w:rPr>
          <w:rStyle w:val="Lienhypertexte"/>
          <w:rFonts w:ascii="Arial" w:hAnsi="Arial" w:cs="Arial"/>
          <w:sz w:val="18"/>
          <w:szCs w:val="18"/>
        </w:rPr>
        <w:fldChar w:fldCharType="end"/>
      </w:r>
    </w:p>
  </w:endnote>
  <w:endnote w:id="137">
    <w:p w14:paraId="10B439B9" w14:textId="265505A6" w:rsidR="008D7239" w:rsidRPr="0085310E" w:rsidRDefault="008D7239" w:rsidP="008D7239">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Statistique Canada</w:t>
      </w:r>
      <w:r w:rsidRPr="00BD22C2">
        <w:rPr>
          <w:rFonts w:ascii="Arial" w:hAnsi="Arial" w:cs="Arial"/>
          <w:sz w:val="18"/>
          <w:szCs w:val="18"/>
          <w:lang w:val="fr-CA"/>
        </w:rPr>
        <w:t xml:space="preserve">, </w:t>
      </w:r>
      <w:r w:rsidRPr="00BD22C2">
        <w:rPr>
          <w:rFonts w:ascii="Arial" w:hAnsi="Arial" w:cs="Arial"/>
          <w:i/>
          <w:iCs/>
          <w:sz w:val="18"/>
          <w:szCs w:val="18"/>
          <w:lang w:val="fr-CA"/>
        </w:rPr>
        <w:t>Graphique</w:t>
      </w:r>
      <w:r>
        <w:rPr>
          <w:rFonts w:ascii="Arial" w:hAnsi="Arial" w:cs="Arial"/>
          <w:i/>
          <w:iCs/>
          <w:sz w:val="18"/>
          <w:szCs w:val="18"/>
          <w:lang w:val="fr-CA"/>
        </w:rPr>
        <w:t> </w:t>
      </w:r>
      <w:r w:rsidRPr="00BD22C2">
        <w:rPr>
          <w:rFonts w:ascii="Arial" w:hAnsi="Arial" w:cs="Arial"/>
          <w:i/>
          <w:iCs/>
          <w:sz w:val="18"/>
          <w:szCs w:val="18"/>
          <w:lang w:val="fr-CA"/>
        </w:rPr>
        <w:t>4 - La Nouvelle-Écosse affiche la plus grande diversité de genre chez les personnes de 15 à 34</w:t>
      </w:r>
      <w:r>
        <w:rPr>
          <w:rFonts w:ascii="Arial" w:hAnsi="Arial" w:cs="Arial"/>
          <w:i/>
          <w:iCs/>
          <w:sz w:val="18"/>
          <w:szCs w:val="18"/>
          <w:lang w:val="fr-CA"/>
        </w:rPr>
        <w:t> </w:t>
      </w:r>
      <w:r w:rsidRPr="00BD22C2">
        <w:rPr>
          <w:rFonts w:ascii="Arial" w:hAnsi="Arial" w:cs="Arial"/>
          <w:i/>
          <w:iCs/>
          <w:sz w:val="18"/>
          <w:szCs w:val="18"/>
          <w:lang w:val="fr-CA"/>
        </w:rPr>
        <w:t xml:space="preserve">ans parmi les provinces, </w:t>
      </w:r>
      <w:r w:rsidRPr="00BD22C2">
        <w:rPr>
          <w:rFonts w:ascii="Arial" w:hAnsi="Arial" w:cs="Arial"/>
          <w:sz w:val="18"/>
          <w:szCs w:val="18"/>
          <w:lang w:val="fr-CA"/>
        </w:rPr>
        <w:t>2021</w:t>
      </w:r>
      <w:r w:rsidRPr="00BD22C2">
        <w:rPr>
          <w:rFonts w:ascii="Arial" w:hAnsi="Arial" w:cs="Arial"/>
          <w:i/>
          <w:iCs/>
          <w:sz w:val="18"/>
          <w:szCs w:val="18"/>
          <w:lang w:val="fr-CA"/>
        </w:rPr>
        <w:t xml:space="preserve">, </w:t>
      </w:r>
      <w:r w:rsidRPr="00BD22C2">
        <w:rPr>
          <w:rFonts w:ascii="Arial" w:hAnsi="Arial" w:cs="Arial"/>
          <w:sz w:val="18"/>
          <w:szCs w:val="18"/>
          <w:lang w:val="fr-CA"/>
        </w:rPr>
        <w:t>[En ligne].</w:t>
      </w:r>
      <w:r w:rsidRPr="00BD22C2">
        <w:rPr>
          <w:rFonts w:ascii="Arial" w:hAnsi="Arial" w:cs="Arial"/>
          <w:i/>
          <w:iCs/>
          <w:sz w:val="18"/>
          <w:szCs w:val="18"/>
          <w:lang w:val="fr-CA"/>
        </w:rPr>
        <w:t xml:space="preserve"> </w:t>
      </w:r>
      <w:r>
        <w:fldChar w:fldCharType="begin"/>
      </w:r>
      <w:r w:rsidRPr="003E3312">
        <w:rPr>
          <w:lang w:val="fr-CA"/>
        </w:rPr>
        <w:instrText>HYPERLINK "https://www150.statcan.gc.ca/n1/daily-quotidien/220427/cg-b004-fra.htm"</w:instrText>
      </w:r>
      <w:r>
        <w:fldChar w:fldCharType="separate"/>
      </w:r>
      <w:r w:rsidRPr="0085310E">
        <w:rPr>
          <w:rStyle w:val="Lienhypertexte"/>
          <w:rFonts w:ascii="Arial" w:hAnsi="Arial" w:cs="Arial"/>
          <w:sz w:val="18"/>
          <w:szCs w:val="18"/>
        </w:rPr>
        <w:t>https://www150.statcan.gc.ca/n1/daily-quotidien/220427/cg-b004-fra.htm</w:t>
      </w:r>
      <w:r>
        <w:rPr>
          <w:rStyle w:val="Lienhypertexte"/>
          <w:rFonts w:ascii="Arial" w:hAnsi="Arial" w:cs="Arial"/>
          <w:sz w:val="18"/>
          <w:szCs w:val="18"/>
        </w:rPr>
        <w:fldChar w:fldCharType="end"/>
      </w:r>
    </w:p>
  </w:endnote>
  <w:endnote w:id="138">
    <w:p w14:paraId="48E8A8F8" w14:textId="29258401" w:rsidR="00891CE5" w:rsidRPr="0085310E" w:rsidRDefault="00891CE5"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Statistique Canada</w:t>
      </w:r>
      <w:r w:rsidRPr="00BD22C2">
        <w:rPr>
          <w:rFonts w:ascii="Arial" w:hAnsi="Arial" w:cs="Arial"/>
          <w:sz w:val="18"/>
          <w:szCs w:val="18"/>
          <w:lang w:val="fr-CA"/>
        </w:rPr>
        <w:t xml:space="preserve">, </w:t>
      </w:r>
      <w:r w:rsidRPr="00BD22C2">
        <w:rPr>
          <w:rFonts w:ascii="Arial" w:hAnsi="Arial" w:cs="Arial"/>
          <w:i/>
          <w:sz w:val="18"/>
          <w:szCs w:val="18"/>
          <w:lang w:val="fr-CA"/>
        </w:rPr>
        <w:t>Graphique</w:t>
      </w:r>
      <w:r w:rsidR="0091080B">
        <w:rPr>
          <w:rFonts w:ascii="Arial" w:hAnsi="Arial" w:cs="Arial"/>
          <w:i/>
          <w:sz w:val="18"/>
          <w:szCs w:val="18"/>
          <w:lang w:val="fr-CA"/>
        </w:rPr>
        <w:t> </w:t>
      </w:r>
      <w:r w:rsidRPr="00BD22C2">
        <w:rPr>
          <w:rFonts w:ascii="Arial" w:hAnsi="Arial" w:cs="Arial"/>
          <w:i/>
          <w:sz w:val="18"/>
          <w:szCs w:val="18"/>
          <w:lang w:val="fr-CA"/>
        </w:rPr>
        <w:t>2</w:t>
      </w:r>
      <w:r w:rsidR="00CD27A0" w:rsidRPr="00BD22C2">
        <w:rPr>
          <w:rFonts w:ascii="Arial" w:hAnsi="Arial" w:cs="Arial"/>
          <w:i/>
          <w:sz w:val="18"/>
          <w:szCs w:val="18"/>
          <w:lang w:val="fr-CA"/>
        </w:rPr>
        <w:t xml:space="preserve"> </w:t>
      </w:r>
      <w:r w:rsidR="00CD27A0" w:rsidRPr="00BD22C2">
        <w:rPr>
          <w:rFonts w:ascii="Arial" w:hAnsi="Arial" w:cs="Arial"/>
          <w:i/>
          <w:iCs/>
          <w:sz w:val="18"/>
          <w:szCs w:val="18"/>
          <w:lang w:val="fr-CA"/>
        </w:rPr>
        <w:t>-</w:t>
      </w:r>
      <w:r w:rsidRPr="00BD22C2">
        <w:rPr>
          <w:rFonts w:ascii="Arial" w:hAnsi="Arial" w:cs="Arial"/>
          <w:i/>
          <w:sz w:val="18"/>
          <w:szCs w:val="18"/>
          <w:lang w:val="fr-CA"/>
        </w:rPr>
        <w:t>La diversité de genre est la plus grande chez les personnes âgées de 20 à 24</w:t>
      </w:r>
      <w:r w:rsidR="00B32B61">
        <w:rPr>
          <w:rFonts w:ascii="Arial" w:hAnsi="Arial" w:cs="Arial"/>
          <w:i/>
          <w:sz w:val="18"/>
          <w:szCs w:val="18"/>
          <w:lang w:val="fr-CA"/>
        </w:rPr>
        <w:t> </w:t>
      </w:r>
      <w:r w:rsidRPr="00BD22C2">
        <w:rPr>
          <w:rFonts w:ascii="Arial" w:hAnsi="Arial" w:cs="Arial"/>
          <w:i/>
          <w:sz w:val="18"/>
          <w:szCs w:val="18"/>
          <w:lang w:val="fr-CA"/>
        </w:rPr>
        <w:t>ans</w:t>
      </w:r>
      <w:r w:rsidRPr="00BD22C2">
        <w:rPr>
          <w:rFonts w:ascii="Arial" w:hAnsi="Arial" w:cs="Arial"/>
          <w:sz w:val="18"/>
          <w:szCs w:val="18"/>
          <w:lang w:val="fr-CA"/>
        </w:rPr>
        <w:t xml:space="preserve">, 2022, [En ligne]. </w:t>
      </w:r>
      <w:r>
        <w:fldChar w:fldCharType="begin"/>
      </w:r>
      <w:r w:rsidRPr="003E3312">
        <w:rPr>
          <w:lang w:val="fr-CA"/>
        </w:rPr>
        <w:instrText>HYPERLINK "https://www150.statcan.gc.ca/n1/daily-quotidien/220427/cg-b002-fra.htm"</w:instrText>
      </w:r>
      <w:r>
        <w:fldChar w:fldCharType="separate"/>
      </w:r>
      <w:r w:rsidRPr="0085310E">
        <w:rPr>
          <w:rStyle w:val="Lienhypertexte"/>
          <w:rFonts w:ascii="Arial" w:hAnsi="Arial" w:cs="Arial"/>
          <w:sz w:val="18"/>
          <w:szCs w:val="18"/>
        </w:rPr>
        <w:t>https://www150.statcan.gc.ca/n1/daily-quotidien/220427/cg-b002-fra.htm</w:t>
      </w:r>
      <w:r>
        <w:rPr>
          <w:rStyle w:val="Lienhypertexte"/>
          <w:rFonts w:ascii="Arial" w:hAnsi="Arial" w:cs="Arial"/>
          <w:sz w:val="18"/>
          <w:szCs w:val="18"/>
        </w:rPr>
        <w:fldChar w:fldCharType="end"/>
      </w:r>
      <w:r w:rsidRPr="0085310E">
        <w:rPr>
          <w:rFonts w:ascii="Arial" w:hAnsi="Arial" w:cs="Arial"/>
          <w:sz w:val="18"/>
          <w:szCs w:val="18"/>
        </w:rPr>
        <w:t xml:space="preserve"> </w:t>
      </w:r>
    </w:p>
  </w:endnote>
  <w:endnote w:id="139">
    <w:p w14:paraId="20A71CCB" w14:textId="5712BEF4" w:rsidR="00891CE5" w:rsidRPr="00E16C03" w:rsidRDefault="00891CE5"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E14070" w:rsidRPr="00E16C03">
        <w:rPr>
          <w:rStyle w:val="NotedebasdepageCar"/>
          <w:smallCaps/>
          <w:lang w:val="en-CA"/>
        </w:rPr>
        <w:t>Statistique Canada</w:t>
      </w:r>
      <w:r w:rsidR="00E14070" w:rsidRPr="00E16C03">
        <w:rPr>
          <w:rStyle w:val="NotedebasdepageCar"/>
          <w:lang w:val="en-CA"/>
        </w:rPr>
        <w:t xml:space="preserve">, </w:t>
      </w:r>
      <w:r w:rsidR="0048766F" w:rsidRPr="00E16C03">
        <w:rPr>
          <w:rFonts w:ascii="Arial" w:hAnsi="Arial" w:cs="Arial"/>
          <w:sz w:val="18"/>
          <w:szCs w:val="18"/>
          <w:lang w:val="en-CA"/>
        </w:rPr>
        <w:t xml:space="preserve">préc., note </w:t>
      </w:r>
      <w:r w:rsidR="0048766F" w:rsidRPr="00BD22C2">
        <w:rPr>
          <w:rFonts w:ascii="Arial" w:hAnsi="Arial" w:cs="Arial"/>
          <w:sz w:val="18"/>
          <w:szCs w:val="18"/>
          <w:lang w:val="fr-CA"/>
        </w:rPr>
        <w:fldChar w:fldCharType="begin"/>
      </w:r>
      <w:r w:rsidR="0048766F" w:rsidRPr="00E16C03">
        <w:rPr>
          <w:rFonts w:ascii="Arial" w:hAnsi="Arial" w:cs="Arial"/>
          <w:sz w:val="18"/>
          <w:szCs w:val="18"/>
          <w:lang w:val="en-CA"/>
        </w:rPr>
        <w:instrText xml:space="preserve"> NOTEREF _Ref167286977 \h </w:instrText>
      </w:r>
      <w:r w:rsidR="0048766F" w:rsidRPr="00BD22C2">
        <w:rPr>
          <w:rFonts w:ascii="Arial" w:hAnsi="Arial" w:cs="Arial"/>
          <w:sz w:val="18"/>
          <w:szCs w:val="18"/>
          <w:lang w:val="fr-CA"/>
        </w:rPr>
      </w:r>
      <w:r w:rsidR="0048766F" w:rsidRPr="00BD22C2">
        <w:rPr>
          <w:rFonts w:ascii="Arial" w:hAnsi="Arial" w:cs="Arial"/>
          <w:sz w:val="18"/>
          <w:szCs w:val="18"/>
          <w:lang w:val="fr-CA"/>
        </w:rPr>
        <w:fldChar w:fldCharType="separate"/>
      </w:r>
      <w:r w:rsidR="004B4881">
        <w:rPr>
          <w:rFonts w:ascii="Arial" w:hAnsi="Arial" w:cs="Arial"/>
          <w:sz w:val="18"/>
          <w:szCs w:val="18"/>
          <w:lang w:val="en-CA"/>
        </w:rPr>
        <w:t>72</w:t>
      </w:r>
      <w:r w:rsidR="0048766F" w:rsidRPr="00BD22C2">
        <w:rPr>
          <w:rFonts w:ascii="Arial" w:hAnsi="Arial" w:cs="Arial"/>
          <w:sz w:val="18"/>
          <w:szCs w:val="18"/>
          <w:lang w:val="fr-CA"/>
        </w:rPr>
        <w:fldChar w:fldCharType="end"/>
      </w:r>
      <w:r w:rsidR="0048766F" w:rsidRPr="00E16C03">
        <w:rPr>
          <w:rFonts w:ascii="Arial" w:hAnsi="Arial" w:cs="Arial"/>
          <w:sz w:val="18"/>
          <w:szCs w:val="18"/>
          <w:lang w:val="en-CA"/>
        </w:rPr>
        <w:t>.</w:t>
      </w:r>
    </w:p>
  </w:endnote>
  <w:endnote w:id="140">
    <w:p w14:paraId="46086466" w14:textId="492200F7" w:rsidR="00891CE5" w:rsidRPr="00E16C03" w:rsidRDefault="00891CE5"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450415" w:rsidRPr="00E16C03">
        <w:rPr>
          <w:rFonts w:ascii="Arial" w:hAnsi="Arial" w:cs="Arial"/>
          <w:sz w:val="18"/>
          <w:szCs w:val="18"/>
          <w:lang w:val="en-CA"/>
        </w:rPr>
        <w:tab/>
      </w:r>
      <w:r w:rsidR="00CC4B4F" w:rsidRPr="00E16C03">
        <w:rPr>
          <w:rFonts w:ascii="Arial" w:hAnsi="Arial" w:cs="Arial"/>
          <w:smallCaps/>
          <w:sz w:val="18"/>
          <w:szCs w:val="18"/>
          <w:lang w:val="en-CA"/>
        </w:rPr>
        <w:t>Independent review of gender identity services for children and young people</w:t>
      </w:r>
      <w:r w:rsidRPr="00E16C03">
        <w:rPr>
          <w:rFonts w:ascii="Arial" w:hAnsi="Arial" w:cs="Arial"/>
          <w:sz w:val="18"/>
          <w:szCs w:val="18"/>
          <w:lang w:val="en-CA"/>
        </w:rPr>
        <w:t xml:space="preserve">, </w:t>
      </w:r>
      <w:r w:rsidR="00CC4B4F" w:rsidRPr="00E16C03">
        <w:rPr>
          <w:rFonts w:ascii="Arial" w:hAnsi="Arial" w:cs="Arial"/>
          <w:sz w:val="18"/>
          <w:szCs w:val="18"/>
          <w:lang w:val="en-CA"/>
        </w:rPr>
        <w:t xml:space="preserve">préc., note </w:t>
      </w:r>
      <w:r w:rsidR="00CC4B4F" w:rsidRPr="00F11979">
        <w:rPr>
          <w:rFonts w:ascii="Arial" w:hAnsi="Arial" w:cs="Arial"/>
          <w:sz w:val="18"/>
          <w:szCs w:val="18"/>
          <w:lang w:val="fr-CA"/>
        </w:rPr>
        <w:fldChar w:fldCharType="begin"/>
      </w:r>
      <w:r w:rsidR="00CC4B4F" w:rsidRPr="00E16C03">
        <w:rPr>
          <w:rFonts w:ascii="Arial" w:hAnsi="Arial" w:cs="Arial"/>
          <w:sz w:val="18"/>
          <w:szCs w:val="18"/>
          <w:lang w:val="en-CA"/>
        </w:rPr>
        <w:instrText xml:space="preserve"> NOTEREF _Ref167352469 \h  \* MERGEFORMAT </w:instrText>
      </w:r>
      <w:r w:rsidR="00CC4B4F" w:rsidRPr="00F11979">
        <w:rPr>
          <w:rFonts w:ascii="Arial" w:hAnsi="Arial" w:cs="Arial"/>
          <w:sz w:val="18"/>
          <w:szCs w:val="18"/>
          <w:lang w:val="fr-CA"/>
        </w:rPr>
      </w:r>
      <w:r w:rsidR="00CC4B4F" w:rsidRPr="00F11979">
        <w:rPr>
          <w:rFonts w:ascii="Arial" w:hAnsi="Arial" w:cs="Arial"/>
          <w:sz w:val="18"/>
          <w:szCs w:val="18"/>
          <w:lang w:val="fr-CA"/>
        </w:rPr>
        <w:fldChar w:fldCharType="separate"/>
      </w:r>
      <w:r w:rsidR="004B4881">
        <w:rPr>
          <w:rFonts w:ascii="Arial" w:hAnsi="Arial" w:cs="Arial"/>
          <w:sz w:val="18"/>
          <w:szCs w:val="18"/>
          <w:lang w:val="en-CA"/>
        </w:rPr>
        <w:t>89</w:t>
      </w:r>
      <w:r w:rsidR="00CC4B4F" w:rsidRPr="00F11979">
        <w:rPr>
          <w:rFonts w:ascii="Arial" w:hAnsi="Arial" w:cs="Arial"/>
          <w:sz w:val="18"/>
          <w:szCs w:val="18"/>
          <w:lang w:val="fr-CA"/>
        </w:rPr>
        <w:fldChar w:fldCharType="end"/>
      </w:r>
      <w:r w:rsidR="00CC4B4F" w:rsidRPr="00E16C03">
        <w:rPr>
          <w:rFonts w:ascii="Arial" w:hAnsi="Arial" w:cs="Arial"/>
          <w:sz w:val="18"/>
          <w:szCs w:val="18"/>
          <w:lang w:val="en-CA"/>
        </w:rPr>
        <w:t xml:space="preserve">, </w:t>
      </w:r>
      <w:r w:rsidRPr="00E16C03">
        <w:rPr>
          <w:rFonts w:ascii="Arial" w:hAnsi="Arial" w:cs="Arial"/>
          <w:sz w:val="18"/>
          <w:szCs w:val="18"/>
          <w:lang w:val="en-CA"/>
        </w:rPr>
        <w:t>p. 89</w:t>
      </w:r>
      <w:r w:rsidR="00CC4B4F" w:rsidRPr="00E16C03">
        <w:rPr>
          <w:rFonts w:ascii="Arial" w:hAnsi="Arial" w:cs="Arial"/>
          <w:sz w:val="18"/>
          <w:szCs w:val="18"/>
          <w:lang w:val="en-CA"/>
        </w:rPr>
        <w:t>.</w:t>
      </w:r>
    </w:p>
  </w:endnote>
  <w:endnote w:id="141">
    <w:p w14:paraId="4B006FED" w14:textId="46B6F70C" w:rsidR="00891CE5" w:rsidRPr="00E16C03" w:rsidRDefault="00891CE5"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450415" w:rsidRPr="00E16C03">
        <w:rPr>
          <w:rFonts w:ascii="Arial" w:hAnsi="Arial" w:cs="Arial"/>
          <w:sz w:val="18"/>
          <w:szCs w:val="18"/>
          <w:lang w:val="en-CA"/>
        </w:rPr>
        <w:tab/>
      </w:r>
      <w:r w:rsidR="00CC4B4F" w:rsidRPr="00E16C03">
        <w:rPr>
          <w:rFonts w:ascii="Arial" w:hAnsi="Arial" w:cs="Arial"/>
          <w:i/>
          <w:sz w:val="18"/>
          <w:szCs w:val="18"/>
          <w:lang w:val="en-CA"/>
        </w:rPr>
        <w:t>Id.</w:t>
      </w:r>
      <w:r w:rsidRPr="00E16C03">
        <w:rPr>
          <w:rFonts w:ascii="Arial" w:hAnsi="Arial" w:cs="Arial"/>
          <w:sz w:val="18"/>
          <w:szCs w:val="18"/>
          <w:lang w:val="en-CA"/>
        </w:rPr>
        <w:t>, p.</w:t>
      </w:r>
      <w:r w:rsidR="00CE1914">
        <w:rPr>
          <w:rFonts w:ascii="Arial" w:hAnsi="Arial" w:cs="Arial"/>
          <w:sz w:val="18"/>
          <w:szCs w:val="18"/>
          <w:lang w:val="en-CA"/>
        </w:rPr>
        <w:t> </w:t>
      </w:r>
      <w:r w:rsidRPr="00E16C03">
        <w:rPr>
          <w:rFonts w:ascii="Arial" w:hAnsi="Arial" w:cs="Arial"/>
          <w:sz w:val="18"/>
          <w:szCs w:val="18"/>
          <w:lang w:val="en-CA"/>
        </w:rPr>
        <w:t>118</w:t>
      </w:r>
      <w:r w:rsidR="00CC4B4F" w:rsidRPr="00E16C03">
        <w:rPr>
          <w:rFonts w:ascii="Arial" w:hAnsi="Arial" w:cs="Arial"/>
          <w:sz w:val="18"/>
          <w:szCs w:val="18"/>
          <w:lang w:val="en-CA"/>
        </w:rPr>
        <w:t>.</w:t>
      </w:r>
    </w:p>
  </w:endnote>
  <w:endnote w:id="142">
    <w:p w14:paraId="07CF75C5" w14:textId="69EDCE21" w:rsidR="003C2310" w:rsidRPr="00E16C03" w:rsidRDefault="003C231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i/>
          <w:sz w:val="18"/>
          <w:szCs w:val="18"/>
          <w:lang w:val="en-CA"/>
        </w:rPr>
        <w:t>Hansman</w:t>
      </w:r>
      <w:r w:rsidRPr="00E16C03">
        <w:rPr>
          <w:rFonts w:ascii="Arial" w:hAnsi="Arial" w:cs="Arial"/>
          <w:sz w:val="18"/>
          <w:szCs w:val="18"/>
          <w:lang w:val="en-CA"/>
        </w:rPr>
        <w:t xml:space="preserve"> c. </w:t>
      </w:r>
      <w:r w:rsidRPr="00E16C03">
        <w:rPr>
          <w:rFonts w:ascii="Arial" w:hAnsi="Arial" w:cs="Arial"/>
          <w:i/>
          <w:sz w:val="18"/>
          <w:szCs w:val="18"/>
          <w:lang w:val="en-CA"/>
        </w:rPr>
        <w:t>Neufeld</w:t>
      </w:r>
      <w:r w:rsidRPr="00E16C03">
        <w:rPr>
          <w:rFonts w:ascii="Arial" w:hAnsi="Arial" w:cs="Arial"/>
          <w:sz w:val="18"/>
          <w:szCs w:val="18"/>
          <w:lang w:val="en-CA"/>
        </w:rPr>
        <w:t xml:space="preserve">, </w:t>
      </w:r>
      <w:r w:rsidR="007B4648" w:rsidRPr="00E16C03">
        <w:rPr>
          <w:rFonts w:ascii="Arial" w:hAnsi="Arial" w:cs="Arial"/>
          <w:sz w:val="18"/>
          <w:szCs w:val="18"/>
          <w:lang w:val="en-CA"/>
        </w:rPr>
        <w:t xml:space="preserve">préc., note </w:t>
      </w:r>
      <w:r w:rsidR="007B4648" w:rsidRPr="00BD22C2">
        <w:rPr>
          <w:rFonts w:ascii="Arial" w:hAnsi="Arial" w:cs="Arial"/>
          <w:sz w:val="18"/>
          <w:szCs w:val="18"/>
          <w:lang w:val="fr-CA"/>
        </w:rPr>
        <w:fldChar w:fldCharType="begin"/>
      </w:r>
      <w:r w:rsidR="007B4648" w:rsidRPr="00E16C03">
        <w:rPr>
          <w:rFonts w:ascii="Arial" w:hAnsi="Arial" w:cs="Arial"/>
          <w:sz w:val="18"/>
          <w:szCs w:val="18"/>
          <w:lang w:val="en-CA"/>
        </w:rPr>
        <w:instrText xml:space="preserve"> NOTEREF _Ref166839645 \h </w:instrText>
      </w:r>
      <w:r w:rsidR="007B4648" w:rsidRPr="00BD22C2">
        <w:rPr>
          <w:rFonts w:ascii="Arial" w:hAnsi="Arial" w:cs="Arial"/>
          <w:sz w:val="18"/>
          <w:szCs w:val="18"/>
          <w:lang w:val="fr-CA"/>
        </w:rPr>
      </w:r>
      <w:r w:rsidR="007B4648" w:rsidRPr="00BD22C2">
        <w:rPr>
          <w:rFonts w:ascii="Arial" w:hAnsi="Arial" w:cs="Arial"/>
          <w:sz w:val="18"/>
          <w:szCs w:val="18"/>
          <w:lang w:val="fr-CA"/>
        </w:rPr>
        <w:fldChar w:fldCharType="separate"/>
      </w:r>
      <w:r w:rsidR="004B4881">
        <w:rPr>
          <w:rFonts w:ascii="Arial" w:hAnsi="Arial" w:cs="Arial"/>
          <w:sz w:val="18"/>
          <w:szCs w:val="18"/>
          <w:lang w:val="en-CA"/>
        </w:rPr>
        <w:t>53</w:t>
      </w:r>
      <w:r w:rsidR="007B4648" w:rsidRPr="00BD22C2">
        <w:rPr>
          <w:rFonts w:ascii="Arial" w:hAnsi="Arial" w:cs="Arial"/>
          <w:sz w:val="18"/>
          <w:szCs w:val="18"/>
          <w:lang w:val="fr-CA"/>
        </w:rPr>
        <w:fldChar w:fldCharType="end"/>
      </w:r>
      <w:r w:rsidR="007B4648" w:rsidRPr="00E16C03">
        <w:rPr>
          <w:rFonts w:ascii="Arial" w:hAnsi="Arial" w:cs="Arial"/>
          <w:sz w:val="18"/>
          <w:szCs w:val="18"/>
          <w:lang w:val="en-CA"/>
        </w:rPr>
        <w:t>.</w:t>
      </w:r>
    </w:p>
  </w:endnote>
  <w:endnote w:id="143">
    <w:p w14:paraId="7F348C20" w14:textId="7F9D6CBB" w:rsidR="003C2310" w:rsidRPr="00E16C03" w:rsidRDefault="003C231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i/>
          <w:sz w:val="18"/>
          <w:szCs w:val="18"/>
          <w:lang w:val="en-CA"/>
        </w:rPr>
        <w:t>Oger</w:t>
      </w:r>
      <w:r w:rsidRPr="00E16C03">
        <w:rPr>
          <w:rFonts w:ascii="Arial" w:hAnsi="Arial" w:cs="Arial"/>
          <w:sz w:val="18"/>
          <w:szCs w:val="18"/>
          <w:lang w:val="en-CA"/>
        </w:rPr>
        <w:t xml:space="preserve"> c. </w:t>
      </w:r>
      <w:r w:rsidRPr="00E16C03">
        <w:rPr>
          <w:rFonts w:ascii="Arial" w:hAnsi="Arial" w:cs="Arial"/>
          <w:i/>
          <w:sz w:val="18"/>
          <w:szCs w:val="18"/>
          <w:lang w:val="en-CA"/>
        </w:rPr>
        <w:t>Whatcott (No.</w:t>
      </w:r>
      <w:r w:rsidR="00CE1914">
        <w:rPr>
          <w:rFonts w:ascii="Arial" w:hAnsi="Arial" w:cs="Arial"/>
          <w:i/>
          <w:sz w:val="18"/>
          <w:szCs w:val="18"/>
          <w:lang w:val="en-CA"/>
        </w:rPr>
        <w:t> </w:t>
      </w:r>
      <w:r w:rsidRPr="00E16C03">
        <w:rPr>
          <w:rFonts w:ascii="Arial" w:hAnsi="Arial" w:cs="Arial"/>
          <w:i/>
          <w:sz w:val="18"/>
          <w:szCs w:val="18"/>
          <w:lang w:val="en-CA"/>
        </w:rPr>
        <w:t>7)</w:t>
      </w:r>
      <w:r w:rsidRPr="00E16C03">
        <w:rPr>
          <w:rFonts w:ascii="Arial" w:hAnsi="Arial" w:cs="Arial"/>
          <w:sz w:val="18"/>
          <w:szCs w:val="18"/>
          <w:lang w:val="en-CA"/>
        </w:rPr>
        <w:t>, 2019 BCHRT 58 (CanLII)</w:t>
      </w:r>
    </w:p>
  </w:endnote>
  <w:endnote w:id="144">
    <w:p w14:paraId="4D29CFBA" w14:textId="07A584BF" w:rsidR="00205444" w:rsidRPr="00E16C03" w:rsidRDefault="00205444"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3268BE" w:rsidRPr="00E16C03">
        <w:rPr>
          <w:rFonts w:ascii="Arial" w:hAnsi="Arial" w:cs="Arial"/>
          <w:sz w:val="18"/>
          <w:szCs w:val="18"/>
          <w:lang w:val="en-CA"/>
        </w:rPr>
        <w:tab/>
        <w:t>Préc., note</w:t>
      </w:r>
      <w:r w:rsidR="00CE1914">
        <w:rPr>
          <w:rFonts w:ascii="Arial" w:hAnsi="Arial" w:cs="Arial"/>
          <w:sz w:val="18"/>
          <w:szCs w:val="18"/>
          <w:lang w:val="en-CA"/>
        </w:rPr>
        <w:t> </w:t>
      </w:r>
      <w:r w:rsidR="003268BE" w:rsidRPr="00F11979">
        <w:rPr>
          <w:rFonts w:ascii="Arial" w:hAnsi="Arial" w:cs="Arial"/>
          <w:sz w:val="18"/>
          <w:szCs w:val="18"/>
          <w:lang w:val="fr-CA"/>
        </w:rPr>
        <w:fldChar w:fldCharType="begin"/>
      </w:r>
      <w:r w:rsidR="003268BE" w:rsidRPr="00E16C03">
        <w:rPr>
          <w:rFonts w:ascii="Arial" w:hAnsi="Arial" w:cs="Arial"/>
          <w:sz w:val="18"/>
          <w:szCs w:val="18"/>
          <w:lang w:val="en-CA"/>
        </w:rPr>
        <w:instrText xml:space="preserve"> NOTEREF _Ref167354371 \h </w:instrText>
      </w:r>
      <w:r w:rsidR="003268BE" w:rsidRPr="00F11979">
        <w:rPr>
          <w:rFonts w:ascii="Arial" w:hAnsi="Arial" w:cs="Arial"/>
          <w:sz w:val="18"/>
          <w:szCs w:val="18"/>
          <w:lang w:val="fr-CA"/>
        </w:rPr>
      </w:r>
      <w:r w:rsidR="003268BE" w:rsidRPr="00F11979">
        <w:rPr>
          <w:rFonts w:ascii="Arial" w:hAnsi="Arial" w:cs="Arial"/>
          <w:sz w:val="18"/>
          <w:szCs w:val="18"/>
          <w:lang w:val="fr-CA"/>
        </w:rPr>
        <w:fldChar w:fldCharType="separate"/>
      </w:r>
      <w:r w:rsidR="004B4881">
        <w:rPr>
          <w:rFonts w:ascii="Arial" w:hAnsi="Arial" w:cs="Arial"/>
          <w:sz w:val="18"/>
          <w:szCs w:val="18"/>
          <w:lang w:val="en-CA"/>
        </w:rPr>
        <w:t>59</w:t>
      </w:r>
      <w:r w:rsidR="003268BE" w:rsidRPr="00F11979">
        <w:rPr>
          <w:rFonts w:ascii="Arial" w:hAnsi="Arial" w:cs="Arial"/>
          <w:sz w:val="18"/>
          <w:szCs w:val="18"/>
          <w:lang w:val="fr-CA"/>
        </w:rPr>
        <w:fldChar w:fldCharType="end"/>
      </w:r>
      <w:r w:rsidR="003268BE" w:rsidRPr="00E16C03">
        <w:rPr>
          <w:rFonts w:ascii="Arial" w:hAnsi="Arial" w:cs="Arial"/>
          <w:sz w:val="18"/>
          <w:szCs w:val="18"/>
          <w:lang w:val="en-CA"/>
        </w:rPr>
        <w:t>.</w:t>
      </w:r>
    </w:p>
  </w:endnote>
  <w:endnote w:id="145">
    <w:p w14:paraId="21E235E7" w14:textId="43316316" w:rsidR="00187621" w:rsidRPr="00BD22C2" w:rsidRDefault="0018762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C26434" w:rsidRPr="00E16C03">
        <w:rPr>
          <w:rFonts w:ascii="Arial" w:hAnsi="Arial" w:cs="Arial"/>
          <w:sz w:val="18"/>
          <w:szCs w:val="18"/>
          <w:lang w:val="en-CA"/>
        </w:rPr>
        <w:t xml:space="preserve">Mark R. </w:t>
      </w:r>
      <w:r w:rsidR="007202D7" w:rsidRPr="00E16C03">
        <w:rPr>
          <w:rFonts w:ascii="Arial" w:hAnsi="Arial" w:cs="Arial"/>
          <w:smallCaps/>
          <w:sz w:val="18"/>
          <w:szCs w:val="18"/>
          <w:lang w:val="en-CA"/>
        </w:rPr>
        <w:t>Hoffarth</w:t>
      </w:r>
      <w:r w:rsidR="007202D7" w:rsidRPr="00E16C03">
        <w:rPr>
          <w:rFonts w:ascii="Arial" w:hAnsi="Arial" w:cs="Arial"/>
          <w:sz w:val="18"/>
          <w:szCs w:val="18"/>
          <w:lang w:val="en-CA"/>
        </w:rPr>
        <w:t xml:space="preserve"> et G</w:t>
      </w:r>
      <w:r w:rsidR="00C26434" w:rsidRPr="00E16C03">
        <w:rPr>
          <w:rFonts w:ascii="Arial" w:hAnsi="Arial" w:cs="Arial"/>
          <w:sz w:val="18"/>
          <w:szCs w:val="18"/>
          <w:lang w:val="en-CA"/>
        </w:rPr>
        <w:t>ordon</w:t>
      </w:r>
      <w:r w:rsidR="007202D7" w:rsidRPr="00E16C03">
        <w:rPr>
          <w:rFonts w:ascii="Arial" w:hAnsi="Arial" w:cs="Arial"/>
          <w:sz w:val="18"/>
          <w:szCs w:val="18"/>
          <w:lang w:val="en-CA"/>
        </w:rPr>
        <w:t xml:space="preserve"> </w:t>
      </w:r>
      <w:r w:rsidR="007202D7" w:rsidRPr="00E16C03">
        <w:rPr>
          <w:rFonts w:ascii="Arial" w:hAnsi="Arial" w:cs="Arial"/>
          <w:smallCaps/>
          <w:sz w:val="18"/>
          <w:szCs w:val="18"/>
          <w:lang w:val="en-CA"/>
        </w:rPr>
        <w:t>Hodson</w:t>
      </w:r>
      <w:r w:rsidR="007202D7" w:rsidRPr="00E16C03">
        <w:rPr>
          <w:rFonts w:ascii="Arial" w:hAnsi="Arial" w:cs="Arial"/>
          <w:sz w:val="18"/>
          <w:szCs w:val="18"/>
          <w:lang w:val="en-CA"/>
        </w:rPr>
        <w:t>, «</w:t>
      </w:r>
      <w:r w:rsidR="0051216B" w:rsidRPr="00E16C03">
        <w:rPr>
          <w:rFonts w:ascii="Arial" w:hAnsi="Arial" w:cs="Arial"/>
          <w:sz w:val="18"/>
          <w:szCs w:val="18"/>
          <w:lang w:val="en-CA"/>
        </w:rPr>
        <w:t> </w:t>
      </w:r>
      <w:r w:rsidR="007202D7" w:rsidRPr="00E16C03">
        <w:rPr>
          <w:rFonts w:ascii="Arial" w:hAnsi="Arial" w:cs="Arial"/>
          <w:sz w:val="18"/>
          <w:szCs w:val="18"/>
          <w:lang w:val="en-CA"/>
        </w:rPr>
        <w:t>Coming Out, Intergroup Relations, and Attitudes Toward LGBT Rights</w:t>
      </w:r>
      <w:r w:rsidR="0051216B" w:rsidRPr="00E16C03">
        <w:rPr>
          <w:rFonts w:ascii="Arial" w:hAnsi="Arial" w:cs="Arial"/>
          <w:sz w:val="18"/>
          <w:szCs w:val="18"/>
          <w:lang w:val="en-CA"/>
        </w:rPr>
        <w:t> </w:t>
      </w:r>
      <w:r w:rsidR="007202D7" w:rsidRPr="00E16C03">
        <w:rPr>
          <w:rFonts w:ascii="Arial" w:hAnsi="Arial" w:cs="Arial"/>
          <w:sz w:val="18"/>
          <w:szCs w:val="18"/>
          <w:lang w:val="en-CA"/>
        </w:rPr>
        <w:t xml:space="preserve">», dans </w:t>
      </w:r>
      <w:r w:rsidR="007202D7" w:rsidRPr="00E16C03">
        <w:rPr>
          <w:rFonts w:ascii="Arial" w:hAnsi="Arial" w:cs="Arial"/>
          <w:i/>
          <w:sz w:val="18"/>
          <w:szCs w:val="18"/>
          <w:lang w:val="en-CA"/>
        </w:rPr>
        <w:t>Oxford Research Encyclopedia of Politics</w:t>
      </w:r>
      <w:r w:rsidR="007202D7" w:rsidRPr="00E16C03">
        <w:rPr>
          <w:rFonts w:ascii="Arial" w:hAnsi="Arial" w:cs="Arial"/>
          <w:sz w:val="18"/>
          <w:szCs w:val="18"/>
          <w:lang w:val="en-CA"/>
        </w:rPr>
        <w:t xml:space="preserve">, 2020, </w:t>
      </w:r>
      <w:hyperlink r:id="rId96" w:history="1">
        <w:r w:rsidR="00DA6077" w:rsidRPr="00E16C03">
          <w:rPr>
            <w:rStyle w:val="Lienhypertexte"/>
            <w:rFonts w:ascii="Arial" w:hAnsi="Arial" w:cs="Arial"/>
            <w:sz w:val="18"/>
            <w:szCs w:val="18"/>
            <w:lang w:val="en-CA"/>
          </w:rPr>
          <w:t>https://doi.org/10.1093/acrefore/9780190228637.013.1179</w:t>
        </w:r>
      </w:hyperlink>
      <w:r w:rsidR="00DA6077" w:rsidRPr="00E16C03">
        <w:rPr>
          <w:rFonts w:ascii="Arial" w:hAnsi="Arial" w:cs="Arial"/>
          <w:sz w:val="18"/>
          <w:szCs w:val="18"/>
          <w:lang w:val="en-CA"/>
        </w:rPr>
        <w:t xml:space="preserve"> </w:t>
      </w:r>
      <w:r w:rsidR="007202D7" w:rsidRPr="00E16C03">
        <w:rPr>
          <w:rFonts w:ascii="Arial" w:hAnsi="Arial" w:cs="Arial"/>
          <w:sz w:val="18"/>
          <w:szCs w:val="18"/>
          <w:lang w:val="en-CA"/>
        </w:rPr>
        <w:t xml:space="preserve">; </w:t>
      </w:r>
      <w:r w:rsidRPr="00E16C03">
        <w:rPr>
          <w:rStyle w:val="ui-provider"/>
          <w:rFonts w:ascii="Arial" w:hAnsi="Arial" w:cs="Arial"/>
          <w:sz w:val="18"/>
          <w:szCs w:val="18"/>
          <w:lang w:val="en-CA"/>
        </w:rPr>
        <w:t>Liviu-Catalin </w:t>
      </w:r>
      <w:r w:rsidRPr="00E16C03">
        <w:rPr>
          <w:rStyle w:val="ui-provider"/>
          <w:rFonts w:ascii="Arial" w:hAnsi="Arial" w:cs="Arial"/>
          <w:smallCaps/>
          <w:sz w:val="18"/>
          <w:szCs w:val="18"/>
          <w:lang w:val="en-CA"/>
        </w:rPr>
        <w:t>Mara</w:t>
      </w:r>
      <w:r w:rsidRPr="00E16C03">
        <w:rPr>
          <w:rStyle w:val="ui-provider"/>
          <w:rFonts w:ascii="Arial" w:hAnsi="Arial" w:cs="Arial"/>
          <w:sz w:val="18"/>
          <w:szCs w:val="18"/>
          <w:lang w:val="en-CA"/>
        </w:rPr>
        <w:t>, Matías </w:t>
      </w:r>
      <w:r w:rsidRPr="00E16C03">
        <w:rPr>
          <w:rStyle w:val="ui-provider"/>
          <w:rFonts w:ascii="Arial" w:hAnsi="Arial" w:cs="Arial"/>
          <w:smallCaps/>
          <w:sz w:val="18"/>
          <w:szCs w:val="18"/>
          <w:lang w:val="en-CA"/>
        </w:rPr>
        <w:t>Ginieis</w:t>
      </w:r>
      <w:r w:rsidRPr="00E16C03">
        <w:rPr>
          <w:rStyle w:val="ui-provider"/>
          <w:rFonts w:ascii="Arial" w:hAnsi="Arial" w:cs="Arial"/>
          <w:sz w:val="18"/>
          <w:szCs w:val="18"/>
          <w:lang w:val="en-CA"/>
        </w:rPr>
        <w:t xml:space="preserve"> et Ignasi </w:t>
      </w:r>
      <w:r w:rsidRPr="00E16C03">
        <w:rPr>
          <w:rStyle w:val="ui-provider"/>
          <w:rFonts w:ascii="Arial" w:hAnsi="Arial" w:cs="Arial"/>
          <w:smallCaps/>
          <w:sz w:val="18"/>
          <w:szCs w:val="18"/>
          <w:lang w:val="en-CA"/>
        </w:rPr>
        <w:t>Brunet-Icart</w:t>
      </w:r>
      <w:r w:rsidRPr="00E16C03">
        <w:rPr>
          <w:rStyle w:val="ui-provider"/>
          <w:rFonts w:ascii="Arial" w:hAnsi="Arial" w:cs="Arial"/>
          <w:sz w:val="18"/>
          <w:szCs w:val="18"/>
          <w:lang w:val="en-CA"/>
        </w:rPr>
        <w:t xml:space="preserve">, « Strategies for Coping with LGBT Discrimination at Work: a Systematic Literature Review », (2021) 18 </w:t>
      </w:r>
      <w:r w:rsidRPr="00E16C03">
        <w:rPr>
          <w:rStyle w:val="ui-provider"/>
          <w:rFonts w:ascii="Arial" w:hAnsi="Arial" w:cs="Arial"/>
          <w:i/>
          <w:sz w:val="18"/>
          <w:szCs w:val="18"/>
          <w:lang w:val="en-CA"/>
        </w:rPr>
        <w:t>Sexuality Research and Social Policy</w:t>
      </w:r>
      <w:r w:rsidRPr="00E16C03">
        <w:rPr>
          <w:rStyle w:val="ui-provider"/>
          <w:rFonts w:ascii="Arial" w:hAnsi="Arial" w:cs="Arial"/>
          <w:sz w:val="18"/>
          <w:szCs w:val="18"/>
          <w:lang w:val="en-CA"/>
        </w:rPr>
        <w:t xml:space="preserve"> 339, </w:t>
      </w:r>
      <w:hyperlink r:id="rId97" w:tgtFrame="_blank" w:tooltip="https://doi.org/10.1007/s13178-020-00462-w" w:history="1">
        <w:r w:rsidRPr="00E16C03">
          <w:rPr>
            <w:rStyle w:val="Lienhypertexte"/>
            <w:rFonts w:ascii="Arial" w:hAnsi="Arial" w:cs="Arial"/>
            <w:sz w:val="18"/>
            <w:szCs w:val="18"/>
            <w:lang w:val="en-CA"/>
          </w:rPr>
          <w:t>https://doi.org/10.1007/s13178-020-00462-w</w:t>
        </w:r>
      </w:hyperlink>
      <w:r w:rsidR="00B17890" w:rsidRPr="00E16C03">
        <w:rPr>
          <w:rStyle w:val="ui-provider"/>
          <w:rFonts w:ascii="Arial" w:hAnsi="Arial" w:cs="Arial"/>
          <w:sz w:val="18"/>
          <w:szCs w:val="18"/>
          <w:lang w:val="en-CA"/>
        </w:rPr>
        <w:t> </w:t>
      </w:r>
      <w:r w:rsidR="00AF5290" w:rsidRPr="00E16C03">
        <w:rPr>
          <w:rStyle w:val="ui-provider"/>
          <w:rFonts w:ascii="Arial" w:hAnsi="Arial" w:cs="Arial"/>
          <w:sz w:val="18"/>
          <w:szCs w:val="18"/>
          <w:lang w:val="en-CA"/>
        </w:rPr>
        <w:t>;</w:t>
      </w:r>
      <w:r w:rsidRPr="00E16C03">
        <w:rPr>
          <w:rStyle w:val="ui-provider"/>
          <w:rFonts w:ascii="Arial" w:hAnsi="Arial" w:cs="Arial"/>
          <w:sz w:val="18"/>
          <w:szCs w:val="18"/>
          <w:lang w:val="en-CA"/>
        </w:rPr>
        <w:t xml:space="preserve"> Line Chamberland, </w:t>
      </w:r>
      <w:r w:rsidRPr="00E16C03">
        <w:rPr>
          <w:rStyle w:val="ui-provider"/>
          <w:rFonts w:ascii="Arial" w:hAnsi="Arial" w:cs="Arial"/>
          <w:i/>
          <w:sz w:val="18"/>
          <w:szCs w:val="18"/>
          <w:lang w:val="en-CA"/>
        </w:rPr>
        <w:t>Gais et lesbiennes en milieu de travail</w:t>
      </w:r>
      <w:r w:rsidRPr="00E16C03">
        <w:rPr>
          <w:rStyle w:val="ui-provider"/>
          <w:rFonts w:ascii="Arial" w:hAnsi="Arial" w:cs="Arial"/>
          <w:sz w:val="18"/>
          <w:szCs w:val="18"/>
          <w:lang w:val="en-CA"/>
        </w:rPr>
        <w:t>, Rapport synthèse de recherche, 2007, [En ligne].</w:t>
      </w:r>
      <w:r w:rsidR="0051216B" w:rsidRPr="00E16C03">
        <w:rPr>
          <w:rStyle w:val="ui-provider"/>
          <w:rFonts w:ascii="Arial" w:hAnsi="Arial" w:cs="Arial"/>
          <w:sz w:val="18"/>
          <w:szCs w:val="18"/>
          <w:lang w:val="en-CA"/>
        </w:rPr>
        <w:t xml:space="preserve"> </w:t>
      </w:r>
      <w:hyperlink r:id="rId98" w:tgtFrame="_blank" w:tooltip="https://core.ac.uk/download/pdf/156871592.pdf" w:history="1">
        <w:r w:rsidRPr="00BD22C2">
          <w:rPr>
            <w:rStyle w:val="Lienhypertexte"/>
            <w:rFonts w:ascii="Arial" w:hAnsi="Arial" w:cs="Arial"/>
            <w:sz w:val="18"/>
            <w:szCs w:val="18"/>
            <w:lang w:val="fr-CA"/>
          </w:rPr>
          <w:t>https://core.ac.uk/download/pdf/156871592.pdf</w:t>
        </w:r>
      </w:hyperlink>
      <w:r w:rsidRPr="00BD22C2">
        <w:rPr>
          <w:rStyle w:val="ui-provider"/>
          <w:rFonts w:ascii="Arial" w:hAnsi="Arial" w:cs="Arial"/>
          <w:sz w:val="18"/>
          <w:szCs w:val="18"/>
          <w:lang w:val="fr-CA"/>
        </w:rPr>
        <w:t> </w:t>
      </w:r>
    </w:p>
  </w:endnote>
  <w:endnote w:id="146">
    <w:p w14:paraId="3A44D7AA" w14:textId="6A156CAB" w:rsidR="00C62CCE" w:rsidRPr="00BD22C2" w:rsidRDefault="00C62CC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Voir par exemple </w:t>
      </w:r>
      <w:bookmarkStart w:id="84" w:name="_Hlk169775044"/>
      <w:r w:rsidR="0028663D" w:rsidRPr="00BD22C2">
        <w:rPr>
          <w:rFonts w:ascii="Arial" w:hAnsi="Arial" w:cs="Arial"/>
          <w:i/>
          <w:sz w:val="18"/>
          <w:szCs w:val="18"/>
          <w:lang w:val="fr-CA"/>
        </w:rPr>
        <w:t>Commission des droits de la personne et des droits de la jeunesse (E.B.)</w:t>
      </w:r>
      <w:r w:rsidR="0028663D" w:rsidRPr="00BD22C2">
        <w:rPr>
          <w:rFonts w:ascii="Arial" w:hAnsi="Arial" w:cs="Arial"/>
          <w:sz w:val="18"/>
          <w:szCs w:val="18"/>
          <w:lang w:val="fr-CA"/>
        </w:rPr>
        <w:t xml:space="preserve"> c.</w:t>
      </w:r>
      <w:r w:rsidR="00CE1914">
        <w:rPr>
          <w:rFonts w:ascii="Arial" w:hAnsi="Arial" w:cs="Arial"/>
          <w:sz w:val="18"/>
          <w:szCs w:val="18"/>
          <w:lang w:val="fr-CA"/>
        </w:rPr>
        <w:t> </w:t>
      </w:r>
      <w:r w:rsidR="0028663D" w:rsidRPr="00BD22C2">
        <w:rPr>
          <w:rFonts w:ascii="Arial" w:hAnsi="Arial" w:cs="Arial"/>
          <w:i/>
          <w:sz w:val="18"/>
          <w:szCs w:val="18"/>
          <w:lang w:val="fr-CA"/>
        </w:rPr>
        <w:t>9302-6573 Québec inc. (Bar Lucky</w:t>
      </w:r>
      <w:r w:rsidR="00CE1914">
        <w:rPr>
          <w:rFonts w:ascii="Arial" w:hAnsi="Arial" w:cs="Arial"/>
          <w:i/>
          <w:sz w:val="18"/>
          <w:szCs w:val="18"/>
          <w:lang w:val="fr-CA"/>
        </w:rPr>
        <w:t> </w:t>
      </w:r>
      <w:r w:rsidR="0028663D" w:rsidRPr="004B4881">
        <w:rPr>
          <w:rFonts w:ascii="Arial" w:hAnsi="Arial" w:cs="Arial"/>
          <w:i/>
          <w:sz w:val="18"/>
          <w:szCs w:val="18"/>
          <w:lang w:val="fr-CA"/>
        </w:rPr>
        <w:t>7)</w:t>
      </w:r>
      <w:r w:rsidR="0028663D" w:rsidRPr="004B4881">
        <w:rPr>
          <w:rFonts w:ascii="Arial" w:hAnsi="Arial" w:cs="Arial"/>
          <w:sz w:val="18"/>
          <w:szCs w:val="18"/>
          <w:lang w:val="fr-CA"/>
        </w:rPr>
        <w:t xml:space="preserve">, </w:t>
      </w:r>
      <w:bookmarkEnd w:id="84"/>
      <w:r w:rsidR="006052F4" w:rsidRPr="004B4881">
        <w:rPr>
          <w:rFonts w:ascii="Arial" w:hAnsi="Arial" w:cs="Arial"/>
          <w:sz w:val="18"/>
          <w:szCs w:val="18"/>
          <w:lang w:val="fr-CA"/>
        </w:rPr>
        <w:t xml:space="preserve">préc., note </w:t>
      </w:r>
      <w:r w:rsidR="006052F4" w:rsidRPr="004B4881">
        <w:rPr>
          <w:rFonts w:ascii="Arial" w:hAnsi="Arial" w:cs="Arial"/>
          <w:sz w:val="18"/>
          <w:szCs w:val="18"/>
          <w:lang w:val="fr-CA"/>
        </w:rPr>
        <w:fldChar w:fldCharType="begin"/>
      </w:r>
      <w:r w:rsidR="006052F4" w:rsidRPr="004B4881">
        <w:rPr>
          <w:rFonts w:ascii="Arial" w:hAnsi="Arial" w:cs="Arial"/>
          <w:sz w:val="18"/>
          <w:szCs w:val="18"/>
          <w:lang w:val="fr-CA"/>
        </w:rPr>
        <w:instrText xml:space="preserve"> NOTEREF _Ref169775237 \h  \* MERGEFORMAT </w:instrText>
      </w:r>
      <w:r w:rsidR="006052F4" w:rsidRPr="004B4881">
        <w:rPr>
          <w:rFonts w:ascii="Arial" w:hAnsi="Arial" w:cs="Arial"/>
          <w:sz w:val="18"/>
          <w:szCs w:val="18"/>
          <w:lang w:val="fr-CA"/>
        </w:rPr>
      </w:r>
      <w:r w:rsidR="006052F4" w:rsidRPr="004B4881">
        <w:rPr>
          <w:rFonts w:ascii="Arial" w:hAnsi="Arial" w:cs="Arial"/>
          <w:sz w:val="18"/>
          <w:szCs w:val="18"/>
          <w:lang w:val="fr-CA"/>
        </w:rPr>
        <w:fldChar w:fldCharType="separate"/>
      </w:r>
      <w:r w:rsidR="004B4881">
        <w:rPr>
          <w:rFonts w:ascii="Arial" w:hAnsi="Arial" w:cs="Arial"/>
          <w:sz w:val="18"/>
          <w:szCs w:val="18"/>
          <w:lang w:val="fr-CA"/>
        </w:rPr>
        <w:t>62</w:t>
      </w:r>
      <w:r w:rsidR="006052F4" w:rsidRPr="004B4881">
        <w:rPr>
          <w:rFonts w:ascii="Arial" w:hAnsi="Arial" w:cs="Arial"/>
          <w:sz w:val="18"/>
          <w:szCs w:val="18"/>
          <w:lang w:val="fr-CA"/>
        </w:rPr>
        <w:fldChar w:fldCharType="end"/>
      </w:r>
      <w:r w:rsidR="006052F4" w:rsidRPr="004B4881">
        <w:rPr>
          <w:rFonts w:ascii="Arial" w:hAnsi="Arial" w:cs="Arial"/>
          <w:sz w:val="18"/>
          <w:szCs w:val="18"/>
          <w:lang w:val="fr-CA"/>
        </w:rPr>
        <w:t>.</w:t>
      </w:r>
    </w:p>
  </w:endnote>
  <w:endnote w:id="147">
    <w:p w14:paraId="7E3AA44C" w14:textId="46F0C0D1" w:rsidR="00187621" w:rsidRPr="0085310E" w:rsidRDefault="00187621"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7172DB" w:rsidRPr="00BD22C2">
        <w:rPr>
          <w:rFonts w:ascii="Arial" w:hAnsi="Arial" w:cs="Arial"/>
          <w:sz w:val="18"/>
          <w:szCs w:val="18"/>
          <w:lang w:val="fr-CA"/>
        </w:rPr>
        <w:tab/>
      </w:r>
      <w:r w:rsidRPr="00BD22C2">
        <w:rPr>
          <w:rFonts w:ascii="Arial" w:hAnsi="Arial" w:cs="Arial"/>
          <w:sz w:val="18"/>
          <w:szCs w:val="18"/>
          <w:lang w:val="fr-CA"/>
        </w:rPr>
        <w:t xml:space="preserve">Voir par exemple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Bilan de la mise en œuvre des recommandations du rapport de la consultation de la Commission des droits de la personne et des droits de la jeunesse sur le profilage racial et ses conséquences</w:t>
      </w:r>
      <w:r w:rsidRPr="00BD22C2">
        <w:rPr>
          <w:rFonts w:ascii="Arial" w:hAnsi="Arial" w:cs="Arial"/>
          <w:sz w:val="18"/>
          <w:szCs w:val="18"/>
          <w:lang w:val="fr-CA"/>
        </w:rPr>
        <w:t>, 2020, p.</w:t>
      </w:r>
      <w:r w:rsidR="00CE1914">
        <w:rPr>
          <w:rFonts w:ascii="Arial" w:hAnsi="Arial" w:cs="Arial"/>
          <w:sz w:val="18"/>
          <w:szCs w:val="18"/>
          <w:lang w:val="fr-CA"/>
        </w:rPr>
        <w:t> </w:t>
      </w:r>
      <w:r w:rsidRPr="00BD22C2">
        <w:rPr>
          <w:rFonts w:ascii="Arial" w:hAnsi="Arial" w:cs="Arial"/>
          <w:sz w:val="18"/>
          <w:szCs w:val="18"/>
          <w:lang w:val="fr-CA"/>
        </w:rPr>
        <w:t xml:space="preserve">72 et suiv., [En ligne]. </w:t>
      </w:r>
      <w:r>
        <w:fldChar w:fldCharType="begin"/>
      </w:r>
      <w:r w:rsidRPr="003E3312">
        <w:rPr>
          <w:lang w:val="fr-CA"/>
        </w:rPr>
        <w:instrText>HYPERLINK "https://www.cdpdj.qc.ca/storage/app/media/publications/bilan-profilage-racial.pdf"</w:instrText>
      </w:r>
      <w:r>
        <w:fldChar w:fldCharType="separate"/>
      </w:r>
      <w:r w:rsidRPr="00BD22C2">
        <w:rPr>
          <w:rStyle w:val="Lienhypertexte"/>
          <w:rFonts w:ascii="Arial" w:hAnsi="Arial" w:cs="Arial"/>
          <w:sz w:val="18"/>
          <w:szCs w:val="18"/>
          <w:lang w:val="fr-CA"/>
        </w:rPr>
        <w:t>https://www.cdpdj.qc.ca/storage/app/media/publications/bilan-profilage-racial.pdf</w:t>
      </w:r>
      <w:r>
        <w:rPr>
          <w:rStyle w:val="Lienhypertexte"/>
          <w:rFonts w:ascii="Arial" w:hAnsi="Arial" w:cs="Arial"/>
          <w:sz w:val="18"/>
          <w:szCs w:val="18"/>
          <w:lang w:val="fr-CA"/>
        </w:rPr>
        <w:fldChar w:fldCharType="end"/>
      </w:r>
      <w:r w:rsidR="0051216B" w:rsidRPr="00BD22C2">
        <w:rPr>
          <w:rFonts w:ascii="Arial" w:hAnsi="Arial" w:cs="Arial"/>
          <w:sz w:val="18"/>
          <w:szCs w:val="18"/>
          <w:lang w:val="fr-CA"/>
        </w:rPr>
        <w:t> </w:t>
      </w:r>
      <w:r w:rsidRPr="00BD22C2">
        <w:rPr>
          <w:rFonts w:ascii="Arial" w:hAnsi="Arial" w:cs="Arial"/>
          <w:sz w:val="18"/>
          <w:szCs w:val="18"/>
          <w:lang w:val="fr-CA"/>
        </w:rPr>
        <w:t xml:space="preserve">; </w:t>
      </w:r>
      <w:r w:rsidR="00A85D0E" w:rsidRPr="00BD22C2">
        <w:rPr>
          <w:rFonts w:ascii="Arial" w:hAnsi="Arial" w:cs="Arial"/>
          <w:smallCaps/>
          <w:sz w:val="18"/>
          <w:szCs w:val="18"/>
          <w:lang w:val="fr-CA"/>
        </w:rPr>
        <w:t>Commission des droits de la personne et des droits de la jeunesse</w:t>
      </w:r>
      <w:r w:rsidR="00A85D0E">
        <w:rPr>
          <w:rFonts w:ascii="Arial" w:hAnsi="Arial" w:cs="Arial"/>
          <w:i/>
          <w:iCs/>
          <w:sz w:val="18"/>
          <w:szCs w:val="18"/>
          <w:lang w:val="fr-CA"/>
        </w:rPr>
        <w:t xml:space="preserve">, </w:t>
      </w:r>
      <w:r w:rsidRPr="0017320C">
        <w:rPr>
          <w:rFonts w:ascii="Arial" w:hAnsi="Arial" w:cs="Arial"/>
          <w:i/>
          <w:iCs/>
          <w:sz w:val="18"/>
          <w:szCs w:val="18"/>
          <w:lang w:val="fr-CA"/>
        </w:rPr>
        <w:t>Lettre du 4 juin 2020 adressée à Mme Danielle McCann et M. Horacio Arruda par Philippe-André Tessier, président de la Commission, ayant pour objet</w:t>
      </w:r>
      <w:r w:rsidRPr="00BD22C2">
        <w:rPr>
          <w:rFonts w:ascii="Arial" w:hAnsi="Arial" w:cs="Arial"/>
          <w:sz w:val="18"/>
          <w:szCs w:val="18"/>
          <w:lang w:val="fr-CA"/>
        </w:rPr>
        <w:t xml:space="preserve"> « Collecte de données désagrégées visant à lutter contre les impacts discriminatoires de la pandémie en conformité avec la Charte des droits et libertés de la personne », [En ligne]. </w:t>
      </w:r>
      <w:hyperlink r:id="rId99" w:history="1">
        <w:r w:rsidRPr="0085310E">
          <w:rPr>
            <w:rStyle w:val="Lienhypertexte"/>
            <w:rFonts w:ascii="Arial" w:hAnsi="Arial" w:cs="Arial"/>
            <w:sz w:val="18"/>
            <w:szCs w:val="18"/>
          </w:rPr>
          <w:t>https://www.cdpdj.qc.ca/storage/app/media/publications/LETTRE_collecte-donnees-desegragees_Covid-19.pdf</w:t>
        </w:r>
      </w:hyperlink>
    </w:p>
  </w:endnote>
  <w:endnote w:id="148">
    <w:p w14:paraId="2ABDFF75" w14:textId="348E835F" w:rsidR="00187621" w:rsidRPr="00BD22C2" w:rsidRDefault="0018762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7172DB" w:rsidRPr="00BD22C2">
        <w:rPr>
          <w:rFonts w:ascii="Arial" w:hAnsi="Arial" w:cs="Arial"/>
          <w:sz w:val="18"/>
          <w:szCs w:val="18"/>
          <w:lang w:val="fr-CA"/>
        </w:rPr>
        <w:tab/>
      </w:r>
      <w:r w:rsidRPr="00BD22C2">
        <w:rPr>
          <w:rFonts w:ascii="Arial" w:hAnsi="Arial" w:cs="Arial"/>
          <w:sz w:val="18"/>
          <w:szCs w:val="18"/>
          <w:lang w:val="fr-CA"/>
        </w:rPr>
        <w:t xml:space="preserve">Voir par exemple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8A4BDE" w:rsidRPr="00BD22C2">
        <w:rPr>
          <w:rFonts w:ascii="Arial" w:hAnsi="Arial" w:cs="Arial"/>
          <w:iCs/>
          <w:sz w:val="18"/>
          <w:szCs w:val="18"/>
          <w:lang w:val="fr-CA"/>
        </w:rPr>
        <w:t>(2020)</w:t>
      </w:r>
      <w:r w:rsidRPr="00BD22C2">
        <w:rPr>
          <w:rFonts w:ascii="Arial" w:hAnsi="Arial" w:cs="Arial"/>
          <w:iCs/>
          <w:sz w:val="18"/>
          <w:szCs w:val="18"/>
          <w:lang w:val="fr-CA"/>
        </w:rPr>
        <w:t>,</w:t>
      </w:r>
      <w:r w:rsidRPr="00BD22C2">
        <w:rPr>
          <w:rFonts w:ascii="Arial" w:hAnsi="Arial" w:cs="Arial"/>
          <w:sz w:val="18"/>
          <w:szCs w:val="18"/>
          <w:lang w:val="fr-CA"/>
        </w:rPr>
        <w:t xml:space="preserve"> </w:t>
      </w:r>
      <w:r w:rsidR="00182A5B" w:rsidRPr="00BD22C2">
        <w:rPr>
          <w:rFonts w:ascii="Arial" w:hAnsi="Arial" w:cs="Arial"/>
          <w:sz w:val="18"/>
          <w:szCs w:val="18"/>
          <w:lang w:val="fr-CA"/>
        </w:rPr>
        <w:t>préc., note</w:t>
      </w:r>
      <w:r w:rsidRPr="00BD22C2">
        <w:rPr>
          <w:rFonts w:ascii="Arial" w:hAnsi="Arial" w:cs="Arial"/>
          <w:sz w:val="18"/>
          <w:szCs w:val="18"/>
          <w:lang w:val="fr-CA"/>
        </w:rPr>
        <w:t xml:space="preserve"> </w:t>
      </w:r>
      <w:r w:rsidR="008A4BDE" w:rsidRPr="00BD22C2">
        <w:rPr>
          <w:rFonts w:ascii="Arial" w:hAnsi="Arial" w:cs="Arial"/>
          <w:sz w:val="18"/>
          <w:szCs w:val="18"/>
          <w:lang w:val="fr-CA"/>
        </w:rPr>
        <w:fldChar w:fldCharType="begin"/>
      </w:r>
      <w:r w:rsidR="008A4BDE" w:rsidRPr="00BD22C2">
        <w:rPr>
          <w:rFonts w:ascii="Arial" w:hAnsi="Arial" w:cs="Arial"/>
          <w:sz w:val="18"/>
          <w:szCs w:val="18"/>
          <w:lang w:val="fr-CA"/>
        </w:rPr>
        <w:instrText xml:space="preserve"> NOTEREF _Ref167438126 \h </w:instrText>
      </w:r>
      <w:r w:rsidR="008A4BDE" w:rsidRPr="00BD22C2">
        <w:rPr>
          <w:rFonts w:ascii="Arial" w:hAnsi="Arial" w:cs="Arial"/>
          <w:sz w:val="18"/>
          <w:szCs w:val="18"/>
          <w:lang w:val="fr-CA"/>
        </w:rPr>
      </w:r>
      <w:r w:rsidR="008A4BDE" w:rsidRPr="00BD22C2">
        <w:rPr>
          <w:rFonts w:ascii="Arial" w:hAnsi="Arial" w:cs="Arial"/>
          <w:sz w:val="18"/>
          <w:szCs w:val="18"/>
          <w:lang w:val="fr-CA"/>
        </w:rPr>
        <w:fldChar w:fldCharType="separate"/>
      </w:r>
      <w:r w:rsidR="004B4881">
        <w:rPr>
          <w:rFonts w:ascii="Arial" w:hAnsi="Arial" w:cs="Arial"/>
          <w:sz w:val="18"/>
          <w:szCs w:val="18"/>
          <w:lang w:val="fr-CA"/>
        </w:rPr>
        <w:t>94</w:t>
      </w:r>
      <w:r w:rsidR="008A4BDE" w:rsidRPr="00BD22C2">
        <w:rPr>
          <w:rFonts w:ascii="Arial" w:hAnsi="Arial" w:cs="Arial"/>
          <w:sz w:val="18"/>
          <w:szCs w:val="18"/>
          <w:lang w:val="fr-CA"/>
        </w:rPr>
        <w:fldChar w:fldCharType="end"/>
      </w:r>
      <w:r w:rsidR="008A4BDE" w:rsidRPr="00BD22C2">
        <w:rPr>
          <w:rFonts w:ascii="Arial" w:hAnsi="Arial" w:cs="Arial"/>
          <w:sz w:val="18"/>
          <w:szCs w:val="18"/>
          <w:lang w:val="fr-CA"/>
        </w:rPr>
        <w:t xml:space="preserve">; </w:t>
      </w:r>
      <w:r w:rsidRPr="00BD22C2">
        <w:rPr>
          <w:rFonts w:ascii="Arial" w:hAnsi="Arial" w:cs="Arial"/>
          <w:smallCaps/>
          <w:sz w:val="18"/>
          <w:szCs w:val="18"/>
          <w:lang w:val="fr-CA"/>
        </w:rPr>
        <w:t>Commission des droits de la personne et des droits de la jeunesse</w:t>
      </w:r>
      <w:r w:rsidR="00B81248" w:rsidRPr="00BD22C2">
        <w:rPr>
          <w:rFonts w:ascii="Arial" w:hAnsi="Arial" w:cs="Arial"/>
          <w:smallCaps/>
          <w:sz w:val="18"/>
          <w:szCs w:val="18"/>
          <w:lang w:val="fr-CA"/>
        </w:rPr>
        <w:t xml:space="preserve"> (2020)</w:t>
      </w:r>
      <w:r w:rsidRPr="00BD22C2">
        <w:rPr>
          <w:rFonts w:ascii="Arial" w:hAnsi="Arial" w:cs="Arial"/>
          <w:sz w:val="18"/>
          <w:szCs w:val="18"/>
          <w:lang w:val="fr-CA"/>
        </w:rPr>
        <w:t>, préc., note</w:t>
      </w:r>
      <w:r w:rsidR="00CE1914">
        <w:rPr>
          <w:rFonts w:ascii="Arial" w:hAnsi="Arial" w:cs="Arial"/>
          <w:sz w:val="18"/>
          <w:szCs w:val="18"/>
          <w:lang w:val="fr-CA"/>
        </w:rPr>
        <w:t> </w:t>
      </w:r>
      <w:r w:rsidR="00B81248" w:rsidRPr="00BD22C2">
        <w:rPr>
          <w:rFonts w:ascii="Arial" w:hAnsi="Arial" w:cs="Arial"/>
          <w:sz w:val="18"/>
          <w:szCs w:val="18"/>
          <w:lang w:val="fr-CA"/>
        </w:rPr>
        <w:fldChar w:fldCharType="begin"/>
      </w:r>
      <w:r w:rsidR="00B81248" w:rsidRPr="00BD22C2">
        <w:rPr>
          <w:rFonts w:ascii="Arial" w:hAnsi="Arial" w:cs="Arial"/>
          <w:sz w:val="18"/>
          <w:szCs w:val="18"/>
          <w:lang w:val="fr-CA"/>
        </w:rPr>
        <w:instrText xml:space="preserve"> NOTEREF _Ref166843520 \h </w:instrText>
      </w:r>
      <w:r w:rsidR="00B81248" w:rsidRPr="00BD22C2">
        <w:rPr>
          <w:rFonts w:ascii="Arial" w:hAnsi="Arial" w:cs="Arial"/>
          <w:sz w:val="18"/>
          <w:szCs w:val="18"/>
          <w:lang w:val="fr-CA"/>
        </w:rPr>
      </w:r>
      <w:r w:rsidR="00B81248" w:rsidRPr="00BD22C2">
        <w:rPr>
          <w:rFonts w:ascii="Arial" w:hAnsi="Arial" w:cs="Arial"/>
          <w:sz w:val="18"/>
          <w:szCs w:val="18"/>
          <w:lang w:val="fr-CA"/>
        </w:rPr>
        <w:fldChar w:fldCharType="separate"/>
      </w:r>
      <w:r w:rsidR="004B4881">
        <w:rPr>
          <w:rFonts w:ascii="Arial" w:hAnsi="Arial" w:cs="Arial"/>
          <w:sz w:val="18"/>
          <w:szCs w:val="18"/>
          <w:lang w:val="fr-CA"/>
        </w:rPr>
        <w:t>146</w:t>
      </w:r>
      <w:r w:rsidR="00B81248" w:rsidRPr="00BD22C2">
        <w:rPr>
          <w:rFonts w:ascii="Arial" w:hAnsi="Arial" w:cs="Arial"/>
          <w:sz w:val="18"/>
          <w:szCs w:val="18"/>
          <w:lang w:val="fr-CA"/>
        </w:rPr>
        <w:fldChar w:fldCharType="end"/>
      </w:r>
      <w:r w:rsidRPr="00BD22C2">
        <w:rPr>
          <w:rFonts w:ascii="Arial" w:hAnsi="Arial" w:cs="Arial"/>
          <w:sz w:val="18"/>
          <w:szCs w:val="18"/>
          <w:lang w:val="fr-CA"/>
        </w:rPr>
        <w:t>, p.</w:t>
      </w:r>
      <w:r w:rsidR="00CE1914">
        <w:rPr>
          <w:rFonts w:ascii="Arial" w:hAnsi="Arial" w:cs="Arial"/>
          <w:sz w:val="18"/>
          <w:szCs w:val="18"/>
          <w:lang w:val="fr-CA"/>
        </w:rPr>
        <w:t> </w:t>
      </w:r>
      <w:r w:rsidRPr="00BD22C2">
        <w:rPr>
          <w:rFonts w:ascii="Arial" w:hAnsi="Arial" w:cs="Arial"/>
          <w:sz w:val="18"/>
          <w:szCs w:val="18"/>
          <w:lang w:val="fr-CA"/>
        </w:rPr>
        <w:t>73.</w:t>
      </w:r>
    </w:p>
  </w:endnote>
  <w:endnote w:id="149">
    <w:p w14:paraId="55FDEB1E" w14:textId="2C9857FF" w:rsidR="00187621" w:rsidRPr="0085310E" w:rsidRDefault="00187621"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7172DB" w:rsidRPr="00BD22C2">
        <w:rPr>
          <w:rFonts w:ascii="Arial" w:hAnsi="Arial" w:cs="Arial"/>
          <w:sz w:val="18"/>
          <w:szCs w:val="18"/>
          <w:lang w:val="fr-CA"/>
        </w:rPr>
        <w:tab/>
      </w:r>
      <w:r w:rsidRPr="00BD22C2">
        <w:rPr>
          <w:rFonts w:ascii="Arial" w:hAnsi="Arial" w:cs="Arial"/>
          <w:sz w:val="18"/>
          <w:szCs w:val="18"/>
          <w:lang w:val="fr-CA"/>
        </w:rPr>
        <w:t xml:space="preserve">Voir à ce sujet : </w:t>
      </w:r>
      <w:r w:rsidRPr="00BD22C2">
        <w:rPr>
          <w:rFonts w:ascii="Arial" w:hAnsi="Arial" w:cs="Arial"/>
          <w:smallCaps/>
          <w:sz w:val="18"/>
          <w:szCs w:val="18"/>
          <w:lang w:val="fr-CA"/>
        </w:rPr>
        <w:t>Association canadienne des commissions des droits de la personne</w:t>
      </w:r>
      <w:r w:rsidRPr="00BD22C2">
        <w:rPr>
          <w:rFonts w:ascii="Arial" w:hAnsi="Arial" w:cs="Arial"/>
          <w:sz w:val="18"/>
          <w:szCs w:val="18"/>
          <w:lang w:val="fr-CA"/>
        </w:rPr>
        <w:t xml:space="preserve">, « Lettre ouverte — Demande d’une stratégie nationale de collecte de données désagrégées sur la santé », Marie-Claude </w:t>
      </w:r>
      <w:r w:rsidRPr="00BD22C2">
        <w:rPr>
          <w:rFonts w:ascii="Arial" w:hAnsi="Arial" w:cs="Arial"/>
          <w:smallCaps/>
          <w:sz w:val="18"/>
          <w:szCs w:val="18"/>
          <w:lang w:val="fr-CA"/>
        </w:rPr>
        <w:t>Landry</w:t>
      </w:r>
      <w:r w:rsidRPr="00BD22C2">
        <w:rPr>
          <w:rFonts w:ascii="Arial" w:hAnsi="Arial" w:cs="Arial"/>
          <w:sz w:val="18"/>
          <w:szCs w:val="18"/>
          <w:lang w:val="fr-CA"/>
        </w:rPr>
        <w:t xml:space="preserve">, Anne </w:t>
      </w:r>
      <w:r w:rsidRPr="00BD22C2">
        <w:rPr>
          <w:rFonts w:ascii="Arial" w:hAnsi="Arial" w:cs="Arial"/>
          <w:smallCaps/>
          <w:sz w:val="18"/>
          <w:szCs w:val="18"/>
          <w:lang w:val="fr-CA"/>
        </w:rPr>
        <w:t>Clennet</w:t>
      </w:r>
      <w:r w:rsidRPr="00BD22C2">
        <w:rPr>
          <w:rFonts w:ascii="Arial" w:hAnsi="Arial" w:cs="Arial"/>
          <w:sz w:val="18"/>
          <w:szCs w:val="18"/>
          <w:lang w:val="fr-CA"/>
        </w:rPr>
        <w:t xml:space="preserve">, Kasari </w:t>
      </w:r>
      <w:r w:rsidRPr="00BD22C2">
        <w:rPr>
          <w:rFonts w:ascii="Arial" w:hAnsi="Arial" w:cs="Arial"/>
          <w:smallCaps/>
          <w:sz w:val="18"/>
          <w:szCs w:val="18"/>
          <w:lang w:val="fr-CA"/>
        </w:rPr>
        <w:t>Govender</w:t>
      </w:r>
      <w:r w:rsidRPr="00BD22C2">
        <w:rPr>
          <w:rFonts w:ascii="Arial" w:hAnsi="Arial" w:cs="Arial"/>
          <w:sz w:val="18"/>
          <w:szCs w:val="18"/>
          <w:lang w:val="fr-CA"/>
        </w:rPr>
        <w:t xml:space="preserve">, John </w:t>
      </w:r>
      <w:r w:rsidRPr="00BD22C2">
        <w:rPr>
          <w:rFonts w:ascii="Arial" w:hAnsi="Arial" w:cs="Arial"/>
          <w:smallCaps/>
          <w:sz w:val="18"/>
          <w:szCs w:val="18"/>
          <w:lang w:val="fr-CA"/>
        </w:rPr>
        <w:t>Burchill</w:t>
      </w:r>
      <w:r w:rsidRPr="00BD22C2">
        <w:rPr>
          <w:rFonts w:ascii="Arial" w:hAnsi="Arial" w:cs="Arial"/>
          <w:sz w:val="18"/>
          <w:szCs w:val="18"/>
          <w:lang w:val="fr-CA"/>
        </w:rPr>
        <w:t xml:space="preserve">, Marc-Alain </w:t>
      </w:r>
      <w:r w:rsidRPr="00BD22C2">
        <w:rPr>
          <w:rFonts w:ascii="Arial" w:hAnsi="Arial" w:cs="Arial"/>
          <w:smallCaps/>
          <w:sz w:val="18"/>
          <w:szCs w:val="18"/>
          <w:lang w:val="fr-CA"/>
        </w:rPr>
        <w:t>Mallet</w:t>
      </w:r>
      <w:r w:rsidRPr="00BD22C2">
        <w:rPr>
          <w:rFonts w:ascii="Arial" w:hAnsi="Arial" w:cs="Arial"/>
          <w:sz w:val="18"/>
          <w:szCs w:val="18"/>
          <w:lang w:val="fr-CA"/>
        </w:rPr>
        <w:t xml:space="preserve">, Carey </w:t>
      </w:r>
      <w:r w:rsidRPr="00BD22C2">
        <w:rPr>
          <w:rFonts w:ascii="Arial" w:hAnsi="Arial" w:cs="Arial"/>
          <w:smallCaps/>
          <w:sz w:val="18"/>
          <w:szCs w:val="18"/>
          <w:lang w:val="fr-CA"/>
        </w:rPr>
        <w:t>Majid</w:t>
      </w:r>
      <w:r w:rsidRPr="00BD22C2">
        <w:rPr>
          <w:rFonts w:ascii="Arial" w:hAnsi="Arial" w:cs="Arial"/>
          <w:sz w:val="18"/>
          <w:szCs w:val="18"/>
          <w:lang w:val="fr-CA"/>
        </w:rPr>
        <w:t xml:space="preserve">, Charles </w:t>
      </w:r>
      <w:r w:rsidRPr="00BD22C2">
        <w:rPr>
          <w:rFonts w:ascii="Arial" w:hAnsi="Arial" w:cs="Arial"/>
          <w:smallCaps/>
          <w:sz w:val="18"/>
          <w:szCs w:val="18"/>
          <w:lang w:val="fr-CA"/>
        </w:rPr>
        <w:t>Dent</w:t>
      </w:r>
      <w:r w:rsidRPr="00BD22C2">
        <w:rPr>
          <w:rFonts w:ascii="Arial" w:hAnsi="Arial" w:cs="Arial"/>
          <w:sz w:val="18"/>
          <w:szCs w:val="18"/>
          <w:lang w:val="fr-CA"/>
        </w:rPr>
        <w:t xml:space="preserve">, Christine </w:t>
      </w:r>
      <w:r w:rsidRPr="00BD22C2">
        <w:rPr>
          <w:rFonts w:ascii="Arial" w:hAnsi="Arial" w:cs="Arial"/>
          <w:smallCaps/>
          <w:sz w:val="18"/>
          <w:szCs w:val="18"/>
          <w:lang w:val="fr-CA"/>
        </w:rPr>
        <w:t>Hanson</w:t>
      </w:r>
      <w:r w:rsidRPr="00BD22C2">
        <w:rPr>
          <w:rFonts w:ascii="Arial" w:hAnsi="Arial" w:cs="Arial"/>
          <w:sz w:val="18"/>
          <w:szCs w:val="18"/>
          <w:lang w:val="fr-CA"/>
        </w:rPr>
        <w:t xml:space="preserve">, Raj </w:t>
      </w:r>
      <w:r w:rsidRPr="00BD22C2">
        <w:rPr>
          <w:rFonts w:ascii="Arial" w:hAnsi="Arial" w:cs="Arial"/>
          <w:smallCaps/>
          <w:sz w:val="18"/>
          <w:szCs w:val="18"/>
          <w:lang w:val="fr-CA"/>
        </w:rPr>
        <w:t>Dir</w:t>
      </w:r>
      <w:r w:rsidRPr="00BD22C2">
        <w:rPr>
          <w:rFonts w:ascii="Arial" w:hAnsi="Arial" w:cs="Arial"/>
          <w:sz w:val="18"/>
          <w:szCs w:val="18"/>
          <w:lang w:val="fr-CA"/>
        </w:rPr>
        <w:t xml:space="preserve">, Brenda </w:t>
      </w:r>
      <w:r w:rsidRPr="00BD22C2">
        <w:rPr>
          <w:rFonts w:ascii="Arial" w:hAnsi="Arial" w:cs="Arial"/>
          <w:smallCaps/>
          <w:sz w:val="18"/>
          <w:szCs w:val="18"/>
          <w:lang w:val="fr-CA"/>
        </w:rPr>
        <w:t>Picard</w:t>
      </w:r>
      <w:r w:rsidRPr="00BD22C2">
        <w:rPr>
          <w:rFonts w:ascii="Arial" w:hAnsi="Arial" w:cs="Arial"/>
          <w:sz w:val="18"/>
          <w:szCs w:val="18"/>
          <w:lang w:val="fr-CA"/>
        </w:rPr>
        <w:t xml:space="preserve"> et Lesley </w:t>
      </w:r>
      <w:r w:rsidRPr="00BD22C2">
        <w:rPr>
          <w:rFonts w:ascii="Arial" w:hAnsi="Arial" w:cs="Arial"/>
          <w:smallCaps/>
          <w:sz w:val="18"/>
          <w:szCs w:val="18"/>
          <w:lang w:val="fr-CA"/>
        </w:rPr>
        <w:t>McCullough</w:t>
      </w:r>
      <w:r w:rsidR="00657797">
        <w:rPr>
          <w:rFonts w:ascii="Arial" w:hAnsi="Arial" w:cs="Arial"/>
          <w:smallCaps/>
          <w:sz w:val="18"/>
          <w:szCs w:val="18"/>
          <w:lang w:val="fr-CA"/>
        </w:rPr>
        <w:t>,</w:t>
      </w:r>
      <w:r w:rsidRPr="00BD22C2">
        <w:rPr>
          <w:rFonts w:ascii="Arial" w:hAnsi="Arial" w:cs="Arial"/>
          <w:sz w:val="18"/>
          <w:szCs w:val="18"/>
          <w:lang w:val="fr-CA"/>
        </w:rPr>
        <w:t xml:space="preserve"> 5 juin 2020, [En ligne]. </w:t>
      </w:r>
      <w:r>
        <w:fldChar w:fldCharType="begin"/>
      </w:r>
      <w:r w:rsidRPr="003E3312">
        <w:rPr>
          <w:lang w:val="fr-CA"/>
        </w:rPr>
        <w:instrText>HYPERLINK "https://cashra.ca/wp-content/uploads/sites/71/ACCDP-Lettre-donne%CC%81es-de%CC%81sagre%CC%81ge%CC%81es-sur-la-sante%CC%81-5-juin-2020.pdf"</w:instrText>
      </w:r>
      <w:r>
        <w:fldChar w:fldCharType="separate"/>
      </w:r>
      <w:r w:rsidRPr="0085310E">
        <w:rPr>
          <w:rStyle w:val="Lienhypertexte"/>
          <w:rFonts w:ascii="Arial" w:hAnsi="Arial" w:cs="Arial"/>
          <w:sz w:val="18"/>
          <w:szCs w:val="18"/>
        </w:rPr>
        <w:t>https://cashra.ca/wp-content/uploads/sites/71/ACCDP-Lettre-donne%CC%81es-de%CC%81sagre%CC%81ge%CC%81es-sur-la-sante%CC%81-5-juin-2020.pdf</w:t>
      </w:r>
      <w:r>
        <w:rPr>
          <w:rStyle w:val="Lienhypertexte"/>
          <w:rFonts w:ascii="Arial" w:hAnsi="Arial" w:cs="Arial"/>
          <w:sz w:val="18"/>
          <w:szCs w:val="18"/>
        </w:rPr>
        <w:fldChar w:fldCharType="end"/>
      </w:r>
    </w:p>
  </w:endnote>
  <w:endnote w:id="150">
    <w:p w14:paraId="0931BFE9" w14:textId="6F1368B0" w:rsidR="00187621" w:rsidRPr="00BD22C2" w:rsidRDefault="0018762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B1B8F" w:rsidRPr="00BD22C2">
        <w:rPr>
          <w:rFonts w:ascii="Arial" w:hAnsi="Arial" w:cs="Arial"/>
          <w:sz w:val="18"/>
          <w:szCs w:val="18"/>
          <w:lang w:val="fr-CA"/>
        </w:rPr>
        <w:tab/>
      </w:r>
      <w:r w:rsidRPr="00BD22C2">
        <w:rPr>
          <w:rFonts w:ascii="Arial" w:hAnsi="Arial" w:cs="Arial"/>
          <w:sz w:val="18"/>
          <w:szCs w:val="18"/>
          <w:lang w:val="fr-CA"/>
        </w:rPr>
        <w:t>Voir notamment : C.c.Q., art.</w:t>
      </w:r>
      <w:r w:rsidR="00CE1914">
        <w:rPr>
          <w:rFonts w:ascii="Arial" w:hAnsi="Arial" w:cs="Arial"/>
          <w:sz w:val="18"/>
          <w:szCs w:val="18"/>
          <w:lang w:val="fr-CA"/>
        </w:rPr>
        <w:t> </w:t>
      </w:r>
      <w:r w:rsidRPr="00BD22C2">
        <w:rPr>
          <w:rFonts w:ascii="Arial" w:hAnsi="Arial" w:cs="Arial"/>
          <w:sz w:val="18"/>
          <w:szCs w:val="18"/>
          <w:lang w:val="fr-CA"/>
        </w:rPr>
        <w:t xml:space="preserve">3, 35 et 37 à 40 et la </w:t>
      </w:r>
      <w:r w:rsidRPr="00BD22C2">
        <w:rPr>
          <w:rFonts w:ascii="Arial" w:hAnsi="Arial" w:cs="Arial"/>
          <w:i/>
          <w:sz w:val="18"/>
          <w:szCs w:val="18"/>
          <w:lang w:val="fr-CA"/>
        </w:rPr>
        <w:t>Loi sur l’accès aux documents des organismes publics sur la protection des renseignements personnels</w:t>
      </w:r>
      <w:r w:rsidRPr="00BD22C2">
        <w:rPr>
          <w:rFonts w:ascii="Arial" w:hAnsi="Arial" w:cs="Arial"/>
          <w:sz w:val="18"/>
          <w:szCs w:val="18"/>
          <w:lang w:val="fr-CA"/>
        </w:rPr>
        <w:t>, RLRQ, c. A</w:t>
      </w:r>
      <w:r w:rsidR="00CE1914">
        <w:rPr>
          <w:rFonts w:ascii="Arial" w:hAnsi="Arial" w:cs="Arial"/>
          <w:sz w:val="18"/>
          <w:szCs w:val="18"/>
          <w:lang w:val="fr-CA"/>
        </w:rPr>
        <w:t> </w:t>
      </w:r>
      <w:r w:rsidRPr="00BD22C2">
        <w:rPr>
          <w:rFonts w:ascii="Arial" w:hAnsi="Arial" w:cs="Arial"/>
          <w:sz w:val="18"/>
          <w:szCs w:val="18"/>
          <w:lang w:val="fr-CA"/>
        </w:rPr>
        <w:t>-2.1, art.</w:t>
      </w:r>
      <w:r w:rsidR="00CE1914">
        <w:rPr>
          <w:rFonts w:ascii="Arial" w:hAnsi="Arial" w:cs="Arial"/>
          <w:sz w:val="18"/>
          <w:szCs w:val="18"/>
          <w:lang w:val="fr-CA"/>
        </w:rPr>
        <w:t> </w:t>
      </w:r>
      <w:r w:rsidRPr="00BD22C2">
        <w:rPr>
          <w:rFonts w:ascii="Arial" w:hAnsi="Arial" w:cs="Arial"/>
          <w:sz w:val="18"/>
          <w:szCs w:val="18"/>
          <w:lang w:val="fr-CA"/>
        </w:rPr>
        <w:t>53 suiv.</w:t>
      </w:r>
    </w:p>
  </w:endnote>
  <w:endnote w:id="151">
    <w:p w14:paraId="0078C759" w14:textId="7251221D" w:rsidR="003D0A4D" w:rsidRPr="0085310E" w:rsidRDefault="003D0A4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B1B8F" w:rsidRPr="00BD22C2">
        <w:rPr>
          <w:rFonts w:ascii="Arial" w:hAnsi="Arial" w:cs="Arial"/>
          <w:sz w:val="18"/>
          <w:szCs w:val="18"/>
          <w:lang w:val="fr-CA"/>
        </w:rPr>
        <w:tab/>
      </w:r>
      <w:r w:rsidR="00081356" w:rsidRPr="00BD22C2">
        <w:rPr>
          <w:rFonts w:ascii="Arial" w:hAnsi="Arial" w:cs="Arial"/>
          <w:smallCaps/>
          <w:sz w:val="18"/>
          <w:szCs w:val="18"/>
          <w:lang w:val="fr-CA"/>
        </w:rPr>
        <w:t>Statistique Canada</w:t>
      </w:r>
      <w:r w:rsidR="00081356" w:rsidRPr="00BD22C2">
        <w:rPr>
          <w:rFonts w:ascii="Arial" w:hAnsi="Arial" w:cs="Arial"/>
          <w:sz w:val="18"/>
          <w:szCs w:val="18"/>
          <w:lang w:val="fr-CA"/>
        </w:rPr>
        <w:t>, «</w:t>
      </w:r>
      <w:r w:rsidR="00595E85">
        <w:rPr>
          <w:rFonts w:ascii="Arial" w:hAnsi="Arial" w:cs="Arial"/>
          <w:sz w:val="18"/>
          <w:szCs w:val="18"/>
          <w:lang w:val="fr-CA"/>
        </w:rPr>
        <w:t> </w:t>
      </w:r>
      <w:r w:rsidR="00081356" w:rsidRPr="00BD22C2">
        <w:rPr>
          <w:rFonts w:ascii="Arial" w:hAnsi="Arial" w:cs="Arial"/>
          <w:sz w:val="18"/>
          <w:szCs w:val="18"/>
          <w:lang w:val="fr-CA"/>
        </w:rPr>
        <w:t>Genre de la personne</w:t>
      </w:r>
      <w:r w:rsidR="00595E85">
        <w:rPr>
          <w:rFonts w:ascii="Arial" w:hAnsi="Arial" w:cs="Arial"/>
          <w:sz w:val="18"/>
          <w:szCs w:val="18"/>
          <w:lang w:val="fr-CA"/>
        </w:rPr>
        <w:t> </w:t>
      </w:r>
      <w:r w:rsidR="00081356" w:rsidRPr="00BD22C2">
        <w:rPr>
          <w:rFonts w:ascii="Arial" w:hAnsi="Arial" w:cs="Arial"/>
          <w:sz w:val="18"/>
          <w:szCs w:val="18"/>
          <w:lang w:val="fr-CA"/>
        </w:rPr>
        <w:t>»,</w:t>
      </w:r>
      <w:r w:rsidR="007655EE" w:rsidRPr="00BD22C2">
        <w:rPr>
          <w:rFonts w:ascii="Arial" w:hAnsi="Arial" w:cs="Arial"/>
          <w:sz w:val="18"/>
          <w:szCs w:val="18"/>
          <w:lang w:val="fr-CA"/>
        </w:rPr>
        <w:t xml:space="preserve"> 1</w:t>
      </w:r>
      <w:r w:rsidR="007655EE" w:rsidRPr="00BD22C2">
        <w:rPr>
          <w:rFonts w:ascii="Arial" w:hAnsi="Arial" w:cs="Arial"/>
          <w:sz w:val="18"/>
          <w:szCs w:val="18"/>
          <w:vertAlign w:val="superscript"/>
          <w:lang w:val="fr-CA"/>
        </w:rPr>
        <w:t>er</w:t>
      </w:r>
      <w:r w:rsidR="00762FE8">
        <w:rPr>
          <w:rFonts w:ascii="Arial" w:hAnsi="Arial" w:cs="Arial"/>
          <w:sz w:val="18"/>
          <w:szCs w:val="18"/>
          <w:lang w:val="fr-CA"/>
        </w:rPr>
        <w:t> </w:t>
      </w:r>
      <w:r w:rsidR="007655EE" w:rsidRPr="00BD22C2">
        <w:rPr>
          <w:rFonts w:ascii="Arial" w:hAnsi="Arial" w:cs="Arial"/>
          <w:sz w:val="18"/>
          <w:szCs w:val="18"/>
          <w:lang w:val="fr-CA"/>
        </w:rPr>
        <w:t>octobre 2021,</w:t>
      </w:r>
      <w:r w:rsidR="00081356" w:rsidRPr="00BD22C2">
        <w:rPr>
          <w:rFonts w:ascii="Arial" w:hAnsi="Arial" w:cs="Arial"/>
          <w:sz w:val="18"/>
          <w:szCs w:val="18"/>
          <w:lang w:val="fr-CA"/>
        </w:rPr>
        <w:t xml:space="preserve"> [En ligne]. </w:t>
      </w:r>
      <w:r w:rsidR="007655EE">
        <w:fldChar w:fldCharType="begin"/>
      </w:r>
      <w:r w:rsidR="007655EE" w:rsidRPr="003E3312">
        <w:rPr>
          <w:lang w:val="fr-CA"/>
        </w:rPr>
        <w:instrText>HYPERLINK "https://www23.statcan.gc.ca/imdb/p3Var_f.pl?Function=DEC&amp;Id=410445"</w:instrText>
      </w:r>
      <w:r w:rsidR="007655EE">
        <w:fldChar w:fldCharType="separate"/>
      </w:r>
      <w:r w:rsidR="007655EE" w:rsidRPr="0085310E">
        <w:rPr>
          <w:rStyle w:val="Lienhypertexte"/>
          <w:rFonts w:ascii="Arial" w:hAnsi="Arial" w:cs="Arial"/>
          <w:sz w:val="18"/>
          <w:szCs w:val="18"/>
        </w:rPr>
        <w:t>https://www23.statcan.gc.ca/imdb/p3Var_f.pl?Function=DEC&amp;Id=410445</w:t>
      </w:r>
      <w:r w:rsidR="007655EE">
        <w:rPr>
          <w:rStyle w:val="Lienhypertexte"/>
          <w:rFonts w:ascii="Arial" w:hAnsi="Arial" w:cs="Arial"/>
          <w:sz w:val="18"/>
          <w:szCs w:val="18"/>
        </w:rPr>
        <w:fldChar w:fldCharType="end"/>
      </w:r>
      <w:r w:rsidR="006D6ADF" w:rsidRPr="0085310E">
        <w:rPr>
          <w:rFonts w:ascii="Arial" w:hAnsi="Arial" w:cs="Arial"/>
          <w:sz w:val="18"/>
          <w:szCs w:val="18"/>
        </w:rPr>
        <w:t xml:space="preserve"> </w:t>
      </w:r>
    </w:p>
  </w:endnote>
  <w:endnote w:id="152">
    <w:p w14:paraId="3484473F" w14:textId="77777777" w:rsidR="00F63416" w:rsidRPr="00BD22C2" w:rsidRDefault="00F6341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p>
  </w:endnote>
  <w:endnote w:id="153">
    <w:p w14:paraId="29EFF4B3" w14:textId="72430338" w:rsidR="00BC0E8A" w:rsidRPr="00BD22C2" w:rsidRDefault="00BC0E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D34FB" w:rsidRPr="00BD22C2">
        <w:rPr>
          <w:rFonts w:ascii="Arial" w:hAnsi="Arial" w:cs="Arial"/>
          <w:sz w:val="18"/>
          <w:szCs w:val="18"/>
          <w:lang w:val="fr-CA"/>
        </w:rPr>
        <w:t xml:space="preserve">Gérard </w:t>
      </w:r>
      <w:r w:rsidR="00D27669" w:rsidRPr="00BD22C2">
        <w:rPr>
          <w:rFonts w:ascii="Arial" w:hAnsi="Arial" w:cs="Arial"/>
          <w:smallCaps/>
          <w:sz w:val="18"/>
          <w:szCs w:val="18"/>
          <w:lang w:val="fr-CA"/>
        </w:rPr>
        <w:t>Bouchard</w:t>
      </w:r>
      <w:r w:rsidR="001D34FB" w:rsidRPr="00BD22C2">
        <w:rPr>
          <w:rFonts w:ascii="Arial" w:hAnsi="Arial" w:cs="Arial"/>
          <w:sz w:val="18"/>
          <w:szCs w:val="18"/>
          <w:lang w:val="fr-CA"/>
        </w:rPr>
        <w:t xml:space="preserve"> et Charles </w:t>
      </w:r>
      <w:r w:rsidR="00D27669" w:rsidRPr="00BD22C2">
        <w:rPr>
          <w:rFonts w:ascii="Arial" w:hAnsi="Arial" w:cs="Arial"/>
          <w:smallCaps/>
          <w:sz w:val="18"/>
          <w:szCs w:val="18"/>
          <w:lang w:val="fr-CA"/>
        </w:rPr>
        <w:t>Taylor</w:t>
      </w:r>
      <w:r w:rsidR="001D34FB" w:rsidRPr="00BD22C2">
        <w:rPr>
          <w:rFonts w:ascii="Arial" w:hAnsi="Arial" w:cs="Arial"/>
          <w:sz w:val="18"/>
          <w:szCs w:val="18"/>
          <w:lang w:val="fr-CA"/>
        </w:rPr>
        <w:t xml:space="preserve">, </w:t>
      </w:r>
      <w:r w:rsidR="001D34FB" w:rsidRPr="00BD22C2">
        <w:rPr>
          <w:rFonts w:ascii="Arial" w:hAnsi="Arial" w:cs="Arial"/>
          <w:i/>
          <w:sz w:val="18"/>
          <w:szCs w:val="18"/>
          <w:lang w:val="fr-CA"/>
        </w:rPr>
        <w:t>Fonder l’avenir. Le temps de la conciliation, Commission de consultation sur les pratiques d’accommodement reliées aux différences culturelles</w:t>
      </w:r>
      <w:r w:rsidR="001D34FB" w:rsidRPr="00BD22C2">
        <w:rPr>
          <w:rFonts w:ascii="Arial" w:hAnsi="Arial" w:cs="Arial"/>
          <w:sz w:val="18"/>
          <w:szCs w:val="18"/>
          <w:lang w:val="fr-CA"/>
        </w:rPr>
        <w:t xml:space="preserve">, Gouvernement du Québec, 2008, </w:t>
      </w:r>
      <w:r w:rsidR="00D27669" w:rsidRPr="00BD22C2">
        <w:rPr>
          <w:rFonts w:ascii="Arial" w:hAnsi="Arial" w:cs="Arial"/>
          <w:sz w:val="18"/>
          <w:szCs w:val="18"/>
          <w:lang w:val="fr-CA"/>
        </w:rPr>
        <w:t>(Section II, Une crise de perception</w:t>
      </w:r>
      <w:r w:rsidR="0085422F" w:rsidRPr="00BD22C2">
        <w:rPr>
          <w:rFonts w:ascii="Arial" w:hAnsi="Arial" w:cs="Arial"/>
          <w:sz w:val="18"/>
          <w:szCs w:val="18"/>
          <w:lang w:val="fr-CA"/>
        </w:rPr>
        <w:t>s</w:t>
      </w:r>
      <w:r w:rsidR="00D27669" w:rsidRPr="00BD22C2">
        <w:rPr>
          <w:rFonts w:ascii="Arial" w:hAnsi="Arial" w:cs="Arial"/>
          <w:sz w:val="18"/>
          <w:szCs w:val="18"/>
          <w:lang w:val="fr-CA"/>
        </w:rPr>
        <w:t>, p.</w:t>
      </w:r>
      <w:r w:rsidR="00CE1914">
        <w:rPr>
          <w:rFonts w:ascii="Arial" w:hAnsi="Arial" w:cs="Arial"/>
          <w:sz w:val="18"/>
          <w:szCs w:val="18"/>
          <w:lang w:val="fr-CA"/>
        </w:rPr>
        <w:t> </w:t>
      </w:r>
      <w:r w:rsidR="00D27669" w:rsidRPr="00BD22C2">
        <w:rPr>
          <w:rFonts w:ascii="Arial" w:hAnsi="Arial" w:cs="Arial"/>
          <w:sz w:val="18"/>
          <w:szCs w:val="18"/>
          <w:lang w:val="fr-CA"/>
        </w:rPr>
        <w:t>13</w:t>
      </w:r>
      <w:r w:rsidR="00354FB6">
        <w:rPr>
          <w:rFonts w:ascii="Arial" w:hAnsi="Arial" w:cs="Arial"/>
          <w:sz w:val="18"/>
          <w:szCs w:val="18"/>
          <w:lang w:val="fr-CA"/>
        </w:rPr>
        <w:t xml:space="preserve"> à </w:t>
      </w:r>
      <w:r w:rsidR="00D27669" w:rsidRPr="00BD22C2">
        <w:rPr>
          <w:rFonts w:ascii="Arial" w:hAnsi="Arial" w:cs="Arial"/>
          <w:sz w:val="18"/>
          <w:szCs w:val="18"/>
          <w:lang w:val="fr-CA"/>
        </w:rPr>
        <w:t>22).</w:t>
      </w:r>
    </w:p>
  </w:endnote>
  <w:endnote w:id="154">
    <w:p w14:paraId="78256348" w14:textId="101A4978" w:rsidR="00F33F79" w:rsidRPr="00BD22C2" w:rsidRDefault="00F33F7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z w:val="18"/>
          <w:szCs w:val="18"/>
          <w:lang w:val="fr-CA"/>
        </w:rPr>
        <w:t>À l’exception de la Saskatchewan et du Yukon, dont les lois sur les droits de la personne reconnaissent également une série limitée de droits et libertés en plus du droit à la non-discrimination, tels que la liberté de religion et de conscience, la liberté d’expression, la liberté de réunion et d’association ou encore le droit à des élections.</w:t>
      </w:r>
    </w:p>
  </w:endnote>
  <w:endnote w:id="155">
    <w:p w14:paraId="3AEF8EA1" w14:textId="2EE431C6" w:rsidR="00F33F79" w:rsidRPr="00BD22C2" w:rsidRDefault="00F33F7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i/>
          <w:sz w:val="18"/>
          <w:szCs w:val="18"/>
          <w:lang w:val="fr-CA"/>
        </w:rPr>
        <w:t>Charte canadienne des droits et libertés</w:t>
      </w:r>
      <w:r w:rsidRPr="00BD22C2">
        <w:rPr>
          <w:rFonts w:ascii="Arial" w:hAnsi="Arial" w:cs="Arial"/>
          <w:sz w:val="18"/>
          <w:szCs w:val="18"/>
          <w:lang w:val="fr-CA"/>
        </w:rPr>
        <w:t>, Partie I de la Loi constitutionnelle de 1982, Annexe B de la Loi de 1982 sur le Canada (R-U), 1982, c</w:t>
      </w:r>
      <w:r w:rsidR="00F915F8" w:rsidRPr="00BD22C2">
        <w:rPr>
          <w:rFonts w:ascii="Arial" w:hAnsi="Arial" w:cs="Arial"/>
          <w:sz w:val="18"/>
          <w:szCs w:val="18"/>
          <w:lang w:val="fr-CA"/>
        </w:rPr>
        <w:t> </w:t>
      </w:r>
      <w:r w:rsidRPr="00BD22C2">
        <w:rPr>
          <w:rFonts w:ascii="Arial" w:hAnsi="Arial" w:cs="Arial"/>
          <w:sz w:val="18"/>
          <w:szCs w:val="18"/>
          <w:lang w:val="fr-CA"/>
        </w:rPr>
        <w:t>11</w:t>
      </w:r>
      <w:r w:rsidR="006115A5" w:rsidRPr="00BD22C2">
        <w:rPr>
          <w:rFonts w:ascii="Arial" w:hAnsi="Arial" w:cs="Arial"/>
          <w:sz w:val="18"/>
          <w:szCs w:val="18"/>
          <w:lang w:val="fr-CA"/>
        </w:rPr>
        <w:t>.</w:t>
      </w:r>
    </w:p>
  </w:endnote>
  <w:endnote w:id="156">
    <w:p w14:paraId="49BE54DF" w14:textId="1729A371" w:rsidR="00F33F79" w:rsidRPr="00BD22C2" w:rsidRDefault="00F33F7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z w:val="18"/>
          <w:szCs w:val="18"/>
          <w:lang w:val="fr-CA"/>
        </w:rPr>
        <w:t>Charte, art.</w:t>
      </w:r>
      <w:r w:rsidR="00F915F8" w:rsidRPr="00BD22C2">
        <w:rPr>
          <w:rFonts w:ascii="Arial" w:hAnsi="Arial" w:cs="Arial"/>
          <w:sz w:val="18"/>
          <w:szCs w:val="18"/>
          <w:lang w:val="fr-CA"/>
        </w:rPr>
        <w:t> </w:t>
      </w:r>
      <w:r w:rsidRPr="00BD22C2">
        <w:rPr>
          <w:rFonts w:ascii="Arial" w:hAnsi="Arial" w:cs="Arial"/>
          <w:sz w:val="18"/>
          <w:szCs w:val="18"/>
          <w:lang w:val="fr-CA"/>
        </w:rPr>
        <w:t xml:space="preserve">55. </w:t>
      </w:r>
    </w:p>
  </w:endnote>
  <w:endnote w:id="157">
    <w:p w14:paraId="512EE07B" w14:textId="765382E1" w:rsidR="002E214F" w:rsidRPr="00BD22C2" w:rsidRDefault="002E214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z w:val="18"/>
          <w:szCs w:val="18"/>
          <w:lang w:val="fr-CA"/>
        </w:rPr>
        <w:t xml:space="preserve">Voir notamment </w:t>
      </w:r>
      <w:r w:rsidR="00085188" w:rsidRPr="00BD22C2">
        <w:rPr>
          <w:rFonts w:ascii="Arial" w:hAnsi="Arial" w:cs="Arial"/>
          <w:i/>
          <w:sz w:val="18"/>
          <w:szCs w:val="18"/>
          <w:lang w:val="fr-CA"/>
        </w:rPr>
        <w:t>Québec (Commission des droits de la personne et des droits de la jeunesse)</w:t>
      </w:r>
      <w:r w:rsidR="00085188" w:rsidRPr="00BD22C2">
        <w:rPr>
          <w:rFonts w:ascii="Arial" w:hAnsi="Arial" w:cs="Arial"/>
          <w:sz w:val="18"/>
          <w:szCs w:val="18"/>
          <w:lang w:val="fr-CA"/>
        </w:rPr>
        <w:t xml:space="preserve"> c</w:t>
      </w:r>
      <w:r w:rsidR="003D3310" w:rsidRPr="00BD22C2">
        <w:rPr>
          <w:rFonts w:ascii="Arial" w:hAnsi="Arial" w:cs="Arial"/>
          <w:sz w:val="18"/>
          <w:szCs w:val="18"/>
          <w:lang w:val="fr-CA"/>
        </w:rPr>
        <w:t>.</w:t>
      </w:r>
      <w:r w:rsidR="00085188" w:rsidRPr="00BD22C2">
        <w:rPr>
          <w:rFonts w:ascii="Arial" w:hAnsi="Arial" w:cs="Arial"/>
          <w:sz w:val="18"/>
          <w:szCs w:val="18"/>
          <w:lang w:val="fr-CA"/>
        </w:rPr>
        <w:t xml:space="preserve"> </w:t>
      </w:r>
      <w:r w:rsidR="00085188" w:rsidRPr="00BD22C2">
        <w:rPr>
          <w:rFonts w:ascii="Arial" w:hAnsi="Arial" w:cs="Arial"/>
          <w:i/>
          <w:sz w:val="18"/>
          <w:szCs w:val="18"/>
          <w:lang w:val="fr-CA"/>
        </w:rPr>
        <w:t>Boisbriand (Ville)</w:t>
      </w:r>
      <w:r w:rsidR="00085188" w:rsidRPr="00BD22C2">
        <w:rPr>
          <w:rFonts w:ascii="Arial" w:hAnsi="Arial" w:cs="Arial"/>
          <w:sz w:val="18"/>
          <w:szCs w:val="18"/>
          <w:lang w:val="fr-CA"/>
        </w:rPr>
        <w:t>, 2000</w:t>
      </w:r>
      <w:r w:rsidR="00B32B61">
        <w:rPr>
          <w:rFonts w:ascii="Arial" w:hAnsi="Arial" w:cs="Arial"/>
          <w:sz w:val="18"/>
          <w:szCs w:val="18"/>
          <w:lang w:val="fr-CA"/>
        </w:rPr>
        <w:t> </w:t>
      </w:r>
      <w:r w:rsidR="00085188" w:rsidRPr="00BD22C2">
        <w:rPr>
          <w:rFonts w:ascii="Arial" w:hAnsi="Arial" w:cs="Arial"/>
          <w:sz w:val="18"/>
          <w:szCs w:val="18"/>
          <w:lang w:val="fr-CA"/>
        </w:rPr>
        <w:t>CSC</w:t>
      </w:r>
      <w:r w:rsidR="00CE1914">
        <w:rPr>
          <w:rFonts w:ascii="Arial" w:hAnsi="Arial" w:cs="Arial"/>
          <w:sz w:val="18"/>
          <w:szCs w:val="18"/>
          <w:lang w:val="fr-CA"/>
        </w:rPr>
        <w:t> </w:t>
      </w:r>
      <w:r w:rsidR="00085188" w:rsidRPr="00BD22C2">
        <w:rPr>
          <w:rFonts w:ascii="Arial" w:hAnsi="Arial" w:cs="Arial"/>
          <w:sz w:val="18"/>
          <w:szCs w:val="18"/>
          <w:lang w:val="fr-CA"/>
        </w:rPr>
        <w:t>27</w:t>
      </w:r>
      <w:r w:rsidR="00CF45B6" w:rsidRPr="00BD22C2">
        <w:rPr>
          <w:rFonts w:ascii="Arial" w:hAnsi="Arial" w:cs="Arial"/>
          <w:sz w:val="18"/>
          <w:szCs w:val="18"/>
          <w:lang w:val="fr-CA"/>
        </w:rPr>
        <w:t>.</w:t>
      </w:r>
      <w:r w:rsidR="00085188" w:rsidRPr="00BD22C2">
        <w:rPr>
          <w:rFonts w:ascii="Arial" w:hAnsi="Arial" w:cs="Arial"/>
          <w:sz w:val="18"/>
          <w:szCs w:val="18"/>
          <w:lang w:val="fr-CA"/>
        </w:rPr>
        <w:t xml:space="preserve"> </w:t>
      </w:r>
      <w:r w:rsidRPr="00BD22C2">
        <w:rPr>
          <w:rFonts w:ascii="Arial" w:hAnsi="Arial" w:cs="Arial"/>
          <w:sz w:val="18"/>
          <w:szCs w:val="18"/>
          <w:lang w:val="fr-CA"/>
        </w:rPr>
        <w:t xml:space="preserve">par. 27 et 30, </w:t>
      </w:r>
      <w:r w:rsidRPr="00BD22C2">
        <w:rPr>
          <w:rFonts w:ascii="Arial" w:hAnsi="Arial" w:cs="Arial"/>
          <w:i/>
          <w:sz w:val="18"/>
          <w:szCs w:val="18"/>
          <w:lang w:val="fr-CA"/>
        </w:rPr>
        <w:t>Béliveau St-Jacques</w:t>
      </w:r>
      <w:r w:rsidRPr="00BD22C2">
        <w:rPr>
          <w:rFonts w:ascii="Arial" w:hAnsi="Arial" w:cs="Arial"/>
          <w:sz w:val="18"/>
          <w:szCs w:val="18"/>
          <w:lang w:val="fr-CA"/>
        </w:rPr>
        <w:t xml:space="preserve"> </w:t>
      </w:r>
      <w:r w:rsidR="000E3013" w:rsidRPr="00BD22C2">
        <w:rPr>
          <w:rFonts w:ascii="Arial" w:hAnsi="Arial" w:cs="Arial"/>
          <w:sz w:val="18"/>
          <w:szCs w:val="18"/>
          <w:lang w:val="fr-CA"/>
        </w:rPr>
        <w:t xml:space="preserve">c. </w:t>
      </w:r>
      <w:r w:rsidR="000E3013" w:rsidRPr="00BD22C2">
        <w:rPr>
          <w:rFonts w:ascii="Arial" w:hAnsi="Arial" w:cs="Arial"/>
          <w:i/>
          <w:sz w:val="18"/>
          <w:szCs w:val="18"/>
          <w:lang w:val="fr-CA"/>
        </w:rPr>
        <w:t>Fédération des employées et employés de services publics inc.</w:t>
      </w:r>
      <w:r w:rsidR="000E3013" w:rsidRPr="00BD22C2">
        <w:rPr>
          <w:rFonts w:ascii="Arial" w:hAnsi="Arial" w:cs="Arial"/>
          <w:sz w:val="18"/>
          <w:szCs w:val="18"/>
          <w:lang w:val="fr-CA"/>
        </w:rPr>
        <w:t xml:space="preserve">, </w:t>
      </w:r>
      <w:r w:rsidR="00634704" w:rsidRPr="00BD22C2">
        <w:rPr>
          <w:rFonts w:ascii="Arial" w:hAnsi="Arial" w:cs="Arial"/>
          <w:sz w:val="18"/>
          <w:szCs w:val="18"/>
          <w:lang w:val="fr-CA"/>
        </w:rPr>
        <w:t>[1996] 2 RCS</w:t>
      </w:r>
      <w:r w:rsidR="00CE1914">
        <w:rPr>
          <w:rFonts w:ascii="Arial" w:hAnsi="Arial" w:cs="Arial"/>
          <w:sz w:val="18"/>
          <w:szCs w:val="18"/>
          <w:lang w:val="fr-CA"/>
        </w:rPr>
        <w:t> </w:t>
      </w:r>
      <w:r w:rsidR="00634704" w:rsidRPr="00BD22C2">
        <w:rPr>
          <w:rFonts w:ascii="Arial" w:hAnsi="Arial" w:cs="Arial"/>
          <w:sz w:val="18"/>
          <w:szCs w:val="18"/>
          <w:lang w:val="fr-CA"/>
        </w:rPr>
        <w:t>345,</w:t>
      </w:r>
      <w:r w:rsidRPr="00BD22C2">
        <w:rPr>
          <w:rFonts w:ascii="Arial" w:hAnsi="Arial" w:cs="Arial"/>
          <w:sz w:val="18"/>
          <w:szCs w:val="18"/>
          <w:lang w:val="fr-CA"/>
        </w:rPr>
        <w:t xml:space="preserve"> par. 116.</w:t>
      </w:r>
    </w:p>
  </w:endnote>
  <w:endnote w:id="158">
    <w:p w14:paraId="1C242F8F" w14:textId="0E69BAF1" w:rsidR="00AA6DE1" w:rsidRPr="00BD22C2" w:rsidRDefault="00AA6DE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z w:val="18"/>
          <w:szCs w:val="18"/>
          <w:lang w:val="fr-CA"/>
        </w:rPr>
        <w:t>Charte, préambule.</w:t>
      </w:r>
    </w:p>
  </w:endnote>
  <w:endnote w:id="159">
    <w:p w14:paraId="334137A6" w14:textId="0A2E4495" w:rsidR="009F7C0A" w:rsidRPr="00BD22C2" w:rsidRDefault="009F7C0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i/>
          <w:sz w:val="18"/>
          <w:szCs w:val="18"/>
          <w:lang w:val="fr-CA"/>
        </w:rPr>
        <w:t>Loi visant à renforcer la lutte contre la transphobie et à améliorer notamment la situation des mineurs transgenres</w:t>
      </w:r>
      <w:r w:rsidRPr="00BD22C2">
        <w:rPr>
          <w:rFonts w:ascii="Arial" w:hAnsi="Arial" w:cs="Arial"/>
          <w:sz w:val="18"/>
          <w:szCs w:val="18"/>
          <w:lang w:val="fr-CA"/>
        </w:rPr>
        <w:t xml:space="preserve">, </w:t>
      </w:r>
      <w:r w:rsidR="00B32F19" w:rsidRPr="00BD22C2">
        <w:rPr>
          <w:rFonts w:ascii="Arial" w:hAnsi="Arial" w:cs="Arial"/>
          <w:sz w:val="18"/>
          <w:szCs w:val="18"/>
          <w:lang w:val="fr-CA"/>
        </w:rPr>
        <w:t>préc., note</w:t>
      </w:r>
      <w:r w:rsidR="00CE1914">
        <w:rPr>
          <w:rFonts w:ascii="Arial" w:hAnsi="Arial" w:cs="Arial"/>
          <w:sz w:val="18"/>
          <w:szCs w:val="18"/>
          <w:lang w:val="fr-CA"/>
        </w:rPr>
        <w:t> </w:t>
      </w:r>
      <w:r w:rsidR="00B66C5D" w:rsidRPr="00BD22C2">
        <w:rPr>
          <w:rFonts w:ascii="Arial" w:hAnsi="Arial" w:cs="Arial"/>
          <w:sz w:val="18"/>
          <w:szCs w:val="18"/>
          <w:lang w:val="fr-CA"/>
        </w:rPr>
        <w:fldChar w:fldCharType="begin"/>
      </w:r>
      <w:r w:rsidR="00B66C5D" w:rsidRPr="00BD22C2">
        <w:rPr>
          <w:rFonts w:ascii="Arial" w:hAnsi="Arial" w:cs="Arial"/>
          <w:sz w:val="18"/>
          <w:szCs w:val="18"/>
          <w:lang w:val="fr-CA"/>
        </w:rPr>
        <w:instrText xml:space="preserve"> NOTEREF _Ref167438214 \h </w:instrText>
      </w:r>
      <w:r w:rsidR="00B66C5D" w:rsidRPr="00BD22C2">
        <w:rPr>
          <w:rFonts w:ascii="Arial" w:hAnsi="Arial" w:cs="Arial"/>
          <w:sz w:val="18"/>
          <w:szCs w:val="18"/>
          <w:lang w:val="fr-CA"/>
        </w:rPr>
      </w:r>
      <w:r w:rsidR="00B66C5D" w:rsidRPr="00BD22C2">
        <w:rPr>
          <w:rFonts w:ascii="Arial" w:hAnsi="Arial" w:cs="Arial"/>
          <w:sz w:val="18"/>
          <w:szCs w:val="18"/>
          <w:lang w:val="fr-CA"/>
        </w:rPr>
        <w:fldChar w:fldCharType="separate"/>
      </w:r>
      <w:r w:rsidR="004B4881">
        <w:rPr>
          <w:rFonts w:ascii="Arial" w:hAnsi="Arial" w:cs="Arial"/>
          <w:sz w:val="18"/>
          <w:szCs w:val="18"/>
          <w:lang w:val="fr-CA"/>
        </w:rPr>
        <w:t>20</w:t>
      </w:r>
      <w:r w:rsidR="00B66C5D" w:rsidRPr="00BD22C2">
        <w:rPr>
          <w:rFonts w:ascii="Arial" w:hAnsi="Arial" w:cs="Arial"/>
          <w:sz w:val="18"/>
          <w:szCs w:val="18"/>
          <w:lang w:val="fr-CA"/>
        </w:rPr>
        <w:fldChar w:fldCharType="end"/>
      </w:r>
      <w:r w:rsidRPr="00BD22C2">
        <w:rPr>
          <w:rFonts w:ascii="Arial" w:hAnsi="Arial" w:cs="Arial"/>
          <w:sz w:val="18"/>
          <w:szCs w:val="18"/>
          <w:lang w:val="fr-CA"/>
        </w:rPr>
        <w:t xml:space="preserve">. </w:t>
      </w:r>
    </w:p>
  </w:endnote>
  <w:endnote w:id="160">
    <w:p w14:paraId="6800A5B5" w14:textId="0C779A99" w:rsidR="001002BB" w:rsidRPr="00BD22C2" w:rsidRDefault="001002B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730F2" w:rsidRPr="00BD22C2">
        <w:rPr>
          <w:rFonts w:ascii="Arial" w:hAnsi="Arial" w:cs="Arial"/>
          <w:sz w:val="18"/>
          <w:szCs w:val="18"/>
          <w:lang w:val="fr-CA"/>
        </w:rPr>
        <w:t xml:space="preserve">Voir notamment la décision </w:t>
      </w:r>
      <w:r w:rsidR="004730F2" w:rsidRPr="00BD22C2">
        <w:rPr>
          <w:rFonts w:ascii="Arial" w:hAnsi="Arial" w:cs="Arial"/>
          <w:i/>
          <w:sz w:val="18"/>
          <w:szCs w:val="18"/>
          <w:shd w:val="clear" w:color="auto" w:fill="FFFFFF"/>
          <w:lang w:val="fr-CA"/>
        </w:rPr>
        <w:t>Commission des droits de la personne et des droits de la jeunesse (M.</w:t>
      </w:r>
      <w:r w:rsidR="006305FE">
        <w:rPr>
          <w:rFonts w:ascii="Arial" w:hAnsi="Arial" w:cs="Arial"/>
          <w:i/>
          <w:sz w:val="18"/>
          <w:szCs w:val="18"/>
          <w:shd w:val="clear" w:color="auto" w:fill="FFFFFF"/>
          <w:lang w:val="fr-CA"/>
        </w:rPr>
        <w:t> </w:t>
      </w:r>
      <w:r w:rsidR="004730F2" w:rsidRPr="00BD22C2">
        <w:rPr>
          <w:rFonts w:ascii="Arial" w:hAnsi="Arial" w:cs="Arial"/>
          <w:i/>
          <w:sz w:val="18"/>
          <w:szCs w:val="18"/>
          <w:shd w:val="clear" w:color="auto" w:fill="FFFFFF"/>
          <w:lang w:val="fr-CA"/>
        </w:rPr>
        <w:t>L.)</w:t>
      </w:r>
      <w:r w:rsidR="004730F2" w:rsidRPr="00BD22C2">
        <w:rPr>
          <w:rFonts w:ascii="Arial" w:hAnsi="Arial" w:cs="Arial"/>
          <w:sz w:val="18"/>
          <w:szCs w:val="18"/>
          <w:shd w:val="clear" w:color="auto" w:fill="FFFFFF"/>
          <w:lang w:val="fr-CA"/>
        </w:rPr>
        <w:t xml:space="preserve"> c. </w:t>
      </w:r>
      <w:r w:rsidR="004730F2" w:rsidRPr="00BD22C2">
        <w:rPr>
          <w:rFonts w:ascii="Arial" w:hAnsi="Arial" w:cs="Arial"/>
          <w:i/>
          <w:sz w:val="18"/>
          <w:szCs w:val="18"/>
          <w:shd w:val="clear" w:color="auto" w:fill="FFFFFF"/>
          <w:lang w:val="fr-CA"/>
        </w:rPr>
        <w:t>Maison des jeunes A</w:t>
      </w:r>
      <w:r w:rsidR="004730F2" w:rsidRPr="00BD22C2">
        <w:rPr>
          <w:rFonts w:ascii="Arial" w:hAnsi="Arial" w:cs="Arial"/>
          <w:sz w:val="18"/>
          <w:szCs w:val="18"/>
          <w:shd w:val="clear" w:color="auto" w:fill="FFFFFF"/>
          <w:lang w:val="fr-CA"/>
        </w:rPr>
        <w:t xml:space="preserve">., </w:t>
      </w:r>
      <w:r w:rsidR="0023596C" w:rsidRPr="00BD22C2">
        <w:rPr>
          <w:rFonts w:ascii="Arial" w:hAnsi="Arial" w:cs="Arial"/>
          <w:sz w:val="18"/>
          <w:szCs w:val="18"/>
          <w:shd w:val="clear" w:color="auto" w:fill="FFFFFF"/>
          <w:lang w:val="fr-CA"/>
        </w:rPr>
        <w:t xml:space="preserve">préc., note </w:t>
      </w:r>
      <w:r w:rsidR="00151AB8" w:rsidRPr="00BD22C2">
        <w:rPr>
          <w:rFonts w:ascii="Arial" w:hAnsi="Arial" w:cs="Arial"/>
          <w:sz w:val="18"/>
          <w:szCs w:val="18"/>
          <w:highlight w:val="yellow"/>
          <w:shd w:val="clear" w:color="auto" w:fill="FFFFFF"/>
          <w:lang w:val="fr-CA"/>
        </w:rPr>
        <w:fldChar w:fldCharType="begin"/>
      </w:r>
      <w:r w:rsidR="00151AB8" w:rsidRPr="00BD22C2">
        <w:rPr>
          <w:rFonts w:ascii="Arial" w:hAnsi="Arial" w:cs="Arial"/>
          <w:sz w:val="18"/>
          <w:szCs w:val="18"/>
          <w:shd w:val="clear" w:color="auto" w:fill="FFFFFF"/>
          <w:lang w:val="fr-CA"/>
        </w:rPr>
        <w:instrText xml:space="preserve"> NOTEREF _Ref166844240 \h </w:instrText>
      </w:r>
      <w:r w:rsidR="00151AB8" w:rsidRPr="00BD22C2">
        <w:rPr>
          <w:rFonts w:ascii="Arial" w:hAnsi="Arial" w:cs="Arial"/>
          <w:sz w:val="18"/>
          <w:szCs w:val="18"/>
          <w:highlight w:val="yellow"/>
          <w:shd w:val="clear" w:color="auto" w:fill="FFFFFF"/>
          <w:lang w:val="fr-CA"/>
        </w:rPr>
      </w:r>
      <w:r w:rsidR="00151AB8" w:rsidRPr="00BD22C2">
        <w:rPr>
          <w:rFonts w:ascii="Arial" w:hAnsi="Arial" w:cs="Arial"/>
          <w:sz w:val="18"/>
          <w:szCs w:val="18"/>
          <w:highlight w:val="yellow"/>
          <w:shd w:val="clear" w:color="auto" w:fill="FFFFFF"/>
          <w:lang w:val="fr-CA"/>
        </w:rPr>
        <w:fldChar w:fldCharType="separate"/>
      </w:r>
      <w:r w:rsidR="004B4881">
        <w:rPr>
          <w:rFonts w:ascii="Arial" w:hAnsi="Arial" w:cs="Arial"/>
          <w:sz w:val="18"/>
          <w:szCs w:val="18"/>
          <w:shd w:val="clear" w:color="auto" w:fill="FFFFFF"/>
          <w:lang w:val="fr-CA"/>
        </w:rPr>
        <w:t>9</w:t>
      </w:r>
      <w:r w:rsidR="00151AB8" w:rsidRPr="00BD22C2">
        <w:rPr>
          <w:rFonts w:ascii="Arial" w:hAnsi="Arial" w:cs="Arial"/>
          <w:sz w:val="18"/>
          <w:szCs w:val="18"/>
          <w:highlight w:val="yellow"/>
          <w:shd w:val="clear" w:color="auto" w:fill="FFFFFF"/>
          <w:lang w:val="fr-CA"/>
        </w:rPr>
        <w:fldChar w:fldCharType="end"/>
      </w:r>
      <w:r w:rsidR="00B66C5D" w:rsidRPr="00BD22C2">
        <w:rPr>
          <w:rFonts w:ascii="Arial" w:hAnsi="Arial" w:cs="Arial"/>
          <w:sz w:val="18"/>
          <w:szCs w:val="18"/>
          <w:shd w:val="clear" w:color="auto" w:fill="FFFFFF"/>
          <w:lang w:val="fr-CA"/>
        </w:rPr>
        <w:t>.</w:t>
      </w:r>
    </w:p>
  </w:endnote>
  <w:endnote w:id="161">
    <w:p w14:paraId="05335FEE" w14:textId="3B94EE3D" w:rsidR="005869C2" w:rsidRPr="00BD22C2" w:rsidRDefault="005869C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ontarienne des droits de la personne</w:t>
      </w:r>
      <w:r w:rsidRPr="00BD22C2">
        <w:rPr>
          <w:rFonts w:ascii="Arial" w:hAnsi="Arial" w:cs="Arial"/>
          <w:sz w:val="18"/>
          <w:szCs w:val="18"/>
          <w:lang w:val="fr-CA"/>
        </w:rPr>
        <w:t xml:space="preserve"> </w:t>
      </w:r>
      <w:r w:rsidR="001F7CA4">
        <w:rPr>
          <w:rFonts w:ascii="Arial" w:hAnsi="Arial" w:cs="Arial"/>
          <w:sz w:val="18"/>
          <w:szCs w:val="18"/>
          <w:lang w:val="fr-CA"/>
        </w:rPr>
        <w:t>(</w:t>
      </w:r>
      <w:r w:rsidRPr="00BD22C2">
        <w:rPr>
          <w:rFonts w:ascii="Arial" w:hAnsi="Arial" w:cs="Arial"/>
          <w:sz w:val="18"/>
          <w:szCs w:val="18"/>
          <w:lang w:val="fr-CA"/>
        </w:rPr>
        <w:t>2001</w:t>
      </w:r>
      <w:r w:rsidR="001F7CA4">
        <w:rPr>
          <w:rFonts w:ascii="Arial" w:hAnsi="Arial" w:cs="Arial"/>
          <w:sz w:val="18"/>
          <w:szCs w:val="18"/>
          <w:lang w:val="fr-CA"/>
        </w:rPr>
        <w:t>)</w:t>
      </w:r>
      <w:r w:rsidRPr="00BD22C2">
        <w:rPr>
          <w:rFonts w:ascii="Arial" w:hAnsi="Arial" w:cs="Arial"/>
          <w:sz w:val="18"/>
          <w:szCs w:val="18"/>
          <w:lang w:val="fr-CA"/>
        </w:rPr>
        <w:t>,</w:t>
      </w:r>
      <w:r w:rsidR="00A53CF4">
        <w:rPr>
          <w:rFonts w:ascii="Arial" w:hAnsi="Arial" w:cs="Arial"/>
          <w:sz w:val="18"/>
          <w:szCs w:val="18"/>
          <w:lang w:val="fr-CA"/>
        </w:rPr>
        <w:t xml:space="preserve"> </w:t>
      </w:r>
      <w:r w:rsidR="006A7774" w:rsidRPr="00BD22C2">
        <w:rPr>
          <w:rFonts w:ascii="Arial" w:hAnsi="Arial" w:cs="Arial"/>
          <w:sz w:val="18"/>
          <w:szCs w:val="18"/>
          <w:lang w:val="fr-CA"/>
        </w:rPr>
        <w:t>préc., note</w:t>
      </w:r>
      <w:r w:rsidR="00CE1914">
        <w:rPr>
          <w:rFonts w:ascii="Arial" w:hAnsi="Arial" w:cs="Arial"/>
          <w:sz w:val="18"/>
          <w:szCs w:val="18"/>
          <w:lang w:val="fr-CA"/>
        </w:rPr>
        <w:t> </w:t>
      </w:r>
      <w:r w:rsidR="006A7774" w:rsidRPr="00BD22C2">
        <w:rPr>
          <w:rFonts w:ascii="Arial" w:hAnsi="Arial" w:cs="Arial"/>
          <w:sz w:val="18"/>
          <w:szCs w:val="18"/>
          <w:lang w:val="fr-CA"/>
        </w:rPr>
        <w:fldChar w:fldCharType="begin"/>
      </w:r>
      <w:r w:rsidR="006A7774" w:rsidRPr="00BD22C2">
        <w:rPr>
          <w:rFonts w:ascii="Arial" w:hAnsi="Arial" w:cs="Arial"/>
          <w:sz w:val="18"/>
          <w:szCs w:val="18"/>
          <w:lang w:val="fr-CA"/>
        </w:rPr>
        <w:instrText xml:space="preserve"> NOTEREF _Ref167438293 \h </w:instrText>
      </w:r>
      <w:r w:rsidR="006A7774" w:rsidRPr="00BD22C2">
        <w:rPr>
          <w:rFonts w:ascii="Arial" w:hAnsi="Arial" w:cs="Arial"/>
          <w:sz w:val="18"/>
          <w:szCs w:val="18"/>
          <w:lang w:val="fr-CA"/>
        </w:rPr>
      </w:r>
      <w:r w:rsidR="006A7774" w:rsidRPr="00BD22C2">
        <w:rPr>
          <w:rFonts w:ascii="Arial" w:hAnsi="Arial" w:cs="Arial"/>
          <w:sz w:val="18"/>
          <w:szCs w:val="18"/>
          <w:lang w:val="fr-CA"/>
        </w:rPr>
        <w:fldChar w:fldCharType="separate"/>
      </w:r>
      <w:r w:rsidR="004B4881">
        <w:rPr>
          <w:rFonts w:ascii="Arial" w:hAnsi="Arial" w:cs="Arial"/>
          <w:sz w:val="18"/>
          <w:szCs w:val="18"/>
          <w:lang w:val="fr-CA"/>
        </w:rPr>
        <w:t>55</w:t>
      </w:r>
      <w:r w:rsidR="006A7774" w:rsidRPr="00BD22C2">
        <w:rPr>
          <w:rFonts w:ascii="Arial" w:hAnsi="Arial" w:cs="Arial"/>
          <w:sz w:val="18"/>
          <w:szCs w:val="18"/>
          <w:lang w:val="fr-CA"/>
        </w:rPr>
        <w:fldChar w:fldCharType="end"/>
      </w:r>
      <w:r w:rsidR="006A7774" w:rsidRPr="00BD22C2">
        <w:rPr>
          <w:rFonts w:ascii="Arial" w:hAnsi="Arial" w:cs="Arial"/>
          <w:sz w:val="18"/>
          <w:szCs w:val="18"/>
          <w:lang w:val="fr-CA"/>
        </w:rPr>
        <w:t>,</w:t>
      </w:r>
      <w:r w:rsidRPr="00BD22C2">
        <w:rPr>
          <w:rFonts w:ascii="Arial" w:hAnsi="Arial" w:cs="Arial"/>
          <w:sz w:val="18"/>
          <w:szCs w:val="18"/>
          <w:lang w:val="fr-CA"/>
        </w:rPr>
        <w:t xml:space="preserve"> p. 3. </w:t>
      </w:r>
    </w:p>
  </w:endnote>
  <w:endnote w:id="162">
    <w:p w14:paraId="1EF3EB81" w14:textId="7FB14037" w:rsidR="005869C2" w:rsidRPr="00E16C03" w:rsidRDefault="005869C2"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2249EF" w:rsidRPr="00BD22C2">
        <w:rPr>
          <w:rFonts w:ascii="Arial" w:hAnsi="Arial" w:cs="Arial"/>
          <w:sz w:val="18"/>
          <w:szCs w:val="18"/>
          <w:lang w:val="fr-CA"/>
        </w:rPr>
        <w:tab/>
      </w:r>
      <w:r w:rsidR="008840D0" w:rsidRPr="00BD22C2">
        <w:rPr>
          <w:rFonts w:ascii="Arial" w:hAnsi="Arial" w:cs="Arial"/>
          <w:sz w:val="18"/>
          <w:szCs w:val="18"/>
          <w:lang w:val="fr-CA"/>
        </w:rPr>
        <w:t xml:space="preserve">Naomie-Jade </w:t>
      </w:r>
      <w:r w:rsidR="008840D0" w:rsidRPr="00BD22C2">
        <w:rPr>
          <w:rFonts w:ascii="Arial" w:hAnsi="Arial" w:cs="Arial"/>
          <w:smallCaps/>
          <w:sz w:val="18"/>
          <w:szCs w:val="18"/>
          <w:lang w:val="fr-CA"/>
        </w:rPr>
        <w:t>Ladry</w:t>
      </w:r>
      <w:r w:rsidR="008840D0" w:rsidRPr="00BD22C2">
        <w:rPr>
          <w:rFonts w:ascii="Arial" w:hAnsi="Arial" w:cs="Arial"/>
          <w:sz w:val="18"/>
          <w:szCs w:val="18"/>
          <w:lang w:val="fr-CA"/>
        </w:rPr>
        <w:t xml:space="preserve">, Annie </w:t>
      </w:r>
      <w:r w:rsidR="008840D0" w:rsidRPr="00BD22C2">
        <w:rPr>
          <w:rFonts w:ascii="Arial" w:hAnsi="Arial" w:cs="Arial"/>
          <w:smallCaps/>
          <w:sz w:val="18"/>
          <w:szCs w:val="18"/>
          <w:lang w:val="fr-CA"/>
        </w:rPr>
        <w:t>Pullen Sansfaçon</w:t>
      </w:r>
      <w:r w:rsidR="008840D0" w:rsidRPr="00BD22C2">
        <w:rPr>
          <w:rFonts w:ascii="Arial" w:hAnsi="Arial" w:cs="Arial"/>
          <w:sz w:val="18"/>
          <w:szCs w:val="18"/>
          <w:lang w:val="fr-CA"/>
        </w:rPr>
        <w:t xml:space="preserve">, Nicholas </w:t>
      </w:r>
      <w:r w:rsidR="008840D0" w:rsidRPr="00BD22C2">
        <w:rPr>
          <w:rFonts w:ascii="Arial" w:hAnsi="Arial" w:cs="Arial"/>
          <w:smallCaps/>
          <w:sz w:val="18"/>
          <w:szCs w:val="18"/>
          <w:lang w:val="fr-CA"/>
        </w:rPr>
        <w:t>Chadi</w:t>
      </w:r>
      <w:r w:rsidR="008840D0" w:rsidRPr="00BD22C2">
        <w:rPr>
          <w:rFonts w:ascii="Arial" w:hAnsi="Arial" w:cs="Arial"/>
          <w:sz w:val="18"/>
          <w:szCs w:val="18"/>
          <w:lang w:val="fr-CA"/>
        </w:rPr>
        <w:t xml:space="preserve">, Kira </w:t>
      </w:r>
      <w:r w:rsidR="008840D0" w:rsidRPr="00BD22C2">
        <w:rPr>
          <w:rFonts w:ascii="Arial" w:hAnsi="Arial" w:cs="Arial"/>
          <w:smallCaps/>
          <w:sz w:val="18"/>
          <w:szCs w:val="18"/>
          <w:lang w:val="fr-CA"/>
        </w:rPr>
        <w:t>London-Nadeau</w:t>
      </w:r>
      <w:r w:rsidR="008840D0" w:rsidRPr="00BD22C2">
        <w:rPr>
          <w:rFonts w:ascii="Arial" w:hAnsi="Arial" w:cs="Arial"/>
          <w:sz w:val="18"/>
          <w:szCs w:val="18"/>
          <w:lang w:val="fr-CA"/>
        </w:rPr>
        <w:t xml:space="preserve">, Ashley </w:t>
      </w:r>
      <w:r w:rsidR="008840D0" w:rsidRPr="00BD22C2">
        <w:rPr>
          <w:rFonts w:ascii="Arial" w:hAnsi="Arial" w:cs="Arial"/>
          <w:smallCaps/>
          <w:sz w:val="18"/>
          <w:szCs w:val="18"/>
          <w:lang w:val="fr-CA"/>
        </w:rPr>
        <w:t>B. Taylor</w:t>
      </w:r>
      <w:r w:rsidR="008840D0" w:rsidRPr="00BD22C2">
        <w:rPr>
          <w:rFonts w:ascii="Arial" w:hAnsi="Arial" w:cs="Arial"/>
          <w:sz w:val="18"/>
          <w:szCs w:val="18"/>
          <w:lang w:val="fr-CA"/>
        </w:rPr>
        <w:t xml:space="preserve">, Ace </w:t>
      </w:r>
      <w:r w:rsidR="008840D0" w:rsidRPr="00BD22C2">
        <w:rPr>
          <w:rFonts w:ascii="Arial" w:hAnsi="Arial" w:cs="Arial"/>
          <w:smallCaps/>
          <w:sz w:val="18"/>
          <w:szCs w:val="18"/>
          <w:lang w:val="fr-CA"/>
        </w:rPr>
        <w:t>Chan</w:t>
      </w:r>
      <w:r w:rsidR="008840D0" w:rsidRPr="00BD22C2">
        <w:rPr>
          <w:rFonts w:ascii="Arial" w:hAnsi="Arial" w:cs="Arial"/>
          <w:sz w:val="18"/>
          <w:szCs w:val="18"/>
          <w:lang w:val="fr-CA"/>
        </w:rPr>
        <w:t xml:space="preserve">, Lyne </w:t>
      </w:r>
      <w:r w:rsidR="008840D0" w:rsidRPr="00BD22C2">
        <w:rPr>
          <w:rFonts w:ascii="Arial" w:hAnsi="Arial" w:cs="Arial"/>
          <w:smallCaps/>
          <w:sz w:val="18"/>
          <w:szCs w:val="18"/>
          <w:lang w:val="fr-CA"/>
        </w:rPr>
        <w:t>Chiniara</w:t>
      </w:r>
      <w:r w:rsidR="008840D0" w:rsidRPr="00BD22C2">
        <w:rPr>
          <w:rFonts w:ascii="Arial" w:hAnsi="Arial" w:cs="Arial"/>
          <w:sz w:val="18"/>
          <w:szCs w:val="18"/>
          <w:lang w:val="fr-CA"/>
        </w:rPr>
        <w:t xml:space="preserve"> et Elizabeth </w:t>
      </w:r>
      <w:r w:rsidR="008840D0" w:rsidRPr="00BD22C2">
        <w:rPr>
          <w:rFonts w:ascii="Arial" w:hAnsi="Arial" w:cs="Arial"/>
          <w:smallCaps/>
          <w:sz w:val="18"/>
          <w:szCs w:val="18"/>
          <w:lang w:val="fr-CA"/>
        </w:rPr>
        <w:t>M. Saewyc</w:t>
      </w:r>
      <w:r w:rsidR="00FD3192" w:rsidRPr="00BD22C2">
        <w:rPr>
          <w:rFonts w:ascii="Arial" w:hAnsi="Arial" w:cs="Arial"/>
          <w:sz w:val="18"/>
          <w:szCs w:val="18"/>
          <w:lang w:val="fr-CA"/>
        </w:rPr>
        <w:t>,</w:t>
      </w:r>
      <w:r w:rsidR="00F5037D" w:rsidRPr="00BD22C2">
        <w:rPr>
          <w:rFonts w:ascii="Arial" w:hAnsi="Arial" w:cs="Arial"/>
          <w:sz w:val="18"/>
          <w:szCs w:val="18"/>
          <w:lang w:val="fr-CA"/>
        </w:rPr>
        <w:t xml:space="preserve"> «</w:t>
      </w:r>
      <w:r w:rsidR="0051216B" w:rsidRPr="00BD22C2">
        <w:rPr>
          <w:rFonts w:ascii="Arial" w:hAnsi="Arial" w:cs="Arial"/>
          <w:sz w:val="18"/>
          <w:szCs w:val="18"/>
          <w:lang w:val="fr-CA"/>
        </w:rPr>
        <w:t> </w:t>
      </w:r>
      <w:r w:rsidR="00F5037D" w:rsidRPr="00BD22C2">
        <w:rPr>
          <w:rFonts w:ascii="Arial" w:hAnsi="Arial" w:cs="Arial"/>
          <w:sz w:val="18"/>
          <w:szCs w:val="18"/>
          <w:lang w:val="fr-CA"/>
        </w:rPr>
        <w:t>Abus et violence vécus par les jeunes trans et non binaires au Québec</w:t>
      </w:r>
      <w:r w:rsidR="0051216B" w:rsidRPr="00BD22C2">
        <w:rPr>
          <w:rFonts w:ascii="Arial" w:hAnsi="Arial" w:cs="Arial"/>
          <w:sz w:val="18"/>
          <w:szCs w:val="18"/>
          <w:lang w:val="fr-CA"/>
        </w:rPr>
        <w:t> </w:t>
      </w:r>
      <w:r w:rsidR="00F5037D" w:rsidRPr="00BD22C2">
        <w:rPr>
          <w:rFonts w:ascii="Arial" w:hAnsi="Arial" w:cs="Arial"/>
          <w:sz w:val="18"/>
          <w:szCs w:val="18"/>
          <w:lang w:val="fr-CA"/>
        </w:rPr>
        <w:t xml:space="preserve">», </w:t>
      </w:r>
      <w:r w:rsidR="002C1420" w:rsidRPr="00E51E43">
        <w:rPr>
          <w:rFonts w:ascii="Arial" w:hAnsi="Arial" w:cs="Arial"/>
          <w:i/>
          <w:sz w:val="18"/>
          <w:szCs w:val="18"/>
          <w:lang w:val="fr-CA"/>
        </w:rPr>
        <w:t>Revue Criminologie</w:t>
      </w:r>
      <w:r w:rsidR="002C1420" w:rsidRPr="00BD22C2">
        <w:rPr>
          <w:rFonts w:ascii="Arial" w:hAnsi="Arial" w:cs="Arial"/>
          <w:sz w:val="18"/>
          <w:szCs w:val="18"/>
          <w:lang w:val="fr-CA"/>
        </w:rPr>
        <w:t xml:space="preserve">, </w:t>
      </w:r>
      <w:r w:rsidR="00E51E43">
        <w:rPr>
          <w:rFonts w:ascii="Arial" w:hAnsi="Arial" w:cs="Arial"/>
          <w:sz w:val="18"/>
          <w:szCs w:val="18"/>
          <w:lang w:val="fr-CA"/>
        </w:rPr>
        <w:t>vol.</w:t>
      </w:r>
      <w:r w:rsidR="00CE1914">
        <w:rPr>
          <w:rFonts w:ascii="Arial" w:hAnsi="Arial" w:cs="Arial"/>
          <w:sz w:val="18"/>
          <w:szCs w:val="18"/>
          <w:lang w:val="fr-CA"/>
        </w:rPr>
        <w:t> </w:t>
      </w:r>
      <w:r w:rsidR="002C1420" w:rsidRPr="00BD22C2">
        <w:rPr>
          <w:rFonts w:ascii="Arial" w:hAnsi="Arial" w:cs="Arial"/>
          <w:sz w:val="18"/>
          <w:szCs w:val="18"/>
          <w:lang w:val="fr-CA"/>
        </w:rPr>
        <w:t>56, n</w:t>
      </w:r>
      <w:r w:rsidR="00E51E43">
        <w:rPr>
          <w:rFonts w:ascii="Arial" w:hAnsi="Arial" w:cs="Arial"/>
          <w:sz w:val="18"/>
          <w:szCs w:val="18"/>
          <w:lang w:val="fr-CA"/>
        </w:rPr>
        <w:t>o</w:t>
      </w:r>
      <w:r w:rsidR="00CE1914">
        <w:rPr>
          <w:rFonts w:ascii="Arial" w:hAnsi="Arial" w:cs="Arial"/>
          <w:sz w:val="18"/>
          <w:szCs w:val="18"/>
          <w:lang w:val="fr-CA"/>
        </w:rPr>
        <w:t> </w:t>
      </w:r>
      <w:r w:rsidR="002C1420" w:rsidRPr="00BD22C2">
        <w:rPr>
          <w:rFonts w:ascii="Arial" w:hAnsi="Arial" w:cs="Arial"/>
          <w:sz w:val="18"/>
          <w:szCs w:val="18"/>
          <w:lang w:val="fr-CA"/>
        </w:rPr>
        <w:t>2, automne</w:t>
      </w:r>
      <w:r w:rsidR="00CE1914">
        <w:rPr>
          <w:rFonts w:ascii="Arial" w:hAnsi="Arial" w:cs="Arial"/>
          <w:sz w:val="18"/>
          <w:szCs w:val="18"/>
          <w:lang w:val="fr-CA"/>
        </w:rPr>
        <w:t> </w:t>
      </w:r>
      <w:r w:rsidR="002C1420" w:rsidRPr="00BD22C2">
        <w:rPr>
          <w:rFonts w:ascii="Arial" w:hAnsi="Arial" w:cs="Arial"/>
          <w:sz w:val="18"/>
          <w:szCs w:val="18"/>
          <w:lang w:val="fr-CA"/>
        </w:rPr>
        <w:t>2023, p.</w:t>
      </w:r>
      <w:r w:rsidR="00CE1914">
        <w:rPr>
          <w:rFonts w:ascii="Arial" w:hAnsi="Arial" w:cs="Arial"/>
          <w:sz w:val="18"/>
          <w:szCs w:val="18"/>
          <w:lang w:val="fr-CA"/>
        </w:rPr>
        <w:t> </w:t>
      </w:r>
      <w:r w:rsidR="002C1420" w:rsidRPr="00BD22C2">
        <w:rPr>
          <w:rFonts w:ascii="Arial" w:hAnsi="Arial" w:cs="Arial"/>
          <w:sz w:val="18"/>
          <w:szCs w:val="18"/>
          <w:lang w:val="fr-CA"/>
        </w:rPr>
        <w:t>295</w:t>
      </w:r>
      <w:r w:rsidR="00F27F48">
        <w:rPr>
          <w:rFonts w:ascii="Arial" w:hAnsi="Arial" w:cs="Arial"/>
          <w:sz w:val="18"/>
          <w:szCs w:val="18"/>
          <w:lang w:val="fr-CA"/>
        </w:rPr>
        <w:t xml:space="preserve"> à </w:t>
      </w:r>
      <w:r w:rsidR="002C1420" w:rsidRPr="00BD22C2">
        <w:rPr>
          <w:rFonts w:ascii="Arial" w:hAnsi="Arial" w:cs="Arial"/>
          <w:sz w:val="18"/>
          <w:szCs w:val="18"/>
          <w:lang w:val="fr-CA"/>
        </w:rPr>
        <w:t>322</w:t>
      </w:r>
      <w:r w:rsidR="00382E0C">
        <w:rPr>
          <w:rFonts w:ascii="Arial" w:hAnsi="Arial" w:cs="Arial"/>
          <w:sz w:val="18"/>
          <w:szCs w:val="18"/>
          <w:lang w:val="fr-CA"/>
        </w:rPr>
        <w:t>, [</w:t>
      </w:r>
      <w:r w:rsidR="002C1420" w:rsidRPr="00382E0C">
        <w:rPr>
          <w:rFonts w:ascii="Arial" w:hAnsi="Arial" w:cs="Arial"/>
          <w:sz w:val="18"/>
          <w:szCs w:val="18"/>
          <w:lang w:val="fr-CA"/>
        </w:rPr>
        <w:t>En ligne</w:t>
      </w:r>
      <w:r w:rsidR="00382E0C">
        <w:rPr>
          <w:rFonts w:ascii="Arial" w:hAnsi="Arial" w:cs="Arial"/>
          <w:sz w:val="18"/>
          <w:szCs w:val="18"/>
          <w:lang w:val="fr-CA"/>
        </w:rPr>
        <w:t>].</w:t>
      </w:r>
      <w:r w:rsidR="00FD3192" w:rsidRPr="00382E0C">
        <w:rPr>
          <w:rFonts w:ascii="Arial" w:hAnsi="Arial" w:cs="Arial"/>
          <w:sz w:val="18"/>
          <w:szCs w:val="18"/>
          <w:lang w:val="fr-CA"/>
        </w:rPr>
        <w:t xml:space="preserve"> </w:t>
      </w:r>
      <w:r w:rsidR="00382E0C">
        <w:fldChar w:fldCharType="begin"/>
      </w:r>
      <w:r w:rsidR="00382E0C" w:rsidRPr="003E3312">
        <w:rPr>
          <w:lang w:val="fr-CA"/>
        </w:rPr>
        <w:instrText>HYPERLINK "https://www.erudit.org/fr/revues/crimino/2023-v56-n2-crimino08911/1107607ar/"</w:instrText>
      </w:r>
      <w:r w:rsidR="00382E0C">
        <w:fldChar w:fldCharType="separate"/>
      </w:r>
      <w:r w:rsidR="00382E0C" w:rsidRPr="00382E0C">
        <w:rPr>
          <w:rStyle w:val="Lienhypertexte"/>
          <w:rFonts w:ascii="Arial" w:hAnsi="Arial" w:cs="Arial"/>
          <w:sz w:val="18"/>
          <w:szCs w:val="18"/>
          <w:lang w:val="en-CA"/>
        </w:rPr>
        <w:t>https://www.erudit.org/fr/revues/crimino/2023-v56-n2-crimino08911/1107607ar/</w:t>
      </w:r>
      <w:r w:rsidR="00382E0C">
        <w:rPr>
          <w:rStyle w:val="Lienhypertexte"/>
          <w:rFonts w:ascii="Arial" w:hAnsi="Arial" w:cs="Arial"/>
          <w:sz w:val="18"/>
          <w:szCs w:val="18"/>
          <w:lang w:val="en-CA"/>
        </w:rPr>
        <w:fldChar w:fldCharType="end"/>
      </w:r>
      <w:r w:rsidR="00382E0C" w:rsidRPr="00382E0C">
        <w:rPr>
          <w:rFonts w:ascii="Arial" w:hAnsi="Arial" w:cs="Arial"/>
          <w:sz w:val="18"/>
          <w:szCs w:val="18"/>
          <w:lang w:val="en-CA"/>
        </w:rPr>
        <w:t xml:space="preserve"> </w:t>
      </w:r>
      <w:r w:rsidR="00382E0C">
        <w:rPr>
          <w:rFonts w:ascii="Arial" w:hAnsi="Arial" w:cs="Arial"/>
          <w:sz w:val="18"/>
          <w:szCs w:val="18"/>
          <w:lang w:val="en-CA"/>
        </w:rPr>
        <w:t>V</w:t>
      </w:r>
      <w:r w:rsidR="002C1420" w:rsidRPr="00382E0C">
        <w:rPr>
          <w:rFonts w:ascii="Arial" w:hAnsi="Arial" w:cs="Arial"/>
          <w:sz w:val="18"/>
          <w:szCs w:val="18"/>
          <w:lang w:val="en-CA"/>
        </w:rPr>
        <w:t>oir aussi</w:t>
      </w:r>
      <w:r w:rsidRPr="00382E0C">
        <w:rPr>
          <w:rFonts w:ascii="Arial" w:hAnsi="Arial" w:cs="Arial"/>
          <w:sz w:val="18"/>
          <w:szCs w:val="18"/>
          <w:lang w:val="en-CA"/>
        </w:rPr>
        <w:t xml:space="preserve"> </w:t>
      </w:r>
      <w:r w:rsidRPr="00382E0C">
        <w:rPr>
          <w:rFonts w:ascii="Arial" w:hAnsi="Arial" w:cs="Arial"/>
          <w:smallCaps/>
          <w:sz w:val="18"/>
          <w:szCs w:val="18"/>
          <w:lang w:val="en-CA"/>
        </w:rPr>
        <w:t>Pullen Sansfaçon</w:t>
      </w:r>
      <w:r w:rsidRPr="00382E0C">
        <w:rPr>
          <w:rFonts w:ascii="Arial" w:hAnsi="Arial" w:cs="Arial"/>
          <w:sz w:val="18"/>
          <w:szCs w:val="18"/>
          <w:lang w:val="en-CA"/>
        </w:rPr>
        <w:t xml:space="preserve">, A., </w:t>
      </w:r>
      <w:r w:rsidRPr="00382E0C">
        <w:rPr>
          <w:rFonts w:ascii="Arial" w:hAnsi="Arial" w:cs="Arial"/>
          <w:smallCaps/>
          <w:sz w:val="18"/>
          <w:szCs w:val="18"/>
          <w:lang w:val="en-CA"/>
        </w:rPr>
        <w:t>Gelly</w:t>
      </w:r>
      <w:r w:rsidRPr="00382E0C">
        <w:rPr>
          <w:rFonts w:ascii="Arial" w:hAnsi="Arial" w:cs="Arial"/>
          <w:sz w:val="18"/>
          <w:szCs w:val="18"/>
          <w:lang w:val="en-CA"/>
        </w:rPr>
        <w:t xml:space="preserve">, M. </w:t>
      </w:r>
      <w:r w:rsidRPr="00E16C03">
        <w:rPr>
          <w:rFonts w:ascii="Arial" w:hAnsi="Arial" w:cs="Arial"/>
          <w:sz w:val="18"/>
          <w:szCs w:val="18"/>
          <w:lang w:val="en-CA"/>
        </w:rPr>
        <w:t xml:space="preserve">et </w:t>
      </w:r>
      <w:r w:rsidRPr="00E16C03">
        <w:rPr>
          <w:rFonts w:ascii="Arial" w:hAnsi="Arial" w:cs="Arial"/>
          <w:smallCaps/>
          <w:sz w:val="18"/>
          <w:szCs w:val="18"/>
          <w:lang w:val="en-CA"/>
        </w:rPr>
        <w:t>Ens</w:t>
      </w:r>
      <w:r w:rsidRPr="00E16C03">
        <w:rPr>
          <w:rFonts w:ascii="Arial" w:hAnsi="Arial" w:cs="Arial"/>
          <w:sz w:val="18"/>
          <w:szCs w:val="18"/>
          <w:lang w:val="en-CA"/>
        </w:rPr>
        <w:t xml:space="preserve"> </w:t>
      </w:r>
      <w:r w:rsidRPr="00E16C03">
        <w:rPr>
          <w:rFonts w:ascii="Arial" w:hAnsi="Arial" w:cs="Arial"/>
          <w:smallCaps/>
          <w:sz w:val="18"/>
          <w:szCs w:val="18"/>
          <w:lang w:val="en-CA"/>
        </w:rPr>
        <w:t>Manning</w:t>
      </w:r>
      <w:r w:rsidRPr="00E16C03">
        <w:rPr>
          <w:rFonts w:ascii="Arial" w:hAnsi="Arial" w:cs="Arial"/>
          <w:sz w:val="18"/>
          <w:szCs w:val="18"/>
          <w:lang w:val="en-CA"/>
        </w:rPr>
        <w:t xml:space="preserve">, K. (2021) </w:t>
      </w:r>
      <w:r w:rsidR="007C21E1" w:rsidRPr="00E16C03">
        <w:rPr>
          <w:rFonts w:ascii="Arial" w:hAnsi="Arial" w:cs="Arial"/>
          <w:sz w:val="18"/>
          <w:szCs w:val="18"/>
          <w:lang w:val="en-CA"/>
        </w:rPr>
        <w:t>“</w:t>
      </w:r>
      <w:r w:rsidRPr="00E16C03">
        <w:rPr>
          <w:rFonts w:ascii="Arial" w:hAnsi="Arial" w:cs="Arial"/>
          <w:sz w:val="18"/>
          <w:szCs w:val="18"/>
          <w:lang w:val="en-CA"/>
        </w:rPr>
        <w:t>Affirmation and Safety: An Intersectional Analysis of Trans and Nonbinary Youths in Quebec</w:t>
      </w:r>
      <w:r w:rsidR="007C21E1" w:rsidRPr="00E16C03">
        <w:rPr>
          <w:rFonts w:ascii="Arial" w:hAnsi="Arial" w:cs="Arial"/>
          <w:sz w:val="18"/>
          <w:szCs w:val="18"/>
          <w:lang w:val="en-CA"/>
        </w:rPr>
        <w:t>”,</w:t>
      </w:r>
      <w:r w:rsidRPr="00E16C03">
        <w:rPr>
          <w:rFonts w:ascii="Arial" w:hAnsi="Arial" w:cs="Arial"/>
          <w:sz w:val="18"/>
          <w:szCs w:val="18"/>
          <w:lang w:val="en-CA"/>
        </w:rPr>
        <w:t xml:space="preserve"> Social Work Research, 45(3), 207-219. https://academic.oup.com/swr/article/45/3/207/6348027</w:t>
      </w:r>
    </w:p>
  </w:endnote>
  <w:endnote w:id="163">
    <w:p w14:paraId="30AB75C2" w14:textId="71722AA7" w:rsidR="007750B5" w:rsidRPr="00BD22C2" w:rsidRDefault="007750B5"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i/>
          <w:lang w:val="fr-CA"/>
        </w:rPr>
        <w:t xml:space="preserve">Québec (Commission des droits de la personne et des droits de la jeunesse) </w:t>
      </w:r>
      <w:r w:rsidRPr="00BD22C2">
        <w:rPr>
          <w:rStyle w:val="NotesBasPageCar"/>
          <w:lang w:val="fr-CA"/>
        </w:rPr>
        <w:t>c</w:t>
      </w:r>
      <w:r w:rsidRPr="00BD22C2">
        <w:rPr>
          <w:rStyle w:val="NotesBasPageCar"/>
          <w:i/>
          <w:lang w:val="fr-CA"/>
        </w:rPr>
        <w:t>. Bombardier Inc. (Bombardier Aéronautique Centre de formation),</w:t>
      </w:r>
      <w:r w:rsidRPr="00BD22C2">
        <w:rPr>
          <w:rStyle w:val="NotesBasPageCar"/>
          <w:lang w:val="fr-CA"/>
        </w:rPr>
        <w:t xml:space="preserve"> 2015</w:t>
      </w:r>
      <w:r w:rsidR="00B32B61">
        <w:rPr>
          <w:rStyle w:val="NotesBasPageCar"/>
          <w:lang w:val="fr-CA"/>
        </w:rPr>
        <w:t> </w:t>
      </w:r>
      <w:r w:rsidRPr="00BD22C2">
        <w:rPr>
          <w:rStyle w:val="NotesBasPageCar"/>
          <w:lang w:val="fr-CA"/>
        </w:rPr>
        <w:t>CSC</w:t>
      </w:r>
      <w:r w:rsidR="00F915F8" w:rsidRPr="00BD22C2">
        <w:rPr>
          <w:rStyle w:val="NotesBasPageCar"/>
          <w:lang w:val="fr-CA"/>
        </w:rPr>
        <w:t> </w:t>
      </w:r>
      <w:r w:rsidRPr="00BD22C2">
        <w:rPr>
          <w:rStyle w:val="NotesBasPageCar"/>
          <w:lang w:val="fr-CA"/>
        </w:rPr>
        <w:t xml:space="preserve">39, par. 35. </w:t>
      </w:r>
    </w:p>
  </w:endnote>
  <w:endnote w:id="164">
    <w:p w14:paraId="3CD173C3" w14:textId="77777777"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i/>
          <w:lang w:val="fr-CA"/>
        </w:rPr>
        <w:t>Id.,</w:t>
      </w:r>
      <w:r w:rsidRPr="00BD22C2">
        <w:rPr>
          <w:rStyle w:val="NotesBasPageCar"/>
          <w:lang w:val="fr-CA"/>
        </w:rPr>
        <w:t xml:space="preserve"> par. 36.</w:t>
      </w:r>
      <w:r w:rsidRPr="00BD22C2">
        <w:rPr>
          <w:rFonts w:ascii="Arial" w:hAnsi="Arial" w:cs="Arial"/>
          <w:sz w:val="18"/>
          <w:szCs w:val="18"/>
          <w:lang w:val="fr-CA"/>
        </w:rPr>
        <w:t xml:space="preserve"> </w:t>
      </w:r>
    </w:p>
  </w:endnote>
  <w:endnote w:id="165">
    <w:p w14:paraId="4A52C2FA" w14:textId="77777777"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A53CF4">
        <w:rPr>
          <w:rFonts w:ascii="Arial" w:hAnsi="Arial" w:cs="Arial"/>
          <w:i/>
          <w:iCs/>
          <w:sz w:val="18"/>
          <w:szCs w:val="18"/>
          <w:lang w:val="fr-CA"/>
        </w:rPr>
        <w:t>Id</w:t>
      </w:r>
      <w:r w:rsidRPr="00BD22C2">
        <w:rPr>
          <w:rFonts w:ascii="Arial" w:hAnsi="Arial" w:cs="Arial"/>
          <w:sz w:val="18"/>
          <w:szCs w:val="18"/>
          <w:lang w:val="fr-CA"/>
        </w:rPr>
        <w:t xml:space="preserve">., par. 37. </w:t>
      </w:r>
    </w:p>
  </w:endnote>
  <w:endnote w:id="166">
    <w:p w14:paraId="640EC111" w14:textId="5B8AB2B9" w:rsidR="007750B5" w:rsidRPr="00BD22C2" w:rsidRDefault="007750B5"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lang w:val="fr-CA"/>
        </w:rPr>
        <w:t>Sur les moyens de défenses explicites (prévus à la Charte) et implicites (</w:t>
      </w:r>
      <w:r w:rsidR="00AF2965" w:rsidRPr="00BD22C2">
        <w:rPr>
          <w:rStyle w:val="NotesBasPageCar"/>
          <w:lang w:val="fr-CA"/>
        </w:rPr>
        <w:t xml:space="preserve">développés par la jurisprudence, comme </w:t>
      </w:r>
      <w:r w:rsidRPr="00BD22C2">
        <w:rPr>
          <w:rStyle w:val="NotesBasPageCar"/>
          <w:lang w:val="fr-CA"/>
        </w:rPr>
        <w:t xml:space="preserve">l’accommodement raisonnable et la contrainte excessive), voir généralement Daniel </w:t>
      </w:r>
      <w:r w:rsidRPr="00BD22C2">
        <w:rPr>
          <w:rStyle w:val="NotesBasPageCar"/>
          <w:smallCaps/>
          <w:lang w:val="fr-CA"/>
        </w:rPr>
        <w:t>Proulx</w:t>
      </w:r>
      <w:r w:rsidRPr="00BD22C2">
        <w:rPr>
          <w:rStyle w:val="NotesBasPageCar"/>
          <w:lang w:val="fr-CA"/>
        </w:rPr>
        <w:t xml:space="preserve"> et Frédérick J. </w:t>
      </w:r>
      <w:r w:rsidRPr="00BD22C2">
        <w:rPr>
          <w:rStyle w:val="NotesBasPageCar"/>
          <w:smallCaps/>
          <w:lang w:val="fr-CA"/>
        </w:rPr>
        <w:t>Doucet</w:t>
      </w:r>
      <w:r w:rsidRPr="00BD22C2">
        <w:rPr>
          <w:rStyle w:val="NotesBasPageCar"/>
          <w:lang w:val="fr-CA"/>
        </w:rPr>
        <w:t xml:space="preserve">, </w:t>
      </w:r>
      <w:r w:rsidRPr="00BD22C2">
        <w:rPr>
          <w:rStyle w:val="NotesBasPageCar"/>
          <w:i/>
          <w:lang w:val="fr-CA"/>
        </w:rPr>
        <w:t xml:space="preserve">Jurisclasseur Québec Droit public </w:t>
      </w:r>
      <w:r w:rsidR="0051216B" w:rsidRPr="00BD22C2">
        <w:rPr>
          <w:rStyle w:val="NotesBasPageCar"/>
          <w:i/>
          <w:lang w:val="fr-CA"/>
        </w:rPr>
        <w:t>—</w:t>
      </w:r>
      <w:r w:rsidRPr="00BD22C2">
        <w:rPr>
          <w:rStyle w:val="NotesBasPageCar"/>
          <w:i/>
          <w:lang w:val="fr-CA"/>
        </w:rPr>
        <w:t xml:space="preserve"> droit constitutionnel, Fascicule 9, Droit à l’égalité</w:t>
      </w:r>
      <w:r w:rsidRPr="00BD22C2">
        <w:rPr>
          <w:rStyle w:val="NotesBasPageCar"/>
          <w:lang w:val="fr-CA"/>
        </w:rPr>
        <w:t xml:space="preserve">, Lexis-Nexis, 2023, par. 126 à 154. </w:t>
      </w:r>
    </w:p>
  </w:endnote>
  <w:endnote w:id="167">
    <w:p w14:paraId="2511979F" w14:textId="4850FEF1" w:rsidR="007750B5" w:rsidRPr="00BD22C2" w:rsidRDefault="007750B5"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lang w:val="fr-CA"/>
        </w:rPr>
        <w:t>Au sens des articles</w:t>
      </w:r>
      <w:r w:rsidR="00F915F8" w:rsidRPr="00BD22C2">
        <w:rPr>
          <w:rStyle w:val="NotesBasPageCar"/>
          <w:lang w:val="fr-CA"/>
        </w:rPr>
        <w:t> </w:t>
      </w:r>
      <w:r w:rsidRPr="00BD22C2">
        <w:rPr>
          <w:rStyle w:val="NotesBasPageCar"/>
          <w:lang w:val="fr-CA"/>
        </w:rPr>
        <w:t xml:space="preserve">10, 12 et 16 de la Charte. </w:t>
      </w:r>
    </w:p>
  </w:endnote>
  <w:endnote w:id="168">
    <w:p w14:paraId="14DEB2B9" w14:textId="79506CE3"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lang w:val="fr-CA"/>
        </w:rPr>
        <w:t>D</w:t>
      </w:r>
      <w:r w:rsidR="00B42C1B">
        <w:rPr>
          <w:rStyle w:val="NotesBasPageCar"/>
          <w:lang w:val="fr-CA"/>
        </w:rPr>
        <w:t>.</w:t>
      </w:r>
      <w:r w:rsidR="006305FE">
        <w:rPr>
          <w:rStyle w:val="NotesBasPageCar"/>
          <w:lang w:val="fr-CA"/>
        </w:rPr>
        <w:t> </w:t>
      </w:r>
      <w:r w:rsidRPr="00BD22C2">
        <w:rPr>
          <w:rStyle w:val="NotesBasPageCar"/>
          <w:smallCaps/>
          <w:lang w:val="fr-CA"/>
        </w:rPr>
        <w:t>Proulx</w:t>
      </w:r>
      <w:r w:rsidRPr="00BD22C2">
        <w:rPr>
          <w:rStyle w:val="NotesBasPageCar"/>
          <w:lang w:val="fr-CA"/>
        </w:rPr>
        <w:t xml:space="preserve"> et F</w:t>
      </w:r>
      <w:r w:rsidR="00B42C1B">
        <w:rPr>
          <w:rStyle w:val="NotesBasPageCar"/>
          <w:lang w:val="fr-CA"/>
        </w:rPr>
        <w:t>.</w:t>
      </w:r>
      <w:r w:rsidRPr="00BD22C2">
        <w:rPr>
          <w:rStyle w:val="NotesBasPageCar"/>
          <w:lang w:val="fr-CA"/>
        </w:rPr>
        <w:t xml:space="preserve"> J. </w:t>
      </w:r>
      <w:r w:rsidRPr="00BD22C2">
        <w:rPr>
          <w:rStyle w:val="NotesBasPageCar"/>
          <w:smallCaps/>
          <w:lang w:val="fr-CA"/>
        </w:rPr>
        <w:t>Doucet</w:t>
      </w:r>
      <w:r w:rsidRPr="00BD22C2">
        <w:rPr>
          <w:rStyle w:val="NotesBasPageCar"/>
          <w:lang w:val="fr-CA"/>
        </w:rPr>
        <w:t xml:space="preserve">, </w:t>
      </w:r>
      <w:r w:rsidR="002C1E43" w:rsidRPr="00BD22C2">
        <w:rPr>
          <w:rStyle w:val="NotesBasPageCar"/>
          <w:iCs/>
          <w:lang w:val="fr-CA"/>
        </w:rPr>
        <w:t xml:space="preserve">préc., note </w:t>
      </w:r>
      <w:r w:rsidR="002C1E43" w:rsidRPr="00BD22C2">
        <w:rPr>
          <w:rStyle w:val="NotesBasPageCar"/>
          <w:iCs/>
          <w:lang w:val="fr-CA"/>
        </w:rPr>
        <w:fldChar w:fldCharType="begin"/>
      </w:r>
      <w:r w:rsidR="002C1E43" w:rsidRPr="00BD22C2">
        <w:rPr>
          <w:rStyle w:val="NotesBasPageCar"/>
          <w:iCs/>
          <w:lang w:val="fr-CA"/>
        </w:rPr>
        <w:instrText xml:space="preserve"> NOTEREF _Ref166054470 \h </w:instrText>
      </w:r>
      <w:r w:rsidR="002C1E43" w:rsidRPr="00BD22C2">
        <w:rPr>
          <w:rStyle w:val="NotesBasPageCar"/>
          <w:iCs/>
          <w:lang w:val="fr-CA"/>
        </w:rPr>
      </w:r>
      <w:r w:rsidR="002C1E43" w:rsidRPr="00BD22C2">
        <w:rPr>
          <w:rStyle w:val="NotesBasPageCar"/>
          <w:iCs/>
          <w:lang w:val="fr-CA"/>
        </w:rPr>
        <w:fldChar w:fldCharType="separate"/>
      </w:r>
      <w:r w:rsidR="004B4881">
        <w:rPr>
          <w:rStyle w:val="NotesBasPageCar"/>
          <w:iCs/>
          <w:lang w:val="fr-CA"/>
        </w:rPr>
        <w:t>165</w:t>
      </w:r>
      <w:r w:rsidR="002C1E43" w:rsidRPr="00BD22C2">
        <w:rPr>
          <w:rStyle w:val="NotesBasPageCar"/>
          <w:iCs/>
          <w:lang w:val="fr-CA"/>
        </w:rPr>
        <w:fldChar w:fldCharType="end"/>
      </w:r>
      <w:r w:rsidRPr="00BD22C2">
        <w:rPr>
          <w:rStyle w:val="NotesBasPageCar"/>
          <w:lang w:val="fr-CA"/>
        </w:rPr>
        <w:t>, voir</w:t>
      </w:r>
      <w:r w:rsidR="002C1E43" w:rsidRPr="00BD22C2">
        <w:rPr>
          <w:rStyle w:val="NotesBasPageCar"/>
          <w:lang w:val="fr-CA"/>
        </w:rPr>
        <w:t xml:space="preserve"> notamment</w:t>
      </w:r>
      <w:r w:rsidRPr="00BD22C2">
        <w:rPr>
          <w:rStyle w:val="NotesBasPageCar"/>
          <w:lang w:val="fr-CA"/>
        </w:rPr>
        <w:t xml:space="preserve"> par. 4, 89, 114. </w:t>
      </w:r>
    </w:p>
  </w:endnote>
  <w:endnote w:id="169">
    <w:p w14:paraId="3E7B0EE4" w14:textId="4D091609"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00334D">
        <w:rPr>
          <w:rFonts w:ascii="Arial" w:hAnsi="Arial" w:cs="Arial"/>
          <w:i/>
          <w:sz w:val="18"/>
          <w:szCs w:val="18"/>
          <w:lang w:val="fr-CA"/>
        </w:rPr>
        <w:t>Colombie</w:t>
      </w:r>
      <w:r w:rsidRPr="00BD22C2">
        <w:rPr>
          <w:rFonts w:ascii="Arial" w:hAnsi="Arial" w:cs="Arial"/>
          <w:sz w:val="18"/>
          <w:szCs w:val="18"/>
          <w:lang w:val="fr-CA"/>
        </w:rPr>
        <w:t>-</w:t>
      </w:r>
      <w:r w:rsidRPr="00BD22C2">
        <w:rPr>
          <w:rFonts w:ascii="Arial" w:hAnsi="Arial" w:cs="Arial"/>
          <w:i/>
          <w:iCs/>
          <w:sz w:val="18"/>
          <w:szCs w:val="18"/>
          <w:lang w:val="fr-CA"/>
        </w:rPr>
        <w:t>Britannique</w:t>
      </w:r>
      <w:r w:rsidRPr="00BD22C2">
        <w:rPr>
          <w:rFonts w:ascii="Arial" w:hAnsi="Arial" w:cs="Arial"/>
          <w:sz w:val="18"/>
          <w:szCs w:val="18"/>
          <w:lang w:val="fr-CA"/>
        </w:rPr>
        <w:t xml:space="preserve"> c. </w:t>
      </w:r>
      <w:r w:rsidRPr="00BD22C2">
        <w:rPr>
          <w:rFonts w:ascii="Arial" w:hAnsi="Arial" w:cs="Arial"/>
          <w:i/>
          <w:iCs/>
          <w:sz w:val="18"/>
          <w:szCs w:val="18"/>
          <w:lang w:val="fr-CA"/>
        </w:rPr>
        <w:t>B.C.G.S.E.U</w:t>
      </w:r>
      <w:r w:rsidRPr="00BD22C2">
        <w:rPr>
          <w:rFonts w:ascii="Arial" w:hAnsi="Arial" w:cs="Arial"/>
          <w:sz w:val="18"/>
          <w:szCs w:val="18"/>
          <w:lang w:val="fr-CA"/>
        </w:rPr>
        <w:t>., [1999] 3</w:t>
      </w:r>
      <w:r w:rsidR="00B32B61">
        <w:rPr>
          <w:rFonts w:ascii="Arial" w:hAnsi="Arial" w:cs="Arial"/>
          <w:sz w:val="18"/>
          <w:szCs w:val="18"/>
          <w:lang w:val="fr-CA"/>
        </w:rPr>
        <w:t> </w:t>
      </w:r>
      <w:r w:rsidRPr="00BD22C2">
        <w:rPr>
          <w:rFonts w:ascii="Arial" w:hAnsi="Arial" w:cs="Arial"/>
          <w:sz w:val="18"/>
          <w:szCs w:val="18"/>
          <w:lang w:val="fr-CA"/>
        </w:rPr>
        <w:t>R.C.S.</w:t>
      </w:r>
      <w:r w:rsidR="00F915F8" w:rsidRPr="00BD22C2">
        <w:rPr>
          <w:rFonts w:ascii="Arial" w:hAnsi="Arial" w:cs="Arial"/>
          <w:sz w:val="18"/>
          <w:szCs w:val="18"/>
          <w:lang w:val="fr-CA"/>
        </w:rPr>
        <w:t> </w:t>
      </w:r>
      <w:r w:rsidRPr="00BD22C2">
        <w:rPr>
          <w:rFonts w:ascii="Arial" w:hAnsi="Arial" w:cs="Arial"/>
          <w:sz w:val="18"/>
          <w:szCs w:val="18"/>
          <w:lang w:val="fr-CA"/>
        </w:rPr>
        <w:t xml:space="preserve">3, par. 68. </w:t>
      </w:r>
    </w:p>
  </w:endnote>
  <w:endnote w:id="170">
    <w:p w14:paraId="11F716B3" w14:textId="28BF5CF0" w:rsidR="007750B5" w:rsidRPr="003D6F7B" w:rsidRDefault="007750B5"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i/>
          <w:lang w:val="fr-CA"/>
        </w:rPr>
        <w:t>I</w:t>
      </w:r>
      <w:r w:rsidR="00704DD3" w:rsidRPr="00BD22C2">
        <w:rPr>
          <w:rStyle w:val="NotesBasPageCar"/>
          <w:i/>
          <w:lang w:val="fr-CA"/>
        </w:rPr>
        <w:t>d.,</w:t>
      </w:r>
      <w:r w:rsidR="00704DD3" w:rsidRPr="00BD22C2">
        <w:rPr>
          <w:rStyle w:val="NotesBasPageCar"/>
          <w:lang w:val="fr-CA"/>
        </w:rPr>
        <w:t xml:space="preserve"> </w:t>
      </w:r>
      <w:r w:rsidRPr="00BD22C2">
        <w:rPr>
          <w:rStyle w:val="NotesBasPageCar"/>
          <w:lang w:val="fr-CA"/>
        </w:rPr>
        <w:t>par. 139. Voir aussi</w:t>
      </w:r>
      <w:r w:rsidRPr="00BD22C2">
        <w:rPr>
          <w:rFonts w:ascii="Arial" w:hAnsi="Arial" w:cs="Arial"/>
          <w:sz w:val="18"/>
          <w:szCs w:val="18"/>
          <w:lang w:val="fr-CA"/>
        </w:rPr>
        <w:t xml:space="preserve"> </w:t>
      </w:r>
      <w:r w:rsidR="00475019" w:rsidRPr="00BD22C2">
        <w:rPr>
          <w:rFonts w:ascii="Arial" w:hAnsi="Arial" w:cs="Arial"/>
          <w:smallCaps/>
          <w:sz w:val="18"/>
          <w:szCs w:val="18"/>
          <w:lang w:val="fr-CA"/>
        </w:rPr>
        <w:t>Commission des droits de la personne et des droits de la jeunesse</w:t>
      </w:r>
      <w:r w:rsidRPr="00BD22C2">
        <w:rPr>
          <w:rStyle w:val="NbpCar"/>
          <w:lang w:val="fr-CA"/>
        </w:rPr>
        <w:t xml:space="preserve">, </w:t>
      </w:r>
      <w:r w:rsidRPr="00BD22C2">
        <w:rPr>
          <w:rStyle w:val="NbpCar"/>
          <w:i/>
          <w:lang w:val="fr-CA"/>
        </w:rPr>
        <w:t>Guide d’accompagnement, Traitement d’une demande d’accommodement</w:t>
      </w:r>
      <w:r w:rsidRPr="00BD22C2">
        <w:rPr>
          <w:rStyle w:val="NbpCar"/>
          <w:lang w:val="fr-CA"/>
        </w:rPr>
        <w:t>, 2012 (2018), 32</w:t>
      </w:r>
      <w:r w:rsidR="00B32B61">
        <w:rPr>
          <w:rStyle w:val="NbpCar"/>
          <w:lang w:val="fr-CA"/>
        </w:rPr>
        <w:t> </w:t>
      </w:r>
      <w:r w:rsidRPr="00BD22C2">
        <w:rPr>
          <w:rStyle w:val="NbpCar"/>
          <w:lang w:val="fr-CA"/>
        </w:rPr>
        <w:t xml:space="preserve">p., </w:t>
      </w:r>
      <w:r w:rsidR="001239A0">
        <w:rPr>
          <w:rStyle w:val="NbpCar"/>
          <w:lang w:val="fr-CA"/>
        </w:rPr>
        <w:t>[E</w:t>
      </w:r>
      <w:r w:rsidRPr="00BD22C2">
        <w:rPr>
          <w:rStyle w:val="NbpCar"/>
          <w:lang w:val="fr-CA"/>
        </w:rPr>
        <w:t>n ligne</w:t>
      </w:r>
      <w:r w:rsidR="001239A0">
        <w:rPr>
          <w:rStyle w:val="NbpCar"/>
          <w:lang w:val="fr-CA"/>
        </w:rPr>
        <w:t>].</w:t>
      </w:r>
      <w:r w:rsidRPr="00BD22C2">
        <w:rPr>
          <w:rStyle w:val="NbpCar"/>
          <w:lang w:val="fr-CA"/>
        </w:rPr>
        <w:t xml:space="preserve"> </w:t>
      </w:r>
      <w:r>
        <w:fldChar w:fldCharType="begin"/>
      </w:r>
      <w:r w:rsidRPr="003E3312">
        <w:rPr>
          <w:lang w:val="fr-CA"/>
        </w:rPr>
        <w:instrText>HYPERLINK "https://cdpdj.qc.ca/storage/app/media/blocs-informations/pour-en-savoir-plus-accommodement-raisonnable/Guide_virtuel_accommodement.pdf"</w:instrText>
      </w:r>
      <w:r>
        <w:fldChar w:fldCharType="separate"/>
      </w:r>
      <w:r w:rsidRPr="003D6F7B">
        <w:rPr>
          <w:rStyle w:val="Lienhypertexte"/>
          <w:rFonts w:ascii="Arial" w:hAnsi="Arial" w:cs="Arial"/>
          <w:sz w:val="18"/>
          <w:szCs w:val="18"/>
        </w:rPr>
        <w:t>https://cdpdj.qc.ca/storage/app/media/blocs-informations/pour-en-savoir-plus-accommodement-raisonnable/Guide_virtuel_accommodement.pdf</w:t>
      </w:r>
      <w:r>
        <w:rPr>
          <w:rStyle w:val="Lienhypertexte"/>
          <w:rFonts w:ascii="Arial" w:hAnsi="Arial" w:cs="Arial"/>
          <w:sz w:val="18"/>
          <w:szCs w:val="18"/>
        </w:rPr>
        <w:fldChar w:fldCharType="end"/>
      </w:r>
      <w:r w:rsidRPr="003D6F7B">
        <w:rPr>
          <w:rStyle w:val="NbpCar"/>
          <w:lang w:val="en-US"/>
        </w:rPr>
        <w:t xml:space="preserve">   </w:t>
      </w:r>
    </w:p>
  </w:endnote>
  <w:endnote w:id="171">
    <w:p w14:paraId="4789CFEE" w14:textId="4F97FB81"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eastAsiaTheme="majorEastAsia"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Conseil des Canadiens avec déficience</w:t>
      </w:r>
      <w:r w:rsidRPr="00BD22C2">
        <w:rPr>
          <w:rFonts w:ascii="Arial" w:hAnsi="Arial" w:cs="Arial"/>
          <w:sz w:val="18"/>
          <w:szCs w:val="18"/>
          <w:lang w:val="fr-CA"/>
        </w:rPr>
        <w:t xml:space="preserve"> c. </w:t>
      </w:r>
      <w:r w:rsidRPr="00BD22C2">
        <w:rPr>
          <w:rFonts w:ascii="Arial" w:hAnsi="Arial" w:cs="Arial"/>
          <w:i/>
          <w:sz w:val="18"/>
          <w:szCs w:val="18"/>
          <w:lang w:val="fr-CA"/>
        </w:rPr>
        <w:t>Via Rail Canada</w:t>
      </w:r>
      <w:r w:rsidRPr="00BD22C2">
        <w:rPr>
          <w:rFonts w:ascii="Arial" w:hAnsi="Arial" w:cs="Arial"/>
          <w:sz w:val="18"/>
          <w:szCs w:val="18"/>
          <w:lang w:val="fr-CA"/>
        </w:rPr>
        <w:t>, [2007] 1</w:t>
      </w:r>
      <w:r w:rsidR="00B32B61">
        <w:rPr>
          <w:rFonts w:ascii="Arial" w:hAnsi="Arial" w:cs="Arial"/>
          <w:sz w:val="18"/>
          <w:szCs w:val="18"/>
          <w:lang w:val="fr-CA"/>
        </w:rPr>
        <w:t> </w:t>
      </w:r>
      <w:r w:rsidRPr="00BD22C2">
        <w:rPr>
          <w:rFonts w:ascii="Arial" w:hAnsi="Arial" w:cs="Arial"/>
          <w:sz w:val="18"/>
          <w:szCs w:val="18"/>
          <w:lang w:val="fr-CA"/>
        </w:rPr>
        <w:t>R.C.S.</w:t>
      </w:r>
      <w:r w:rsidR="00F915F8" w:rsidRPr="00BD22C2">
        <w:rPr>
          <w:rFonts w:ascii="Arial" w:hAnsi="Arial" w:cs="Arial"/>
          <w:sz w:val="18"/>
          <w:szCs w:val="18"/>
          <w:lang w:val="fr-CA"/>
        </w:rPr>
        <w:t> </w:t>
      </w:r>
      <w:r w:rsidRPr="00BD22C2">
        <w:rPr>
          <w:rFonts w:ascii="Arial" w:hAnsi="Arial" w:cs="Arial"/>
          <w:sz w:val="18"/>
          <w:szCs w:val="18"/>
          <w:lang w:val="fr-CA"/>
        </w:rPr>
        <w:t>650.</w:t>
      </w:r>
    </w:p>
  </w:endnote>
  <w:endnote w:id="172">
    <w:p w14:paraId="0CFABE32" w14:textId="4B3924D6" w:rsidR="007750B5" w:rsidRPr="00E16C03" w:rsidRDefault="007750B5"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eastAsiaTheme="majorEastAsia"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A53CF4">
        <w:rPr>
          <w:rStyle w:val="NotesBasPageCar"/>
          <w:i/>
          <w:iCs/>
          <w:lang w:val="en-CA"/>
        </w:rPr>
        <w:t>Id</w:t>
      </w:r>
      <w:r w:rsidRPr="00E16C03">
        <w:rPr>
          <w:rStyle w:val="NotesBasPageCar"/>
          <w:lang w:val="en-CA"/>
        </w:rPr>
        <w:t>., voir aussi</w:t>
      </w:r>
      <w:r w:rsidRPr="00E16C03">
        <w:rPr>
          <w:rFonts w:ascii="Arial" w:hAnsi="Arial" w:cs="Arial"/>
          <w:sz w:val="18"/>
          <w:szCs w:val="18"/>
          <w:lang w:val="en-CA"/>
        </w:rPr>
        <w:t xml:space="preserve"> </w:t>
      </w:r>
      <w:r w:rsidRPr="00E16C03">
        <w:rPr>
          <w:rFonts w:ascii="Arial" w:hAnsi="Arial" w:cs="Arial"/>
          <w:i/>
          <w:sz w:val="18"/>
          <w:szCs w:val="18"/>
          <w:lang w:val="en-CA"/>
        </w:rPr>
        <w:t>Central Alberta Dairy Pool</w:t>
      </w:r>
      <w:r w:rsidRPr="00E16C03">
        <w:rPr>
          <w:rFonts w:ascii="Arial" w:hAnsi="Arial" w:cs="Arial"/>
          <w:sz w:val="18"/>
          <w:szCs w:val="18"/>
          <w:lang w:val="en-CA"/>
        </w:rPr>
        <w:t xml:space="preserve"> c</w:t>
      </w:r>
      <w:r w:rsidRPr="00E16C03">
        <w:rPr>
          <w:rFonts w:ascii="Arial" w:hAnsi="Arial" w:cs="Arial"/>
          <w:i/>
          <w:sz w:val="18"/>
          <w:szCs w:val="18"/>
          <w:lang w:val="en-CA"/>
        </w:rPr>
        <w:t>. Alberta (H.R.C.)</w:t>
      </w:r>
      <w:r w:rsidRPr="00E16C03">
        <w:rPr>
          <w:rFonts w:ascii="Arial" w:hAnsi="Arial" w:cs="Arial"/>
          <w:sz w:val="18"/>
          <w:szCs w:val="18"/>
          <w:lang w:val="en-CA"/>
        </w:rPr>
        <w:t>, [1990] 2</w:t>
      </w:r>
      <w:r w:rsidR="00B32B61">
        <w:rPr>
          <w:rFonts w:ascii="Arial" w:hAnsi="Arial" w:cs="Arial"/>
          <w:sz w:val="18"/>
          <w:szCs w:val="18"/>
          <w:lang w:val="en-CA"/>
        </w:rPr>
        <w:t> </w:t>
      </w:r>
      <w:r w:rsidRPr="00E16C03">
        <w:rPr>
          <w:rFonts w:ascii="Arial" w:hAnsi="Arial" w:cs="Arial"/>
          <w:sz w:val="18"/>
          <w:szCs w:val="18"/>
          <w:lang w:val="en-CA"/>
        </w:rPr>
        <w:t>R.C.S.</w:t>
      </w:r>
      <w:r w:rsidR="00F915F8" w:rsidRPr="00E16C03">
        <w:rPr>
          <w:rFonts w:ascii="Arial" w:hAnsi="Arial" w:cs="Arial"/>
          <w:sz w:val="18"/>
          <w:szCs w:val="18"/>
          <w:lang w:val="en-CA"/>
        </w:rPr>
        <w:t> </w:t>
      </w:r>
      <w:r w:rsidRPr="00E16C03">
        <w:rPr>
          <w:rFonts w:ascii="Arial" w:hAnsi="Arial" w:cs="Arial"/>
          <w:sz w:val="18"/>
          <w:szCs w:val="18"/>
          <w:lang w:val="en-CA"/>
        </w:rPr>
        <w:t xml:space="preserve">489 et </w:t>
      </w:r>
      <w:r w:rsidRPr="001239A0">
        <w:rPr>
          <w:rFonts w:ascii="Arial" w:hAnsi="Arial" w:cs="Arial"/>
          <w:i/>
          <w:sz w:val="18"/>
          <w:szCs w:val="18"/>
          <w:lang w:val="en-CA"/>
        </w:rPr>
        <w:t>Central Okanagan School District No.</w:t>
      </w:r>
      <w:r w:rsidR="00F915F8" w:rsidRPr="001239A0">
        <w:rPr>
          <w:rFonts w:ascii="Arial" w:hAnsi="Arial" w:cs="Arial"/>
          <w:i/>
          <w:sz w:val="18"/>
          <w:szCs w:val="18"/>
          <w:lang w:val="en-CA"/>
        </w:rPr>
        <w:t> </w:t>
      </w:r>
      <w:r w:rsidRPr="001239A0">
        <w:rPr>
          <w:rFonts w:ascii="Arial" w:hAnsi="Arial" w:cs="Arial"/>
          <w:i/>
          <w:sz w:val="18"/>
          <w:szCs w:val="18"/>
          <w:lang w:val="en-CA"/>
        </w:rPr>
        <w:t>23</w:t>
      </w:r>
      <w:r w:rsidRPr="00E16C03">
        <w:rPr>
          <w:rFonts w:ascii="Arial" w:hAnsi="Arial" w:cs="Arial"/>
          <w:sz w:val="18"/>
          <w:szCs w:val="18"/>
          <w:lang w:val="en-CA"/>
        </w:rPr>
        <w:t xml:space="preserve"> c. </w:t>
      </w:r>
      <w:r w:rsidRPr="001239A0">
        <w:rPr>
          <w:rFonts w:ascii="Arial" w:hAnsi="Arial" w:cs="Arial"/>
          <w:i/>
          <w:sz w:val="18"/>
          <w:szCs w:val="18"/>
          <w:lang w:val="en-CA"/>
        </w:rPr>
        <w:t>Renaud</w:t>
      </w:r>
      <w:r w:rsidRPr="00E16C03">
        <w:rPr>
          <w:rFonts w:ascii="Arial" w:hAnsi="Arial" w:cs="Arial"/>
          <w:sz w:val="18"/>
          <w:szCs w:val="18"/>
          <w:lang w:val="en-CA"/>
        </w:rPr>
        <w:t>, [1992] 2</w:t>
      </w:r>
      <w:r w:rsidR="00B32B61">
        <w:rPr>
          <w:rFonts w:ascii="Arial" w:hAnsi="Arial" w:cs="Arial"/>
          <w:sz w:val="18"/>
          <w:szCs w:val="18"/>
          <w:lang w:val="en-CA"/>
        </w:rPr>
        <w:t> </w:t>
      </w:r>
      <w:r w:rsidRPr="00E16C03">
        <w:rPr>
          <w:rFonts w:ascii="Arial" w:hAnsi="Arial" w:cs="Arial"/>
          <w:sz w:val="18"/>
          <w:szCs w:val="18"/>
          <w:lang w:val="en-CA"/>
        </w:rPr>
        <w:t>R.C.S.</w:t>
      </w:r>
      <w:r w:rsidR="00F915F8" w:rsidRPr="00E16C03">
        <w:rPr>
          <w:rFonts w:ascii="Arial" w:hAnsi="Arial" w:cs="Arial"/>
          <w:sz w:val="18"/>
          <w:szCs w:val="18"/>
          <w:lang w:val="en-CA"/>
        </w:rPr>
        <w:t> </w:t>
      </w:r>
      <w:r w:rsidRPr="00E16C03">
        <w:rPr>
          <w:rFonts w:ascii="Arial" w:hAnsi="Arial" w:cs="Arial"/>
          <w:sz w:val="18"/>
          <w:szCs w:val="18"/>
          <w:lang w:val="en-CA"/>
        </w:rPr>
        <w:t xml:space="preserve">970.  </w:t>
      </w:r>
    </w:p>
  </w:endnote>
  <w:endnote w:id="173">
    <w:p w14:paraId="0A5F4AC0" w14:textId="2101497D"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eastAsiaTheme="majorEastAsia"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i/>
          <w:sz w:val="18"/>
          <w:szCs w:val="18"/>
          <w:lang w:val="fr-CA"/>
        </w:rPr>
        <w:t>Colombie-Britannique</w:t>
      </w:r>
      <w:r w:rsidRPr="00BD22C2">
        <w:rPr>
          <w:rFonts w:ascii="Arial" w:hAnsi="Arial" w:cs="Arial"/>
          <w:sz w:val="18"/>
          <w:szCs w:val="18"/>
          <w:lang w:val="fr-CA"/>
        </w:rPr>
        <w:t xml:space="preserve"> c. </w:t>
      </w:r>
      <w:r w:rsidRPr="00BD22C2">
        <w:rPr>
          <w:rFonts w:ascii="Arial" w:hAnsi="Arial" w:cs="Arial"/>
          <w:i/>
          <w:sz w:val="18"/>
          <w:szCs w:val="18"/>
          <w:lang w:val="fr-CA"/>
        </w:rPr>
        <w:t>B.C.G.S.E.U</w:t>
      </w:r>
      <w:r w:rsidRPr="00BD22C2">
        <w:rPr>
          <w:rFonts w:ascii="Arial" w:hAnsi="Arial" w:cs="Arial"/>
          <w:sz w:val="18"/>
          <w:szCs w:val="18"/>
          <w:lang w:val="fr-CA"/>
        </w:rPr>
        <w:t xml:space="preserve">., </w:t>
      </w:r>
      <w:r w:rsidR="00C722B6" w:rsidRPr="00BD22C2">
        <w:rPr>
          <w:rFonts w:ascii="Arial" w:hAnsi="Arial" w:cs="Arial"/>
          <w:sz w:val="18"/>
          <w:szCs w:val="18"/>
          <w:lang w:val="fr-CA"/>
        </w:rPr>
        <w:t>préc., note</w:t>
      </w:r>
      <w:r w:rsidR="00CE1914">
        <w:rPr>
          <w:rFonts w:ascii="Arial" w:hAnsi="Arial" w:cs="Arial"/>
          <w:sz w:val="18"/>
          <w:szCs w:val="18"/>
          <w:lang w:val="fr-CA"/>
        </w:rPr>
        <w:t> </w:t>
      </w:r>
      <w:r w:rsidR="00FD31E5" w:rsidRPr="00BD22C2">
        <w:rPr>
          <w:rFonts w:ascii="Arial" w:hAnsi="Arial" w:cs="Arial"/>
          <w:sz w:val="18"/>
          <w:szCs w:val="18"/>
          <w:lang w:val="fr-CA"/>
        </w:rPr>
        <w:fldChar w:fldCharType="begin"/>
      </w:r>
      <w:r w:rsidR="00FD31E5" w:rsidRPr="00BD22C2">
        <w:rPr>
          <w:rFonts w:ascii="Arial" w:hAnsi="Arial" w:cs="Arial"/>
          <w:sz w:val="18"/>
          <w:szCs w:val="18"/>
          <w:lang w:val="fr-CA"/>
        </w:rPr>
        <w:instrText xml:space="preserve"> NOTEREF _Ref167438553 \h </w:instrText>
      </w:r>
      <w:r w:rsidR="00FD31E5" w:rsidRPr="00BD22C2">
        <w:rPr>
          <w:rFonts w:ascii="Arial" w:hAnsi="Arial" w:cs="Arial"/>
          <w:sz w:val="18"/>
          <w:szCs w:val="18"/>
          <w:lang w:val="fr-CA"/>
        </w:rPr>
      </w:r>
      <w:r w:rsidR="00FD31E5" w:rsidRPr="00BD22C2">
        <w:rPr>
          <w:rFonts w:ascii="Arial" w:hAnsi="Arial" w:cs="Arial"/>
          <w:sz w:val="18"/>
          <w:szCs w:val="18"/>
          <w:lang w:val="fr-CA"/>
        </w:rPr>
        <w:fldChar w:fldCharType="separate"/>
      </w:r>
      <w:r w:rsidR="004B4881">
        <w:rPr>
          <w:rFonts w:ascii="Arial" w:hAnsi="Arial" w:cs="Arial"/>
          <w:sz w:val="18"/>
          <w:szCs w:val="18"/>
          <w:lang w:val="fr-CA"/>
        </w:rPr>
        <w:t>168</w:t>
      </w:r>
      <w:r w:rsidR="00FD31E5" w:rsidRPr="00BD22C2">
        <w:rPr>
          <w:rFonts w:ascii="Arial" w:hAnsi="Arial" w:cs="Arial"/>
          <w:sz w:val="18"/>
          <w:szCs w:val="18"/>
          <w:lang w:val="fr-CA"/>
        </w:rPr>
        <w:fldChar w:fldCharType="end"/>
      </w:r>
      <w:r w:rsidRPr="00BD22C2">
        <w:rPr>
          <w:rFonts w:ascii="Arial" w:hAnsi="Arial" w:cs="Arial"/>
          <w:sz w:val="18"/>
          <w:szCs w:val="18"/>
          <w:lang w:val="fr-CA"/>
        </w:rPr>
        <w:t>, par. 62.</w:t>
      </w:r>
    </w:p>
  </w:endnote>
  <w:endnote w:id="174">
    <w:p w14:paraId="04C35F47" w14:textId="7672DF00"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eastAsiaTheme="majorEastAsia" w:hAnsi="Arial" w:cs="Arial"/>
          <w:sz w:val="18"/>
          <w:szCs w:val="18"/>
          <w:lang w:val="fr-CA"/>
        </w:rPr>
        <w:endnoteRef/>
      </w:r>
      <w:r w:rsidRPr="00E16C03">
        <w:rPr>
          <w:rFonts w:ascii="Arial" w:hAnsi="Arial" w:cs="Arial"/>
          <w:sz w:val="18"/>
          <w:szCs w:val="18"/>
          <w:lang w:val="en-CA"/>
        </w:rPr>
        <w:t xml:space="preserve"> </w:t>
      </w:r>
      <w:r w:rsidR="00475019" w:rsidRPr="00E16C03">
        <w:rPr>
          <w:rFonts w:ascii="Arial" w:hAnsi="Arial" w:cs="Arial"/>
          <w:sz w:val="18"/>
          <w:szCs w:val="18"/>
          <w:lang w:val="en-CA"/>
        </w:rPr>
        <w:tab/>
      </w:r>
      <w:r w:rsidRPr="00E16C03">
        <w:rPr>
          <w:rStyle w:val="NotesBasPageCar"/>
          <w:i/>
          <w:lang w:val="en-CA"/>
        </w:rPr>
        <w:t>C.-B. (Superintendent of Motor Vehicles)</w:t>
      </w:r>
      <w:r w:rsidRPr="00E16C03">
        <w:rPr>
          <w:rStyle w:val="NotesBasPageCar"/>
          <w:lang w:val="en-CA"/>
        </w:rPr>
        <w:t xml:space="preserve"> c. </w:t>
      </w:r>
      <w:r w:rsidRPr="00E16C03">
        <w:rPr>
          <w:rStyle w:val="NotesBasPageCar"/>
          <w:i/>
          <w:lang w:val="en-CA"/>
        </w:rPr>
        <w:t>C.-B. (Council of Human Rights)</w:t>
      </w:r>
      <w:r w:rsidRPr="00E16C03">
        <w:rPr>
          <w:rStyle w:val="NotesBasPageCar"/>
          <w:lang w:val="en-CA"/>
        </w:rPr>
        <w:t>, [1999] 3</w:t>
      </w:r>
      <w:r w:rsidR="00B32B61">
        <w:rPr>
          <w:rStyle w:val="NotesBasPageCar"/>
          <w:lang w:val="en-CA"/>
        </w:rPr>
        <w:t> </w:t>
      </w:r>
      <w:r w:rsidRPr="00E16C03">
        <w:rPr>
          <w:rStyle w:val="NotesBasPageCar"/>
          <w:lang w:val="en-CA"/>
        </w:rPr>
        <w:t>R.C.S.</w:t>
      </w:r>
      <w:r w:rsidR="00F915F8" w:rsidRPr="00E16C03">
        <w:rPr>
          <w:rStyle w:val="NotesBasPageCar"/>
          <w:lang w:val="en-CA"/>
        </w:rPr>
        <w:t> </w:t>
      </w:r>
      <w:r w:rsidRPr="00E16C03">
        <w:rPr>
          <w:rStyle w:val="NotesBasPageCar"/>
          <w:lang w:val="en-CA"/>
        </w:rPr>
        <w:t xml:space="preserve">868, par. 41. </w:t>
      </w:r>
      <w:r w:rsidRPr="00BD22C2">
        <w:rPr>
          <w:rStyle w:val="NotesBasPageCar"/>
          <w:lang w:val="fr-CA"/>
        </w:rPr>
        <w:t>Voir aussi</w:t>
      </w:r>
      <w:r w:rsidRPr="00BD22C2">
        <w:rPr>
          <w:rFonts w:ascii="Arial" w:hAnsi="Arial" w:cs="Arial"/>
          <w:color w:val="6D6E71"/>
          <w:sz w:val="18"/>
          <w:szCs w:val="18"/>
          <w:lang w:val="fr-CA"/>
        </w:rPr>
        <w:t xml:space="preserve"> </w:t>
      </w:r>
      <w:r w:rsidRPr="00BD22C2">
        <w:rPr>
          <w:rFonts w:ascii="Arial" w:hAnsi="Arial" w:cs="Arial"/>
          <w:sz w:val="18"/>
          <w:szCs w:val="18"/>
          <w:lang w:val="fr-CA"/>
        </w:rPr>
        <w:t xml:space="preserve">Daniel </w:t>
      </w:r>
      <w:r w:rsidRPr="00BD22C2">
        <w:rPr>
          <w:rFonts w:ascii="Arial" w:hAnsi="Arial" w:cs="Arial"/>
          <w:smallCaps/>
          <w:sz w:val="18"/>
          <w:szCs w:val="18"/>
          <w:lang w:val="fr-CA"/>
        </w:rPr>
        <w:t>Proulx</w:t>
      </w:r>
      <w:r w:rsidRPr="00BD22C2">
        <w:rPr>
          <w:rFonts w:ascii="Arial" w:hAnsi="Arial" w:cs="Arial"/>
          <w:sz w:val="18"/>
          <w:szCs w:val="18"/>
          <w:lang w:val="fr-CA"/>
        </w:rPr>
        <w:t xml:space="preserve"> et Frédérick </w:t>
      </w:r>
      <w:r w:rsidR="00D118AF">
        <w:rPr>
          <w:rFonts w:ascii="Arial" w:hAnsi="Arial" w:cs="Arial"/>
          <w:sz w:val="18"/>
          <w:szCs w:val="18"/>
          <w:lang w:val="fr-CA"/>
        </w:rPr>
        <w:t xml:space="preserve">J. </w:t>
      </w:r>
      <w:r w:rsidRPr="00BD22C2">
        <w:rPr>
          <w:rFonts w:ascii="Arial" w:hAnsi="Arial" w:cs="Arial"/>
          <w:smallCaps/>
          <w:sz w:val="18"/>
          <w:szCs w:val="18"/>
          <w:lang w:val="fr-CA"/>
        </w:rPr>
        <w:t>Doucet</w:t>
      </w:r>
      <w:r w:rsidRPr="00BD22C2">
        <w:rPr>
          <w:rFonts w:ascii="Arial" w:hAnsi="Arial" w:cs="Arial"/>
          <w:sz w:val="18"/>
          <w:szCs w:val="18"/>
          <w:lang w:val="fr-CA"/>
        </w:rPr>
        <w:t xml:space="preserve">, </w:t>
      </w:r>
      <w:r w:rsidR="004803FF">
        <w:rPr>
          <w:rFonts w:ascii="Arial" w:hAnsi="Arial" w:cs="Arial"/>
          <w:sz w:val="18"/>
          <w:szCs w:val="18"/>
          <w:lang w:val="fr-CA"/>
        </w:rPr>
        <w:t xml:space="preserve">préc., note </w:t>
      </w:r>
      <w:r w:rsidR="00EF62ED">
        <w:rPr>
          <w:rFonts w:ascii="Arial" w:hAnsi="Arial" w:cs="Arial"/>
          <w:sz w:val="18"/>
          <w:szCs w:val="18"/>
          <w:lang w:val="fr-CA"/>
        </w:rPr>
        <w:fldChar w:fldCharType="begin"/>
      </w:r>
      <w:r w:rsidR="00EF62ED">
        <w:rPr>
          <w:rFonts w:ascii="Arial" w:hAnsi="Arial" w:cs="Arial"/>
          <w:sz w:val="18"/>
          <w:szCs w:val="18"/>
          <w:lang w:val="fr-CA"/>
        </w:rPr>
        <w:instrText xml:space="preserve"> NOTEREF _Ref166054470 \h </w:instrText>
      </w:r>
      <w:r w:rsidR="00EF62ED">
        <w:rPr>
          <w:rFonts w:ascii="Arial" w:hAnsi="Arial" w:cs="Arial"/>
          <w:sz w:val="18"/>
          <w:szCs w:val="18"/>
          <w:lang w:val="fr-CA"/>
        </w:rPr>
      </w:r>
      <w:r w:rsidR="00EF62ED">
        <w:rPr>
          <w:rFonts w:ascii="Arial" w:hAnsi="Arial" w:cs="Arial"/>
          <w:sz w:val="18"/>
          <w:szCs w:val="18"/>
          <w:lang w:val="fr-CA"/>
        </w:rPr>
        <w:fldChar w:fldCharType="separate"/>
      </w:r>
      <w:r w:rsidR="004B4881">
        <w:rPr>
          <w:rFonts w:ascii="Arial" w:hAnsi="Arial" w:cs="Arial"/>
          <w:sz w:val="18"/>
          <w:szCs w:val="18"/>
          <w:lang w:val="fr-CA"/>
        </w:rPr>
        <w:t>165</w:t>
      </w:r>
      <w:r w:rsidR="00EF62ED">
        <w:rPr>
          <w:rFonts w:ascii="Arial" w:hAnsi="Arial" w:cs="Arial"/>
          <w:sz w:val="18"/>
          <w:szCs w:val="18"/>
          <w:lang w:val="fr-CA"/>
        </w:rPr>
        <w:fldChar w:fldCharType="end"/>
      </w:r>
      <w:r w:rsidR="00C31BFC" w:rsidRPr="00BD22C2">
        <w:rPr>
          <w:rStyle w:val="NotesBasPageCar"/>
          <w:lang w:val="fr-CA"/>
        </w:rPr>
        <w:t xml:space="preserve">, </w:t>
      </w:r>
      <w:r w:rsidRPr="00BD22C2">
        <w:rPr>
          <w:rFonts w:ascii="Arial" w:hAnsi="Arial" w:cs="Arial"/>
          <w:sz w:val="18"/>
          <w:szCs w:val="18"/>
          <w:lang w:val="fr-CA"/>
        </w:rPr>
        <w:t xml:space="preserve">par. 144. </w:t>
      </w:r>
    </w:p>
  </w:endnote>
  <w:endnote w:id="175">
    <w:p w14:paraId="2043766C" w14:textId="13E8DBBF"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A08DC">
        <w:rPr>
          <w:rFonts w:ascii="Arial" w:hAnsi="Arial" w:cs="Arial"/>
          <w:sz w:val="18"/>
          <w:szCs w:val="18"/>
          <w:lang w:val="fr-CA"/>
        </w:rPr>
        <w:t>D.</w:t>
      </w:r>
      <w:r w:rsidR="006305FE">
        <w:rPr>
          <w:rFonts w:ascii="Arial" w:hAnsi="Arial" w:cs="Arial"/>
          <w:sz w:val="18"/>
          <w:szCs w:val="18"/>
          <w:lang w:val="fr-CA"/>
        </w:rPr>
        <w:t> </w:t>
      </w:r>
      <w:r w:rsidRPr="00BD22C2">
        <w:rPr>
          <w:rStyle w:val="NotesBasPageCar"/>
          <w:smallCaps/>
          <w:lang w:val="fr-CA"/>
        </w:rPr>
        <w:t>Proulx</w:t>
      </w:r>
      <w:r w:rsidRPr="00BD22C2">
        <w:rPr>
          <w:rStyle w:val="NotesBasPageCar"/>
          <w:lang w:val="fr-CA"/>
        </w:rPr>
        <w:t xml:space="preserve"> et </w:t>
      </w:r>
      <w:r w:rsidR="007A08DC">
        <w:rPr>
          <w:rStyle w:val="NotesBasPageCar"/>
          <w:lang w:val="fr-CA"/>
        </w:rPr>
        <w:t>F.</w:t>
      </w:r>
      <w:r w:rsidR="006305FE">
        <w:rPr>
          <w:rStyle w:val="NotesBasPageCar"/>
          <w:lang w:val="fr-CA"/>
        </w:rPr>
        <w:t> </w:t>
      </w:r>
      <w:r w:rsidRPr="00BD22C2">
        <w:rPr>
          <w:rStyle w:val="NotesBasPageCar"/>
          <w:smallCaps/>
          <w:lang w:val="fr-CA"/>
        </w:rPr>
        <w:t>Doucet</w:t>
      </w:r>
      <w:r w:rsidRPr="00BD22C2">
        <w:rPr>
          <w:rStyle w:val="NotesBasPageCar"/>
          <w:lang w:val="fr-CA"/>
        </w:rPr>
        <w:t xml:space="preserve">, </w:t>
      </w:r>
      <w:r w:rsidR="002B11E5">
        <w:rPr>
          <w:rStyle w:val="NotesBasPageCar"/>
          <w:i/>
          <w:lang w:val="fr-CA"/>
        </w:rPr>
        <w:t>id.</w:t>
      </w:r>
      <w:r w:rsidR="00C12B08">
        <w:rPr>
          <w:rStyle w:val="NotesBasPageCar"/>
          <w:iCs/>
          <w:lang w:val="fr-CA"/>
        </w:rPr>
        <w:t>,</w:t>
      </w:r>
      <w:r w:rsidRPr="00BD22C2">
        <w:rPr>
          <w:rStyle w:val="NotesBasPageCar"/>
          <w:lang w:val="fr-CA"/>
        </w:rPr>
        <w:t xml:space="preserve"> par. 128</w:t>
      </w:r>
      <w:r w:rsidR="007A08DC">
        <w:rPr>
          <w:rStyle w:val="NotesBasPageCar"/>
          <w:lang w:val="fr-CA"/>
        </w:rPr>
        <w:t xml:space="preserve"> à </w:t>
      </w:r>
      <w:r w:rsidRPr="00BD22C2">
        <w:rPr>
          <w:rStyle w:val="NotesBasPageCar"/>
          <w:lang w:val="fr-CA"/>
        </w:rPr>
        <w:t>138.</w:t>
      </w:r>
    </w:p>
  </w:endnote>
  <w:endnote w:id="176">
    <w:p w14:paraId="5722D7DD" w14:textId="7946092D"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Brossard (Ville)</w:t>
      </w:r>
      <w:r w:rsidRPr="00BD22C2">
        <w:rPr>
          <w:rFonts w:ascii="Arial" w:hAnsi="Arial" w:cs="Arial"/>
          <w:sz w:val="18"/>
          <w:szCs w:val="18"/>
          <w:lang w:val="fr-CA"/>
        </w:rPr>
        <w:t xml:space="preserve"> c. </w:t>
      </w:r>
      <w:r w:rsidRPr="00BD22C2">
        <w:rPr>
          <w:rFonts w:ascii="Arial" w:hAnsi="Arial" w:cs="Arial"/>
          <w:i/>
          <w:sz w:val="18"/>
          <w:szCs w:val="18"/>
          <w:lang w:val="fr-CA"/>
        </w:rPr>
        <w:t>Québec (Commission des droits de la personne)</w:t>
      </w:r>
      <w:r w:rsidRPr="00BD22C2">
        <w:rPr>
          <w:rFonts w:ascii="Arial" w:hAnsi="Arial" w:cs="Arial"/>
          <w:sz w:val="18"/>
          <w:szCs w:val="18"/>
          <w:lang w:val="fr-CA"/>
        </w:rPr>
        <w:t>, [1988] 2</w:t>
      </w:r>
      <w:r w:rsidR="00B32B61">
        <w:rPr>
          <w:rFonts w:ascii="Arial" w:hAnsi="Arial" w:cs="Arial"/>
          <w:sz w:val="18"/>
          <w:szCs w:val="18"/>
          <w:lang w:val="fr-CA"/>
        </w:rPr>
        <w:t> </w:t>
      </w:r>
      <w:r w:rsidRPr="00BD22C2">
        <w:rPr>
          <w:rFonts w:ascii="Arial" w:hAnsi="Arial" w:cs="Arial"/>
          <w:sz w:val="18"/>
          <w:szCs w:val="18"/>
          <w:lang w:val="fr-CA"/>
        </w:rPr>
        <w:t>R.C.S.</w:t>
      </w:r>
      <w:r w:rsidR="00F915F8" w:rsidRPr="00BD22C2">
        <w:rPr>
          <w:rFonts w:ascii="Arial" w:hAnsi="Arial" w:cs="Arial"/>
          <w:sz w:val="18"/>
          <w:szCs w:val="18"/>
          <w:lang w:val="fr-CA"/>
        </w:rPr>
        <w:t> </w:t>
      </w:r>
      <w:r w:rsidRPr="00BD22C2">
        <w:rPr>
          <w:rFonts w:ascii="Arial" w:hAnsi="Arial" w:cs="Arial"/>
          <w:sz w:val="18"/>
          <w:szCs w:val="18"/>
          <w:lang w:val="fr-CA"/>
        </w:rPr>
        <w:t xml:space="preserve">279, par. 130. </w:t>
      </w:r>
    </w:p>
  </w:endnote>
  <w:endnote w:id="177">
    <w:p w14:paraId="6EC00FD3" w14:textId="4A436FCE"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2053BC" w:rsidRPr="00BD22C2">
        <w:rPr>
          <w:rFonts w:ascii="Arial" w:hAnsi="Arial" w:cs="Arial"/>
          <w:i/>
          <w:sz w:val="18"/>
          <w:szCs w:val="18"/>
          <w:lang w:val="fr-CA"/>
        </w:rPr>
        <w:t>Id.</w:t>
      </w:r>
      <w:r w:rsidRPr="00BD22C2">
        <w:rPr>
          <w:rFonts w:ascii="Arial" w:hAnsi="Arial" w:cs="Arial"/>
          <w:sz w:val="18"/>
          <w:szCs w:val="18"/>
          <w:lang w:val="fr-CA"/>
        </w:rPr>
        <w:t>, par. 100.</w:t>
      </w:r>
    </w:p>
  </w:endnote>
  <w:endnote w:id="178">
    <w:p w14:paraId="592C09FC" w14:textId="424ADAB7"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2053BC" w:rsidRPr="00BD22C2">
        <w:rPr>
          <w:rFonts w:ascii="Arial" w:hAnsi="Arial" w:cs="Arial"/>
          <w:i/>
          <w:sz w:val="18"/>
          <w:szCs w:val="18"/>
          <w:lang w:val="fr-CA"/>
        </w:rPr>
        <w:t>Id.</w:t>
      </w:r>
      <w:r w:rsidRPr="00BD22C2">
        <w:rPr>
          <w:rFonts w:ascii="Arial" w:hAnsi="Arial" w:cs="Arial"/>
          <w:sz w:val="18"/>
          <w:szCs w:val="18"/>
          <w:lang w:val="fr-CA"/>
        </w:rPr>
        <w:t xml:space="preserve">, par. 117. </w:t>
      </w:r>
    </w:p>
  </w:endnote>
  <w:endnote w:id="179">
    <w:p w14:paraId="0987FDF7" w14:textId="74435A0D"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2053BC" w:rsidRPr="00BD22C2">
        <w:rPr>
          <w:rFonts w:ascii="Arial" w:hAnsi="Arial" w:cs="Arial"/>
          <w:i/>
          <w:sz w:val="18"/>
          <w:szCs w:val="18"/>
          <w:lang w:val="fr-CA"/>
        </w:rPr>
        <w:t>Id.</w:t>
      </w:r>
      <w:r w:rsidRPr="00BD22C2">
        <w:rPr>
          <w:rFonts w:ascii="Arial" w:hAnsi="Arial" w:cs="Arial"/>
          <w:sz w:val="18"/>
          <w:szCs w:val="18"/>
          <w:lang w:val="fr-CA"/>
        </w:rPr>
        <w:t xml:space="preserve">, par. 135. </w:t>
      </w:r>
    </w:p>
  </w:endnote>
  <w:endnote w:id="180">
    <w:p w14:paraId="4126920C" w14:textId="6BD81FBB"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2053BC" w:rsidRPr="00BD22C2">
        <w:rPr>
          <w:rFonts w:ascii="Arial" w:hAnsi="Arial" w:cs="Arial"/>
          <w:i/>
          <w:sz w:val="18"/>
          <w:szCs w:val="18"/>
          <w:lang w:val="fr-CA"/>
        </w:rPr>
        <w:t>Id.</w:t>
      </w:r>
      <w:r w:rsidRPr="00BD22C2">
        <w:rPr>
          <w:rFonts w:ascii="Arial" w:hAnsi="Arial" w:cs="Arial"/>
          <w:sz w:val="18"/>
          <w:szCs w:val="18"/>
          <w:lang w:val="fr-CA"/>
        </w:rPr>
        <w:t xml:space="preserve">, par. 134. </w:t>
      </w:r>
    </w:p>
  </w:endnote>
  <w:endnote w:id="181">
    <w:p w14:paraId="7FBD9B5D" w14:textId="0C65566E" w:rsidR="007750B5" w:rsidRPr="00BD22C2" w:rsidRDefault="007750B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Association A.D.G.Q</w:t>
      </w:r>
      <w:r w:rsidRPr="00BD22C2">
        <w:rPr>
          <w:rFonts w:ascii="Arial" w:hAnsi="Arial" w:cs="Arial"/>
          <w:sz w:val="18"/>
          <w:szCs w:val="18"/>
          <w:lang w:val="fr-CA"/>
        </w:rPr>
        <w:t xml:space="preserve">. c. </w:t>
      </w:r>
      <w:r w:rsidRPr="00BD22C2">
        <w:rPr>
          <w:rFonts w:ascii="Arial" w:hAnsi="Arial" w:cs="Arial"/>
          <w:i/>
          <w:sz w:val="18"/>
          <w:szCs w:val="18"/>
          <w:lang w:val="fr-CA"/>
        </w:rPr>
        <w:t>Commission des écoles catholiques de Montréal</w:t>
      </w:r>
      <w:r w:rsidR="00704DD3" w:rsidRPr="00BD22C2">
        <w:rPr>
          <w:rFonts w:ascii="Arial" w:hAnsi="Arial" w:cs="Arial"/>
          <w:sz w:val="18"/>
          <w:szCs w:val="18"/>
          <w:lang w:val="fr-CA"/>
        </w:rPr>
        <w:t>,</w:t>
      </w:r>
      <w:r w:rsidRPr="00BD22C2">
        <w:rPr>
          <w:rFonts w:ascii="Arial" w:hAnsi="Arial" w:cs="Arial"/>
          <w:sz w:val="18"/>
          <w:szCs w:val="18"/>
          <w:lang w:val="fr-CA"/>
        </w:rPr>
        <w:t xml:space="preserve"> [1980] C.S.</w:t>
      </w:r>
      <w:r w:rsidR="00F915F8" w:rsidRPr="00BD22C2">
        <w:rPr>
          <w:rFonts w:ascii="Arial" w:hAnsi="Arial" w:cs="Arial"/>
          <w:sz w:val="18"/>
          <w:szCs w:val="18"/>
          <w:lang w:val="fr-CA"/>
        </w:rPr>
        <w:t> </w:t>
      </w:r>
      <w:r w:rsidRPr="00BD22C2">
        <w:rPr>
          <w:rFonts w:ascii="Arial" w:hAnsi="Arial" w:cs="Arial"/>
          <w:sz w:val="18"/>
          <w:szCs w:val="18"/>
          <w:lang w:val="fr-CA"/>
        </w:rPr>
        <w:t xml:space="preserve">93, cité dans </w:t>
      </w:r>
      <w:r w:rsidRPr="00BD22C2">
        <w:rPr>
          <w:rFonts w:ascii="Arial" w:hAnsi="Arial" w:cs="Arial"/>
          <w:i/>
          <w:sz w:val="18"/>
          <w:szCs w:val="18"/>
          <w:lang w:val="fr-CA"/>
        </w:rPr>
        <w:t>Brossard (Ville)</w:t>
      </w:r>
      <w:r w:rsidRPr="00BD22C2">
        <w:rPr>
          <w:rFonts w:ascii="Arial" w:hAnsi="Arial" w:cs="Arial"/>
          <w:sz w:val="18"/>
          <w:szCs w:val="18"/>
          <w:lang w:val="fr-CA"/>
        </w:rPr>
        <w:t xml:space="preserve"> c. </w:t>
      </w:r>
      <w:r w:rsidRPr="00BD22C2">
        <w:rPr>
          <w:rFonts w:ascii="Arial" w:hAnsi="Arial" w:cs="Arial"/>
          <w:i/>
          <w:sz w:val="18"/>
          <w:szCs w:val="18"/>
          <w:lang w:val="fr-CA"/>
        </w:rPr>
        <w:t>Québec (Commission des droits de la personne)</w:t>
      </w:r>
      <w:r w:rsidRPr="00BD22C2">
        <w:rPr>
          <w:rFonts w:ascii="Arial" w:hAnsi="Arial" w:cs="Arial"/>
          <w:sz w:val="18"/>
          <w:szCs w:val="18"/>
          <w:lang w:val="fr-CA"/>
        </w:rPr>
        <w:t xml:space="preserve">, </w:t>
      </w:r>
      <w:r w:rsidR="00293B45" w:rsidRPr="00BD22C2">
        <w:rPr>
          <w:rFonts w:ascii="Arial" w:hAnsi="Arial" w:cs="Arial"/>
          <w:sz w:val="18"/>
          <w:szCs w:val="18"/>
          <w:lang w:val="fr-CA"/>
        </w:rPr>
        <w:t>préc., note</w:t>
      </w:r>
      <w:r w:rsidR="00CE1914">
        <w:rPr>
          <w:rFonts w:ascii="Arial" w:hAnsi="Arial" w:cs="Arial"/>
          <w:sz w:val="18"/>
          <w:szCs w:val="18"/>
          <w:lang w:val="fr-CA"/>
        </w:rPr>
        <w:t> </w:t>
      </w:r>
      <w:r w:rsidR="008C4FD6" w:rsidRPr="00BD22C2">
        <w:rPr>
          <w:rFonts w:ascii="Arial" w:hAnsi="Arial" w:cs="Arial"/>
          <w:sz w:val="18"/>
          <w:szCs w:val="18"/>
          <w:lang w:val="fr-CA"/>
        </w:rPr>
        <w:fldChar w:fldCharType="begin"/>
      </w:r>
      <w:r w:rsidR="008C4FD6" w:rsidRPr="00BD22C2">
        <w:rPr>
          <w:rFonts w:ascii="Arial" w:hAnsi="Arial" w:cs="Arial"/>
          <w:sz w:val="18"/>
          <w:szCs w:val="18"/>
          <w:lang w:val="fr-CA"/>
        </w:rPr>
        <w:instrText xml:space="preserve"> NOTEREF _Ref167440307 \h </w:instrText>
      </w:r>
      <w:r w:rsidR="008C4FD6" w:rsidRPr="00BD22C2">
        <w:rPr>
          <w:rFonts w:ascii="Arial" w:hAnsi="Arial" w:cs="Arial"/>
          <w:sz w:val="18"/>
          <w:szCs w:val="18"/>
          <w:lang w:val="fr-CA"/>
        </w:rPr>
      </w:r>
      <w:r w:rsidR="008C4FD6" w:rsidRPr="00BD22C2">
        <w:rPr>
          <w:rFonts w:ascii="Arial" w:hAnsi="Arial" w:cs="Arial"/>
          <w:sz w:val="18"/>
          <w:szCs w:val="18"/>
          <w:lang w:val="fr-CA"/>
        </w:rPr>
        <w:fldChar w:fldCharType="separate"/>
      </w:r>
      <w:r w:rsidR="004B4881">
        <w:rPr>
          <w:rFonts w:ascii="Arial" w:hAnsi="Arial" w:cs="Arial"/>
          <w:sz w:val="18"/>
          <w:szCs w:val="18"/>
          <w:lang w:val="fr-CA"/>
        </w:rPr>
        <w:t>175</w:t>
      </w:r>
      <w:r w:rsidR="008C4FD6" w:rsidRPr="00BD22C2">
        <w:rPr>
          <w:rFonts w:ascii="Arial" w:hAnsi="Arial" w:cs="Arial"/>
          <w:sz w:val="18"/>
          <w:szCs w:val="18"/>
          <w:lang w:val="fr-CA"/>
        </w:rPr>
        <w:fldChar w:fldCharType="end"/>
      </w:r>
      <w:r w:rsidRPr="00BD22C2">
        <w:rPr>
          <w:rFonts w:ascii="Arial" w:hAnsi="Arial" w:cs="Arial"/>
          <w:sz w:val="18"/>
          <w:szCs w:val="18"/>
          <w:lang w:val="fr-CA"/>
        </w:rPr>
        <w:t xml:space="preserve">, par. 96. </w:t>
      </w:r>
    </w:p>
  </w:endnote>
  <w:endnote w:id="182">
    <w:p w14:paraId="27FE4A27" w14:textId="4E964A5E" w:rsidR="007750B5" w:rsidRPr="00BD22C2" w:rsidRDefault="007750B5"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i/>
          <w:lang w:val="fr-CA"/>
        </w:rPr>
        <w:t>Lusignan</w:t>
      </w:r>
      <w:r w:rsidRPr="00BD22C2">
        <w:rPr>
          <w:rStyle w:val="NotesBasPageCar"/>
          <w:lang w:val="fr-CA"/>
        </w:rPr>
        <w:t xml:space="preserve"> c. </w:t>
      </w:r>
      <w:r w:rsidRPr="00BD22C2">
        <w:rPr>
          <w:rStyle w:val="NotesBasPageCar"/>
          <w:i/>
          <w:lang w:val="fr-CA"/>
        </w:rPr>
        <w:t>Confédération des syndicats nationaux</w:t>
      </w:r>
      <w:r w:rsidRPr="00BD22C2">
        <w:rPr>
          <w:rStyle w:val="NotesBasPageCar"/>
          <w:lang w:val="fr-CA"/>
        </w:rPr>
        <w:t xml:space="preserve"> (1992) R.J.Q.</w:t>
      </w:r>
      <w:r w:rsidR="00F915F8" w:rsidRPr="00BD22C2">
        <w:rPr>
          <w:rStyle w:val="NotesBasPageCar"/>
          <w:lang w:val="fr-CA"/>
        </w:rPr>
        <w:t> </w:t>
      </w:r>
      <w:r w:rsidRPr="00BD22C2">
        <w:rPr>
          <w:rStyle w:val="NotesBasPageCar"/>
          <w:lang w:val="fr-CA"/>
        </w:rPr>
        <w:t>684 (C.Q.)</w:t>
      </w:r>
    </w:p>
  </w:endnote>
  <w:endnote w:id="183">
    <w:p w14:paraId="075AB343" w14:textId="033E2B25"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lang w:val="fr-CA"/>
        </w:rPr>
        <w:t>D</w:t>
      </w:r>
      <w:r w:rsidR="007A08DC">
        <w:rPr>
          <w:rStyle w:val="NotesBasPageCar"/>
          <w:lang w:val="fr-CA"/>
        </w:rPr>
        <w:t>.</w:t>
      </w:r>
      <w:r w:rsidR="006305FE">
        <w:rPr>
          <w:rStyle w:val="NotesBasPageCar"/>
          <w:lang w:val="fr-CA"/>
        </w:rPr>
        <w:t> </w:t>
      </w:r>
      <w:r w:rsidRPr="00BD22C2">
        <w:rPr>
          <w:rStyle w:val="NotesBasPageCar"/>
          <w:smallCaps/>
          <w:lang w:val="fr-CA"/>
        </w:rPr>
        <w:t>Proulx</w:t>
      </w:r>
      <w:r w:rsidRPr="00BD22C2">
        <w:rPr>
          <w:rStyle w:val="NotesBasPageCar"/>
          <w:lang w:val="fr-CA"/>
        </w:rPr>
        <w:t xml:space="preserve"> et F</w:t>
      </w:r>
      <w:r w:rsidR="007A08DC">
        <w:rPr>
          <w:rStyle w:val="NotesBasPageCar"/>
          <w:lang w:val="fr-CA"/>
        </w:rPr>
        <w:t>.</w:t>
      </w:r>
      <w:r w:rsidRPr="00BD22C2">
        <w:rPr>
          <w:rStyle w:val="NotesBasPageCar"/>
          <w:lang w:val="fr-CA"/>
        </w:rPr>
        <w:t xml:space="preserve"> J. </w:t>
      </w:r>
      <w:r w:rsidRPr="00BD22C2">
        <w:rPr>
          <w:rStyle w:val="NotesBasPageCar"/>
          <w:smallCaps/>
          <w:lang w:val="fr-CA"/>
        </w:rPr>
        <w:t>Doucet</w:t>
      </w:r>
      <w:r w:rsidRPr="00BD22C2">
        <w:rPr>
          <w:rStyle w:val="NotesBasPageCar"/>
          <w:lang w:val="fr-CA"/>
        </w:rPr>
        <w:t>, préc.</w:t>
      </w:r>
      <w:r w:rsidR="008D4F5A" w:rsidRPr="00BD22C2">
        <w:rPr>
          <w:rStyle w:val="NotesBasPageCar"/>
          <w:lang w:val="fr-CA"/>
        </w:rPr>
        <w:t>,</w:t>
      </w:r>
      <w:r w:rsidRPr="00BD22C2">
        <w:rPr>
          <w:rStyle w:val="NotesBasPageCar"/>
          <w:lang w:val="fr-CA"/>
        </w:rPr>
        <w:t xml:space="preserve"> note </w:t>
      </w:r>
      <w:r w:rsidR="008D4F5A" w:rsidRPr="00BD22C2">
        <w:rPr>
          <w:rStyle w:val="NotesBasPageCar"/>
          <w:lang w:val="fr-CA"/>
        </w:rPr>
        <w:fldChar w:fldCharType="begin"/>
      </w:r>
      <w:r w:rsidR="008D4F5A" w:rsidRPr="00BD22C2">
        <w:rPr>
          <w:rStyle w:val="NotesBasPageCar"/>
          <w:lang w:val="fr-CA"/>
        </w:rPr>
        <w:instrText xml:space="preserve"> NOTEREF _Ref166054470 \h  \* MERGEFORMAT </w:instrText>
      </w:r>
      <w:r w:rsidR="008D4F5A" w:rsidRPr="00BD22C2">
        <w:rPr>
          <w:rStyle w:val="NotesBasPageCar"/>
          <w:lang w:val="fr-CA"/>
        </w:rPr>
      </w:r>
      <w:r w:rsidR="008D4F5A" w:rsidRPr="00BD22C2">
        <w:rPr>
          <w:rStyle w:val="NotesBasPageCar"/>
          <w:lang w:val="fr-CA"/>
        </w:rPr>
        <w:fldChar w:fldCharType="separate"/>
      </w:r>
      <w:r w:rsidR="004B4881">
        <w:rPr>
          <w:rStyle w:val="NotesBasPageCar"/>
          <w:lang w:val="fr-CA"/>
        </w:rPr>
        <w:t>165</w:t>
      </w:r>
      <w:r w:rsidR="008D4F5A" w:rsidRPr="00BD22C2">
        <w:rPr>
          <w:rStyle w:val="NotesBasPageCar"/>
          <w:lang w:val="fr-CA"/>
        </w:rPr>
        <w:fldChar w:fldCharType="end"/>
      </w:r>
      <w:r w:rsidRPr="00BD22C2">
        <w:rPr>
          <w:rStyle w:val="NotesBasPageCar"/>
          <w:lang w:val="fr-CA"/>
        </w:rPr>
        <w:t xml:space="preserve">. </w:t>
      </w:r>
    </w:p>
  </w:endnote>
  <w:endnote w:id="184">
    <w:p w14:paraId="4F61793E" w14:textId="011EA141"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Voir </w:t>
      </w:r>
      <w:r w:rsidRPr="00BD22C2">
        <w:rPr>
          <w:rFonts w:ascii="Arial" w:hAnsi="Arial" w:cs="Arial"/>
          <w:i/>
          <w:sz w:val="18"/>
          <w:szCs w:val="18"/>
          <w:lang w:val="fr-CA"/>
        </w:rPr>
        <w:t xml:space="preserve">par </w:t>
      </w:r>
      <w:r w:rsidR="00234B02" w:rsidRPr="00BD22C2">
        <w:rPr>
          <w:rFonts w:ascii="Arial" w:hAnsi="Arial" w:cs="Arial"/>
          <w:i/>
          <w:sz w:val="18"/>
          <w:szCs w:val="18"/>
          <w:lang w:val="fr-CA"/>
        </w:rPr>
        <w:t>Brossard (Ville)</w:t>
      </w:r>
      <w:r w:rsidR="00234B02" w:rsidRPr="00BD22C2">
        <w:rPr>
          <w:rFonts w:ascii="Arial" w:hAnsi="Arial" w:cs="Arial"/>
          <w:sz w:val="18"/>
          <w:szCs w:val="18"/>
          <w:lang w:val="fr-CA"/>
        </w:rPr>
        <w:t xml:space="preserve"> c</w:t>
      </w:r>
      <w:r w:rsidR="00234B02" w:rsidRPr="00BD22C2">
        <w:rPr>
          <w:rFonts w:ascii="Arial" w:hAnsi="Arial" w:cs="Arial"/>
          <w:i/>
          <w:sz w:val="18"/>
          <w:szCs w:val="18"/>
          <w:lang w:val="fr-CA"/>
        </w:rPr>
        <w:t>. Québec (Commission des droits de la personne)</w:t>
      </w:r>
      <w:r w:rsidR="00234B02" w:rsidRPr="00BD22C2">
        <w:rPr>
          <w:rFonts w:ascii="Arial" w:hAnsi="Arial" w:cs="Arial"/>
          <w:sz w:val="18"/>
          <w:szCs w:val="18"/>
          <w:lang w:val="fr-CA"/>
        </w:rPr>
        <w:t>, [1988] 2</w:t>
      </w:r>
      <w:r w:rsidR="00B32B61">
        <w:rPr>
          <w:rFonts w:ascii="Arial" w:hAnsi="Arial" w:cs="Arial"/>
          <w:sz w:val="18"/>
          <w:szCs w:val="18"/>
          <w:lang w:val="fr-CA"/>
        </w:rPr>
        <w:t> </w:t>
      </w:r>
      <w:r w:rsidR="00234B02" w:rsidRPr="00BD22C2">
        <w:rPr>
          <w:rFonts w:ascii="Arial" w:hAnsi="Arial" w:cs="Arial"/>
          <w:sz w:val="18"/>
          <w:szCs w:val="18"/>
          <w:lang w:val="fr-CA"/>
        </w:rPr>
        <w:t xml:space="preserve">R.C.S. 279, </w:t>
      </w:r>
      <w:r w:rsidRPr="00BD22C2">
        <w:rPr>
          <w:rFonts w:ascii="Arial" w:hAnsi="Arial" w:cs="Arial"/>
          <w:sz w:val="18"/>
          <w:szCs w:val="18"/>
          <w:lang w:val="fr-CA"/>
        </w:rPr>
        <w:t xml:space="preserve">par. 56. </w:t>
      </w:r>
    </w:p>
  </w:endnote>
  <w:endnote w:id="185">
    <w:p w14:paraId="498A1118" w14:textId="2A294DDA"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sBasPageCar"/>
          <w:i/>
          <w:lang w:val="fr-CA"/>
        </w:rPr>
        <w:t xml:space="preserve">Colombie-Britannique </w:t>
      </w:r>
      <w:r w:rsidRPr="00BD22C2">
        <w:rPr>
          <w:rStyle w:val="NotesBasPageCar"/>
          <w:lang w:val="fr-CA"/>
        </w:rPr>
        <w:t>c</w:t>
      </w:r>
      <w:r w:rsidR="000643DB" w:rsidRPr="00BD22C2">
        <w:rPr>
          <w:rStyle w:val="NotesBasPageCar"/>
          <w:lang w:val="fr-CA"/>
        </w:rPr>
        <w:t>.</w:t>
      </w:r>
      <w:r w:rsidRPr="00BD22C2">
        <w:rPr>
          <w:rStyle w:val="NotesBasPageCar"/>
          <w:i/>
          <w:lang w:val="fr-CA"/>
        </w:rPr>
        <w:t xml:space="preserve"> B.C.G.S.E.U</w:t>
      </w:r>
      <w:r w:rsidRPr="00BD22C2">
        <w:rPr>
          <w:rStyle w:val="NotesBasPageCar"/>
          <w:lang w:val="fr-CA"/>
        </w:rPr>
        <w:t xml:space="preserve">., </w:t>
      </w:r>
      <w:r w:rsidR="00FD31E5" w:rsidRPr="00BD22C2">
        <w:rPr>
          <w:rStyle w:val="NotesBasPageCar"/>
          <w:lang w:val="fr-CA"/>
        </w:rPr>
        <w:t>préc.</w:t>
      </w:r>
      <w:r w:rsidR="008934DE" w:rsidRPr="00BD22C2">
        <w:rPr>
          <w:rStyle w:val="NotesBasPageCar"/>
          <w:lang w:val="fr-CA"/>
        </w:rPr>
        <w:fldChar w:fldCharType="begin"/>
      </w:r>
      <w:r w:rsidR="008934DE" w:rsidRPr="00BD22C2">
        <w:rPr>
          <w:rStyle w:val="NotesBasPageCar"/>
          <w:lang w:val="fr-CA"/>
        </w:rPr>
        <w:instrText xml:space="preserve"> NOTEREF _Ref167438553 \h </w:instrText>
      </w:r>
      <w:r w:rsidR="008934DE" w:rsidRPr="00BD22C2">
        <w:rPr>
          <w:rStyle w:val="NotesBasPageCar"/>
          <w:lang w:val="fr-CA"/>
        </w:rPr>
      </w:r>
      <w:r w:rsidR="008934DE" w:rsidRPr="00BD22C2">
        <w:rPr>
          <w:rStyle w:val="NotesBasPageCar"/>
          <w:lang w:val="fr-CA"/>
        </w:rPr>
        <w:fldChar w:fldCharType="separate"/>
      </w:r>
      <w:r w:rsidR="004B4881">
        <w:rPr>
          <w:rStyle w:val="NotesBasPageCar"/>
          <w:lang w:val="fr-CA"/>
        </w:rPr>
        <w:t>168</w:t>
      </w:r>
      <w:r w:rsidR="008934DE" w:rsidRPr="00BD22C2">
        <w:rPr>
          <w:rStyle w:val="NotesBasPageCar"/>
          <w:lang w:val="fr-CA"/>
        </w:rPr>
        <w:fldChar w:fldCharType="end"/>
      </w:r>
      <w:r w:rsidRPr="00BD22C2">
        <w:rPr>
          <w:rStyle w:val="NotesBasPageCar"/>
          <w:lang w:val="fr-CA"/>
        </w:rPr>
        <w:t xml:space="preserve">, par. 54, </w:t>
      </w:r>
      <w:r w:rsidRPr="00BD22C2">
        <w:rPr>
          <w:rStyle w:val="NotesBasPageCar"/>
          <w:i/>
          <w:lang w:val="fr-CA"/>
        </w:rPr>
        <w:t>Gaz métropolitain inc</w:t>
      </w:r>
      <w:r w:rsidRPr="00BD22C2">
        <w:rPr>
          <w:rStyle w:val="NotesBasPageCar"/>
          <w:lang w:val="fr-CA"/>
        </w:rPr>
        <w:t xml:space="preserve">. </w:t>
      </w:r>
      <w:r w:rsidR="008D4F5A" w:rsidRPr="00BD22C2">
        <w:rPr>
          <w:rStyle w:val="NotesBasPageCar"/>
          <w:lang w:val="fr-CA"/>
        </w:rPr>
        <w:t>c</w:t>
      </w:r>
      <w:r w:rsidR="000643DB" w:rsidRPr="00BD22C2">
        <w:rPr>
          <w:rStyle w:val="NotesBasPageCar"/>
          <w:lang w:val="fr-CA"/>
        </w:rPr>
        <w:t>.</w:t>
      </w:r>
      <w:r w:rsidRPr="00BD22C2">
        <w:rPr>
          <w:rStyle w:val="NotesBasPageCar"/>
          <w:lang w:val="fr-CA"/>
        </w:rPr>
        <w:t xml:space="preserve"> </w:t>
      </w:r>
      <w:r w:rsidRPr="00BD22C2">
        <w:rPr>
          <w:rStyle w:val="NotesBasPageCar"/>
          <w:i/>
          <w:lang w:val="fr-CA"/>
        </w:rPr>
        <w:t>Commission des droits de la personne et des droits de la jeunesse</w:t>
      </w:r>
      <w:r w:rsidRPr="00BD22C2">
        <w:rPr>
          <w:rStyle w:val="NotesBasPageCar"/>
          <w:lang w:val="fr-CA"/>
        </w:rPr>
        <w:t>, 2011 QCCA</w:t>
      </w:r>
      <w:r w:rsidR="00F915F8" w:rsidRPr="00BD22C2">
        <w:rPr>
          <w:rStyle w:val="NotesBasPageCar"/>
          <w:lang w:val="fr-CA"/>
        </w:rPr>
        <w:t> </w:t>
      </w:r>
      <w:r w:rsidRPr="00BD22C2">
        <w:rPr>
          <w:rStyle w:val="NotesBasPageCar"/>
          <w:lang w:val="fr-CA"/>
        </w:rPr>
        <w:t xml:space="preserve">1201, par. 39 à 42. </w:t>
      </w:r>
    </w:p>
  </w:endnote>
  <w:endnote w:id="186">
    <w:p w14:paraId="3CB399D5" w14:textId="45CA17E3"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643DB" w:rsidRPr="00BD22C2">
        <w:rPr>
          <w:rStyle w:val="NotesBasPageCar"/>
          <w:lang w:val="fr-CA"/>
        </w:rPr>
        <w:t>D</w:t>
      </w:r>
      <w:r w:rsidR="00E93660">
        <w:rPr>
          <w:rStyle w:val="NotesBasPageCar"/>
          <w:lang w:val="fr-CA"/>
        </w:rPr>
        <w:t>.</w:t>
      </w:r>
      <w:r w:rsidR="006305FE">
        <w:rPr>
          <w:rStyle w:val="NotesBasPageCar"/>
          <w:lang w:val="fr-CA"/>
        </w:rPr>
        <w:t> </w:t>
      </w:r>
      <w:r w:rsidR="000643DB" w:rsidRPr="00BD22C2">
        <w:rPr>
          <w:rStyle w:val="NotesBasPageCar"/>
          <w:smallCaps/>
          <w:lang w:val="fr-CA"/>
        </w:rPr>
        <w:t>Proulx</w:t>
      </w:r>
      <w:r w:rsidR="000643DB" w:rsidRPr="00BD22C2">
        <w:rPr>
          <w:rStyle w:val="NotesBasPageCar"/>
          <w:lang w:val="fr-CA"/>
        </w:rPr>
        <w:t xml:space="preserve"> et F</w:t>
      </w:r>
      <w:r w:rsidR="00E93660">
        <w:rPr>
          <w:rStyle w:val="NotesBasPageCar"/>
          <w:lang w:val="fr-CA"/>
        </w:rPr>
        <w:t>.</w:t>
      </w:r>
      <w:r w:rsidR="000643DB" w:rsidRPr="00BD22C2">
        <w:rPr>
          <w:rStyle w:val="NotesBasPageCar"/>
          <w:lang w:val="fr-CA"/>
        </w:rPr>
        <w:t xml:space="preserve"> J. </w:t>
      </w:r>
      <w:r w:rsidRPr="00BD22C2">
        <w:rPr>
          <w:rStyle w:val="NotesBasPageCar"/>
          <w:smallCaps/>
          <w:lang w:val="fr-CA"/>
        </w:rPr>
        <w:t>Doucet</w:t>
      </w:r>
      <w:r w:rsidRPr="00BD22C2">
        <w:rPr>
          <w:rFonts w:ascii="Arial" w:hAnsi="Arial" w:cs="Arial"/>
          <w:sz w:val="18"/>
          <w:szCs w:val="18"/>
          <w:lang w:val="fr-CA"/>
        </w:rPr>
        <w:t xml:space="preserve">, </w:t>
      </w:r>
      <w:r w:rsidR="00234B02" w:rsidRPr="00BD22C2">
        <w:rPr>
          <w:rStyle w:val="NotesBasPageCar"/>
          <w:lang w:val="fr-CA"/>
        </w:rPr>
        <w:t>préc</w:t>
      </w:r>
      <w:r w:rsidR="008D4F5A" w:rsidRPr="00BD22C2">
        <w:rPr>
          <w:rStyle w:val="NotesBasPageCar"/>
          <w:lang w:val="fr-CA"/>
        </w:rPr>
        <w:t>.,</w:t>
      </w:r>
      <w:r w:rsidR="00234B02" w:rsidRPr="00BD22C2">
        <w:rPr>
          <w:rStyle w:val="NotesBasPageCar"/>
          <w:lang w:val="fr-CA"/>
        </w:rPr>
        <w:t xml:space="preserve"> note </w:t>
      </w:r>
      <w:r w:rsidR="008D4F5A" w:rsidRPr="00BD22C2">
        <w:rPr>
          <w:rStyle w:val="NotesBasPageCar"/>
          <w:lang w:val="fr-CA"/>
        </w:rPr>
        <w:fldChar w:fldCharType="begin"/>
      </w:r>
      <w:r w:rsidR="008D4F5A" w:rsidRPr="00BD22C2">
        <w:rPr>
          <w:rStyle w:val="NotesBasPageCar"/>
          <w:lang w:val="fr-CA"/>
        </w:rPr>
        <w:instrText xml:space="preserve"> NOTEREF _Ref166054470 \h  \* MERGEFORMAT </w:instrText>
      </w:r>
      <w:r w:rsidR="008D4F5A" w:rsidRPr="00BD22C2">
        <w:rPr>
          <w:rStyle w:val="NotesBasPageCar"/>
          <w:lang w:val="fr-CA"/>
        </w:rPr>
      </w:r>
      <w:r w:rsidR="008D4F5A" w:rsidRPr="00BD22C2">
        <w:rPr>
          <w:rStyle w:val="NotesBasPageCar"/>
          <w:lang w:val="fr-CA"/>
        </w:rPr>
        <w:fldChar w:fldCharType="separate"/>
      </w:r>
      <w:r w:rsidR="004B4881">
        <w:rPr>
          <w:rStyle w:val="NotesBasPageCar"/>
          <w:lang w:val="fr-CA"/>
        </w:rPr>
        <w:t>165</w:t>
      </w:r>
      <w:r w:rsidR="008D4F5A" w:rsidRPr="00BD22C2">
        <w:rPr>
          <w:rStyle w:val="NotesBasPageCar"/>
          <w:lang w:val="fr-CA"/>
        </w:rPr>
        <w:fldChar w:fldCharType="end"/>
      </w:r>
      <w:r w:rsidR="00234B02" w:rsidRPr="00BD22C2">
        <w:rPr>
          <w:rFonts w:ascii="Arial" w:hAnsi="Arial" w:cs="Arial"/>
          <w:sz w:val="18"/>
          <w:szCs w:val="18"/>
          <w:lang w:val="fr-CA"/>
        </w:rPr>
        <w:t xml:space="preserve">, </w:t>
      </w:r>
      <w:r w:rsidRPr="00BD22C2">
        <w:rPr>
          <w:rFonts w:ascii="Arial" w:hAnsi="Arial" w:cs="Arial"/>
          <w:sz w:val="18"/>
          <w:szCs w:val="18"/>
          <w:lang w:val="fr-CA"/>
        </w:rPr>
        <w:t xml:space="preserve">par. 132 (références omises). </w:t>
      </w:r>
    </w:p>
  </w:endnote>
  <w:endnote w:id="187">
    <w:p w14:paraId="3A2A1916" w14:textId="3AAE0726" w:rsidR="00BA0E30" w:rsidRPr="00E16C03" w:rsidRDefault="00BA0E3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8934DE" w:rsidRPr="00E16C03">
        <w:rPr>
          <w:rStyle w:val="NotesBasPageCar"/>
          <w:i/>
          <w:lang w:val="en-CA"/>
        </w:rPr>
        <w:t>Id.</w:t>
      </w:r>
      <w:r w:rsidR="00234B02" w:rsidRPr="00E16C03">
        <w:rPr>
          <w:rFonts w:ascii="Arial" w:hAnsi="Arial" w:cs="Arial"/>
          <w:sz w:val="18"/>
          <w:szCs w:val="18"/>
          <w:lang w:val="en-CA"/>
        </w:rPr>
        <w:t>,</w:t>
      </w:r>
      <w:r w:rsidRPr="00E16C03">
        <w:rPr>
          <w:rFonts w:ascii="Arial" w:hAnsi="Arial" w:cs="Arial"/>
          <w:sz w:val="18"/>
          <w:szCs w:val="18"/>
          <w:lang w:val="en-CA"/>
        </w:rPr>
        <w:t xml:space="preserve"> par. 137, citant </w:t>
      </w:r>
      <w:r w:rsidRPr="00E16C03">
        <w:rPr>
          <w:rFonts w:ascii="Arial" w:hAnsi="Arial" w:cs="Arial"/>
          <w:i/>
          <w:sz w:val="18"/>
          <w:szCs w:val="18"/>
          <w:lang w:val="en-CA"/>
        </w:rPr>
        <w:t>C.-B. (Superintendent of Motor Vehicles)</w:t>
      </w:r>
      <w:r w:rsidRPr="00E16C03">
        <w:rPr>
          <w:rFonts w:ascii="Arial" w:hAnsi="Arial" w:cs="Arial"/>
          <w:sz w:val="18"/>
          <w:szCs w:val="18"/>
          <w:lang w:val="en-CA"/>
        </w:rPr>
        <w:t xml:space="preserve"> c. </w:t>
      </w:r>
      <w:r w:rsidRPr="00E16C03">
        <w:rPr>
          <w:rFonts w:ascii="Arial" w:hAnsi="Arial" w:cs="Arial"/>
          <w:i/>
          <w:sz w:val="18"/>
          <w:szCs w:val="18"/>
          <w:lang w:val="en-CA"/>
        </w:rPr>
        <w:t>C.-B. (Council of Human Rights)</w:t>
      </w:r>
      <w:r w:rsidRPr="00E16C03">
        <w:rPr>
          <w:rFonts w:ascii="Arial" w:hAnsi="Arial" w:cs="Arial"/>
          <w:sz w:val="18"/>
          <w:szCs w:val="18"/>
          <w:lang w:val="en-CA"/>
        </w:rPr>
        <w:t>, [1999] 3</w:t>
      </w:r>
      <w:r w:rsidR="00B32B61">
        <w:rPr>
          <w:rFonts w:ascii="Arial" w:hAnsi="Arial" w:cs="Arial"/>
          <w:sz w:val="18"/>
          <w:szCs w:val="18"/>
          <w:lang w:val="en-CA"/>
        </w:rPr>
        <w:t> </w:t>
      </w:r>
      <w:r w:rsidRPr="00E16C03">
        <w:rPr>
          <w:rFonts w:ascii="Arial" w:hAnsi="Arial" w:cs="Arial"/>
          <w:sz w:val="18"/>
          <w:szCs w:val="18"/>
          <w:lang w:val="en-CA"/>
        </w:rPr>
        <w:t>R.C.S.</w:t>
      </w:r>
      <w:r w:rsidR="00F915F8" w:rsidRPr="00E16C03">
        <w:rPr>
          <w:rFonts w:ascii="Arial" w:hAnsi="Arial" w:cs="Arial"/>
          <w:sz w:val="18"/>
          <w:szCs w:val="18"/>
          <w:lang w:val="en-CA"/>
        </w:rPr>
        <w:t> </w:t>
      </w:r>
      <w:r w:rsidRPr="00E16C03">
        <w:rPr>
          <w:rFonts w:ascii="Arial" w:hAnsi="Arial" w:cs="Arial"/>
          <w:sz w:val="18"/>
          <w:szCs w:val="18"/>
          <w:lang w:val="en-CA"/>
        </w:rPr>
        <w:t>868, par. 32-33</w:t>
      </w:r>
      <w:r w:rsidR="00CF0C74" w:rsidRPr="00E16C03">
        <w:rPr>
          <w:rFonts w:ascii="Arial" w:hAnsi="Arial" w:cs="Arial"/>
          <w:sz w:val="18"/>
          <w:szCs w:val="18"/>
          <w:lang w:val="en-CA"/>
        </w:rPr>
        <w:t> </w:t>
      </w:r>
      <w:r w:rsidRPr="00E16C03">
        <w:rPr>
          <w:rFonts w:ascii="Arial" w:hAnsi="Arial" w:cs="Arial"/>
          <w:sz w:val="18"/>
          <w:szCs w:val="18"/>
          <w:lang w:val="en-CA"/>
        </w:rPr>
        <w:t xml:space="preserve">; </w:t>
      </w:r>
      <w:r w:rsidRPr="00E16C03">
        <w:rPr>
          <w:rFonts w:ascii="Arial" w:hAnsi="Arial" w:cs="Arial"/>
          <w:i/>
          <w:sz w:val="18"/>
          <w:szCs w:val="18"/>
          <w:lang w:val="en-CA"/>
        </w:rPr>
        <w:t>Zurich Insurance Co</w:t>
      </w:r>
      <w:r w:rsidRPr="00E16C03">
        <w:rPr>
          <w:rFonts w:ascii="Arial" w:hAnsi="Arial" w:cs="Arial"/>
          <w:sz w:val="18"/>
          <w:szCs w:val="18"/>
          <w:lang w:val="en-CA"/>
        </w:rPr>
        <w:t xml:space="preserve">. c. </w:t>
      </w:r>
      <w:r w:rsidRPr="00E16C03">
        <w:rPr>
          <w:rFonts w:ascii="Arial" w:hAnsi="Arial" w:cs="Arial"/>
          <w:i/>
          <w:sz w:val="18"/>
          <w:szCs w:val="18"/>
          <w:lang w:val="en-CA"/>
        </w:rPr>
        <w:t>Ontario (C.D.P.)</w:t>
      </w:r>
      <w:r w:rsidRPr="00E16C03">
        <w:rPr>
          <w:rFonts w:ascii="Arial" w:hAnsi="Arial" w:cs="Arial"/>
          <w:sz w:val="18"/>
          <w:szCs w:val="18"/>
          <w:lang w:val="en-CA"/>
        </w:rPr>
        <w:t>, [1992] 2</w:t>
      </w:r>
      <w:r w:rsidR="00B32B61">
        <w:rPr>
          <w:rFonts w:ascii="Arial" w:hAnsi="Arial" w:cs="Arial"/>
          <w:sz w:val="18"/>
          <w:szCs w:val="18"/>
          <w:lang w:val="en-CA"/>
        </w:rPr>
        <w:t> </w:t>
      </w:r>
      <w:r w:rsidRPr="00E16C03">
        <w:rPr>
          <w:rFonts w:ascii="Arial" w:hAnsi="Arial" w:cs="Arial"/>
          <w:sz w:val="18"/>
          <w:szCs w:val="18"/>
          <w:lang w:val="en-CA"/>
        </w:rPr>
        <w:t>R.C.S.</w:t>
      </w:r>
      <w:r w:rsidR="00F915F8" w:rsidRPr="00E16C03">
        <w:rPr>
          <w:rFonts w:ascii="Arial" w:hAnsi="Arial" w:cs="Arial"/>
          <w:sz w:val="18"/>
          <w:szCs w:val="18"/>
          <w:lang w:val="en-CA"/>
        </w:rPr>
        <w:t> </w:t>
      </w:r>
      <w:r w:rsidRPr="00E16C03">
        <w:rPr>
          <w:rFonts w:ascii="Arial" w:hAnsi="Arial" w:cs="Arial"/>
          <w:sz w:val="18"/>
          <w:szCs w:val="18"/>
          <w:lang w:val="en-CA"/>
        </w:rPr>
        <w:t>321, p.</w:t>
      </w:r>
      <w:r w:rsidR="00F915F8" w:rsidRPr="00E16C03">
        <w:rPr>
          <w:rFonts w:ascii="Arial" w:hAnsi="Arial" w:cs="Arial"/>
          <w:sz w:val="18"/>
          <w:szCs w:val="18"/>
          <w:lang w:val="en-CA"/>
        </w:rPr>
        <w:t> </w:t>
      </w:r>
      <w:r w:rsidRPr="00E16C03">
        <w:rPr>
          <w:rFonts w:ascii="Arial" w:hAnsi="Arial" w:cs="Arial"/>
          <w:sz w:val="18"/>
          <w:szCs w:val="18"/>
          <w:lang w:val="en-CA"/>
        </w:rPr>
        <w:t>341</w:t>
      </w:r>
      <w:r w:rsidR="00CF0C74" w:rsidRPr="00E16C03">
        <w:rPr>
          <w:rFonts w:ascii="Arial" w:hAnsi="Arial" w:cs="Arial"/>
          <w:sz w:val="18"/>
          <w:szCs w:val="18"/>
          <w:lang w:val="en-CA"/>
        </w:rPr>
        <w:t> </w:t>
      </w:r>
      <w:r w:rsidRPr="00E16C03">
        <w:rPr>
          <w:rFonts w:ascii="Arial" w:hAnsi="Arial" w:cs="Arial"/>
          <w:i/>
          <w:sz w:val="18"/>
          <w:szCs w:val="18"/>
          <w:lang w:val="en-CA"/>
        </w:rPr>
        <w:t>; Saskatchewan (Human Rights Commission)</w:t>
      </w:r>
      <w:r w:rsidRPr="00E16C03">
        <w:rPr>
          <w:rFonts w:ascii="Arial" w:hAnsi="Arial" w:cs="Arial"/>
          <w:sz w:val="18"/>
          <w:szCs w:val="18"/>
          <w:lang w:val="en-CA"/>
        </w:rPr>
        <w:t xml:space="preserve"> c. </w:t>
      </w:r>
      <w:r w:rsidRPr="00E16C03">
        <w:rPr>
          <w:rFonts w:ascii="Arial" w:hAnsi="Arial" w:cs="Arial"/>
          <w:i/>
          <w:sz w:val="18"/>
          <w:szCs w:val="18"/>
          <w:lang w:val="en-CA"/>
        </w:rPr>
        <w:t>Saskatoon (Ville de)</w:t>
      </w:r>
      <w:r w:rsidRPr="00E16C03">
        <w:rPr>
          <w:rFonts w:ascii="Arial" w:hAnsi="Arial" w:cs="Arial"/>
          <w:sz w:val="18"/>
          <w:szCs w:val="18"/>
          <w:lang w:val="en-CA"/>
        </w:rPr>
        <w:t>, [1989] 2</w:t>
      </w:r>
      <w:r w:rsidR="00B32B61">
        <w:rPr>
          <w:rFonts w:ascii="Arial" w:hAnsi="Arial" w:cs="Arial"/>
          <w:sz w:val="18"/>
          <w:szCs w:val="18"/>
          <w:lang w:val="en-CA"/>
        </w:rPr>
        <w:t> </w:t>
      </w:r>
      <w:r w:rsidRPr="00E16C03">
        <w:rPr>
          <w:rFonts w:ascii="Arial" w:hAnsi="Arial" w:cs="Arial"/>
          <w:sz w:val="18"/>
          <w:szCs w:val="18"/>
          <w:lang w:val="en-CA"/>
        </w:rPr>
        <w:t>R.C.S.</w:t>
      </w:r>
      <w:r w:rsidR="00F915F8" w:rsidRPr="00E16C03">
        <w:rPr>
          <w:rFonts w:ascii="Arial" w:hAnsi="Arial" w:cs="Arial"/>
          <w:sz w:val="18"/>
          <w:szCs w:val="18"/>
          <w:lang w:val="en-CA"/>
        </w:rPr>
        <w:t> </w:t>
      </w:r>
      <w:r w:rsidRPr="00E16C03">
        <w:rPr>
          <w:rFonts w:ascii="Arial" w:hAnsi="Arial" w:cs="Arial"/>
          <w:sz w:val="18"/>
          <w:szCs w:val="18"/>
          <w:lang w:val="en-CA"/>
        </w:rPr>
        <w:t xml:space="preserve">1297, 1313-1314. </w:t>
      </w:r>
    </w:p>
  </w:endnote>
  <w:endnote w:id="188">
    <w:p w14:paraId="2B8A9A76" w14:textId="2FBCA671"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8934DE" w:rsidRPr="00BD22C2">
        <w:rPr>
          <w:rFonts w:ascii="Arial" w:hAnsi="Arial" w:cs="Arial"/>
          <w:i/>
          <w:iCs/>
          <w:sz w:val="18"/>
          <w:szCs w:val="18"/>
          <w:lang w:val="fr-CA"/>
        </w:rPr>
        <w:t>Id.,</w:t>
      </w:r>
      <w:r w:rsidR="00234B02" w:rsidRPr="00BD22C2">
        <w:rPr>
          <w:rFonts w:ascii="Arial" w:hAnsi="Arial" w:cs="Arial"/>
          <w:sz w:val="18"/>
          <w:szCs w:val="18"/>
          <w:lang w:val="fr-CA"/>
        </w:rPr>
        <w:t xml:space="preserve"> </w:t>
      </w:r>
      <w:r w:rsidRPr="00BD22C2">
        <w:rPr>
          <w:rFonts w:ascii="Arial" w:hAnsi="Arial" w:cs="Arial"/>
          <w:sz w:val="18"/>
          <w:szCs w:val="18"/>
          <w:lang w:val="fr-CA"/>
        </w:rPr>
        <w:t xml:space="preserve">par. 138, citant notamment </w:t>
      </w:r>
      <w:r w:rsidRPr="00BD22C2">
        <w:rPr>
          <w:rFonts w:ascii="Arial" w:hAnsi="Arial" w:cs="Arial"/>
          <w:i/>
          <w:sz w:val="18"/>
          <w:szCs w:val="18"/>
          <w:lang w:val="fr-CA"/>
        </w:rPr>
        <w:t xml:space="preserve">Syndicat des infirmières, inhalothérapeutes, infirmières auxiliaires du </w:t>
      </w:r>
      <w:r w:rsidR="00E93660" w:rsidRPr="00BD22C2">
        <w:rPr>
          <w:rFonts w:ascii="Arial" w:hAnsi="Arial" w:cs="Arial"/>
          <w:i/>
          <w:sz w:val="18"/>
          <w:szCs w:val="18"/>
          <w:lang w:val="fr-CA"/>
        </w:rPr>
        <w:t>Cœur</w:t>
      </w:r>
      <w:r w:rsidRPr="00BD22C2">
        <w:rPr>
          <w:rFonts w:ascii="Arial" w:hAnsi="Arial" w:cs="Arial"/>
          <w:i/>
          <w:sz w:val="18"/>
          <w:szCs w:val="18"/>
          <w:lang w:val="fr-CA"/>
        </w:rPr>
        <w:t xml:space="preserve"> du Québec</w:t>
      </w:r>
      <w:r w:rsidRPr="00BD22C2">
        <w:rPr>
          <w:rFonts w:ascii="Arial" w:hAnsi="Arial" w:cs="Arial"/>
          <w:sz w:val="18"/>
          <w:szCs w:val="18"/>
          <w:lang w:val="fr-CA"/>
        </w:rPr>
        <w:t xml:space="preserve"> c</w:t>
      </w:r>
      <w:r w:rsidR="00DC25A9">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Centre hospitalier de Trois-Rivières</w:t>
      </w:r>
      <w:r w:rsidRPr="00BD22C2">
        <w:rPr>
          <w:rFonts w:ascii="Arial" w:hAnsi="Arial" w:cs="Arial"/>
          <w:sz w:val="18"/>
          <w:szCs w:val="18"/>
          <w:lang w:val="fr-CA"/>
        </w:rPr>
        <w:t>, 2012 QCCA</w:t>
      </w:r>
      <w:r w:rsidR="00F915F8" w:rsidRPr="00BD22C2">
        <w:rPr>
          <w:rFonts w:ascii="Arial" w:hAnsi="Arial" w:cs="Arial"/>
          <w:sz w:val="18"/>
          <w:szCs w:val="18"/>
          <w:lang w:val="fr-CA"/>
        </w:rPr>
        <w:t> </w:t>
      </w:r>
      <w:r w:rsidRPr="00BD22C2">
        <w:rPr>
          <w:rFonts w:ascii="Arial" w:hAnsi="Arial" w:cs="Arial"/>
          <w:sz w:val="18"/>
          <w:szCs w:val="18"/>
          <w:lang w:val="fr-CA"/>
        </w:rPr>
        <w:t>1867, par. 51, 56.</w:t>
      </w:r>
    </w:p>
  </w:endnote>
  <w:endnote w:id="189">
    <w:p w14:paraId="2A0E8D20" w14:textId="16F10010" w:rsidR="00BA0E30" w:rsidRPr="00BD22C2" w:rsidRDefault="00BA0E30" w:rsidP="00B36D7C">
      <w:pPr>
        <w:pStyle w:val="Notedefin"/>
        <w:tabs>
          <w:tab w:val="left" w:pos="709"/>
        </w:tabs>
        <w:spacing w:after="120" w:line="240" w:lineRule="auto"/>
        <w:ind w:left="709" w:hanging="709"/>
        <w:rPr>
          <w:rStyle w:val="Note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BasPageCar"/>
          <w:i/>
          <w:lang w:val="fr-CA"/>
        </w:rPr>
        <w:t>Colombie-Britannique</w:t>
      </w:r>
      <w:r w:rsidRPr="00BD22C2">
        <w:rPr>
          <w:rStyle w:val="NoteBasPageCar"/>
          <w:lang w:val="fr-CA"/>
        </w:rPr>
        <w:t xml:space="preserve"> c. </w:t>
      </w:r>
      <w:r w:rsidRPr="00BD22C2">
        <w:rPr>
          <w:rStyle w:val="NoteBasPageCar"/>
          <w:i/>
          <w:lang w:val="fr-CA"/>
        </w:rPr>
        <w:t>B.C.G.S.E.U</w:t>
      </w:r>
      <w:r w:rsidRPr="00BD22C2">
        <w:rPr>
          <w:rStyle w:val="NoteBasPageCar"/>
          <w:lang w:val="fr-CA"/>
        </w:rPr>
        <w:t xml:space="preserve">., </w:t>
      </w:r>
      <w:r w:rsidR="008934DE" w:rsidRPr="00BD22C2">
        <w:rPr>
          <w:rStyle w:val="NoteBasPageCar"/>
          <w:lang w:val="fr-CA"/>
        </w:rPr>
        <w:t>préc., note</w:t>
      </w:r>
      <w:r w:rsidR="00CE1914">
        <w:rPr>
          <w:rStyle w:val="NoteBasPageCar"/>
          <w:lang w:val="fr-CA"/>
        </w:rPr>
        <w:t> </w:t>
      </w:r>
      <w:r w:rsidR="008934DE" w:rsidRPr="00BD22C2">
        <w:rPr>
          <w:rStyle w:val="NoteBasPageCar"/>
          <w:lang w:val="fr-CA"/>
        </w:rPr>
        <w:fldChar w:fldCharType="begin"/>
      </w:r>
      <w:r w:rsidR="008934DE" w:rsidRPr="00BD22C2">
        <w:rPr>
          <w:rStyle w:val="NoteBasPageCar"/>
          <w:lang w:val="fr-CA"/>
        </w:rPr>
        <w:instrText xml:space="preserve"> NOTEREF _Ref167438553 \h </w:instrText>
      </w:r>
      <w:r w:rsidR="008934DE" w:rsidRPr="00BD22C2">
        <w:rPr>
          <w:rStyle w:val="NoteBasPageCar"/>
          <w:lang w:val="fr-CA"/>
        </w:rPr>
      </w:r>
      <w:r w:rsidR="008934DE" w:rsidRPr="00BD22C2">
        <w:rPr>
          <w:rStyle w:val="NoteBasPageCar"/>
          <w:lang w:val="fr-CA"/>
        </w:rPr>
        <w:fldChar w:fldCharType="separate"/>
      </w:r>
      <w:r w:rsidR="004B4881">
        <w:rPr>
          <w:rStyle w:val="NoteBasPageCar"/>
          <w:lang w:val="fr-CA"/>
        </w:rPr>
        <w:t>168</w:t>
      </w:r>
      <w:r w:rsidR="008934DE" w:rsidRPr="00BD22C2">
        <w:rPr>
          <w:rStyle w:val="NoteBasPageCar"/>
          <w:lang w:val="fr-CA"/>
        </w:rPr>
        <w:fldChar w:fldCharType="end"/>
      </w:r>
      <w:r w:rsidRPr="00BD22C2">
        <w:rPr>
          <w:rStyle w:val="NoteBasPageCar"/>
          <w:lang w:val="fr-CA"/>
        </w:rPr>
        <w:t>, par. 54</w:t>
      </w:r>
      <w:r w:rsidR="008D3E4C" w:rsidRPr="00BD22C2">
        <w:rPr>
          <w:rStyle w:val="NoteBasPageCar"/>
          <w:lang w:val="fr-CA"/>
        </w:rPr>
        <w:t>.</w:t>
      </w:r>
    </w:p>
  </w:endnote>
  <w:endnote w:id="190">
    <w:p w14:paraId="609A9F4B" w14:textId="21F7E32E" w:rsidR="00BA0E30" w:rsidRPr="00BD22C2" w:rsidRDefault="00BA0E30" w:rsidP="00B36D7C">
      <w:pPr>
        <w:pStyle w:val="Notedefin"/>
        <w:tabs>
          <w:tab w:val="left" w:pos="709"/>
        </w:tabs>
        <w:spacing w:after="120" w:line="240" w:lineRule="auto"/>
        <w:ind w:left="709" w:hanging="709"/>
        <w:rPr>
          <w:rStyle w:val="Note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Style w:val="NoteBasPageCar"/>
          <w:lang w:val="fr-CA"/>
        </w:rPr>
        <w:t xml:space="preserve">, </w:t>
      </w:r>
      <w:r w:rsidRPr="00BD22C2">
        <w:rPr>
          <w:rStyle w:val="NoteBasPageCar"/>
          <w:i/>
          <w:lang w:val="fr-CA"/>
        </w:rPr>
        <w:t>L’exercice des droits protégés par la Charte dans les situations où les bénéficiaires ont besoin d’</w:t>
      </w:r>
      <w:r w:rsidR="009B6269" w:rsidRPr="00BD22C2">
        <w:rPr>
          <w:rStyle w:val="NoteBasPageCar"/>
          <w:i/>
          <w:lang w:val="fr-CA"/>
        </w:rPr>
        <w:t>assistance</w:t>
      </w:r>
      <w:r w:rsidRPr="00BD22C2">
        <w:rPr>
          <w:rStyle w:val="NoteBasPageCar"/>
          <w:i/>
          <w:lang w:val="fr-CA"/>
        </w:rPr>
        <w:t xml:space="preserve"> pour leurs soins intimes, Avis et lignes directrices</w:t>
      </w:r>
      <w:r w:rsidRPr="00BD22C2">
        <w:rPr>
          <w:rStyle w:val="NoteBasPageCar"/>
          <w:lang w:val="fr-CA"/>
        </w:rPr>
        <w:t xml:space="preserve">, 2005, </w:t>
      </w:r>
      <w:r w:rsidR="001F7E18" w:rsidRPr="00BD22C2">
        <w:rPr>
          <w:rStyle w:val="NoteBasPageCar"/>
          <w:lang w:val="fr-CA"/>
        </w:rPr>
        <w:t>(</w:t>
      </w:r>
      <w:r w:rsidRPr="00BD22C2">
        <w:rPr>
          <w:rStyle w:val="NoteBasPageCar"/>
          <w:lang w:val="fr-CA"/>
        </w:rPr>
        <w:t>Cat. 2.120-2.66.1</w:t>
      </w:r>
      <w:r w:rsidR="001F7E18" w:rsidRPr="00BD22C2">
        <w:rPr>
          <w:rStyle w:val="NoteBasPageCar"/>
          <w:lang w:val="fr-CA"/>
        </w:rPr>
        <w:t>)</w:t>
      </w:r>
      <w:r w:rsidRPr="00BD22C2">
        <w:rPr>
          <w:rStyle w:val="NoteBasPageCar"/>
          <w:lang w:val="fr-CA"/>
        </w:rPr>
        <w:t xml:space="preserve">. </w:t>
      </w:r>
    </w:p>
  </w:endnote>
  <w:endnote w:id="191">
    <w:p w14:paraId="26DDDB49" w14:textId="665FCB76" w:rsidR="00BA0E30" w:rsidRPr="00BD22C2" w:rsidRDefault="00BA0E30" w:rsidP="00B36D7C">
      <w:pPr>
        <w:pStyle w:val="Notedefin"/>
        <w:tabs>
          <w:tab w:val="left" w:pos="709"/>
        </w:tabs>
        <w:spacing w:after="120" w:line="240" w:lineRule="auto"/>
        <w:ind w:left="709" w:hanging="709"/>
        <w:rPr>
          <w:rStyle w:val="Note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8D3E4C" w:rsidRPr="00BD22C2">
        <w:rPr>
          <w:rStyle w:val="NoteBasPageCar"/>
          <w:i/>
          <w:lang w:val="fr-CA"/>
        </w:rPr>
        <w:t>Id.</w:t>
      </w:r>
      <w:r w:rsidR="008D3E4C" w:rsidRPr="00BD22C2">
        <w:rPr>
          <w:rFonts w:ascii="Arial" w:hAnsi="Arial" w:cs="Arial"/>
          <w:i/>
          <w:iCs/>
          <w:smallCaps/>
          <w:sz w:val="18"/>
          <w:szCs w:val="18"/>
          <w:lang w:val="fr-CA"/>
        </w:rPr>
        <w:t>,</w:t>
      </w:r>
      <w:r w:rsidRPr="00BD22C2">
        <w:rPr>
          <w:rStyle w:val="NoteBasPageCar"/>
          <w:lang w:val="fr-CA"/>
        </w:rPr>
        <w:t xml:space="preserve"> p.</w:t>
      </w:r>
      <w:r w:rsidR="00F915F8" w:rsidRPr="00BD22C2">
        <w:rPr>
          <w:rStyle w:val="NoteBasPageCar"/>
          <w:lang w:val="fr-CA"/>
        </w:rPr>
        <w:t> </w:t>
      </w:r>
      <w:r w:rsidRPr="00BD22C2">
        <w:rPr>
          <w:rStyle w:val="NoteBasPageCar"/>
          <w:lang w:val="fr-CA"/>
        </w:rPr>
        <w:t xml:space="preserve">25, s’appuyant sur un avis antérieur : </w:t>
      </w:r>
      <w:r w:rsidRPr="00BD22C2">
        <w:rPr>
          <w:rStyle w:val="NoteBasPageCar"/>
          <w:smallCaps/>
          <w:lang w:val="fr-CA"/>
        </w:rPr>
        <w:t>Commission des droits de la personne</w:t>
      </w:r>
      <w:r w:rsidRPr="00BD22C2">
        <w:rPr>
          <w:rStyle w:val="NoteBasPageCar"/>
          <w:lang w:val="fr-CA"/>
        </w:rPr>
        <w:t xml:space="preserve">, </w:t>
      </w:r>
      <w:r w:rsidRPr="00BD22C2">
        <w:rPr>
          <w:rStyle w:val="NoteBasPageCar"/>
          <w:i/>
          <w:lang w:val="fr-CA"/>
        </w:rPr>
        <w:t>La sexualisation de postes dans les centres hospitaliers et les centres d’accueil</w:t>
      </w:r>
      <w:r w:rsidRPr="00BD22C2">
        <w:rPr>
          <w:rStyle w:val="NoteBasPageCar"/>
          <w:lang w:val="fr-CA"/>
        </w:rPr>
        <w:t xml:space="preserve">, 1986, cat. 2.120-2.5. </w:t>
      </w:r>
    </w:p>
  </w:endnote>
  <w:endnote w:id="192">
    <w:p w14:paraId="28324D99" w14:textId="1FF9D0AF"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BasPageCar"/>
          <w:i/>
          <w:lang w:val="fr-CA"/>
        </w:rPr>
        <w:t>Id.,</w:t>
      </w:r>
      <w:r w:rsidRPr="00BD22C2">
        <w:rPr>
          <w:rStyle w:val="NoteBasPageCar"/>
          <w:lang w:val="fr-CA"/>
        </w:rPr>
        <w:t xml:space="preserve"> 25-26. Soulignons par ailleurs que l’article</w:t>
      </w:r>
      <w:r w:rsidR="00F915F8" w:rsidRPr="00BD22C2">
        <w:rPr>
          <w:rStyle w:val="NoteBasPageCar"/>
          <w:lang w:val="fr-CA"/>
        </w:rPr>
        <w:t> </w:t>
      </w:r>
      <w:r w:rsidRPr="00BD22C2">
        <w:rPr>
          <w:rStyle w:val="NoteBasPageCar"/>
          <w:lang w:val="fr-CA"/>
        </w:rPr>
        <w:t xml:space="preserve">9.1 de la Charte, </w:t>
      </w:r>
      <w:r w:rsidR="00F04C69" w:rsidRPr="00BD22C2">
        <w:rPr>
          <w:rStyle w:val="NoteBasPageCar"/>
          <w:lang w:val="fr-CA"/>
        </w:rPr>
        <w:t xml:space="preserve">qui prévoit notamment </w:t>
      </w:r>
      <w:r w:rsidRPr="00BD22C2">
        <w:rPr>
          <w:rStyle w:val="NoteBasPageCar"/>
          <w:lang w:val="fr-CA"/>
        </w:rPr>
        <w:t>une démarche de conciliation des droits, ne s’appliquait pas au droit à l’égalité à l’époque. L’avis n’aborde donc la sexualisation des postes que sous l’angle d’une exception au principe de non-discrimination protégé par l’article</w:t>
      </w:r>
      <w:r w:rsidR="00F915F8" w:rsidRPr="00BD22C2">
        <w:rPr>
          <w:rStyle w:val="NoteBasPageCar"/>
          <w:lang w:val="fr-CA"/>
        </w:rPr>
        <w:t> </w:t>
      </w:r>
      <w:r w:rsidRPr="00BD22C2">
        <w:rPr>
          <w:rStyle w:val="NoteBasPageCar"/>
          <w:lang w:val="fr-CA"/>
        </w:rPr>
        <w:t>10 de la Charte.</w:t>
      </w:r>
    </w:p>
  </w:endnote>
  <w:endnote w:id="193">
    <w:p w14:paraId="2CD7A466" w14:textId="5D454A96"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BasPageCar"/>
          <w:i/>
          <w:lang w:val="fr-CA"/>
        </w:rPr>
        <w:t>Id.,</w:t>
      </w:r>
      <w:r w:rsidR="007D2A81">
        <w:rPr>
          <w:rStyle w:val="NoteBasPageCar"/>
          <w:iCs/>
          <w:lang w:val="fr-CA"/>
        </w:rPr>
        <w:t xml:space="preserve"> </w:t>
      </w:r>
      <w:r w:rsidRPr="00BD22C2">
        <w:rPr>
          <w:rStyle w:val="NoteBasPageCar"/>
          <w:lang w:val="fr-CA"/>
        </w:rPr>
        <w:t>p.</w:t>
      </w:r>
      <w:r w:rsidR="00F915F8" w:rsidRPr="00BD22C2">
        <w:rPr>
          <w:rStyle w:val="NoteBasPageCar"/>
          <w:lang w:val="fr-CA"/>
        </w:rPr>
        <w:t> </w:t>
      </w:r>
      <w:r w:rsidRPr="00BD22C2">
        <w:rPr>
          <w:rStyle w:val="NoteBasPageCar"/>
          <w:lang w:val="fr-CA"/>
        </w:rPr>
        <w:t>26.</w:t>
      </w:r>
      <w:r w:rsidRPr="00BD22C2">
        <w:rPr>
          <w:rFonts w:ascii="Arial" w:hAnsi="Arial" w:cs="Arial"/>
          <w:sz w:val="18"/>
          <w:szCs w:val="18"/>
          <w:lang w:val="fr-CA"/>
        </w:rPr>
        <w:t xml:space="preserve"> </w:t>
      </w:r>
    </w:p>
  </w:endnote>
  <w:endnote w:id="194">
    <w:p w14:paraId="571096D6" w14:textId="206E5BEF" w:rsidR="0063068E" w:rsidRPr="00BD22C2" w:rsidRDefault="0063068E" w:rsidP="00B36D7C">
      <w:pPr>
        <w:pStyle w:val="Notedefin"/>
        <w:tabs>
          <w:tab w:val="left" w:pos="709"/>
        </w:tabs>
        <w:spacing w:after="120" w:line="240" w:lineRule="auto"/>
        <w:ind w:left="709" w:hanging="709"/>
        <w:rPr>
          <w:rStyle w:val="Note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30DA1" w:rsidRPr="00BD22C2">
        <w:rPr>
          <w:rFonts w:ascii="Arial" w:hAnsi="Arial" w:cs="Arial"/>
          <w:sz w:val="18"/>
          <w:szCs w:val="18"/>
          <w:lang w:val="fr-CA"/>
        </w:rPr>
        <w:t>De fait, dans une affaire impliquant un hôpital, tant le Tribunal des droits de la personne que la Cour d’appel ont conclu que l’entente de sexualisation des postes convenue avec le syndicat était discriminatoire</w:t>
      </w:r>
      <w:r w:rsidR="00223600">
        <w:rPr>
          <w:rFonts w:ascii="Arial" w:hAnsi="Arial" w:cs="Arial"/>
          <w:sz w:val="18"/>
          <w:szCs w:val="18"/>
          <w:lang w:val="fr-CA"/>
        </w:rPr>
        <w:t>,</w:t>
      </w:r>
      <w:r w:rsidR="00630DA1" w:rsidRPr="00BD22C2">
        <w:rPr>
          <w:rFonts w:ascii="Arial" w:hAnsi="Arial" w:cs="Arial"/>
          <w:sz w:val="18"/>
          <w:szCs w:val="18"/>
          <w:lang w:val="fr-CA"/>
        </w:rPr>
        <w:t xml:space="preserve"> car elle ne respectait ni le critère de rationalité, en l’absence d’une évaluation des besoins des patients de l’hôpital avant d’instaurer la sexualisation des postes, ni le critère de proportionnalité, puisque les effets positifs sur l’objectif poursuivi de protection des droits fondamentaux des bénéficiaires ne contrebalançaient pas les effets négatifs sur le droit à l’égalité à l’embauche des employés : </w:t>
      </w:r>
      <w:r w:rsidRPr="00BD22C2">
        <w:rPr>
          <w:rStyle w:val="NoteBasPageCar"/>
          <w:i/>
          <w:lang w:val="fr-CA"/>
        </w:rPr>
        <w:t>Hôpital général juif Sir Mortimer B. Davis</w:t>
      </w:r>
      <w:r w:rsidRPr="00BD22C2">
        <w:rPr>
          <w:rStyle w:val="NoteBasPageCar"/>
          <w:lang w:val="fr-CA"/>
        </w:rPr>
        <w:t xml:space="preserve"> c. </w:t>
      </w:r>
      <w:r w:rsidRPr="00BD22C2">
        <w:rPr>
          <w:rStyle w:val="NoteBasPageCar"/>
          <w:i/>
          <w:lang w:val="fr-CA"/>
        </w:rPr>
        <w:t>Commission des droits de la personne et des droits de la jeunesse</w:t>
      </w:r>
      <w:r w:rsidRPr="00BD22C2">
        <w:rPr>
          <w:rStyle w:val="NoteBasPageCar"/>
          <w:lang w:val="fr-CA"/>
        </w:rPr>
        <w:t xml:space="preserve">, </w:t>
      </w:r>
      <w:r w:rsidR="005141D2" w:rsidRPr="00BD22C2">
        <w:rPr>
          <w:rStyle w:val="NoteBasPageCar"/>
          <w:lang w:val="fr-CA"/>
        </w:rPr>
        <w:t>préc., note</w:t>
      </w:r>
      <w:r w:rsidR="00CE1914">
        <w:rPr>
          <w:rStyle w:val="NoteBasPageCar"/>
          <w:lang w:val="fr-CA"/>
        </w:rPr>
        <w:t> </w:t>
      </w:r>
      <w:r w:rsidR="005141D2" w:rsidRPr="00BD22C2">
        <w:rPr>
          <w:rStyle w:val="NoteBasPageCar"/>
          <w:lang w:val="fr-CA"/>
        </w:rPr>
        <w:fldChar w:fldCharType="begin"/>
      </w:r>
      <w:r w:rsidR="005141D2" w:rsidRPr="00BD22C2">
        <w:rPr>
          <w:rStyle w:val="NoteBasPageCar"/>
          <w:lang w:val="fr-CA"/>
        </w:rPr>
        <w:instrText xml:space="preserve"> NOTEREF _Ref166839747 \h </w:instrText>
      </w:r>
      <w:r w:rsidR="005141D2" w:rsidRPr="00BD22C2">
        <w:rPr>
          <w:rStyle w:val="NoteBasPageCar"/>
          <w:lang w:val="fr-CA"/>
        </w:rPr>
      </w:r>
      <w:r w:rsidR="005141D2" w:rsidRPr="00BD22C2">
        <w:rPr>
          <w:rStyle w:val="NoteBasPageCar"/>
          <w:lang w:val="fr-CA"/>
        </w:rPr>
        <w:fldChar w:fldCharType="separate"/>
      </w:r>
      <w:r w:rsidR="004B4881">
        <w:rPr>
          <w:rStyle w:val="NoteBasPageCar"/>
          <w:lang w:val="fr-CA"/>
        </w:rPr>
        <w:t>56</w:t>
      </w:r>
      <w:r w:rsidR="005141D2" w:rsidRPr="00BD22C2">
        <w:rPr>
          <w:rStyle w:val="NoteBasPageCar"/>
          <w:lang w:val="fr-CA"/>
        </w:rPr>
        <w:fldChar w:fldCharType="end"/>
      </w:r>
      <w:r w:rsidRPr="00BD22C2">
        <w:rPr>
          <w:rStyle w:val="NoteBasPageCar"/>
          <w:lang w:val="fr-CA"/>
        </w:rPr>
        <w:t xml:space="preserve">, par. </w:t>
      </w:r>
      <w:r w:rsidR="00630DA1" w:rsidRPr="00BD22C2">
        <w:rPr>
          <w:rStyle w:val="NoteBasPageCar"/>
          <w:lang w:val="fr-CA"/>
        </w:rPr>
        <w:t>28</w:t>
      </w:r>
      <w:r w:rsidR="0051216B" w:rsidRPr="00BD22C2">
        <w:rPr>
          <w:rStyle w:val="NoteBasPageCar"/>
          <w:lang w:val="fr-CA"/>
        </w:rPr>
        <w:t>—</w:t>
      </w:r>
      <w:r w:rsidR="00630DA1" w:rsidRPr="00BD22C2">
        <w:rPr>
          <w:rStyle w:val="NoteBasPageCar"/>
          <w:lang w:val="fr-CA"/>
        </w:rPr>
        <w:t xml:space="preserve">30 et </w:t>
      </w:r>
      <w:r w:rsidRPr="00BD22C2">
        <w:rPr>
          <w:rStyle w:val="NoteBasPageCar"/>
          <w:lang w:val="fr-CA"/>
        </w:rPr>
        <w:t>42</w:t>
      </w:r>
      <w:r w:rsidR="00630DA1" w:rsidRPr="00BD22C2">
        <w:rPr>
          <w:rStyle w:val="NoteBasPageCar"/>
          <w:lang w:val="fr-CA"/>
        </w:rPr>
        <w:t>.</w:t>
      </w:r>
    </w:p>
  </w:endnote>
  <w:endnote w:id="195">
    <w:p w14:paraId="5DD0890A" w14:textId="047AFEC5"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BasPageCar"/>
          <w:i/>
          <w:lang w:val="fr-CA"/>
        </w:rPr>
        <w:t>Commission des droits de la personne et des droits de la jeunesse (M.</w:t>
      </w:r>
      <w:r w:rsidR="006305FE">
        <w:rPr>
          <w:rStyle w:val="NoteBasPageCar"/>
          <w:i/>
          <w:lang w:val="fr-CA"/>
        </w:rPr>
        <w:t> </w:t>
      </w:r>
      <w:r w:rsidRPr="00BD22C2">
        <w:rPr>
          <w:rStyle w:val="NoteBasPageCar"/>
          <w:i/>
          <w:lang w:val="fr-CA"/>
        </w:rPr>
        <w:t>L.)</w:t>
      </w:r>
      <w:r w:rsidRPr="00BD22C2">
        <w:rPr>
          <w:rStyle w:val="NoteBasPageCar"/>
          <w:lang w:val="fr-CA"/>
        </w:rPr>
        <w:t xml:space="preserve"> c. </w:t>
      </w:r>
      <w:r w:rsidRPr="00BD22C2">
        <w:rPr>
          <w:rStyle w:val="NoteBasPageCar"/>
          <w:i/>
          <w:lang w:val="fr-CA"/>
        </w:rPr>
        <w:t>Maison des jeunes A</w:t>
      </w:r>
      <w:r w:rsidR="003B361F" w:rsidRPr="00BD22C2">
        <w:rPr>
          <w:rStyle w:val="NoteBasPageCar"/>
          <w:lang w:val="fr-CA"/>
        </w:rPr>
        <w:t>…</w:t>
      </w:r>
      <w:r w:rsidRPr="00BD22C2">
        <w:rPr>
          <w:rStyle w:val="NoteBasPageCar"/>
          <w:lang w:val="fr-CA"/>
        </w:rPr>
        <w:t xml:space="preserve">, </w:t>
      </w:r>
      <w:r w:rsidR="00151AB8" w:rsidRPr="00BD22C2">
        <w:rPr>
          <w:rStyle w:val="NoteBasPageCar"/>
          <w:lang w:val="fr-CA"/>
        </w:rPr>
        <w:t>préc., note</w:t>
      </w:r>
      <w:r w:rsidR="00CE1914">
        <w:rPr>
          <w:rStyle w:val="NoteBasPageCar"/>
          <w:lang w:val="fr-CA"/>
        </w:rPr>
        <w:t> </w:t>
      </w:r>
      <w:r w:rsidR="00151AB8" w:rsidRPr="00BD22C2">
        <w:rPr>
          <w:rStyle w:val="NoteBasPageCar"/>
          <w:lang w:val="fr-CA"/>
        </w:rPr>
        <w:fldChar w:fldCharType="begin"/>
      </w:r>
      <w:r w:rsidR="00151AB8" w:rsidRPr="00BD22C2">
        <w:rPr>
          <w:rStyle w:val="NoteBasPageCar"/>
          <w:lang w:val="fr-CA"/>
        </w:rPr>
        <w:instrText xml:space="preserve"> NOTEREF _Ref166844240 \h </w:instrText>
      </w:r>
      <w:r w:rsidR="00151AB8" w:rsidRPr="00BD22C2">
        <w:rPr>
          <w:rStyle w:val="NoteBasPageCar"/>
          <w:lang w:val="fr-CA"/>
        </w:rPr>
      </w:r>
      <w:r w:rsidR="00151AB8" w:rsidRPr="00BD22C2">
        <w:rPr>
          <w:rStyle w:val="NoteBasPageCar"/>
          <w:lang w:val="fr-CA"/>
        </w:rPr>
        <w:fldChar w:fldCharType="separate"/>
      </w:r>
      <w:r w:rsidR="004B4881">
        <w:rPr>
          <w:rStyle w:val="NoteBasPageCar"/>
          <w:lang w:val="fr-CA"/>
        </w:rPr>
        <w:t>9</w:t>
      </w:r>
      <w:r w:rsidR="00151AB8" w:rsidRPr="00BD22C2">
        <w:rPr>
          <w:rStyle w:val="NoteBasPageCar"/>
          <w:lang w:val="fr-CA"/>
        </w:rPr>
        <w:fldChar w:fldCharType="end"/>
      </w:r>
      <w:r w:rsidR="00151AB8" w:rsidRPr="00BD22C2">
        <w:rPr>
          <w:rStyle w:val="NoteBasPageCar"/>
          <w:lang w:val="fr-CA"/>
        </w:rPr>
        <w:t>.</w:t>
      </w:r>
    </w:p>
  </w:endnote>
  <w:endnote w:id="196">
    <w:p w14:paraId="24263614" w14:textId="3B69C2A0" w:rsidR="00BA0E30" w:rsidRPr="00BD22C2" w:rsidRDefault="00BA0E30" w:rsidP="00B36D7C">
      <w:pPr>
        <w:pStyle w:val="Notedefin"/>
        <w:tabs>
          <w:tab w:val="left" w:pos="709"/>
        </w:tabs>
        <w:spacing w:after="120" w:line="240" w:lineRule="auto"/>
        <w:ind w:left="709" w:hanging="709"/>
        <w:rPr>
          <w:rStyle w:val="Note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151AB8" w:rsidRPr="00BD22C2">
        <w:rPr>
          <w:rFonts w:ascii="Arial" w:hAnsi="Arial" w:cs="Arial"/>
          <w:i/>
          <w:sz w:val="18"/>
          <w:szCs w:val="18"/>
          <w:lang w:val="fr-CA"/>
        </w:rPr>
        <w:t>Id</w:t>
      </w:r>
      <w:r w:rsidR="00151AB8" w:rsidRPr="00BD22C2">
        <w:rPr>
          <w:rFonts w:ascii="Arial" w:hAnsi="Arial" w:cs="Arial"/>
          <w:sz w:val="18"/>
          <w:szCs w:val="18"/>
          <w:lang w:val="fr-CA"/>
        </w:rPr>
        <w:t xml:space="preserve">., </w:t>
      </w:r>
      <w:r w:rsidRPr="00BD22C2">
        <w:rPr>
          <w:rStyle w:val="NoteBasPageCar"/>
          <w:lang w:val="fr-CA"/>
        </w:rPr>
        <w:t xml:space="preserve">par. 150. </w:t>
      </w:r>
    </w:p>
  </w:endnote>
  <w:endnote w:id="197">
    <w:p w14:paraId="68F550E4" w14:textId="2498D4FD"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par. 150. </w:t>
      </w:r>
    </w:p>
  </w:endnote>
  <w:endnote w:id="198">
    <w:p w14:paraId="262D1A70" w14:textId="162FB219"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par. 144. </w:t>
      </w:r>
    </w:p>
  </w:endnote>
  <w:endnote w:id="199">
    <w:p w14:paraId="2B5C0BD6" w14:textId="3ED027CC"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par. 148. </w:t>
      </w:r>
    </w:p>
  </w:endnote>
  <w:endnote w:id="200">
    <w:p w14:paraId="48A98DEB" w14:textId="6CDFAB0D" w:rsidR="00384278" w:rsidRPr="00BD22C2" w:rsidRDefault="0038427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Commission des droits de la personne et des droits de la jeunesse (Samson-Thibault)</w:t>
      </w:r>
      <w:r w:rsidRPr="00BD22C2">
        <w:rPr>
          <w:rFonts w:ascii="Arial" w:hAnsi="Arial" w:cs="Arial"/>
          <w:sz w:val="18"/>
          <w:szCs w:val="18"/>
          <w:lang w:val="fr-CA"/>
        </w:rPr>
        <w:t xml:space="preserve"> c. </w:t>
      </w:r>
      <w:r w:rsidRPr="00BD22C2">
        <w:rPr>
          <w:rFonts w:ascii="Arial" w:hAnsi="Arial" w:cs="Arial"/>
          <w:i/>
          <w:sz w:val="18"/>
          <w:szCs w:val="18"/>
          <w:lang w:val="fr-CA"/>
        </w:rPr>
        <w:t>Ville de Québec</w:t>
      </w:r>
      <w:r w:rsidRPr="00BD22C2">
        <w:rPr>
          <w:rFonts w:ascii="Arial" w:hAnsi="Arial" w:cs="Arial"/>
          <w:sz w:val="18"/>
          <w:szCs w:val="18"/>
          <w:lang w:val="fr-CA"/>
        </w:rPr>
        <w:t>, 2023</w:t>
      </w:r>
      <w:r w:rsidR="00B32B61">
        <w:rPr>
          <w:rFonts w:ascii="Arial" w:hAnsi="Arial" w:cs="Arial"/>
          <w:sz w:val="18"/>
          <w:szCs w:val="18"/>
          <w:lang w:val="fr-CA"/>
        </w:rPr>
        <w:t> </w:t>
      </w:r>
      <w:r w:rsidRPr="00BD22C2">
        <w:rPr>
          <w:rFonts w:ascii="Arial" w:hAnsi="Arial" w:cs="Arial"/>
          <w:sz w:val="18"/>
          <w:szCs w:val="18"/>
          <w:lang w:val="fr-CA"/>
        </w:rPr>
        <w:t>QCTDP</w:t>
      </w:r>
      <w:r w:rsidR="00CE1914">
        <w:rPr>
          <w:rFonts w:ascii="Arial" w:hAnsi="Arial" w:cs="Arial"/>
          <w:sz w:val="18"/>
          <w:szCs w:val="18"/>
          <w:lang w:val="fr-CA"/>
        </w:rPr>
        <w:t> </w:t>
      </w:r>
      <w:r w:rsidRPr="00BD22C2">
        <w:rPr>
          <w:rFonts w:ascii="Arial" w:hAnsi="Arial" w:cs="Arial"/>
          <w:sz w:val="18"/>
          <w:szCs w:val="18"/>
          <w:lang w:val="fr-CA"/>
        </w:rPr>
        <w:t>2, par. 187</w:t>
      </w:r>
      <w:r w:rsidR="00F3744F" w:rsidRPr="00BD22C2">
        <w:rPr>
          <w:rFonts w:ascii="Arial" w:hAnsi="Arial" w:cs="Arial"/>
          <w:sz w:val="18"/>
          <w:szCs w:val="18"/>
          <w:lang w:val="fr-CA"/>
        </w:rPr>
        <w:t xml:space="preserve"> (citations internes omises).</w:t>
      </w:r>
    </w:p>
  </w:endnote>
  <w:endnote w:id="201">
    <w:p w14:paraId="7C37EC4E" w14:textId="1099AA31" w:rsidR="0016433D" w:rsidRPr="00BD22C2" w:rsidRDefault="0016433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CF6347" w:rsidRPr="00BD22C2">
        <w:rPr>
          <w:rFonts w:ascii="Arial" w:hAnsi="Arial" w:cs="Arial"/>
          <w:i/>
          <w:sz w:val="18"/>
          <w:szCs w:val="18"/>
          <w:shd w:val="clear" w:color="auto" w:fill="FFFFFF"/>
          <w:lang w:val="fr-CA"/>
        </w:rPr>
        <w:t xml:space="preserve">Colombie-Britannique </w:t>
      </w:r>
      <w:r w:rsidR="00CF6347" w:rsidRPr="00BD22C2">
        <w:rPr>
          <w:rFonts w:ascii="Arial" w:hAnsi="Arial" w:cs="Arial"/>
          <w:sz w:val="18"/>
          <w:szCs w:val="18"/>
          <w:shd w:val="clear" w:color="auto" w:fill="FFFFFF"/>
          <w:lang w:val="fr-CA"/>
        </w:rPr>
        <w:t xml:space="preserve">c. </w:t>
      </w:r>
      <w:r w:rsidR="00CF6347" w:rsidRPr="00BD22C2">
        <w:rPr>
          <w:rFonts w:ascii="Arial" w:hAnsi="Arial" w:cs="Arial"/>
          <w:i/>
          <w:sz w:val="18"/>
          <w:szCs w:val="18"/>
          <w:shd w:val="clear" w:color="auto" w:fill="FFFFFF"/>
          <w:lang w:val="fr-CA"/>
        </w:rPr>
        <w:t>BCGSEU</w:t>
      </w:r>
      <w:r w:rsidR="00CF6347" w:rsidRPr="00BD22C2">
        <w:rPr>
          <w:rFonts w:ascii="Arial" w:hAnsi="Arial" w:cs="Arial"/>
          <w:sz w:val="18"/>
          <w:szCs w:val="18"/>
          <w:shd w:val="clear" w:color="auto" w:fill="FFFFFF"/>
          <w:lang w:val="fr-CA"/>
        </w:rPr>
        <w:t xml:space="preserve">, </w:t>
      </w:r>
      <w:r w:rsidR="008C4FD6" w:rsidRPr="00BD22C2">
        <w:rPr>
          <w:rFonts w:ascii="Arial" w:hAnsi="Arial" w:cs="Arial"/>
          <w:sz w:val="18"/>
          <w:szCs w:val="18"/>
          <w:shd w:val="clear" w:color="auto" w:fill="FFFFFF"/>
          <w:lang w:val="fr-CA"/>
        </w:rPr>
        <w:t>préc., note</w:t>
      </w:r>
      <w:r w:rsidR="00CE1914">
        <w:rPr>
          <w:rFonts w:ascii="Arial" w:hAnsi="Arial" w:cs="Arial"/>
          <w:sz w:val="18"/>
          <w:szCs w:val="18"/>
          <w:shd w:val="clear" w:color="auto" w:fill="FFFFFF"/>
          <w:lang w:val="fr-CA"/>
        </w:rPr>
        <w:t> </w:t>
      </w:r>
      <w:r w:rsidR="00231E3F" w:rsidRPr="00BD22C2">
        <w:rPr>
          <w:rFonts w:ascii="Arial" w:hAnsi="Arial" w:cs="Arial"/>
          <w:sz w:val="18"/>
          <w:szCs w:val="18"/>
          <w:shd w:val="clear" w:color="auto" w:fill="FFFFFF"/>
          <w:lang w:val="fr-CA"/>
        </w:rPr>
        <w:fldChar w:fldCharType="begin"/>
      </w:r>
      <w:r w:rsidR="00231E3F" w:rsidRPr="00BD22C2">
        <w:rPr>
          <w:rFonts w:ascii="Arial" w:hAnsi="Arial" w:cs="Arial"/>
          <w:sz w:val="18"/>
          <w:szCs w:val="18"/>
          <w:shd w:val="clear" w:color="auto" w:fill="FFFFFF"/>
          <w:lang w:val="fr-CA"/>
        </w:rPr>
        <w:instrText xml:space="preserve"> NOTEREF _Ref167438553 \h </w:instrText>
      </w:r>
      <w:r w:rsidR="00231E3F" w:rsidRPr="00BD22C2">
        <w:rPr>
          <w:rFonts w:ascii="Arial" w:hAnsi="Arial" w:cs="Arial"/>
          <w:sz w:val="18"/>
          <w:szCs w:val="18"/>
          <w:shd w:val="clear" w:color="auto" w:fill="FFFFFF"/>
          <w:lang w:val="fr-CA"/>
        </w:rPr>
      </w:r>
      <w:r w:rsidR="00231E3F" w:rsidRPr="00BD22C2">
        <w:rPr>
          <w:rFonts w:ascii="Arial" w:hAnsi="Arial" w:cs="Arial"/>
          <w:sz w:val="18"/>
          <w:szCs w:val="18"/>
          <w:shd w:val="clear" w:color="auto" w:fill="FFFFFF"/>
          <w:lang w:val="fr-CA"/>
        </w:rPr>
        <w:fldChar w:fldCharType="separate"/>
      </w:r>
      <w:r w:rsidR="004B4881">
        <w:rPr>
          <w:rFonts w:ascii="Arial" w:hAnsi="Arial" w:cs="Arial"/>
          <w:sz w:val="18"/>
          <w:szCs w:val="18"/>
          <w:shd w:val="clear" w:color="auto" w:fill="FFFFFF"/>
          <w:lang w:val="fr-CA"/>
        </w:rPr>
        <w:t>168</w:t>
      </w:r>
      <w:r w:rsidR="00231E3F" w:rsidRPr="00BD22C2">
        <w:rPr>
          <w:rFonts w:ascii="Arial" w:hAnsi="Arial" w:cs="Arial"/>
          <w:sz w:val="18"/>
          <w:szCs w:val="18"/>
          <w:shd w:val="clear" w:color="auto" w:fill="FFFFFF"/>
          <w:lang w:val="fr-CA"/>
        </w:rPr>
        <w:fldChar w:fldCharType="end"/>
      </w:r>
      <w:r w:rsidR="00CF6347" w:rsidRPr="00BD22C2">
        <w:rPr>
          <w:rFonts w:ascii="Arial" w:hAnsi="Arial" w:cs="Arial"/>
          <w:sz w:val="18"/>
          <w:szCs w:val="18"/>
          <w:shd w:val="clear" w:color="auto" w:fill="FFFFFF"/>
          <w:lang w:val="fr-CA"/>
        </w:rPr>
        <w:t>, par. 2</w:t>
      </w:r>
      <w:r w:rsidR="004216A5" w:rsidRPr="00BD22C2">
        <w:rPr>
          <w:rFonts w:ascii="Arial" w:hAnsi="Arial" w:cs="Arial"/>
          <w:sz w:val="18"/>
          <w:szCs w:val="18"/>
          <w:shd w:val="clear" w:color="auto" w:fill="FFFFFF"/>
          <w:lang w:val="fr-CA"/>
        </w:rPr>
        <w:t xml:space="preserve">. </w:t>
      </w:r>
    </w:p>
  </w:endnote>
  <w:endnote w:id="202">
    <w:p w14:paraId="0F7731A3" w14:textId="7ECC9A80" w:rsidR="00C56690" w:rsidRPr="005704CF" w:rsidRDefault="00C5669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Commission des droits de la personne et des droits de la jeunesse (M.</w:t>
      </w:r>
      <w:r w:rsidR="006305FE">
        <w:rPr>
          <w:rFonts w:ascii="Arial" w:hAnsi="Arial" w:cs="Arial"/>
          <w:i/>
          <w:sz w:val="18"/>
          <w:szCs w:val="18"/>
          <w:lang w:val="fr-CA"/>
        </w:rPr>
        <w:t> </w:t>
      </w:r>
      <w:r w:rsidRPr="00BD22C2">
        <w:rPr>
          <w:rFonts w:ascii="Arial" w:hAnsi="Arial" w:cs="Arial"/>
          <w:i/>
          <w:sz w:val="18"/>
          <w:szCs w:val="18"/>
          <w:lang w:val="fr-CA"/>
        </w:rPr>
        <w:t>R.)</w:t>
      </w:r>
      <w:r w:rsidRPr="00BD22C2">
        <w:rPr>
          <w:rFonts w:ascii="Arial" w:hAnsi="Arial" w:cs="Arial"/>
          <w:sz w:val="18"/>
          <w:szCs w:val="18"/>
          <w:lang w:val="fr-CA"/>
        </w:rPr>
        <w:t xml:space="preserve"> c. </w:t>
      </w:r>
      <w:r w:rsidRPr="00BD22C2">
        <w:rPr>
          <w:rFonts w:ascii="Arial" w:hAnsi="Arial" w:cs="Arial"/>
          <w:i/>
          <w:sz w:val="18"/>
          <w:szCs w:val="18"/>
          <w:lang w:val="fr-CA"/>
        </w:rPr>
        <w:t>Société de transport de Montréal (STM)</w:t>
      </w:r>
      <w:r w:rsidRPr="00BD22C2">
        <w:rPr>
          <w:rFonts w:ascii="Arial" w:hAnsi="Arial" w:cs="Arial"/>
          <w:sz w:val="18"/>
          <w:szCs w:val="18"/>
          <w:lang w:val="fr-CA"/>
        </w:rPr>
        <w:t>, </w:t>
      </w:r>
      <w:hyperlink r:id="rId100" w:history="1">
        <w:r w:rsidRPr="00BD22C2">
          <w:rPr>
            <w:rFonts w:ascii="Arial" w:hAnsi="Arial" w:cs="Arial"/>
            <w:sz w:val="18"/>
            <w:szCs w:val="18"/>
            <w:lang w:val="fr-CA"/>
          </w:rPr>
          <w:t>2021</w:t>
        </w:r>
        <w:r w:rsidR="00B32B61">
          <w:rPr>
            <w:rFonts w:ascii="Arial" w:hAnsi="Arial" w:cs="Arial"/>
            <w:sz w:val="18"/>
            <w:szCs w:val="18"/>
            <w:lang w:val="fr-CA"/>
          </w:rPr>
          <w:t> </w:t>
        </w:r>
        <w:r w:rsidRPr="00BD22C2">
          <w:rPr>
            <w:rFonts w:ascii="Arial" w:hAnsi="Arial" w:cs="Arial"/>
            <w:sz w:val="18"/>
            <w:szCs w:val="18"/>
            <w:lang w:val="fr-CA"/>
          </w:rPr>
          <w:t>QCTDP</w:t>
        </w:r>
        <w:r w:rsidR="00CE1914">
          <w:rPr>
            <w:rFonts w:ascii="Arial" w:hAnsi="Arial" w:cs="Arial"/>
            <w:sz w:val="18"/>
            <w:szCs w:val="18"/>
            <w:lang w:val="fr-CA"/>
          </w:rPr>
          <w:t> </w:t>
        </w:r>
        <w:r w:rsidRPr="00BD22C2">
          <w:rPr>
            <w:rFonts w:ascii="Arial" w:hAnsi="Arial" w:cs="Arial"/>
            <w:sz w:val="18"/>
            <w:szCs w:val="18"/>
            <w:lang w:val="fr-CA"/>
          </w:rPr>
          <w:t>35</w:t>
        </w:r>
      </w:hyperlink>
      <w:r w:rsidRPr="00BD22C2">
        <w:rPr>
          <w:rFonts w:ascii="Arial" w:hAnsi="Arial" w:cs="Arial"/>
          <w:sz w:val="18"/>
          <w:szCs w:val="18"/>
          <w:lang w:val="fr-CA"/>
        </w:rPr>
        <w:t>, par.</w:t>
      </w:r>
      <w:r w:rsidR="0051216B" w:rsidRPr="00BD22C2">
        <w:rPr>
          <w:rFonts w:ascii="Arial" w:hAnsi="Arial" w:cs="Arial"/>
          <w:sz w:val="18"/>
          <w:szCs w:val="18"/>
          <w:lang w:val="fr-CA"/>
        </w:rPr>
        <w:t xml:space="preserve"> </w:t>
      </w:r>
      <w:hyperlink r:id="rId101" w:anchor="par95" w:history="1">
        <w:r w:rsidRPr="007C21A3">
          <w:rPr>
            <w:rFonts w:ascii="Arial" w:hAnsi="Arial" w:cs="Arial"/>
            <w:sz w:val="18"/>
            <w:szCs w:val="18"/>
            <w:lang w:val="fr-CA"/>
          </w:rPr>
          <w:t>95</w:t>
        </w:r>
      </w:hyperlink>
      <w:r w:rsidR="00856FDA" w:rsidRPr="007C21A3">
        <w:rPr>
          <w:rFonts w:ascii="Arial" w:hAnsi="Arial" w:cs="Arial"/>
          <w:sz w:val="18"/>
          <w:szCs w:val="18"/>
          <w:lang w:val="fr-CA"/>
        </w:rPr>
        <w:t xml:space="preserve">, </w:t>
      </w:r>
      <w:r w:rsidR="0077684F" w:rsidRPr="007C21A3">
        <w:rPr>
          <w:rFonts w:ascii="Arial" w:hAnsi="Arial" w:cs="Arial"/>
          <w:sz w:val="18"/>
          <w:szCs w:val="18"/>
          <w:lang w:val="fr-CA"/>
        </w:rPr>
        <w:t xml:space="preserve">citant notamment </w:t>
      </w:r>
      <w:r w:rsidR="0077684F" w:rsidRPr="007C21A3">
        <w:rPr>
          <w:rFonts w:ascii="Arial" w:hAnsi="Arial" w:cs="Arial"/>
          <w:i/>
          <w:sz w:val="18"/>
          <w:szCs w:val="18"/>
          <w:shd w:val="clear" w:color="auto" w:fill="FFFFFF"/>
          <w:lang w:val="fr-CA"/>
        </w:rPr>
        <w:t>Colombie-Britannique)</w:t>
      </w:r>
      <w:r w:rsidR="0077684F" w:rsidRPr="007C21A3">
        <w:rPr>
          <w:rFonts w:ascii="Arial" w:hAnsi="Arial" w:cs="Arial"/>
          <w:sz w:val="18"/>
          <w:szCs w:val="18"/>
          <w:shd w:val="clear" w:color="auto" w:fill="FFFFFF"/>
          <w:lang w:val="fr-CA"/>
        </w:rPr>
        <w:t xml:space="preserve"> c. </w:t>
      </w:r>
      <w:r w:rsidR="0077684F" w:rsidRPr="007C21A3">
        <w:rPr>
          <w:rFonts w:ascii="Arial" w:hAnsi="Arial" w:cs="Arial"/>
          <w:i/>
          <w:sz w:val="18"/>
          <w:szCs w:val="18"/>
          <w:shd w:val="clear" w:color="auto" w:fill="FFFFFF"/>
          <w:lang w:val="fr-CA"/>
        </w:rPr>
        <w:t>BCGSEU</w:t>
      </w:r>
      <w:r w:rsidR="0077684F" w:rsidRPr="007C21A3">
        <w:rPr>
          <w:rFonts w:ascii="Arial" w:hAnsi="Arial" w:cs="Arial"/>
          <w:sz w:val="18"/>
          <w:szCs w:val="18"/>
          <w:shd w:val="clear" w:color="auto" w:fill="FFFFFF"/>
          <w:lang w:val="fr-CA"/>
        </w:rPr>
        <w:t xml:space="preserve">, </w:t>
      </w:r>
      <w:r w:rsidR="00231E3F" w:rsidRPr="007C21A3">
        <w:rPr>
          <w:rFonts w:ascii="Arial" w:hAnsi="Arial" w:cs="Arial"/>
          <w:sz w:val="18"/>
          <w:szCs w:val="18"/>
          <w:shd w:val="clear" w:color="auto" w:fill="FFFFFF"/>
          <w:lang w:val="fr-CA"/>
        </w:rPr>
        <w:t>préc., note</w:t>
      </w:r>
      <w:r w:rsidR="00CE1914" w:rsidRPr="007C21A3">
        <w:rPr>
          <w:rFonts w:ascii="Arial" w:hAnsi="Arial" w:cs="Arial"/>
          <w:sz w:val="18"/>
          <w:szCs w:val="18"/>
          <w:shd w:val="clear" w:color="auto" w:fill="FFFFFF"/>
          <w:lang w:val="fr-CA"/>
        </w:rPr>
        <w:t> </w:t>
      </w:r>
      <w:r w:rsidR="00231E3F" w:rsidRPr="00BD22C2">
        <w:rPr>
          <w:rFonts w:ascii="Arial" w:hAnsi="Arial" w:cs="Arial"/>
          <w:sz w:val="18"/>
          <w:szCs w:val="18"/>
          <w:shd w:val="clear" w:color="auto" w:fill="FFFFFF"/>
          <w:lang w:val="fr-CA"/>
        </w:rPr>
        <w:fldChar w:fldCharType="begin"/>
      </w:r>
      <w:r w:rsidR="00231E3F" w:rsidRPr="007C21A3">
        <w:rPr>
          <w:rFonts w:ascii="Arial" w:hAnsi="Arial" w:cs="Arial"/>
          <w:sz w:val="18"/>
          <w:szCs w:val="18"/>
          <w:shd w:val="clear" w:color="auto" w:fill="FFFFFF"/>
          <w:lang w:val="fr-CA"/>
        </w:rPr>
        <w:instrText xml:space="preserve"> NOTEREF _Ref167438553 \h </w:instrText>
      </w:r>
      <w:r w:rsidR="00231E3F" w:rsidRPr="00BD22C2">
        <w:rPr>
          <w:rFonts w:ascii="Arial" w:hAnsi="Arial" w:cs="Arial"/>
          <w:sz w:val="18"/>
          <w:szCs w:val="18"/>
          <w:shd w:val="clear" w:color="auto" w:fill="FFFFFF"/>
          <w:lang w:val="fr-CA"/>
        </w:rPr>
      </w:r>
      <w:r w:rsidR="00231E3F" w:rsidRPr="00BD22C2">
        <w:rPr>
          <w:rFonts w:ascii="Arial" w:hAnsi="Arial" w:cs="Arial"/>
          <w:sz w:val="18"/>
          <w:szCs w:val="18"/>
          <w:shd w:val="clear" w:color="auto" w:fill="FFFFFF"/>
          <w:lang w:val="fr-CA"/>
        </w:rPr>
        <w:fldChar w:fldCharType="separate"/>
      </w:r>
      <w:r w:rsidR="004B4881">
        <w:rPr>
          <w:rFonts w:ascii="Arial" w:hAnsi="Arial" w:cs="Arial"/>
          <w:sz w:val="18"/>
          <w:szCs w:val="18"/>
          <w:shd w:val="clear" w:color="auto" w:fill="FFFFFF"/>
          <w:lang w:val="fr-CA"/>
        </w:rPr>
        <w:t>168</w:t>
      </w:r>
      <w:r w:rsidR="00231E3F" w:rsidRPr="00BD22C2">
        <w:rPr>
          <w:rFonts w:ascii="Arial" w:hAnsi="Arial" w:cs="Arial"/>
          <w:sz w:val="18"/>
          <w:szCs w:val="18"/>
          <w:shd w:val="clear" w:color="auto" w:fill="FFFFFF"/>
          <w:lang w:val="fr-CA"/>
        </w:rPr>
        <w:fldChar w:fldCharType="end"/>
      </w:r>
      <w:r w:rsidR="0077684F" w:rsidRPr="007C21A3">
        <w:rPr>
          <w:rFonts w:ascii="Arial" w:hAnsi="Arial" w:cs="Arial"/>
          <w:sz w:val="18"/>
          <w:szCs w:val="18"/>
          <w:lang w:val="fr-CA"/>
        </w:rPr>
        <w:t>, par. 2, 18, 69 et 79</w:t>
      </w:r>
      <w:r w:rsidR="0077684F" w:rsidRPr="007C21A3">
        <w:rPr>
          <w:rFonts w:ascii="Arial" w:hAnsi="Arial" w:cs="Arial"/>
          <w:i/>
          <w:sz w:val="18"/>
          <w:szCs w:val="18"/>
          <w:lang w:val="fr-CA"/>
        </w:rPr>
        <w:t>, Colombie-Britannique (Superintendent of Motor Vehicles)</w:t>
      </w:r>
      <w:r w:rsidR="0077684F" w:rsidRPr="007C21A3">
        <w:rPr>
          <w:rFonts w:ascii="Arial" w:hAnsi="Arial" w:cs="Arial"/>
          <w:sz w:val="18"/>
          <w:szCs w:val="18"/>
          <w:lang w:val="fr-CA"/>
        </w:rPr>
        <w:t xml:space="preserve"> c. </w:t>
      </w:r>
      <w:r w:rsidR="0077684F" w:rsidRPr="007C21A3">
        <w:rPr>
          <w:rFonts w:ascii="Arial" w:hAnsi="Arial" w:cs="Arial"/>
          <w:i/>
          <w:sz w:val="18"/>
          <w:szCs w:val="18"/>
          <w:lang w:val="fr-CA"/>
        </w:rPr>
        <w:t>Colombie-Britannique (Council of Human Rights)</w:t>
      </w:r>
      <w:r w:rsidR="0077684F" w:rsidRPr="007C21A3">
        <w:rPr>
          <w:rFonts w:ascii="Arial" w:hAnsi="Arial" w:cs="Arial"/>
          <w:sz w:val="18"/>
          <w:szCs w:val="18"/>
          <w:lang w:val="fr-CA"/>
        </w:rPr>
        <w:t>, </w:t>
      </w:r>
      <w:r w:rsidR="00231E3F" w:rsidRPr="007C21A3">
        <w:rPr>
          <w:rFonts w:ascii="Arial" w:hAnsi="Arial" w:cs="Arial"/>
          <w:sz w:val="18"/>
          <w:szCs w:val="18"/>
          <w:lang w:val="fr-CA"/>
        </w:rPr>
        <w:t>préc. note</w:t>
      </w:r>
      <w:r w:rsidR="00CE1914" w:rsidRPr="007C21A3">
        <w:rPr>
          <w:rFonts w:ascii="Arial" w:hAnsi="Arial" w:cs="Arial"/>
          <w:sz w:val="18"/>
          <w:szCs w:val="18"/>
          <w:lang w:val="fr-CA"/>
        </w:rPr>
        <w:t> </w:t>
      </w:r>
      <w:r w:rsidR="00231E3F" w:rsidRPr="007C21A3">
        <w:rPr>
          <w:rFonts w:ascii="Arial" w:hAnsi="Arial" w:cs="Arial"/>
          <w:sz w:val="18"/>
          <w:szCs w:val="18"/>
          <w:lang w:val="fr-CA"/>
        </w:rPr>
        <w:t>185</w:t>
      </w:r>
      <w:r w:rsidR="0077684F" w:rsidRPr="007C21A3">
        <w:rPr>
          <w:rFonts w:ascii="Arial" w:hAnsi="Arial" w:cs="Arial"/>
          <w:sz w:val="18"/>
          <w:szCs w:val="18"/>
          <w:lang w:val="fr-CA"/>
        </w:rPr>
        <w:t>, par.</w:t>
      </w:r>
      <w:r w:rsidR="0051216B" w:rsidRPr="007C21A3">
        <w:rPr>
          <w:rFonts w:ascii="Arial" w:hAnsi="Arial" w:cs="Arial"/>
          <w:sz w:val="18"/>
          <w:szCs w:val="18"/>
          <w:lang w:val="fr-CA"/>
        </w:rPr>
        <w:t xml:space="preserve"> </w:t>
      </w:r>
      <w:hyperlink r:id="rId102" w:anchor="par30" w:history="1">
        <w:r w:rsidR="0077684F" w:rsidRPr="00061794">
          <w:rPr>
            <w:rFonts w:ascii="Arial" w:hAnsi="Arial" w:cs="Arial"/>
            <w:sz w:val="18"/>
            <w:szCs w:val="18"/>
            <w:lang w:val="fr-CA"/>
          </w:rPr>
          <w:t>30</w:t>
        </w:r>
      </w:hyperlink>
      <w:r w:rsidR="0077684F" w:rsidRPr="00061794">
        <w:rPr>
          <w:rFonts w:ascii="Arial" w:hAnsi="Arial" w:cs="Arial"/>
          <w:sz w:val="18"/>
          <w:szCs w:val="18"/>
          <w:lang w:val="fr-CA"/>
        </w:rPr>
        <w:t xml:space="preserve">, 32 et 43, et </w:t>
      </w:r>
      <w:r w:rsidR="0077684F" w:rsidRPr="00061794">
        <w:rPr>
          <w:rFonts w:ascii="Arial" w:hAnsi="Arial" w:cs="Arial"/>
          <w:i/>
          <w:sz w:val="18"/>
          <w:szCs w:val="18"/>
          <w:lang w:val="fr-CA"/>
        </w:rPr>
        <w:t>Singh</w:t>
      </w:r>
      <w:r w:rsidR="008D4F5A" w:rsidRPr="00061794">
        <w:rPr>
          <w:rFonts w:ascii="Arial" w:hAnsi="Arial" w:cs="Arial"/>
          <w:sz w:val="18"/>
          <w:szCs w:val="18"/>
          <w:lang w:val="fr-CA"/>
        </w:rPr>
        <w:t xml:space="preserve"> </w:t>
      </w:r>
      <w:r w:rsidR="0077684F" w:rsidRPr="00061794">
        <w:rPr>
          <w:rFonts w:ascii="Arial" w:hAnsi="Arial" w:cs="Arial"/>
          <w:sz w:val="18"/>
          <w:szCs w:val="18"/>
          <w:lang w:val="fr-CA"/>
        </w:rPr>
        <w:t xml:space="preserve">c. </w:t>
      </w:r>
      <w:r w:rsidR="0077684F" w:rsidRPr="00061794">
        <w:rPr>
          <w:rFonts w:ascii="Arial" w:hAnsi="Arial" w:cs="Arial"/>
          <w:i/>
          <w:sz w:val="18"/>
          <w:szCs w:val="18"/>
          <w:lang w:val="fr-CA"/>
        </w:rPr>
        <w:t>Montréal Gateway Terminals Partnership (CP Ships Ltd/Navigation CP ltée)</w:t>
      </w:r>
      <w:r w:rsidR="0077684F" w:rsidRPr="00061794">
        <w:rPr>
          <w:rFonts w:ascii="Arial" w:hAnsi="Arial" w:cs="Arial"/>
          <w:sz w:val="18"/>
          <w:szCs w:val="18"/>
          <w:lang w:val="fr-CA"/>
        </w:rPr>
        <w:t>, </w:t>
      </w:r>
      <w:hyperlink r:id="rId103" w:history="1">
        <w:r w:rsidR="0077684F" w:rsidRPr="00061794">
          <w:rPr>
            <w:rFonts w:ascii="Arial" w:hAnsi="Arial" w:cs="Arial"/>
            <w:sz w:val="18"/>
            <w:szCs w:val="18"/>
            <w:lang w:val="fr-CA"/>
          </w:rPr>
          <w:t>2016</w:t>
        </w:r>
        <w:r w:rsidR="00B32B61" w:rsidRPr="00061794">
          <w:rPr>
            <w:rFonts w:ascii="Arial" w:hAnsi="Arial" w:cs="Arial"/>
            <w:sz w:val="18"/>
            <w:szCs w:val="18"/>
            <w:lang w:val="fr-CA"/>
          </w:rPr>
          <w:t> </w:t>
        </w:r>
        <w:r w:rsidR="0077684F" w:rsidRPr="00061794">
          <w:rPr>
            <w:rFonts w:ascii="Arial" w:hAnsi="Arial" w:cs="Arial"/>
            <w:sz w:val="18"/>
            <w:szCs w:val="18"/>
            <w:lang w:val="fr-CA"/>
          </w:rPr>
          <w:t>QCCS</w:t>
        </w:r>
        <w:r w:rsidR="00CE1914" w:rsidRPr="00061794">
          <w:rPr>
            <w:rFonts w:ascii="Arial" w:hAnsi="Arial" w:cs="Arial"/>
            <w:sz w:val="18"/>
            <w:szCs w:val="18"/>
            <w:lang w:val="fr-CA"/>
          </w:rPr>
          <w:t> </w:t>
        </w:r>
        <w:r w:rsidR="0077684F" w:rsidRPr="00061794">
          <w:rPr>
            <w:rFonts w:ascii="Arial" w:hAnsi="Arial" w:cs="Arial"/>
            <w:sz w:val="18"/>
            <w:szCs w:val="18"/>
            <w:lang w:val="fr-CA"/>
          </w:rPr>
          <w:t>4521</w:t>
        </w:r>
      </w:hyperlink>
      <w:r w:rsidR="0077684F" w:rsidRPr="00061794">
        <w:rPr>
          <w:rFonts w:ascii="Arial" w:hAnsi="Arial" w:cs="Arial"/>
          <w:sz w:val="18"/>
          <w:szCs w:val="18"/>
          <w:lang w:val="fr-CA"/>
        </w:rPr>
        <w:t>, par.</w:t>
      </w:r>
      <w:r w:rsidR="0051216B" w:rsidRPr="00061794">
        <w:rPr>
          <w:rFonts w:ascii="Arial" w:hAnsi="Arial" w:cs="Arial"/>
          <w:sz w:val="18"/>
          <w:szCs w:val="18"/>
          <w:lang w:val="fr-CA"/>
        </w:rPr>
        <w:t xml:space="preserve"> </w:t>
      </w:r>
      <w:hyperlink r:id="rId104" w:anchor="par78" w:history="1">
        <w:r w:rsidR="0077684F" w:rsidRPr="00061794">
          <w:rPr>
            <w:rFonts w:ascii="Arial" w:hAnsi="Arial" w:cs="Arial"/>
            <w:sz w:val="18"/>
            <w:szCs w:val="18"/>
            <w:lang w:val="fr-CA"/>
          </w:rPr>
          <w:t>78-97</w:t>
        </w:r>
      </w:hyperlink>
      <w:r w:rsidR="0077684F" w:rsidRPr="00061794">
        <w:rPr>
          <w:rFonts w:ascii="Arial" w:hAnsi="Arial" w:cs="Arial"/>
          <w:sz w:val="18"/>
          <w:szCs w:val="18"/>
          <w:lang w:val="fr-CA"/>
        </w:rPr>
        <w:t>.</w:t>
      </w:r>
      <w:r w:rsidR="00DD14BA" w:rsidRPr="00061794">
        <w:rPr>
          <w:rFonts w:ascii="Arial" w:hAnsi="Arial" w:cs="Arial"/>
          <w:sz w:val="18"/>
          <w:szCs w:val="18"/>
          <w:lang w:val="fr-CA"/>
        </w:rPr>
        <w:t xml:space="preserve"> </w:t>
      </w:r>
      <w:r w:rsidR="00DD14BA">
        <w:rPr>
          <w:rFonts w:ascii="Arial" w:hAnsi="Arial" w:cs="Arial"/>
          <w:sz w:val="18"/>
          <w:szCs w:val="18"/>
          <w:lang w:val="fr-CA"/>
        </w:rPr>
        <w:t>Voir également</w:t>
      </w:r>
      <w:r w:rsidR="00C129C7">
        <w:rPr>
          <w:rFonts w:ascii="Arial" w:hAnsi="Arial" w:cs="Arial"/>
          <w:sz w:val="18"/>
          <w:szCs w:val="18"/>
          <w:lang w:val="fr-CA"/>
        </w:rPr>
        <w:t>,</w:t>
      </w:r>
      <w:r w:rsidR="00DD14BA">
        <w:rPr>
          <w:rFonts w:ascii="Arial" w:hAnsi="Arial" w:cs="Arial"/>
          <w:sz w:val="18"/>
          <w:szCs w:val="18"/>
          <w:lang w:val="fr-CA"/>
        </w:rPr>
        <w:t> concernant le motif</w:t>
      </w:r>
      <w:r w:rsidR="00F16C33">
        <w:rPr>
          <w:rFonts w:ascii="Arial" w:hAnsi="Arial" w:cs="Arial"/>
          <w:sz w:val="18"/>
          <w:szCs w:val="18"/>
          <w:lang w:val="fr-CA"/>
        </w:rPr>
        <w:t xml:space="preserve"> identité de genre : </w:t>
      </w:r>
      <w:r w:rsidR="00986D7D">
        <w:rPr>
          <w:rFonts w:ascii="Arial" w:hAnsi="Arial" w:cs="Arial"/>
          <w:i/>
          <w:iCs/>
          <w:sz w:val="18"/>
          <w:szCs w:val="18"/>
          <w:lang w:val="fr-CA"/>
        </w:rPr>
        <w:t xml:space="preserve">Commission des droits de la personne et des </w:t>
      </w:r>
      <w:r w:rsidR="00D90740">
        <w:rPr>
          <w:rFonts w:ascii="Arial" w:hAnsi="Arial" w:cs="Arial"/>
          <w:i/>
          <w:iCs/>
          <w:sz w:val="18"/>
          <w:szCs w:val="18"/>
          <w:lang w:val="fr-CA"/>
        </w:rPr>
        <w:t>droits</w:t>
      </w:r>
      <w:r w:rsidR="00986D7D">
        <w:rPr>
          <w:rFonts w:ascii="Arial" w:hAnsi="Arial" w:cs="Arial"/>
          <w:i/>
          <w:iCs/>
          <w:sz w:val="18"/>
          <w:szCs w:val="18"/>
          <w:lang w:val="fr-CA"/>
        </w:rPr>
        <w:t xml:space="preserve"> </w:t>
      </w:r>
      <w:r w:rsidR="00D90740">
        <w:rPr>
          <w:rFonts w:ascii="Arial" w:hAnsi="Arial" w:cs="Arial"/>
          <w:i/>
          <w:iCs/>
          <w:sz w:val="18"/>
          <w:szCs w:val="18"/>
          <w:lang w:val="fr-CA"/>
        </w:rPr>
        <w:t>d</w:t>
      </w:r>
      <w:r w:rsidR="00986D7D">
        <w:rPr>
          <w:rFonts w:ascii="Arial" w:hAnsi="Arial" w:cs="Arial"/>
          <w:i/>
          <w:iCs/>
          <w:sz w:val="18"/>
          <w:szCs w:val="18"/>
          <w:lang w:val="fr-CA"/>
        </w:rPr>
        <w:t xml:space="preserve">e la jeunesse (E.B.) </w:t>
      </w:r>
      <w:r w:rsidR="00986D7D">
        <w:rPr>
          <w:rFonts w:ascii="Arial" w:hAnsi="Arial" w:cs="Arial"/>
          <w:sz w:val="18"/>
          <w:szCs w:val="18"/>
          <w:lang w:val="fr-CA"/>
        </w:rPr>
        <w:t>c.</w:t>
      </w:r>
      <w:r w:rsidR="00CE1914">
        <w:rPr>
          <w:rFonts w:ascii="Arial" w:hAnsi="Arial" w:cs="Arial"/>
          <w:sz w:val="18"/>
          <w:szCs w:val="18"/>
          <w:lang w:val="fr-CA"/>
        </w:rPr>
        <w:t> </w:t>
      </w:r>
      <w:r w:rsidR="00986D7D">
        <w:rPr>
          <w:rFonts w:ascii="Arial" w:hAnsi="Arial" w:cs="Arial"/>
          <w:i/>
          <w:iCs/>
          <w:sz w:val="18"/>
          <w:szCs w:val="18"/>
          <w:lang w:val="fr-CA"/>
        </w:rPr>
        <w:t>9</w:t>
      </w:r>
      <w:r w:rsidR="00D90740">
        <w:rPr>
          <w:rFonts w:ascii="Arial" w:hAnsi="Arial" w:cs="Arial"/>
          <w:i/>
          <w:iCs/>
          <w:sz w:val="18"/>
          <w:szCs w:val="18"/>
          <w:lang w:val="fr-CA"/>
        </w:rPr>
        <w:t>302-</w:t>
      </w:r>
      <w:r w:rsidR="00942F18">
        <w:rPr>
          <w:rFonts w:ascii="Arial" w:hAnsi="Arial" w:cs="Arial"/>
          <w:i/>
          <w:iCs/>
          <w:sz w:val="18"/>
          <w:szCs w:val="18"/>
          <w:lang w:val="fr-CA"/>
        </w:rPr>
        <w:t>6573 Québec inc. (Bar Lucky</w:t>
      </w:r>
      <w:r w:rsidR="00CE1914">
        <w:rPr>
          <w:rFonts w:ascii="Arial" w:hAnsi="Arial" w:cs="Arial"/>
          <w:i/>
          <w:iCs/>
          <w:sz w:val="18"/>
          <w:szCs w:val="18"/>
          <w:lang w:val="fr-CA"/>
        </w:rPr>
        <w:t> </w:t>
      </w:r>
      <w:r w:rsidR="00942F18">
        <w:rPr>
          <w:rFonts w:ascii="Arial" w:hAnsi="Arial" w:cs="Arial"/>
          <w:i/>
          <w:iCs/>
          <w:sz w:val="18"/>
          <w:szCs w:val="18"/>
          <w:lang w:val="fr-CA"/>
        </w:rPr>
        <w:t>7)</w:t>
      </w:r>
      <w:r w:rsidR="005704CF">
        <w:rPr>
          <w:rFonts w:ascii="Arial" w:hAnsi="Arial" w:cs="Arial"/>
          <w:i/>
          <w:iCs/>
          <w:sz w:val="18"/>
          <w:szCs w:val="18"/>
          <w:lang w:val="fr-CA"/>
        </w:rPr>
        <w:t xml:space="preserve">, </w:t>
      </w:r>
      <w:r w:rsidR="005704CF">
        <w:rPr>
          <w:rFonts w:ascii="Arial" w:hAnsi="Arial" w:cs="Arial"/>
          <w:sz w:val="18"/>
          <w:szCs w:val="18"/>
          <w:lang w:val="fr-CA"/>
        </w:rPr>
        <w:t>2024</w:t>
      </w:r>
      <w:r w:rsidR="00B32B61">
        <w:rPr>
          <w:rFonts w:ascii="Arial" w:hAnsi="Arial" w:cs="Arial"/>
          <w:sz w:val="18"/>
          <w:szCs w:val="18"/>
          <w:lang w:val="fr-CA"/>
        </w:rPr>
        <w:t> </w:t>
      </w:r>
      <w:r w:rsidR="005704CF">
        <w:rPr>
          <w:rFonts w:ascii="Arial" w:hAnsi="Arial" w:cs="Arial"/>
          <w:sz w:val="18"/>
          <w:szCs w:val="18"/>
          <w:lang w:val="fr-CA"/>
        </w:rPr>
        <w:t>QCTDP</w:t>
      </w:r>
      <w:r w:rsidR="00CE1914">
        <w:rPr>
          <w:rFonts w:ascii="Arial" w:hAnsi="Arial" w:cs="Arial"/>
          <w:sz w:val="18"/>
          <w:szCs w:val="18"/>
          <w:lang w:val="fr-CA"/>
        </w:rPr>
        <w:t> </w:t>
      </w:r>
      <w:r w:rsidR="005704CF">
        <w:rPr>
          <w:rFonts w:ascii="Arial" w:hAnsi="Arial" w:cs="Arial"/>
          <w:sz w:val="18"/>
          <w:szCs w:val="18"/>
          <w:lang w:val="fr-CA"/>
        </w:rPr>
        <w:t xml:space="preserve">9, par. </w:t>
      </w:r>
      <w:r w:rsidR="00AC0ABE">
        <w:rPr>
          <w:rFonts w:ascii="Arial" w:hAnsi="Arial" w:cs="Arial"/>
          <w:sz w:val="18"/>
          <w:szCs w:val="18"/>
          <w:lang w:val="fr-CA"/>
        </w:rPr>
        <w:t>85 et suiv.</w:t>
      </w:r>
    </w:p>
  </w:endnote>
  <w:endnote w:id="203">
    <w:p w14:paraId="5FECD059" w14:textId="0507C239" w:rsidR="00BA0578" w:rsidRPr="00BD22C2" w:rsidRDefault="00BA057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Commission des droits de la personne et des droits de la jeunesse (Samson-Thibault)</w:t>
      </w:r>
      <w:r w:rsidRPr="00BD22C2">
        <w:rPr>
          <w:rFonts w:ascii="Arial" w:hAnsi="Arial" w:cs="Arial"/>
          <w:sz w:val="18"/>
          <w:szCs w:val="18"/>
          <w:lang w:val="fr-CA"/>
        </w:rPr>
        <w:t xml:space="preserve"> c. </w:t>
      </w:r>
      <w:r w:rsidRPr="00BD22C2">
        <w:rPr>
          <w:rFonts w:ascii="Arial" w:hAnsi="Arial" w:cs="Arial"/>
          <w:i/>
          <w:sz w:val="18"/>
          <w:szCs w:val="18"/>
          <w:lang w:val="fr-CA"/>
        </w:rPr>
        <w:t>Ville de Québec</w:t>
      </w:r>
      <w:r w:rsidRPr="00BD22C2">
        <w:rPr>
          <w:rFonts w:ascii="Arial" w:hAnsi="Arial" w:cs="Arial"/>
          <w:sz w:val="18"/>
          <w:szCs w:val="18"/>
          <w:lang w:val="fr-CA"/>
        </w:rPr>
        <w:t>, 2023</w:t>
      </w:r>
      <w:r w:rsidR="00B32B61">
        <w:rPr>
          <w:rFonts w:ascii="Arial" w:hAnsi="Arial" w:cs="Arial"/>
          <w:sz w:val="18"/>
          <w:szCs w:val="18"/>
          <w:lang w:val="fr-CA"/>
        </w:rPr>
        <w:t> </w:t>
      </w:r>
      <w:r w:rsidRPr="00BD22C2">
        <w:rPr>
          <w:rFonts w:ascii="Arial" w:hAnsi="Arial" w:cs="Arial"/>
          <w:sz w:val="18"/>
          <w:szCs w:val="18"/>
          <w:lang w:val="fr-CA"/>
        </w:rPr>
        <w:t>QCTDP</w:t>
      </w:r>
      <w:r w:rsidR="00CE1914">
        <w:rPr>
          <w:rFonts w:ascii="Arial" w:hAnsi="Arial" w:cs="Arial"/>
          <w:sz w:val="18"/>
          <w:szCs w:val="18"/>
          <w:lang w:val="fr-CA"/>
        </w:rPr>
        <w:t> </w:t>
      </w:r>
      <w:r w:rsidRPr="00BD22C2">
        <w:rPr>
          <w:rFonts w:ascii="Arial" w:hAnsi="Arial" w:cs="Arial"/>
          <w:sz w:val="18"/>
          <w:szCs w:val="18"/>
          <w:lang w:val="fr-CA"/>
        </w:rPr>
        <w:t>2, par. 18</w:t>
      </w:r>
      <w:r w:rsidR="000C28BA" w:rsidRPr="00BD22C2">
        <w:rPr>
          <w:rFonts w:ascii="Arial" w:hAnsi="Arial" w:cs="Arial"/>
          <w:sz w:val="18"/>
          <w:szCs w:val="18"/>
          <w:lang w:val="fr-CA"/>
        </w:rPr>
        <w:t>5</w:t>
      </w:r>
      <w:r w:rsidR="0051216B" w:rsidRPr="00BD22C2">
        <w:rPr>
          <w:rFonts w:ascii="Arial" w:hAnsi="Arial" w:cs="Arial"/>
          <w:sz w:val="18"/>
          <w:szCs w:val="18"/>
          <w:lang w:val="fr-CA"/>
        </w:rPr>
        <w:t>—</w:t>
      </w:r>
      <w:r w:rsidR="000C28BA" w:rsidRPr="00BD22C2">
        <w:rPr>
          <w:rFonts w:ascii="Arial" w:hAnsi="Arial" w:cs="Arial"/>
          <w:sz w:val="18"/>
          <w:szCs w:val="18"/>
          <w:lang w:val="fr-CA"/>
        </w:rPr>
        <w:t>186</w:t>
      </w:r>
      <w:r w:rsidRPr="00BD22C2">
        <w:rPr>
          <w:rFonts w:ascii="Arial" w:hAnsi="Arial" w:cs="Arial"/>
          <w:sz w:val="18"/>
          <w:szCs w:val="18"/>
          <w:lang w:val="fr-CA"/>
        </w:rPr>
        <w:t xml:space="preserve"> (citations internes omises)</w:t>
      </w:r>
      <w:r w:rsidR="000C28BA" w:rsidRPr="00BD22C2">
        <w:rPr>
          <w:rFonts w:ascii="Arial" w:hAnsi="Arial" w:cs="Arial"/>
          <w:sz w:val="18"/>
          <w:szCs w:val="18"/>
          <w:lang w:val="fr-CA"/>
        </w:rPr>
        <w:t>.</w:t>
      </w:r>
    </w:p>
  </w:endnote>
  <w:endnote w:id="204">
    <w:p w14:paraId="066980A5" w14:textId="114D87EF"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Voir les articles</w:t>
      </w:r>
      <w:r w:rsidR="00F915F8" w:rsidRPr="00BD22C2">
        <w:rPr>
          <w:rFonts w:ascii="Arial" w:hAnsi="Arial" w:cs="Arial"/>
          <w:sz w:val="18"/>
          <w:szCs w:val="18"/>
          <w:lang w:val="fr-CA"/>
        </w:rPr>
        <w:t> </w:t>
      </w:r>
      <w:r w:rsidRPr="00BD22C2">
        <w:rPr>
          <w:rFonts w:ascii="Arial" w:hAnsi="Arial" w:cs="Arial"/>
          <w:sz w:val="18"/>
          <w:szCs w:val="18"/>
          <w:lang w:val="fr-CA"/>
        </w:rPr>
        <w:t xml:space="preserve">2 et 16 de la </w:t>
      </w:r>
      <w:r w:rsidRPr="00BD22C2">
        <w:rPr>
          <w:rFonts w:ascii="Arial" w:hAnsi="Arial" w:cs="Arial"/>
          <w:i/>
          <w:sz w:val="18"/>
          <w:szCs w:val="18"/>
          <w:lang w:val="fr-CA"/>
        </w:rPr>
        <w:t>Loi modifiant la Charte des droits et libertés de la personne</w:t>
      </w:r>
      <w:r w:rsidRPr="00BD22C2">
        <w:rPr>
          <w:rFonts w:ascii="Arial" w:hAnsi="Arial" w:cs="Arial"/>
          <w:sz w:val="18"/>
          <w:szCs w:val="18"/>
          <w:lang w:val="fr-CA"/>
        </w:rPr>
        <w:t>, L.</w:t>
      </w:r>
      <w:r w:rsidR="006305FE">
        <w:rPr>
          <w:rFonts w:ascii="Arial" w:hAnsi="Arial" w:cs="Arial"/>
          <w:sz w:val="18"/>
          <w:szCs w:val="18"/>
          <w:lang w:val="fr-CA"/>
        </w:rPr>
        <w:t> </w:t>
      </w:r>
      <w:r w:rsidRPr="00BD22C2">
        <w:rPr>
          <w:rFonts w:ascii="Arial" w:hAnsi="Arial" w:cs="Arial"/>
          <w:sz w:val="18"/>
          <w:szCs w:val="18"/>
          <w:lang w:val="fr-CA"/>
        </w:rPr>
        <w:t>Q.</w:t>
      </w:r>
      <w:r w:rsidR="00F915F8" w:rsidRPr="00BD22C2">
        <w:rPr>
          <w:rFonts w:ascii="Arial" w:hAnsi="Arial" w:cs="Arial"/>
          <w:sz w:val="18"/>
          <w:szCs w:val="18"/>
          <w:lang w:val="fr-CA"/>
        </w:rPr>
        <w:t> </w:t>
      </w:r>
      <w:r w:rsidRPr="00BD22C2">
        <w:rPr>
          <w:rFonts w:ascii="Arial" w:hAnsi="Arial" w:cs="Arial"/>
          <w:sz w:val="18"/>
          <w:szCs w:val="18"/>
          <w:lang w:val="fr-CA"/>
        </w:rPr>
        <w:t>1982, c.</w:t>
      </w:r>
      <w:r w:rsidR="00F915F8" w:rsidRPr="00BD22C2">
        <w:rPr>
          <w:rFonts w:ascii="Arial" w:hAnsi="Arial" w:cs="Arial"/>
          <w:sz w:val="18"/>
          <w:szCs w:val="18"/>
          <w:lang w:val="fr-CA"/>
        </w:rPr>
        <w:t> </w:t>
      </w:r>
      <w:r w:rsidRPr="00BD22C2">
        <w:rPr>
          <w:rFonts w:ascii="Arial" w:hAnsi="Arial" w:cs="Arial"/>
          <w:sz w:val="18"/>
          <w:szCs w:val="18"/>
          <w:lang w:val="fr-CA"/>
        </w:rPr>
        <w:t xml:space="preserve">61. </w:t>
      </w:r>
    </w:p>
  </w:endnote>
  <w:endnote w:id="205">
    <w:p w14:paraId="25AF8E82" w14:textId="481A03E4"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D95511" w:rsidRPr="00BD22C2">
        <w:rPr>
          <w:rStyle w:val="NotesBasPageCar"/>
          <w:smallCaps/>
          <w:lang w:val="fr-CA"/>
        </w:rPr>
        <w:t>Québec,</w:t>
      </w:r>
      <w:r w:rsidR="00D944FA" w:rsidRPr="00BD22C2">
        <w:rPr>
          <w:rStyle w:val="NotesBasPageCar"/>
          <w:smallCaps/>
          <w:lang w:val="fr-CA"/>
        </w:rPr>
        <w:t xml:space="preserve"> </w:t>
      </w:r>
      <w:r w:rsidRPr="00BD22C2">
        <w:rPr>
          <w:rStyle w:val="NotesBasPageCar"/>
          <w:smallCaps/>
          <w:lang w:val="fr-CA"/>
        </w:rPr>
        <w:t xml:space="preserve">Assemblée nationale, </w:t>
      </w:r>
      <w:r w:rsidRPr="00BD22C2">
        <w:rPr>
          <w:rStyle w:val="NotesBasPageCar"/>
          <w:i/>
          <w:lang w:val="fr-CA"/>
        </w:rPr>
        <w:t>Journal des débats</w:t>
      </w:r>
      <w:r w:rsidR="0047498D" w:rsidRPr="00BD22C2">
        <w:rPr>
          <w:rStyle w:val="NotesBasPageCar"/>
          <w:i/>
          <w:lang w:val="fr-CA"/>
        </w:rPr>
        <w:t xml:space="preserve"> de la </w:t>
      </w:r>
      <w:r w:rsidRPr="00BD22C2">
        <w:rPr>
          <w:rStyle w:val="NotesBasPageCar"/>
          <w:i/>
          <w:lang w:val="fr-CA"/>
        </w:rPr>
        <w:t>Commission permanente de la justice</w:t>
      </w:r>
      <w:r w:rsidRPr="00BD22C2">
        <w:rPr>
          <w:rStyle w:val="NotesBasPageCar"/>
          <w:lang w:val="fr-CA"/>
        </w:rPr>
        <w:t>, 3</w:t>
      </w:r>
      <w:r w:rsidRPr="00BD22C2">
        <w:rPr>
          <w:rStyle w:val="NotesBasPageCar"/>
          <w:vertAlign w:val="superscript"/>
          <w:lang w:val="fr-CA"/>
        </w:rPr>
        <w:t>e</w:t>
      </w:r>
      <w:r w:rsidRPr="00BD22C2">
        <w:rPr>
          <w:rStyle w:val="NotesBasPageCar"/>
          <w:lang w:val="fr-CA"/>
        </w:rPr>
        <w:t xml:space="preserve"> sess., 32</w:t>
      </w:r>
      <w:r w:rsidRPr="00BD22C2">
        <w:rPr>
          <w:rStyle w:val="NotesBasPageCar"/>
          <w:vertAlign w:val="superscript"/>
          <w:lang w:val="fr-CA"/>
        </w:rPr>
        <w:t>e </w:t>
      </w:r>
      <w:r w:rsidRPr="00BD22C2">
        <w:rPr>
          <w:rStyle w:val="NotesBasPageCar"/>
          <w:lang w:val="fr-CA"/>
        </w:rPr>
        <w:t>légis.</w:t>
      </w:r>
      <w:r w:rsidR="00AE7AAB" w:rsidRPr="00BD22C2">
        <w:rPr>
          <w:rStyle w:val="NotesBasPageCar"/>
          <w:lang w:val="fr-CA"/>
        </w:rPr>
        <w:t>,</w:t>
      </w:r>
      <w:r w:rsidR="00D77F8D" w:rsidRPr="00BD22C2">
        <w:rPr>
          <w:rStyle w:val="NotesBasPageCar"/>
          <w:lang w:val="fr-CA"/>
        </w:rPr>
        <w:t xml:space="preserve"> </w:t>
      </w:r>
      <w:r w:rsidRPr="00BD22C2">
        <w:rPr>
          <w:rStyle w:val="NotesBasPageCar"/>
          <w:lang w:val="fr-CA"/>
        </w:rPr>
        <w:t>16 décembre 1982, p.</w:t>
      </w:r>
      <w:r w:rsidR="00F915F8" w:rsidRPr="00BD22C2">
        <w:rPr>
          <w:rStyle w:val="NotesBasPageCar"/>
          <w:lang w:val="fr-CA"/>
        </w:rPr>
        <w:t> </w:t>
      </w:r>
      <w:r w:rsidRPr="00BD22C2">
        <w:rPr>
          <w:rStyle w:val="NotesBasPageCar"/>
          <w:lang w:val="fr-CA"/>
        </w:rPr>
        <w:t>11605</w:t>
      </w:r>
      <w:r w:rsidR="00FD6AAC">
        <w:rPr>
          <w:rStyle w:val="NotesBasPageCar"/>
          <w:lang w:val="fr-CA"/>
        </w:rPr>
        <w:t xml:space="preserve"> </w:t>
      </w:r>
      <w:r w:rsidR="00847BB1">
        <w:rPr>
          <w:rStyle w:val="NotesBasPageCar"/>
          <w:lang w:val="fr-CA"/>
        </w:rPr>
        <w:t>à</w:t>
      </w:r>
      <w:r w:rsidR="00FD6AAC">
        <w:rPr>
          <w:rStyle w:val="NotesBasPageCar"/>
          <w:lang w:val="fr-CA"/>
        </w:rPr>
        <w:t xml:space="preserve"> </w:t>
      </w:r>
      <w:r w:rsidRPr="00BD22C2">
        <w:rPr>
          <w:rStyle w:val="NotesBasPageCar"/>
          <w:lang w:val="fr-CA"/>
        </w:rPr>
        <w:t>11638.</w:t>
      </w:r>
    </w:p>
  </w:endnote>
  <w:endnote w:id="206">
    <w:p w14:paraId="5AFAE4EC" w14:textId="2A230599" w:rsidR="00BA0E30" w:rsidRPr="00BD22C2" w:rsidRDefault="00BA0E30"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sBasPageCar"/>
          <w:lang w:val="fr-CA"/>
        </w:rPr>
        <w:t>En vertu de l’article</w:t>
      </w:r>
      <w:r w:rsidR="00F915F8" w:rsidRPr="00BD22C2">
        <w:rPr>
          <w:rStyle w:val="NotesBasPageCar"/>
          <w:lang w:val="fr-CA"/>
        </w:rPr>
        <w:t> </w:t>
      </w:r>
      <w:r w:rsidRPr="00BD22C2">
        <w:rPr>
          <w:rStyle w:val="NotesBasPageCar"/>
          <w:lang w:val="fr-CA"/>
        </w:rPr>
        <w:t>56 (3) de la Charte, une «</w:t>
      </w:r>
      <w:r w:rsidR="0056005D" w:rsidRPr="00BD22C2">
        <w:rPr>
          <w:rStyle w:val="NotesBasPageCar"/>
          <w:lang w:val="fr-CA"/>
        </w:rPr>
        <w:t> </w:t>
      </w:r>
      <w:r w:rsidRPr="00BD22C2">
        <w:rPr>
          <w:rStyle w:val="NotesBasPageCar"/>
          <w:lang w:val="fr-CA"/>
        </w:rPr>
        <w:t>loi</w:t>
      </w:r>
      <w:r w:rsidR="0056005D" w:rsidRPr="00BD22C2">
        <w:rPr>
          <w:rStyle w:val="NotesBasPageCar"/>
          <w:lang w:val="fr-CA"/>
        </w:rPr>
        <w:t> </w:t>
      </w:r>
      <w:r w:rsidRPr="00BD22C2">
        <w:rPr>
          <w:rStyle w:val="NotesBasPageCar"/>
          <w:lang w:val="fr-CA"/>
        </w:rPr>
        <w:t xml:space="preserve">» inclut un règlement, un décret, une ordonnance ou un arrêté en conseil pris sous l’autorité d’une loi. </w:t>
      </w:r>
    </w:p>
  </w:endnote>
  <w:endnote w:id="207">
    <w:p w14:paraId="662D0773" w14:textId="109AEC25" w:rsidR="00BA0E30" w:rsidRPr="00BD22C2" w:rsidRDefault="00BA0E30"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sBasPageCar"/>
          <w:lang w:val="fr-CA"/>
        </w:rPr>
        <w:t xml:space="preserve">Cette démarche de justification d’une atteinte discriminatoire par une loi n’est possible que depuis que la </w:t>
      </w:r>
      <w:r w:rsidRPr="00BD22C2">
        <w:rPr>
          <w:rStyle w:val="NotesBasPageCar"/>
          <w:i/>
          <w:lang w:val="fr-CA"/>
        </w:rPr>
        <w:t>Loi sur la langue officielle et commune du Québec, le français</w:t>
      </w:r>
      <w:r w:rsidRPr="00BD22C2">
        <w:rPr>
          <w:rStyle w:val="NotesBasPageCar"/>
          <w:lang w:val="fr-CA"/>
        </w:rPr>
        <w:t>, L.</w:t>
      </w:r>
      <w:r w:rsidR="006305FE">
        <w:rPr>
          <w:rStyle w:val="NotesBasPageCar"/>
          <w:lang w:val="fr-CA"/>
        </w:rPr>
        <w:t> </w:t>
      </w:r>
      <w:r w:rsidRPr="00BD22C2">
        <w:rPr>
          <w:rStyle w:val="NotesBasPageCar"/>
          <w:lang w:val="fr-CA"/>
        </w:rPr>
        <w:t>Q. 2022, c. 14, est venue étendre le champ de la disposition des libertés et droits fondamentaux protégés par les art.</w:t>
      </w:r>
      <w:r w:rsidR="00F915F8" w:rsidRPr="00BD22C2">
        <w:rPr>
          <w:rStyle w:val="NotesBasPageCar"/>
          <w:lang w:val="fr-CA"/>
        </w:rPr>
        <w:t> </w:t>
      </w:r>
      <w:r w:rsidRPr="00BD22C2">
        <w:rPr>
          <w:rStyle w:val="NotesBasPageCar"/>
          <w:lang w:val="fr-CA"/>
        </w:rPr>
        <w:t xml:space="preserve">1à 9 à tous les droits de la Charte. </w:t>
      </w:r>
    </w:p>
  </w:endnote>
  <w:endnote w:id="208">
    <w:p w14:paraId="6883BF2F" w14:textId="05CC23AE"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z w:val="18"/>
          <w:szCs w:val="18"/>
          <w:lang w:val="fr-CA"/>
        </w:rPr>
        <w:t xml:space="preserve">Les tribunaux ont traditionnellement imposé la méthode développée dans le cadre de l’article premier de la </w:t>
      </w:r>
      <w:r w:rsidRPr="007212B0">
        <w:rPr>
          <w:rFonts w:ascii="Arial" w:hAnsi="Arial" w:cs="Arial"/>
          <w:i/>
          <w:iCs/>
          <w:sz w:val="18"/>
          <w:szCs w:val="18"/>
          <w:lang w:val="fr-CA"/>
        </w:rPr>
        <w:t>Charte canadienne</w:t>
      </w:r>
      <w:r w:rsidRPr="00BD22C2">
        <w:rPr>
          <w:rFonts w:ascii="Arial" w:hAnsi="Arial" w:cs="Arial"/>
          <w:sz w:val="18"/>
          <w:szCs w:val="18"/>
          <w:lang w:val="fr-CA"/>
        </w:rPr>
        <w:t xml:space="preserve"> à la démarche de justification effectuée en vertu de l’article 9.1 de la </w:t>
      </w:r>
      <w:r w:rsidRPr="007212B0">
        <w:rPr>
          <w:rFonts w:ascii="Arial" w:hAnsi="Arial" w:cs="Arial"/>
          <w:i/>
          <w:iCs/>
          <w:sz w:val="18"/>
          <w:szCs w:val="18"/>
          <w:lang w:val="fr-CA"/>
        </w:rPr>
        <w:t>Charte québécoise</w:t>
      </w:r>
      <w:r w:rsidRPr="00BD22C2">
        <w:rPr>
          <w:rFonts w:ascii="Arial" w:hAnsi="Arial" w:cs="Arial"/>
          <w:sz w:val="18"/>
          <w:szCs w:val="18"/>
          <w:lang w:val="fr-CA"/>
        </w:rPr>
        <w:t xml:space="preserve">. Cette démarche fut détaillée pour la première fois dans l’arrêt </w:t>
      </w:r>
      <w:r w:rsidRPr="00BD22C2">
        <w:rPr>
          <w:rFonts w:ascii="Arial" w:hAnsi="Arial" w:cs="Arial"/>
          <w:i/>
          <w:sz w:val="18"/>
          <w:szCs w:val="18"/>
          <w:lang w:val="fr-CA"/>
        </w:rPr>
        <w:t>R.</w:t>
      </w:r>
      <w:r w:rsidRPr="00BD22C2">
        <w:rPr>
          <w:rFonts w:ascii="Arial" w:hAnsi="Arial" w:cs="Arial"/>
          <w:sz w:val="18"/>
          <w:szCs w:val="18"/>
          <w:lang w:val="fr-CA"/>
        </w:rPr>
        <w:t xml:space="preserve"> c. </w:t>
      </w:r>
      <w:r w:rsidRPr="00BD22C2">
        <w:rPr>
          <w:rFonts w:ascii="Arial" w:hAnsi="Arial" w:cs="Arial"/>
          <w:i/>
          <w:sz w:val="18"/>
          <w:szCs w:val="18"/>
          <w:lang w:val="fr-CA"/>
        </w:rPr>
        <w:t>Oakes,</w:t>
      </w:r>
      <w:r w:rsidRPr="00BD22C2">
        <w:rPr>
          <w:rFonts w:ascii="Arial" w:hAnsi="Arial" w:cs="Arial"/>
          <w:sz w:val="18"/>
          <w:szCs w:val="18"/>
          <w:lang w:val="fr-CA"/>
        </w:rPr>
        <w:t xml:space="preserve"> [1986] 1 R.CS. 103. </w:t>
      </w:r>
      <w:r w:rsidR="005067C6" w:rsidRPr="00BD22C2">
        <w:rPr>
          <w:rStyle w:val="NotesBasPageCar"/>
          <w:lang w:val="fr-CA"/>
        </w:rPr>
        <w:t>La première étape est de vérifier si l’objectif poursuivi par le gouvernement correspond à des préoccupations urgentes et réelles. La seconde étape consiste en l’application d’un test de proportionnalité. Le gouvernement devrait alors démontrer qu’il existe un lien rationnel entre la mesure proposée et les objectifs poursuivis, que l’atteinte au droit ou à la liberté en cause est minimale et que les effets bénéfiques de cette mesure l’emportent sur ses effets préjudiciables. La démonstration qu’une atteinte à une liberté ou un droit est justifiée en vertu de l’article</w:t>
      </w:r>
      <w:r w:rsidR="00CE1914">
        <w:rPr>
          <w:rStyle w:val="NotesBasPageCar"/>
          <w:lang w:val="fr-CA"/>
        </w:rPr>
        <w:t> </w:t>
      </w:r>
      <w:r w:rsidR="005067C6" w:rsidRPr="00BD22C2">
        <w:rPr>
          <w:rStyle w:val="NotesBasPageCar"/>
          <w:lang w:val="fr-CA"/>
        </w:rPr>
        <w:t>9.1 de la Charte appartient au gouvernement et elle doit être faite au cas par cas, notamment à la lumière des données scientifiques disponibles et sur la base des données probantes recueillies.</w:t>
      </w:r>
    </w:p>
  </w:endnote>
  <w:endnote w:id="209">
    <w:p w14:paraId="214A6A4F" w14:textId="3119B9A2" w:rsidR="00BA0E30" w:rsidRPr="00BD22C2" w:rsidRDefault="00BA0E30"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sBasPageCar"/>
          <w:lang w:val="fr-CA"/>
        </w:rPr>
        <w:t xml:space="preserve">Voir notamment </w:t>
      </w:r>
      <w:r w:rsidR="00475019" w:rsidRPr="00BD22C2">
        <w:rPr>
          <w:rFonts w:ascii="Arial" w:hAnsi="Arial" w:cs="Arial"/>
          <w:smallCaps/>
          <w:sz w:val="18"/>
          <w:szCs w:val="18"/>
          <w:lang w:val="fr-CA"/>
        </w:rPr>
        <w:t>Commission des droits de la personne et des droits de la jeunesse</w:t>
      </w:r>
      <w:r w:rsidRPr="00BD22C2">
        <w:rPr>
          <w:rStyle w:val="NotesBasPageCar"/>
          <w:lang w:val="fr-CA"/>
        </w:rPr>
        <w:t xml:space="preserve">, </w:t>
      </w:r>
      <w:r w:rsidRPr="00BD22C2">
        <w:rPr>
          <w:rStyle w:val="NotesBasPageCar"/>
          <w:i/>
          <w:lang w:val="fr-CA"/>
        </w:rPr>
        <w:t>Mémoire à la Commission de la culture et de l’éducation de l’Assemblée nationale du Québec, Projet de loi n°</w:t>
      </w:r>
      <w:r w:rsidR="00F915F8" w:rsidRPr="00BD22C2">
        <w:rPr>
          <w:rStyle w:val="NotesBasPageCar"/>
          <w:i/>
          <w:lang w:val="fr-CA"/>
        </w:rPr>
        <w:t> </w:t>
      </w:r>
      <w:r w:rsidRPr="00BD22C2">
        <w:rPr>
          <w:rStyle w:val="NotesBasPageCar"/>
          <w:i/>
          <w:lang w:val="fr-CA"/>
        </w:rPr>
        <w:t>96, Loi sur la langue officielle et commune du Québec, le français</w:t>
      </w:r>
      <w:r w:rsidRPr="00BD22C2">
        <w:rPr>
          <w:rStyle w:val="NotesBasPageCar"/>
          <w:lang w:val="fr-CA"/>
        </w:rPr>
        <w:t>, (Cat. 2.412.1.4), 2021 à la p.</w:t>
      </w:r>
      <w:r w:rsidR="00F915F8" w:rsidRPr="00BD22C2">
        <w:rPr>
          <w:rStyle w:val="NotesBasPageCar"/>
          <w:lang w:val="fr-CA"/>
        </w:rPr>
        <w:t> </w:t>
      </w:r>
      <w:r w:rsidRPr="00BD22C2">
        <w:rPr>
          <w:rStyle w:val="NotesBasPageCar"/>
          <w:lang w:val="fr-CA"/>
        </w:rPr>
        <w:t xml:space="preserve">34. Cette position de la Commission s’appuie notamment sur les décisions </w:t>
      </w:r>
      <w:r w:rsidRPr="00BD22C2">
        <w:rPr>
          <w:rStyle w:val="NotesBasPageCar"/>
          <w:i/>
          <w:lang w:val="fr-CA"/>
        </w:rPr>
        <w:t xml:space="preserve">Chaoulli </w:t>
      </w:r>
      <w:r w:rsidRPr="00BD22C2">
        <w:rPr>
          <w:rStyle w:val="NotesBasPageCar"/>
          <w:lang w:val="fr-CA"/>
        </w:rPr>
        <w:t>c</w:t>
      </w:r>
      <w:r w:rsidR="00932F9C" w:rsidRPr="00BD22C2">
        <w:rPr>
          <w:rStyle w:val="NotesBasPageCar"/>
          <w:lang w:val="fr-CA"/>
        </w:rPr>
        <w:t>.</w:t>
      </w:r>
      <w:r w:rsidRPr="00BD22C2">
        <w:rPr>
          <w:rStyle w:val="NotesBasPageCar"/>
          <w:i/>
          <w:lang w:val="fr-CA"/>
        </w:rPr>
        <w:t xml:space="preserve"> Québec</w:t>
      </w:r>
      <w:r w:rsidRPr="00BD22C2">
        <w:rPr>
          <w:rStyle w:val="NotesBasPageCar"/>
          <w:lang w:val="fr-CA"/>
        </w:rPr>
        <w:t>, [2005] 1 R.CS. 791 au para</w:t>
      </w:r>
      <w:r w:rsidR="00F915F8" w:rsidRPr="00BD22C2">
        <w:rPr>
          <w:rStyle w:val="NotesBasPageCar"/>
          <w:lang w:val="fr-CA"/>
        </w:rPr>
        <w:t> </w:t>
      </w:r>
      <w:r w:rsidRPr="00BD22C2">
        <w:rPr>
          <w:rStyle w:val="NotesBasPageCar"/>
          <w:lang w:val="fr-CA"/>
        </w:rPr>
        <w:t xml:space="preserve">47, et </w:t>
      </w:r>
      <w:r w:rsidRPr="00BD22C2">
        <w:rPr>
          <w:rStyle w:val="NotesBasPageCar"/>
          <w:i/>
          <w:lang w:val="fr-CA"/>
        </w:rPr>
        <w:t>Ford c</w:t>
      </w:r>
      <w:r w:rsidR="00FB1C89" w:rsidRPr="00BD22C2">
        <w:rPr>
          <w:rStyle w:val="NotesBasPageCar"/>
          <w:i/>
          <w:lang w:val="fr-CA"/>
        </w:rPr>
        <w:t>.</w:t>
      </w:r>
      <w:r w:rsidRPr="00BD22C2">
        <w:rPr>
          <w:rStyle w:val="NotesBasPageCar"/>
          <w:i/>
          <w:lang w:val="fr-CA"/>
        </w:rPr>
        <w:t xml:space="preserve"> Québec (Procureur général),</w:t>
      </w:r>
      <w:r w:rsidRPr="00BD22C2">
        <w:rPr>
          <w:rStyle w:val="NotesBasPageCar"/>
          <w:lang w:val="fr-CA"/>
        </w:rPr>
        <w:t xml:space="preserve"> [1988] 2 RCS 90, par. 63.</w:t>
      </w:r>
    </w:p>
  </w:endnote>
  <w:endnote w:id="210">
    <w:p w14:paraId="3EDD1252" w14:textId="0C2E18D9"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590CA1">
        <w:rPr>
          <w:rStyle w:val="NotesBasPageCar"/>
          <w:i/>
          <w:iCs/>
          <w:lang w:val="fr-CA"/>
        </w:rPr>
        <w:t>Id</w:t>
      </w:r>
      <w:r w:rsidRPr="00BD22C2">
        <w:rPr>
          <w:rStyle w:val="NotesBasPageCar"/>
          <w:lang w:val="fr-CA"/>
        </w:rPr>
        <w:t>., p.</w:t>
      </w:r>
      <w:r w:rsidR="00F915F8" w:rsidRPr="00BD22C2">
        <w:rPr>
          <w:rStyle w:val="NotesBasPageCar"/>
          <w:lang w:val="fr-CA"/>
        </w:rPr>
        <w:t> </w:t>
      </w:r>
      <w:r w:rsidRPr="00BD22C2">
        <w:rPr>
          <w:rStyle w:val="NotesBasPageCar"/>
          <w:lang w:val="fr-CA"/>
        </w:rPr>
        <w:t>60.</w:t>
      </w:r>
      <w:r w:rsidRPr="00BD22C2">
        <w:rPr>
          <w:rFonts w:ascii="Arial" w:hAnsi="Arial" w:cs="Arial"/>
          <w:sz w:val="18"/>
          <w:szCs w:val="18"/>
          <w:lang w:val="fr-CA"/>
        </w:rPr>
        <w:t xml:space="preserve"> </w:t>
      </w:r>
    </w:p>
  </w:endnote>
  <w:endnote w:id="211">
    <w:p w14:paraId="4214A16A" w14:textId="3BDBAF8E" w:rsidR="00BA0E30" w:rsidRPr="001E7518" w:rsidRDefault="00BA0E30" w:rsidP="00B36D7C">
      <w:pPr>
        <w:pStyle w:val="Notedefin"/>
        <w:tabs>
          <w:tab w:val="left" w:pos="709"/>
        </w:tabs>
        <w:spacing w:after="120" w:line="240" w:lineRule="auto"/>
        <w:ind w:left="709" w:hanging="709"/>
        <w:rPr>
          <w:rStyle w:val="NotesBasPageCar"/>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Style w:val="NotesBasPageCar"/>
          <w:lang w:val="fr-CA"/>
        </w:rPr>
        <w:t xml:space="preserve">, </w:t>
      </w:r>
      <w:r w:rsidRPr="00BD22C2">
        <w:rPr>
          <w:rStyle w:val="NotesBasPageCar"/>
          <w:i/>
          <w:lang w:val="fr-CA"/>
        </w:rPr>
        <w:t>Document de réflexion : la Charte et la prise en compte de la religion dans l’espace public</w:t>
      </w:r>
      <w:r w:rsidRPr="00BD22C2">
        <w:rPr>
          <w:rStyle w:val="NotesBasPageCar"/>
          <w:lang w:val="fr-CA"/>
        </w:rPr>
        <w:t>, 2008 (Cat. 2.113-2.11), p.</w:t>
      </w:r>
      <w:r w:rsidR="00F915F8" w:rsidRPr="00BD22C2">
        <w:rPr>
          <w:rStyle w:val="NotesBasPageCar"/>
          <w:lang w:val="fr-CA"/>
        </w:rPr>
        <w:t> </w:t>
      </w:r>
      <w:r w:rsidRPr="00BD22C2">
        <w:rPr>
          <w:rStyle w:val="NotesBasPageCar"/>
          <w:lang w:val="fr-CA"/>
        </w:rPr>
        <w:t xml:space="preserve">59, </w:t>
      </w:r>
      <w:r w:rsidR="001E7518">
        <w:rPr>
          <w:rStyle w:val="NotesBasPageCar"/>
          <w:lang w:val="fr-CA"/>
        </w:rPr>
        <w:t>[E</w:t>
      </w:r>
      <w:r w:rsidRPr="00BD22C2">
        <w:rPr>
          <w:rStyle w:val="NotesBasPageCar"/>
          <w:lang w:val="fr-CA"/>
        </w:rPr>
        <w:t>n ligne</w:t>
      </w:r>
      <w:r w:rsidR="001E7518">
        <w:rPr>
          <w:rStyle w:val="NotesBasPageCar"/>
          <w:lang w:val="fr-CA"/>
        </w:rPr>
        <w:t>].</w:t>
      </w:r>
      <w:r w:rsidRPr="00BD22C2">
        <w:rPr>
          <w:rStyle w:val="NotesBasPageCar"/>
          <w:lang w:val="fr-CA"/>
        </w:rPr>
        <w:t xml:space="preserve"> </w:t>
      </w:r>
      <w:r>
        <w:fldChar w:fldCharType="begin"/>
      </w:r>
      <w:r w:rsidRPr="003E3312">
        <w:rPr>
          <w:lang w:val="fr-CA"/>
        </w:rPr>
        <w:instrText>HYPERLINK "https://www.cdpdj.qcca/storage/app/media/publications/Charte_religion_espace_public.pdf"</w:instrText>
      </w:r>
      <w:r>
        <w:fldChar w:fldCharType="separate"/>
      </w:r>
      <w:r w:rsidRPr="001E7518">
        <w:rPr>
          <w:rStyle w:val="Lienhypertexte"/>
          <w:rFonts w:ascii="Arial" w:hAnsi="Arial" w:cs="Arial"/>
          <w:sz w:val="18"/>
          <w:szCs w:val="18"/>
        </w:rPr>
        <w:t>https://www.cdpdj.qcca/storage/app/media/publications/Charte_religion_espace_public.pdf</w:t>
      </w:r>
      <w:r>
        <w:rPr>
          <w:rStyle w:val="Lienhypertexte"/>
          <w:rFonts w:ascii="Arial" w:hAnsi="Arial" w:cs="Arial"/>
          <w:sz w:val="18"/>
          <w:szCs w:val="18"/>
        </w:rPr>
        <w:fldChar w:fldCharType="end"/>
      </w:r>
    </w:p>
  </w:endnote>
  <w:endnote w:id="212">
    <w:p w14:paraId="16BE30E7" w14:textId="18A5E749" w:rsidR="004E47A2" w:rsidRPr="00BD22C2" w:rsidRDefault="004E47A2" w:rsidP="00B36D7C">
      <w:pPr>
        <w:pStyle w:val="Notedefin"/>
        <w:tabs>
          <w:tab w:val="left" w:pos="709"/>
        </w:tabs>
        <w:spacing w:after="120" w:line="240" w:lineRule="auto"/>
        <w:ind w:left="709" w:hanging="709"/>
        <w:rPr>
          <w:rFonts w:ascii="Arial" w:hAnsi="Arial" w:cs="Arial"/>
          <w:smallCaps/>
          <w:sz w:val="18"/>
          <w:szCs w:val="18"/>
          <w:lang w:val="fr-CA"/>
        </w:rPr>
      </w:pPr>
      <w:r w:rsidRPr="00BD22C2">
        <w:rPr>
          <w:rStyle w:val="Appeldenotedefin"/>
          <w:rFonts w:ascii="Arial" w:hAnsi="Arial" w:cs="Arial"/>
          <w:sz w:val="18"/>
          <w:szCs w:val="18"/>
          <w:lang w:val="fr-CA"/>
        </w:rPr>
        <w:endnoteRef/>
      </w:r>
      <w:r w:rsidRPr="00BD22C2">
        <w:rPr>
          <w:rFonts w:ascii="Arial" w:hAnsi="Arial" w:cs="Arial"/>
          <w:smallCaps/>
          <w:sz w:val="18"/>
          <w:szCs w:val="18"/>
          <w:lang w:val="fr-CA"/>
        </w:rPr>
        <w:t xml:space="preserve"> </w:t>
      </w:r>
      <w:r w:rsidRPr="00BD22C2">
        <w:rPr>
          <w:rFonts w:ascii="Arial" w:hAnsi="Arial" w:cs="Arial"/>
          <w:smallCaps/>
          <w:sz w:val="18"/>
          <w:szCs w:val="18"/>
          <w:lang w:val="fr-CA"/>
        </w:rPr>
        <w:tab/>
      </w:r>
      <w:r w:rsidR="000E21FC" w:rsidRPr="00BD22C2">
        <w:rPr>
          <w:rFonts w:ascii="Arial" w:hAnsi="Arial" w:cs="Arial"/>
          <w:smallCaps/>
          <w:sz w:val="18"/>
          <w:szCs w:val="18"/>
          <w:lang w:val="fr-CA"/>
        </w:rPr>
        <w:t xml:space="preserve"> </w:t>
      </w:r>
      <w:r w:rsidR="000E21FC" w:rsidRPr="00BD22C2">
        <w:rPr>
          <w:rStyle w:val="NotesBasPageCar"/>
          <w:rFonts w:eastAsiaTheme="minorHAnsi"/>
          <w:i/>
          <w:iCs/>
          <w:lang w:val="fr-CA"/>
        </w:rPr>
        <w:t>Id.</w:t>
      </w:r>
      <w:r w:rsidR="000E21FC" w:rsidRPr="00BD22C2">
        <w:rPr>
          <w:rStyle w:val="NotesBasPageCar"/>
          <w:rFonts w:eastAsiaTheme="minorHAnsi"/>
          <w:lang w:val="fr-CA"/>
        </w:rPr>
        <w:t>,</w:t>
      </w:r>
      <w:r w:rsidRPr="00BD22C2">
        <w:rPr>
          <w:rStyle w:val="NotesBasPageCar"/>
          <w:rFonts w:eastAsiaTheme="minorHAnsi"/>
          <w:lang w:val="fr-CA"/>
        </w:rPr>
        <w:t xml:space="preserve"> p.</w:t>
      </w:r>
      <w:r w:rsidR="00CE1914">
        <w:rPr>
          <w:rStyle w:val="NotesBasPageCar"/>
          <w:rFonts w:eastAsiaTheme="minorHAnsi"/>
          <w:lang w:val="fr-CA"/>
        </w:rPr>
        <w:t> </w:t>
      </w:r>
      <w:r w:rsidR="00EA5B85" w:rsidRPr="00BD22C2">
        <w:rPr>
          <w:rStyle w:val="NotesBasPageCar"/>
          <w:rFonts w:eastAsiaTheme="minorHAnsi"/>
          <w:lang w:val="fr-CA"/>
        </w:rPr>
        <w:t>53,</w:t>
      </w:r>
      <w:r w:rsidRPr="00BD22C2">
        <w:rPr>
          <w:rStyle w:val="NotesBasPageCar"/>
          <w:rFonts w:eastAsiaTheme="minorHAnsi"/>
          <w:lang w:val="fr-CA"/>
        </w:rPr>
        <w:t> </w:t>
      </w:r>
      <w:r w:rsidR="00696BDD" w:rsidRPr="00BD22C2">
        <w:rPr>
          <w:rStyle w:val="NotesBasPageCar"/>
          <w:rFonts w:eastAsiaTheme="minorHAnsi"/>
          <w:lang w:val="fr-CA"/>
        </w:rPr>
        <w:t>57</w:t>
      </w:r>
      <w:r w:rsidR="001A7D51" w:rsidRPr="00BD22C2">
        <w:rPr>
          <w:rStyle w:val="NotesBasPageCar"/>
          <w:rFonts w:eastAsiaTheme="minorHAnsi"/>
          <w:lang w:val="fr-CA"/>
        </w:rPr>
        <w:t xml:space="preserve"> et </w:t>
      </w:r>
      <w:r w:rsidR="0004694F" w:rsidRPr="00BD22C2">
        <w:rPr>
          <w:rStyle w:val="NotesBasPageCar"/>
          <w:rFonts w:eastAsiaTheme="minorHAnsi"/>
          <w:lang w:val="fr-CA"/>
        </w:rPr>
        <w:t>60</w:t>
      </w:r>
      <w:r w:rsidR="000E21FC" w:rsidRPr="00BD22C2">
        <w:rPr>
          <w:rStyle w:val="NotesBasPageCar"/>
          <w:rFonts w:eastAsiaTheme="minorHAnsi"/>
          <w:lang w:val="fr-CA"/>
        </w:rPr>
        <w:t>.</w:t>
      </w:r>
    </w:p>
  </w:endnote>
  <w:endnote w:id="213">
    <w:p w14:paraId="2C81403E" w14:textId="456F49EB" w:rsidR="00BA0E30" w:rsidRPr="00BD22C2" w:rsidRDefault="00BA0E30"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0E21FC" w:rsidRPr="00BD22C2">
        <w:rPr>
          <w:rFonts w:ascii="Arial" w:hAnsi="Arial" w:cs="Arial"/>
          <w:smallCaps/>
          <w:sz w:val="18"/>
          <w:szCs w:val="18"/>
          <w:lang w:val="fr-CA"/>
        </w:rPr>
        <w:t xml:space="preserve"> </w:t>
      </w:r>
      <w:r w:rsidR="000E21FC" w:rsidRPr="00BD22C2">
        <w:rPr>
          <w:rFonts w:ascii="Arial" w:hAnsi="Arial" w:cs="Arial"/>
          <w:i/>
          <w:iCs/>
          <w:sz w:val="18"/>
          <w:szCs w:val="18"/>
          <w:lang w:val="fr-CA"/>
        </w:rPr>
        <w:t>Id</w:t>
      </w:r>
      <w:r w:rsidR="000E21FC" w:rsidRPr="00BD22C2">
        <w:rPr>
          <w:rFonts w:ascii="Arial" w:hAnsi="Arial" w:cs="Arial"/>
          <w:smallCaps/>
          <w:sz w:val="18"/>
          <w:szCs w:val="18"/>
          <w:lang w:val="fr-CA"/>
        </w:rPr>
        <w:t>.</w:t>
      </w:r>
      <w:r w:rsidRPr="00BD22C2">
        <w:rPr>
          <w:rStyle w:val="NotesBasPageCar"/>
          <w:rFonts w:eastAsiaTheme="minorHAnsi"/>
          <w:lang w:val="fr-CA"/>
        </w:rPr>
        <w:t>, p.</w:t>
      </w:r>
      <w:r w:rsidR="00F915F8" w:rsidRPr="00BD22C2">
        <w:rPr>
          <w:rStyle w:val="NotesBasPageCar"/>
          <w:rFonts w:eastAsiaTheme="minorHAnsi"/>
          <w:lang w:val="fr-CA"/>
        </w:rPr>
        <w:t> </w:t>
      </w:r>
      <w:r w:rsidRPr="00BD22C2">
        <w:rPr>
          <w:rStyle w:val="NotesBasPageCar"/>
          <w:rFonts w:eastAsiaTheme="minorHAnsi"/>
          <w:lang w:val="fr-CA"/>
        </w:rPr>
        <w:t>52</w:t>
      </w:r>
      <w:r w:rsidR="000E21FC" w:rsidRPr="00BD22C2">
        <w:rPr>
          <w:rStyle w:val="NotesBasPageCar"/>
          <w:rFonts w:eastAsiaTheme="minorHAnsi"/>
          <w:lang w:val="fr-CA"/>
        </w:rPr>
        <w:t>.</w:t>
      </w:r>
      <w:r w:rsidR="001E7518">
        <w:rPr>
          <w:rStyle w:val="NotesBasPageCar"/>
          <w:rFonts w:eastAsiaTheme="minorHAnsi"/>
          <w:lang w:val="fr-CA"/>
        </w:rPr>
        <w:t xml:space="preserve"> </w:t>
      </w:r>
      <w:r w:rsidRPr="00BD22C2">
        <w:rPr>
          <w:rStyle w:val="NotesBasPageCar"/>
          <w:rFonts w:eastAsiaTheme="minorHAnsi"/>
          <w:lang w:val="fr-CA"/>
        </w:rPr>
        <w:t xml:space="preserve">Voir par exemple, dans le cas de conflits de droits à l’intérieur même de la Charte québécoise, les décisions </w:t>
      </w:r>
      <w:r w:rsidRPr="00BD22C2">
        <w:rPr>
          <w:rStyle w:val="NotesBasPageCar"/>
          <w:rFonts w:eastAsiaTheme="minorHAnsi"/>
          <w:i/>
          <w:lang w:val="fr-CA"/>
        </w:rPr>
        <w:t>CD.P.</w:t>
      </w:r>
      <w:r w:rsidRPr="00BD22C2">
        <w:rPr>
          <w:rStyle w:val="NotesBasPageCar"/>
          <w:rFonts w:eastAsiaTheme="minorHAnsi"/>
          <w:lang w:val="fr-CA"/>
        </w:rPr>
        <w:t xml:space="preserve"> c </w:t>
      </w:r>
      <w:r w:rsidRPr="00BD22C2">
        <w:rPr>
          <w:rStyle w:val="NotesBasPageCar"/>
          <w:rFonts w:eastAsiaTheme="minorHAnsi"/>
          <w:i/>
          <w:lang w:val="fr-CA"/>
        </w:rPr>
        <w:t>Centre d’accueil Villa Plaisance</w:t>
      </w:r>
      <w:r w:rsidRPr="00BD22C2">
        <w:rPr>
          <w:rStyle w:val="NotesBasPageCar"/>
          <w:rFonts w:eastAsiaTheme="minorHAnsi"/>
          <w:lang w:val="fr-CA"/>
        </w:rPr>
        <w:t>, T.D.P.Q.</w:t>
      </w:r>
      <w:r w:rsidR="00F915F8" w:rsidRPr="00BD22C2">
        <w:rPr>
          <w:rStyle w:val="NotesBasPageCar"/>
          <w:rFonts w:eastAsiaTheme="minorHAnsi"/>
          <w:lang w:val="fr-CA"/>
        </w:rPr>
        <w:t> </w:t>
      </w:r>
      <w:r w:rsidRPr="00BD22C2">
        <w:rPr>
          <w:rStyle w:val="NotesBasPageCar"/>
          <w:rFonts w:eastAsiaTheme="minorHAnsi"/>
          <w:lang w:val="fr-CA"/>
        </w:rPr>
        <w:t>1995 CanLII</w:t>
      </w:r>
      <w:r w:rsidR="00F915F8" w:rsidRPr="00BD22C2">
        <w:rPr>
          <w:rStyle w:val="NotesBasPageCar"/>
          <w:rFonts w:eastAsiaTheme="minorHAnsi"/>
          <w:lang w:val="fr-CA"/>
        </w:rPr>
        <w:t> </w:t>
      </w:r>
      <w:r w:rsidRPr="00BD22C2">
        <w:rPr>
          <w:rStyle w:val="NotesBasPageCar"/>
          <w:rFonts w:eastAsiaTheme="minorHAnsi"/>
          <w:lang w:val="fr-CA"/>
        </w:rPr>
        <w:t xml:space="preserve">2814 (citant </w:t>
      </w:r>
      <w:r w:rsidRPr="00BD22C2">
        <w:rPr>
          <w:rStyle w:val="NotesBasPageCar"/>
          <w:rFonts w:eastAsiaTheme="minorHAnsi"/>
          <w:i/>
          <w:lang w:val="fr-CA"/>
        </w:rPr>
        <w:t>Dagenais</w:t>
      </w:r>
      <w:r w:rsidRPr="00BD22C2">
        <w:rPr>
          <w:rStyle w:val="NotesBasPageCar"/>
          <w:rFonts w:eastAsiaTheme="minorHAnsi"/>
          <w:lang w:val="fr-CA"/>
        </w:rPr>
        <w:t xml:space="preserve"> c</w:t>
      </w:r>
      <w:r w:rsidR="00DD58CF" w:rsidRPr="00BD22C2">
        <w:rPr>
          <w:rStyle w:val="NotesBasPageCar"/>
          <w:rFonts w:eastAsiaTheme="minorHAnsi"/>
          <w:lang w:val="fr-CA"/>
        </w:rPr>
        <w:t>.</w:t>
      </w:r>
      <w:r w:rsidRPr="00BD22C2">
        <w:rPr>
          <w:rStyle w:val="NotesBasPageCar"/>
          <w:rFonts w:eastAsiaTheme="minorHAnsi"/>
          <w:lang w:val="fr-CA"/>
        </w:rPr>
        <w:t xml:space="preserve"> </w:t>
      </w:r>
      <w:r w:rsidRPr="00BD22C2">
        <w:rPr>
          <w:rStyle w:val="NotesBasPageCar"/>
          <w:rFonts w:eastAsiaTheme="minorHAnsi"/>
          <w:i/>
          <w:lang w:val="fr-CA"/>
        </w:rPr>
        <w:t>Société Radio-Canada</w:t>
      </w:r>
      <w:r w:rsidRPr="00BD22C2">
        <w:rPr>
          <w:rStyle w:val="NotesBasPageCar"/>
          <w:rFonts w:eastAsiaTheme="minorHAnsi"/>
          <w:lang w:val="fr-CA"/>
        </w:rPr>
        <w:t xml:space="preserve">, </w:t>
      </w:r>
      <w:r w:rsidR="009D5B89" w:rsidRPr="00BD22C2">
        <w:rPr>
          <w:rStyle w:val="NotesBasPageCar"/>
          <w:rFonts w:eastAsiaTheme="minorHAnsi"/>
          <w:lang w:val="fr-CA"/>
        </w:rPr>
        <w:t>préc., note</w:t>
      </w:r>
      <w:r w:rsidR="00CE1914">
        <w:rPr>
          <w:rStyle w:val="NotesBasPageCar"/>
          <w:rFonts w:eastAsiaTheme="minorHAnsi"/>
          <w:lang w:val="fr-CA"/>
        </w:rPr>
        <w:t> </w:t>
      </w:r>
      <w:r w:rsidR="009D5B89" w:rsidRPr="00BD22C2">
        <w:rPr>
          <w:rStyle w:val="NotesBasPageCar"/>
          <w:rFonts w:eastAsiaTheme="minorHAnsi"/>
          <w:lang w:val="fr-CA"/>
        </w:rPr>
        <w:fldChar w:fldCharType="begin"/>
      </w:r>
      <w:r w:rsidR="009D5B89" w:rsidRPr="00BD22C2">
        <w:rPr>
          <w:rStyle w:val="NotesBasPageCar"/>
          <w:rFonts w:eastAsiaTheme="minorHAnsi"/>
          <w:lang w:val="fr-CA"/>
        </w:rPr>
        <w:instrText xml:space="preserve"> NOTEREF _Ref166839747 \h </w:instrText>
      </w:r>
      <w:r w:rsidR="009D5B89" w:rsidRPr="00BD22C2">
        <w:rPr>
          <w:rStyle w:val="NotesBasPageCar"/>
          <w:rFonts w:eastAsiaTheme="minorHAnsi"/>
          <w:lang w:val="fr-CA"/>
        </w:rPr>
      </w:r>
      <w:r w:rsidR="009D5B89" w:rsidRPr="00BD22C2">
        <w:rPr>
          <w:rStyle w:val="NotesBasPageCar"/>
          <w:rFonts w:eastAsiaTheme="minorHAnsi"/>
          <w:lang w:val="fr-CA"/>
        </w:rPr>
        <w:fldChar w:fldCharType="separate"/>
      </w:r>
      <w:r w:rsidR="004B4881">
        <w:rPr>
          <w:rStyle w:val="NotesBasPageCar"/>
          <w:rFonts w:eastAsiaTheme="minorHAnsi"/>
          <w:lang w:val="fr-CA"/>
        </w:rPr>
        <w:t>56</w:t>
      </w:r>
      <w:r w:rsidR="009D5B89" w:rsidRPr="00BD22C2">
        <w:rPr>
          <w:rStyle w:val="NotesBasPageCar"/>
          <w:rFonts w:eastAsiaTheme="minorHAnsi"/>
          <w:lang w:val="fr-CA"/>
        </w:rPr>
        <w:fldChar w:fldCharType="end"/>
      </w:r>
      <w:r w:rsidRPr="00BD22C2">
        <w:rPr>
          <w:rStyle w:val="NotesBasPageCar"/>
          <w:rFonts w:eastAsiaTheme="minorHAnsi"/>
          <w:lang w:val="fr-CA"/>
        </w:rPr>
        <w:t>).</w:t>
      </w:r>
    </w:p>
  </w:endnote>
  <w:endnote w:id="214">
    <w:p w14:paraId="758A511A" w14:textId="3A3F15A1"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tesBasPageCar"/>
          <w:lang w:val="fr-CA"/>
        </w:rPr>
        <w:t xml:space="preserve">Sur ce principe reconnu du droit international, voir par exemple </w:t>
      </w:r>
      <w:r w:rsidR="00BE1B0F" w:rsidRPr="00BD22C2">
        <w:rPr>
          <w:rFonts w:ascii="Arial" w:hAnsi="Arial" w:cs="Arial"/>
          <w:smallCaps/>
          <w:sz w:val="18"/>
          <w:szCs w:val="18"/>
          <w:lang w:val="fr-CA"/>
        </w:rPr>
        <w:t>Conférence mondiale sur les droits de l’homme,</w:t>
      </w:r>
      <w:r w:rsidR="00BE1B0F" w:rsidRPr="00BD22C2">
        <w:rPr>
          <w:rStyle w:val="NotesBasPageCar"/>
          <w:i/>
          <w:lang w:val="fr-CA"/>
        </w:rPr>
        <w:t xml:space="preserve"> </w:t>
      </w:r>
      <w:r w:rsidRPr="00BD22C2">
        <w:rPr>
          <w:rStyle w:val="NotesBasPageCar"/>
          <w:i/>
          <w:lang w:val="fr-CA"/>
        </w:rPr>
        <w:t>Déclaration et programme d’action de Vienne, Rés. 48/141</w:t>
      </w:r>
      <w:r w:rsidRPr="00BD22C2">
        <w:rPr>
          <w:rStyle w:val="NotesBasPageCar"/>
          <w:lang w:val="fr-CA"/>
        </w:rPr>
        <w:t>, Doc off. A.G. N.</w:t>
      </w:r>
      <w:r w:rsidR="006305FE">
        <w:rPr>
          <w:rStyle w:val="NotesBasPageCar"/>
          <w:lang w:val="fr-CA"/>
        </w:rPr>
        <w:t> </w:t>
      </w:r>
      <w:r w:rsidRPr="00BD22C2">
        <w:rPr>
          <w:rStyle w:val="NotesBasPageCar"/>
          <w:lang w:val="fr-CA"/>
        </w:rPr>
        <w:t>U., 48e sess., Doc N. U. A/CONF. 157/23 (1993) au para</w:t>
      </w:r>
      <w:r w:rsidR="00F915F8" w:rsidRPr="00BD22C2">
        <w:rPr>
          <w:rStyle w:val="NotesBasPageCar"/>
          <w:lang w:val="fr-CA"/>
        </w:rPr>
        <w:t> </w:t>
      </w:r>
      <w:r w:rsidRPr="00BD22C2">
        <w:rPr>
          <w:rStyle w:val="NotesBasPageCar"/>
          <w:lang w:val="fr-CA"/>
        </w:rPr>
        <w:t>5.</w:t>
      </w:r>
    </w:p>
  </w:endnote>
  <w:endnote w:id="215">
    <w:p w14:paraId="321C048B" w14:textId="0115082F" w:rsidR="004D2411" w:rsidRPr="00BD22C2" w:rsidRDefault="004D241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François </w:t>
      </w:r>
      <w:r w:rsidRPr="00BD22C2">
        <w:rPr>
          <w:rFonts w:ascii="Arial" w:hAnsi="Arial" w:cs="Arial"/>
          <w:smallCaps/>
          <w:sz w:val="18"/>
          <w:szCs w:val="18"/>
          <w:lang w:val="fr-CA"/>
        </w:rPr>
        <w:t>Chevrette</w:t>
      </w:r>
      <w:r w:rsidRPr="00BD22C2">
        <w:rPr>
          <w:rFonts w:ascii="Arial" w:hAnsi="Arial" w:cs="Arial"/>
          <w:sz w:val="18"/>
          <w:szCs w:val="18"/>
          <w:lang w:val="fr-CA"/>
        </w:rPr>
        <w:t>, « La disposition limitative de la Charte des droits et libertés de la personne : le dit et le non-dit », (1987) 21</w:t>
      </w:r>
      <w:r w:rsidR="00B32B61">
        <w:rPr>
          <w:rFonts w:ascii="Arial" w:hAnsi="Arial" w:cs="Arial"/>
          <w:sz w:val="18"/>
          <w:szCs w:val="18"/>
          <w:lang w:val="fr-CA"/>
        </w:rPr>
        <w:t> </w:t>
      </w:r>
      <w:r w:rsidRPr="00594204">
        <w:rPr>
          <w:rFonts w:ascii="Arial" w:hAnsi="Arial" w:cs="Arial"/>
          <w:i/>
          <w:iCs/>
          <w:sz w:val="18"/>
          <w:szCs w:val="18"/>
          <w:lang w:val="fr-CA"/>
        </w:rPr>
        <w:t>R.J.T</w:t>
      </w:r>
      <w:r w:rsidRPr="00BD22C2">
        <w:rPr>
          <w:rFonts w:ascii="Arial" w:hAnsi="Arial" w:cs="Arial"/>
          <w:sz w:val="18"/>
          <w:szCs w:val="18"/>
          <w:lang w:val="fr-CA"/>
        </w:rPr>
        <w:t>. 461-489 à la p. 465 et 486.</w:t>
      </w:r>
    </w:p>
  </w:endnote>
  <w:endnote w:id="216">
    <w:p w14:paraId="7D9FDDAE" w14:textId="1B04F41D"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iCs/>
          <w:sz w:val="18"/>
          <w:szCs w:val="18"/>
          <w:lang w:val="fr-CA"/>
        </w:rPr>
        <w:t>Aubry</w:t>
      </w:r>
      <w:r w:rsidRPr="00BD22C2">
        <w:rPr>
          <w:rFonts w:ascii="Arial" w:hAnsi="Arial" w:cs="Arial"/>
          <w:sz w:val="18"/>
          <w:szCs w:val="18"/>
          <w:lang w:val="fr-CA"/>
        </w:rPr>
        <w:t xml:space="preserve"> c</w:t>
      </w:r>
      <w:r w:rsidR="004F74F8"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iCs/>
          <w:sz w:val="18"/>
          <w:szCs w:val="18"/>
          <w:lang w:val="fr-CA"/>
        </w:rPr>
        <w:t>Éditions Vice-Versa</w:t>
      </w:r>
      <w:r w:rsidRPr="00BD22C2">
        <w:rPr>
          <w:rFonts w:ascii="Arial" w:hAnsi="Arial" w:cs="Arial"/>
          <w:sz w:val="18"/>
          <w:szCs w:val="18"/>
          <w:lang w:val="fr-CA"/>
        </w:rPr>
        <w:t xml:space="preserve">, </w:t>
      </w:r>
      <w:r w:rsidR="0072083B" w:rsidRPr="00BD22C2">
        <w:rPr>
          <w:rFonts w:ascii="Arial" w:hAnsi="Arial" w:cs="Arial"/>
          <w:sz w:val="18"/>
          <w:szCs w:val="18"/>
          <w:lang w:val="fr-CA"/>
        </w:rPr>
        <w:t>[1998] 1</w:t>
      </w:r>
      <w:r w:rsidR="00B32B61">
        <w:rPr>
          <w:rFonts w:ascii="Arial" w:hAnsi="Arial" w:cs="Arial"/>
          <w:sz w:val="18"/>
          <w:szCs w:val="18"/>
          <w:lang w:val="fr-CA"/>
        </w:rPr>
        <w:t> </w:t>
      </w:r>
      <w:r w:rsidR="0072083B" w:rsidRPr="00BD22C2">
        <w:rPr>
          <w:rFonts w:ascii="Arial" w:hAnsi="Arial" w:cs="Arial"/>
          <w:sz w:val="18"/>
          <w:szCs w:val="18"/>
          <w:lang w:val="fr-CA"/>
        </w:rPr>
        <w:t>RCS</w:t>
      </w:r>
      <w:r w:rsidR="00CE1914">
        <w:rPr>
          <w:rFonts w:ascii="Arial" w:hAnsi="Arial" w:cs="Arial"/>
          <w:sz w:val="18"/>
          <w:szCs w:val="18"/>
          <w:lang w:val="fr-CA"/>
        </w:rPr>
        <w:t> </w:t>
      </w:r>
      <w:r w:rsidR="0072083B" w:rsidRPr="00BD22C2">
        <w:rPr>
          <w:rFonts w:ascii="Arial" w:hAnsi="Arial" w:cs="Arial"/>
          <w:sz w:val="18"/>
          <w:szCs w:val="18"/>
          <w:lang w:val="fr-CA"/>
        </w:rPr>
        <w:t>591</w:t>
      </w:r>
      <w:r w:rsidRPr="00BD22C2">
        <w:rPr>
          <w:rFonts w:ascii="Arial" w:hAnsi="Arial" w:cs="Arial"/>
          <w:sz w:val="18"/>
          <w:szCs w:val="18"/>
          <w:lang w:val="fr-CA"/>
        </w:rPr>
        <w:t xml:space="preserve"> par. 56</w:t>
      </w:r>
    </w:p>
  </w:endnote>
  <w:endnote w:id="217">
    <w:p w14:paraId="4EFF5527" w14:textId="6764ED05"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iCs/>
          <w:sz w:val="18"/>
          <w:szCs w:val="18"/>
          <w:lang w:val="fr-CA"/>
        </w:rPr>
        <w:t xml:space="preserve">Bruker </w:t>
      </w:r>
      <w:r w:rsidRPr="00BD22C2">
        <w:rPr>
          <w:rFonts w:ascii="Arial" w:hAnsi="Arial" w:cs="Arial"/>
          <w:sz w:val="18"/>
          <w:szCs w:val="18"/>
          <w:lang w:val="fr-CA"/>
        </w:rPr>
        <w:t>c</w:t>
      </w:r>
      <w:r w:rsidR="004B4C5A" w:rsidRPr="00BD22C2">
        <w:rPr>
          <w:rFonts w:ascii="Arial" w:hAnsi="Arial" w:cs="Arial"/>
          <w:i/>
          <w:iCs/>
          <w:sz w:val="18"/>
          <w:szCs w:val="18"/>
          <w:lang w:val="fr-CA"/>
        </w:rPr>
        <w:t>.</w:t>
      </w:r>
      <w:r w:rsidRPr="00BD22C2">
        <w:rPr>
          <w:rFonts w:ascii="Arial" w:hAnsi="Arial" w:cs="Arial"/>
          <w:i/>
          <w:iCs/>
          <w:sz w:val="18"/>
          <w:szCs w:val="18"/>
          <w:lang w:val="fr-CA"/>
        </w:rPr>
        <w:t xml:space="preserve"> Marcovitz</w:t>
      </w:r>
      <w:r w:rsidRPr="00BD22C2">
        <w:rPr>
          <w:rFonts w:ascii="Arial" w:hAnsi="Arial" w:cs="Arial"/>
          <w:sz w:val="18"/>
          <w:szCs w:val="18"/>
          <w:lang w:val="fr-CA"/>
        </w:rPr>
        <w:t>,</w:t>
      </w:r>
      <w:r w:rsidR="00605749" w:rsidRPr="00880703">
        <w:rPr>
          <w:rFonts w:ascii="Arial" w:hAnsi="Arial" w:cs="Arial"/>
          <w:sz w:val="18"/>
          <w:szCs w:val="18"/>
          <w:lang w:val="fr-CA"/>
        </w:rPr>
        <w:t xml:space="preserve"> 2007 CSC</w:t>
      </w:r>
      <w:r w:rsidR="00CE1914">
        <w:rPr>
          <w:rFonts w:ascii="Arial" w:hAnsi="Arial" w:cs="Arial"/>
          <w:sz w:val="18"/>
          <w:szCs w:val="18"/>
          <w:lang w:val="fr-CA"/>
        </w:rPr>
        <w:t> </w:t>
      </w:r>
      <w:r w:rsidR="00605749" w:rsidRPr="00880703">
        <w:rPr>
          <w:rFonts w:ascii="Arial" w:hAnsi="Arial" w:cs="Arial"/>
          <w:sz w:val="18"/>
          <w:szCs w:val="18"/>
          <w:lang w:val="fr-CA"/>
        </w:rPr>
        <w:t>54</w:t>
      </w:r>
      <w:r w:rsidR="00205F59" w:rsidRPr="00880703">
        <w:rPr>
          <w:rFonts w:ascii="Arial" w:hAnsi="Arial" w:cs="Arial"/>
          <w:sz w:val="18"/>
          <w:szCs w:val="18"/>
          <w:lang w:val="fr-CA"/>
        </w:rPr>
        <w:t>,</w:t>
      </w:r>
      <w:r w:rsidRPr="00BD22C2">
        <w:rPr>
          <w:rFonts w:ascii="Arial" w:hAnsi="Arial" w:cs="Arial"/>
          <w:sz w:val="18"/>
          <w:szCs w:val="18"/>
          <w:lang w:val="fr-CA"/>
        </w:rPr>
        <w:t xml:space="preserve"> par. 15 et 77. Voir aussi </w:t>
      </w:r>
      <w:r w:rsidR="00C21015" w:rsidRPr="00BD22C2">
        <w:rPr>
          <w:rFonts w:ascii="Arial" w:hAnsi="Arial" w:cs="Arial"/>
          <w:i/>
          <w:iCs/>
          <w:sz w:val="18"/>
          <w:szCs w:val="18"/>
          <w:lang w:val="fr-CA"/>
        </w:rPr>
        <w:t>Syndicat Northcrest</w:t>
      </w:r>
      <w:r w:rsidR="00C21015" w:rsidRPr="00BD22C2">
        <w:rPr>
          <w:rFonts w:ascii="Arial" w:hAnsi="Arial" w:cs="Arial"/>
          <w:sz w:val="18"/>
          <w:szCs w:val="18"/>
          <w:lang w:val="fr-CA"/>
        </w:rPr>
        <w:t xml:space="preserve"> c. </w:t>
      </w:r>
      <w:r w:rsidR="00C21015" w:rsidRPr="00BD22C2">
        <w:rPr>
          <w:rFonts w:ascii="Arial" w:hAnsi="Arial" w:cs="Arial"/>
          <w:i/>
          <w:iCs/>
          <w:sz w:val="18"/>
          <w:szCs w:val="18"/>
          <w:lang w:val="fr-CA"/>
        </w:rPr>
        <w:t>Amselem</w:t>
      </w:r>
      <w:r w:rsidR="00C21015" w:rsidRPr="00BD22C2">
        <w:rPr>
          <w:rFonts w:ascii="Arial" w:hAnsi="Arial" w:cs="Arial"/>
          <w:sz w:val="18"/>
          <w:szCs w:val="18"/>
          <w:lang w:val="fr-CA"/>
        </w:rPr>
        <w:t>, 2004</w:t>
      </w:r>
      <w:r w:rsidR="00B32B61">
        <w:rPr>
          <w:rFonts w:ascii="Arial" w:hAnsi="Arial" w:cs="Arial"/>
          <w:sz w:val="18"/>
          <w:szCs w:val="18"/>
          <w:lang w:val="fr-CA"/>
        </w:rPr>
        <w:t> </w:t>
      </w:r>
      <w:r w:rsidR="00C21015" w:rsidRPr="00BD22C2">
        <w:rPr>
          <w:rFonts w:ascii="Arial" w:hAnsi="Arial" w:cs="Arial"/>
          <w:sz w:val="18"/>
          <w:szCs w:val="18"/>
          <w:lang w:val="fr-CA"/>
        </w:rPr>
        <w:t>CSC</w:t>
      </w:r>
      <w:r w:rsidR="00CE1914">
        <w:rPr>
          <w:rFonts w:ascii="Arial" w:hAnsi="Arial" w:cs="Arial"/>
          <w:sz w:val="18"/>
          <w:szCs w:val="18"/>
          <w:lang w:val="fr-CA"/>
        </w:rPr>
        <w:t> </w:t>
      </w:r>
      <w:r w:rsidR="00C21015" w:rsidRPr="00BD22C2">
        <w:rPr>
          <w:rFonts w:ascii="Arial" w:hAnsi="Arial" w:cs="Arial"/>
          <w:sz w:val="18"/>
          <w:szCs w:val="18"/>
          <w:lang w:val="fr-CA"/>
        </w:rPr>
        <w:t>47</w:t>
      </w:r>
      <w:r w:rsidRPr="00BD22C2">
        <w:rPr>
          <w:rFonts w:ascii="Arial" w:hAnsi="Arial" w:cs="Arial"/>
          <w:sz w:val="18"/>
          <w:szCs w:val="18"/>
          <w:lang w:val="fr-CA"/>
        </w:rPr>
        <w:t>, par. 86.</w:t>
      </w:r>
    </w:p>
  </w:endnote>
  <w:endnote w:id="218">
    <w:p w14:paraId="34728585" w14:textId="44EB898B"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Aubry</w:t>
      </w:r>
      <w:r w:rsidRPr="00BD22C2">
        <w:rPr>
          <w:rFonts w:ascii="Arial" w:hAnsi="Arial" w:cs="Arial"/>
          <w:sz w:val="18"/>
          <w:szCs w:val="18"/>
          <w:lang w:val="fr-CA"/>
        </w:rPr>
        <w:t xml:space="preserve"> c</w:t>
      </w:r>
      <w:r w:rsidR="00C21015"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Éditions Vice-Versa</w:t>
      </w:r>
      <w:r w:rsidRPr="00BD22C2">
        <w:rPr>
          <w:rFonts w:ascii="Arial" w:hAnsi="Arial" w:cs="Arial"/>
          <w:sz w:val="18"/>
          <w:szCs w:val="18"/>
          <w:lang w:val="fr-CA"/>
        </w:rPr>
        <w:t xml:space="preserve">, </w:t>
      </w:r>
      <w:r w:rsidR="00C21015" w:rsidRPr="00BD22C2">
        <w:rPr>
          <w:rFonts w:ascii="Arial" w:hAnsi="Arial" w:cs="Arial"/>
          <w:sz w:val="18"/>
          <w:szCs w:val="18"/>
          <w:lang w:val="fr-CA"/>
        </w:rPr>
        <w:t>préc</w:t>
      </w:r>
      <w:r w:rsidR="00C21015" w:rsidRPr="00880703">
        <w:rPr>
          <w:rFonts w:ascii="Arial" w:hAnsi="Arial" w:cs="Arial"/>
          <w:sz w:val="18"/>
          <w:szCs w:val="18"/>
          <w:lang w:val="fr-CA"/>
        </w:rPr>
        <w:t>.</w:t>
      </w:r>
      <w:r w:rsidR="00880703" w:rsidRPr="00880703">
        <w:rPr>
          <w:rFonts w:ascii="Arial" w:hAnsi="Arial" w:cs="Arial"/>
          <w:sz w:val="18"/>
          <w:szCs w:val="18"/>
          <w:lang w:val="fr-CA"/>
        </w:rPr>
        <w:t>,</w:t>
      </w:r>
      <w:r w:rsidR="00C21015" w:rsidRPr="00BD22C2">
        <w:rPr>
          <w:rFonts w:ascii="Arial" w:hAnsi="Arial" w:cs="Arial"/>
          <w:sz w:val="18"/>
          <w:szCs w:val="18"/>
          <w:lang w:val="fr-CA"/>
        </w:rPr>
        <w:t xml:space="preserve"> </w:t>
      </w:r>
      <w:r w:rsidR="004B4C5A" w:rsidRPr="00880703">
        <w:rPr>
          <w:rFonts w:ascii="Arial" w:hAnsi="Arial" w:cs="Arial"/>
          <w:sz w:val="18"/>
          <w:szCs w:val="18"/>
          <w:lang w:val="fr-CA"/>
        </w:rPr>
        <w:t>note</w:t>
      </w:r>
      <w:r w:rsidR="00CE1914">
        <w:rPr>
          <w:rFonts w:ascii="Arial" w:hAnsi="Arial" w:cs="Arial"/>
          <w:sz w:val="18"/>
          <w:szCs w:val="18"/>
          <w:lang w:val="fr-CA"/>
        </w:rPr>
        <w:t> </w:t>
      </w:r>
      <w:r w:rsidR="004B4C5A" w:rsidRPr="00880703">
        <w:rPr>
          <w:rFonts w:ascii="Arial" w:hAnsi="Arial" w:cs="Arial"/>
          <w:sz w:val="18"/>
          <w:szCs w:val="18"/>
          <w:highlight w:val="yellow"/>
          <w:lang w:val="fr-CA"/>
        </w:rPr>
        <w:fldChar w:fldCharType="begin"/>
      </w:r>
      <w:r w:rsidR="004B4C5A" w:rsidRPr="00880703">
        <w:rPr>
          <w:rFonts w:ascii="Arial" w:hAnsi="Arial" w:cs="Arial"/>
          <w:sz w:val="18"/>
          <w:szCs w:val="18"/>
          <w:lang w:val="fr-CA"/>
        </w:rPr>
        <w:instrText xml:space="preserve"> NOTEREF _Ref167440592 \h </w:instrText>
      </w:r>
      <w:r w:rsidR="004B4C5A" w:rsidRPr="00880703">
        <w:rPr>
          <w:rFonts w:ascii="Arial" w:hAnsi="Arial" w:cs="Arial"/>
          <w:sz w:val="18"/>
          <w:szCs w:val="18"/>
          <w:highlight w:val="yellow"/>
          <w:lang w:val="fr-CA"/>
        </w:rPr>
      </w:r>
      <w:r w:rsidR="004B4C5A" w:rsidRPr="00880703">
        <w:rPr>
          <w:rFonts w:ascii="Arial" w:hAnsi="Arial" w:cs="Arial"/>
          <w:sz w:val="18"/>
          <w:szCs w:val="18"/>
          <w:highlight w:val="yellow"/>
          <w:lang w:val="fr-CA"/>
        </w:rPr>
        <w:fldChar w:fldCharType="separate"/>
      </w:r>
      <w:r w:rsidR="004B4881">
        <w:rPr>
          <w:rFonts w:ascii="Arial" w:hAnsi="Arial" w:cs="Arial"/>
          <w:sz w:val="18"/>
          <w:szCs w:val="18"/>
          <w:lang w:val="fr-CA"/>
        </w:rPr>
        <w:t>215</w:t>
      </w:r>
      <w:r w:rsidR="004B4C5A" w:rsidRPr="00880703">
        <w:rPr>
          <w:rFonts w:ascii="Arial" w:hAnsi="Arial" w:cs="Arial"/>
          <w:sz w:val="18"/>
          <w:szCs w:val="18"/>
          <w:highlight w:val="yellow"/>
          <w:lang w:val="fr-CA"/>
        </w:rPr>
        <w:fldChar w:fldCharType="end"/>
      </w:r>
      <w:r w:rsidR="00C21015" w:rsidRPr="00880703">
        <w:rPr>
          <w:rFonts w:ascii="Arial" w:hAnsi="Arial" w:cs="Arial"/>
          <w:sz w:val="18"/>
          <w:szCs w:val="18"/>
          <w:lang w:val="fr-CA"/>
        </w:rPr>
        <w:t xml:space="preserve"> </w:t>
      </w:r>
      <w:r w:rsidRPr="00BD22C2">
        <w:rPr>
          <w:rFonts w:ascii="Arial" w:hAnsi="Arial" w:cs="Arial"/>
          <w:sz w:val="18"/>
          <w:szCs w:val="18"/>
          <w:lang w:val="fr-CA"/>
        </w:rPr>
        <w:t xml:space="preserve">aux paras 56 et suivants. </w:t>
      </w:r>
    </w:p>
  </w:endnote>
  <w:endnote w:id="219">
    <w:p w14:paraId="28791CAE" w14:textId="2ED4C6F0"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Prud’homme</w:t>
      </w:r>
      <w:r w:rsidRPr="00BD22C2">
        <w:rPr>
          <w:rFonts w:ascii="Arial" w:hAnsi="Arial" w:cs="Arial"/>
          <w:sz w:val="18"/>
          <w:szCs w:val="18"/>
          <w:lang w:val="fr-CA"/>
        </w:rPr>
        <w:t xml:space="preserve"> c</w:t>
      </w:r>
      <w:r w:rsidR="00DD58CF" w:rsidRPr="00BD22C2">
        <w:rPr>
          <w:rFonts w:ascii="Arial" w:hAnsi="Arial" w:cs="Arial"/>
          <w:i/>
          <w:sz w:val="18"/>
          <w:szCs w:val="18"/>
          <w:lang w:val="fr-CA"/>
        </w:rPr>
        <w:t>.</w:t>
      </w:r>
      <w:r w:rsidRPr="00BD22C2">
        <w:rPr>
          <w:rFonts w:ascii="Arial" w:hAnsi="Arial" w:cs="Arial"/>
          <w:i/>
          <w:sz w:val="18"/>
          <w:szCs w:val="18"/>
          <w:lang w:val="fr-CA"/>
        </w:rPr>
        <w:t xml:space="preserve"> Prud’homme</w:t>
      </w:r>
      <w:r w:rsidRPr="00BD22C2">
        <w:rPr>
          <w:rFonts w:ascii="Arial" w:hAnsi="Arial" w:cs="Arial"/>
          <w:sz w:val="18"/>
          <w:szCs w:val="18"/>
          <w:lang w:val="fr-CA"/>
        </w:rPr>
        <w:t>, [2002] 4 R.CS. 663.</w:t>
      </w:r>
    </w:p>
  </w:endnote>
  <w:endnote w:id="220">
    <w:p w14:paraId="494DFF20" w14:textId="2FDB694B"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C21015" w:rsidRPr="00BD22C2">
        <w:rPr>
          <w:rFonts w:ascii="Arial" w:hAnsi="Arial" w:cs="Arial"/>
          <w:i/>
          <w:sz w:val="18"/>
          <w:szCs w:val="18"/>
          <w:lang w:val="fr-CA"/>
        </w:rPr>
        <w:t>Syndicat Northcrest</w:t>
      </w:r>
      <w:r w:rsidR="00C21015" w:rsidRPr="00BD22C2">
        <w:rPr>
          <w:rFonts w:ascii="Arial" w:hAnsi="Arial" w:cs="Arial"/>
          <w:sz w:val="18"/>
          <w:szCs w:val="18"/>
          <w:lang w:val="fr-CA"/>
        </w:rPr>
        <w:t xml:space="preserve"> c. </w:t>
      </w:r>
      <w:r w:rsidR="00C21015" w:rsidRPr="00BD22C2">
        <w:rPr>
          <w:rFonts w:ascii="Arial" w:hAnsi="Arial" w:cs="Arial"/>
          <w:i/>
          <w:sz w:val="18"/>
          <w:szCs w:val="18"/>
          <w:lang w:val="fr-CA"/>
        </w:rPr>
        <w:t>Amselem</w:t>
      </w:r>
      <w:r w:rsidRPr="00BD22C2">
        <w:rPr>
          <w:rFonts w:ascii="Arial" w:hAnsi="Arial" w:cs="Arial"/>
          <w:sz w:val="18"/>
          <w:szCs w:val="18"/>
          <w:lang w:val="fr-CA"/>
        </w:rPr>
        <w:t xml:space="preserve">, </w:t>
      </w:r>
      <w:r w:rsidR="00C21015" w:rsidRPr="00BD22C2">
        <w:rPr>
          <w:rFonts w:ascii="Arial" w:hAnsi="Arial" w:cs="Arial"/>
          <w:sz w:val="18"/>
          <w:szCs w:val="18"/>
          <w:lang w:val="fr-CA"/>
        </w:rPr>
        <w:t>préc</w:t>
      </w:r>
      <w:r w:rsidR="00D44B10">
        <w:rPr>
          <w:rFonts w:ascii="Arial" w:hAnsi="Arial" w:cs="Arial"/>
          <w:sz w:val="18"/>
          <w:szCs w:val="18"/>
          <w:lang w:val="fr-CA"/>
        </w:rPr>
        <w:t>.</w:t>
      </w:r>
      <w:r w:rsidR="00C21015" w:rsidRPr="00BD22C2">
        <w:rPr>
          <w:rFonts w:ascii="Arial" w:hAnsi="Arial" w:cs="Arial"/>
          <w:sz w:val="18"/>
          <w:szCs w:val="18"/>
          <w:lang w:val="fr-CA"/>
        </w:rPr>
        <w:t>, note</w:t>
      </w:r>
      <w:r w:rsidR="00CE1914">
        <w:rPr>
          <w:rFonts w:ascii="Arial" w:hAnsi="Arial" w:cs="Arial"/>
          <w:sz w:val="18"/>
          <w:szCs w:val="18"/>
          <w:lang w:val="fr-CA"/>
        </w:rPr>
        <w:t> </w:t>
      </w:r>
      <w:r w:rsidR="00FA208C" w:rsidRPr="00BD22C2">
        <w:rPr>
          <w:rFonts w:ascii="Arial" w:hAnsi="Arial" w:cs="Arial"/>
          <w:sz w:val="18"/>
          <w:szCs w:val="18"/>
          <w:lang w:val="fr-CA"/>
        </w:rPr>
        <w:fldChar w:fldCharType="begin"/>
      </w:r>
      <w:r w:rsidR="00FA208C" w:rsidRPr="00BD22C2">
        <w:rPr>
          <w:rFonts w:ascii="Arial" w:hAnsi="Arial" w:cs="Arial"/>
          <w:sz w:val="18"/>
          <w:szCs w:val="18"/>
          <w:lang w:val="fr-CA"/>
        </w:rPr>
        <w:instrText xml:space="preserve"> NOTEREF _Ref167440621 \h </w:instrText>
      </w:r>
      <w:r w:rsidR="00FA208C" w:rsidRPr="00BD22C2">
        <w:rPr>
          <w:rFonts w:ascii="Arial" w:hAnsi="Arial" w:cs="Arial"/>
          <w:sz w:val="18"/>
          <w:szCs w:val="18"/>
          <w:lang w:val="fr-CA"/>
        </w:rPr>
      </w:r>
      <w:r w:rsidR="00FA208C" w:rsidRPr="00BD22C2">
        <w:rPr>
          <w:rFonts w:ascii="Arial" w:hAnsi="Arial" w:cs="Arial"/>
          <w:sz w:val="18"/>
          <w:szCs w:val="18"/>
          <w:lang w:val="fr-CA"/>
        </w:rPr>
        <w:fldChar w:fldCharType="separate"/>
      </w:r>
      <w:r w:rsidR="004B4881">
        <w:rPr>
          <w:rFonts w:ascii="Arial" w:hAnsi="Arial" w:cs="Arial"/>
          <w:sz w:val="18"/>
          <w:szCs w:val="18"/>
          <w:lang w:val="fr-CA"/>
        </w:rPr>
        <w:t>216</w:t>
      </w:r>
      <w:r w:rsidR="00FA208C" w:rsidRPr="00BD22C2">
        <w:rPr>
          <w:rFonts w:ascii="Arial" w:hAnsi="Arial" w:cs="Arial"/>
          <w:sz w:val="18"/>
          <w:szCs w:val="18"/>
          <w:lang w:val="fr-CA"/>
        </w:rPr>
        <w:fldChar w:fldCharType="end"/>
      </w:r>
      <w:r w:rsidR="00C21015" w:rsidRPr="00BD22C2">
        <w:rPr>
          <w:rFonts w:ascii="Arial" w:hAnsi="Arial" w:cs="Arial"/>
          <w:sz w:val="18"/>
          <w:szCs w:val="18"/>
          <w:lang w:val="fr-CA"/>
        </w:rPr>
        <w:t>,</w:t>
      </w:r>
      <w:r w:rsidRPr="00BD22C2">
        <w:rPr>
          <w:rFonts w:ascii="Arial" w:hAnsi="Arial" w:cs="Arial"/>
          <w:sz w:val="18"/>
          <w:szCs w:val="18"/>
          <w:lang w:val="fr-CA"/>
        </w:rPr>
        <w:t xml:space="preserve"> au par</w:t>
      </w:r>
      <w:r w:rsidR="00D44B10">
        <w:rPr>
          <w:rFonts w:ascii="Arial" w:hAnsi="Arial" w:cs="Arial"/>
          <w:sz w:val="18"/>
          <w:szCs w:val="18"/>
          <w:lang w:val="fr-CA"/>
        </w:rPr>
        <w:t>.</w:t>
      </w:r>
      <w:r w:rsidR="00FF6945">
        <w:rPr>
          <w:rFonts w:ascii="Arial" w:hAnsi="Arial" w:cs="Arial"/>
          <w:sz w:val="18"/>
          <w:szCs w:val="18"/>
          <w:lang w:val="fr-CA"/>
        </w:rPr>
        <w:t xml:space="preserve"> </w:t>
      </w:r>
      <w:r w:rsidRPr="00BD22C2">
        <w:rPr>
          <w:rFonts w:ascii="Arial" w:hAnsi="Arial" w:cs="Arial"/>
          <w:sz w:val="18"/>
          <w:szCs w:val="18"/>
          <w:lang w:val="fr-CA"/>
        </w:rPr>
        <w:t xml:space="preserve">154. </w:t>
      </w:r>
    </w:p>
  </w:endnote>
  <w:endnote w:id="221">
    <w:p w14:paraId="50414624" w14:textId="6A41C97A"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B32D27" w:rsidRPr="00BD22C2">
        <w:rPr>
          <w:rFonts w:ascii="Arial" w:hAnsi="Arial" w:cs="Arial"/>
          <w:i/>
          <w:sz w:val="18"/>
          <w:szCs w:val="18"/>
          <w:lang w:val="fr-CA"/>
        </w:rPr>
        <w:t>Bruker</w:t>
      </w:r>
      <w:r w:rsidR="00B32D27" w:rsidRPr="00BD22C2">
        <w:rPr>
          <w:rFonts w:ascii="Arial" w:hAnsi="Arial" w:cs="Arial"/>
          <w:sz w:val="18"/>
          <w:szCs w:val="18"/>
          <w:lang w:val="fr-CA"/>
        </w:rPr>
        <w:t xml:space="preserve"> c </w:t>
      </w:r>
      <w:r w:rsidR="00B32D27" w:rsidRPr="00BD22C2">
        <w:rPr>
          <w:rFonts w:ascii="Arial" w:hAnsi="Arial" w:cs="Arial"/>
          <w:i/>
          <w:sz w:val="18"/>
          <w:szCs w:val="18"/>
          <w:lang w:val="fr-CA"/>
        </w:rPr>
        <w:t>Marcovitz</w:t>
      </w:r>
      <w:r w:rsidR="00B32D27" w:rsidRPr="00BD22C2">
        <w:rPr>
          <w:rFonts w:ascii="Arial" w:hAnsi="Arial" w:cs="Arial"/>
          <w:sz w:val="18"/>
          <w:szCs w:val="18"/>
          <w:lang w:val="fr-CA"/>
        </w:rPr>
        <w:t>,</w:t>
      </w:r>
      <w:r w:rsidR="00B32D27" w:rsidRPr="00D44B10">
        <w:rPr>
          <w:rFonts w:ascii="Arial" w:hAnsi="Arial" w:cs="Arial"/>
          <w:sz w:val="18"/>
          <w:szCs w:val="18"/>
          <w:lang w:val="fr-CA"/>
        </w:rPr>
        <w:t xml:space="preserve"> </w:t>
      </w:r>
      <w:r w:rsidR="00FA208C" w:rsidRPr="00D44B10">
        <w:rPr>
          <w:rFonts w:ascii="Arial" w:hAnsi="Arial" w:cs="Arial"/>
          <w:sz w:val="18"/>
          <w:szCs w:val="18"/>
          <w:lang w:val="fr-CA"/>
        </w:rPr>
        <w:t>préc., note</w:t>
      </w:r>
      <w:r w:rsidR="00263B17" w:rsidRPr="00D44B10">
        <w:rPr>
          <w:rFonts w:ascii="Arial" w:hAnsi="Arial" w:cs="Arial"/>
          <w:sz w:val="18"/>
          <w:szCs w:val="18"/>
          <w:lang w:val="fr-CA"/>
        </w:rPr>
        <w:t xml:space="preserve"> </w:t>
      </w:r>
      <w:r w:rsidR="00263B17" w:rsidRPr="00D44B10">
        <w:rPr>
          <w:rFonts w:ascii="Arial" w:hAnsi="Arial" w:cs="Arial"/>
          <w:sz w:val="18"/>
          <w:szCs w:val="18"/>
          <w:lang w:val="fr-CA"/>
        </w:rPr>
        <w:fldChar w:fldCharType="begin"/>
      </w:r>
      <w:r w:rsidR="00263B17" w:rsidRPr="00D44B10">
        <w:rPr>
          <w:rFonts w:ascii="Arial" w:hAnsi="Arial" w:cs="Arial"/>
          <w:sz w:val="18"/>
          <w:szCs w:val="18"/>
          <w:lang w:val="fr-CA"/>
        </w:rPr>
        <w:instrText xml:space="preserve"> NOTEREF _Ref167440621 \h </w:instrText>
      </w:r>
      <w:r w:rsidR="00263B17" w:rsidRPr="00D44B10">
        <w:rPr>
          <w:rFonts w:ascii="Arial" w:hAnsi="Arial" w:cs="Arial"/>
          <w:sz w:val="18"/>
          <w:szCs w:val="18"/>
          <w:lang w:val="fr-CA"/>
        </w:rPr>
      </w:r>
      <w:r w:rsidR="00263B17" w:rsidRPr="00D44B10">
        <w:rPr>
          <w:rFonts w:ascii="Arial" w:hAnsi="Arial" w:cs="Arial"/>
          <w:sz w:val="18"/>
          <w:szCs w:val="18"/>
          <w:lang w:val="fr-CA"/>
        </w:rPr>
        <w:fldChar w:fldCharType="separate"/>
      </w:r>
      <w:r w:rsidR="004B4881">
        <w:rPr>
          <w:rFonts w:ascii="Arial" w:hAnsi="Arial" w:cs="Arial"/>
          <w:sz w:val="18"/>
          <w:szCs w:val="18"/>
          <w:lang w:val="fr-CA"/>
        </w:rPr>
        <w:t>216</w:t>
      </w:r>
      <w:r w:rsidR="00263B17" w:rsidRPr="00D44B10">
        <w:rPr>
          <w:rFonts w:ascii="Arial" w:hAnsi="Arial" w:cs="Arial"/>
          <w:sz w:val="18"/>
          <w:szCs w:val="18"/>
          <w:lang w:val="fr-CA"/>
        </w:rPr>
        <w:fldChar w:fldCharType="end"/>
      </w:r>
      <w:r w:rsidR="00B32D27" w:rsidRPr="00D44B10">
        <w:rPr>
          <w:rFonts w:ascii="Arial" w:hAnsi="Arial" w:cs="Arial"/>
          <w:sz w:val="18"/>
          <w:szCs w:val="18"/>
          <w:lang w:val="fr-CA"/>
        </w:rPr>
        <w:t>.</w:t>
      </w:r>
    </w:p>
  </w:endnote>
  <w:endnote w:id="222">
    <w:p w14:paraId="732CB2E9" w14:textId="0CDB8627"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04DD3" w:rsidRPr="00BD22C2">
        <w:rPr>
          <w:rFonts w:ascii="Arial" w:hAnsi="Arial" w:cs="Arial"/>
          <w:i/>
          <w:sz w:val="18"/>
          <w:szCs w:val="18"/>
          <w:lang w:val="fr-CA"/>
        </w:rPr>
        <w:t>Id</w:t>
      </w:r>
      <w:r w:rsidR="00704DD3" w:rsidRPr="00BD22C2">
        <w:rPr>
          <w:rFonts w:ascii="Arial" w:hAnsi="Arial" w:cs="Arial"/>
          <w:sz w:val="18"/>
          <w:szCs w:val="18"/>
          <w:lang w:val="fr-CA"/>
        </w:rPr>
        <w:t xml:space="preserve">., par. </w:t>
      </w:r>
      <w:r w:rsidRPr="00BD22C2">
        <w:rPr>
          <w:rFonts w:ascii="Arial" w:hAnsi="Arial" w:cs="Arial"/>
          <w:sz w:val="18"/>
          <w:szCs w:val="18"/>
          <w:lang w:val="fr-CA"/>
        </w:rPr>
        <w:t xml:space="preserve">75, citant </w:t>
      </w:r>
      <w:r w:rsidR="00A22661" w:rsidRPr="00BD22C2">
        <w:rPr>
          <w:rFonts w:ascii="Arial" w:hAnsi="Arial" w:cs="Arial"/>
          <w:i/>
          <w:sz w:val="18"/>
          <w:szCs w:val="18"/>
          <w:lang w:val="fr-CA"/>
        </w:rPr>
        <w:t>Syndicat Northcrest</w:t>
      </w:r>
      <w:r w:rsidR="00A22661" w:rsidRPr="00BD22C2">
        <w:rPr>
          <w:rFonts w:ascii="Arial" w:hAnsi="Arial" w:cs="Arial"/>
          <w:sz w:val="18"/>
          <w:szCs w:val="18"/>
          <w:lang w:val="fr-CA"/>
        </w:rPr>
        <w:t xml:space="preserve"> c. </w:t>
      </w:r>
      <w:r w:rsidR="00A22661" w:rsidRPr="00BD22C2">
        <w:rPr>
          <w:rFonts w:ascii="Arial" w:hAnsi="Arial" w:cs="Arial"/>
          <w:i/>
          <w:sz w:val="18"/>
          <w:szCs w:val="18"/>
          <w:lang w:val="fr-CA"/>
        </w:rPr>
        <w:t>Amselem</w:t>
      </w:r>
      <w:r w:rsidR="00A22661" w:rsidRPr="00BD22C2">
        <w:rPr>
          <w:rFonts w:ascii="Arial" w:hAnsi="Arial" w:cs="Arial"/>
          <w:sz w:val="18"/>
          <w:szCs w:val="18"/>
          <w:lang w:val="fr-CA"/>
        </w:rPr>
        <w:t>,</w:t>
      </w:r>
      <w:r w:rsidR="00263B17" w:rsidRPr="00D44B10">
        <w:rPr>
          <w:rFonts w:ascii="Arial" w:hAnsi="Arial" w:cs="Arial"/>
          <w:sz w:val="18"/>
          <w:szCs w:val="18"/>
          <w:lang w:val="fr-CA"/>
        </w:rPr>
        <w:t xml:space="preserve"> préc., note</w:t>
      </w:r>
      <w:r w:rsidR="00CE1914">
        <w:rPr>
          <w:rFonts w:ascii="Arial" w:hAnsi="Arial" w:cs="Arial"/>
          <w:sz w:val="18"/>
          <w:szCs w:val="18"/>
          <w:lang w:val="fr-CA"/>
        </w:rPr>
        <w:t> </w:t>
      </w:r>
      <w:r w:rsidR="00263B17" w:rsidRPr="00D44B10">
        <w:rPr>
          <w:rFonts w:ascii="Arial" w:hAnsi="Arial" w:cs="Arial"/>
          <w:sz w:val="18"/>
          <w:szCs w:val="18"/>
          <w:lang w:val="fr-CA"/>
        </w:rPr>
        <w:fldChar w:fldCharType="begin"/>
      </w:r>
      <w:r w:rsidR="00263B17" w:rsidRPr="00D44B10">
        <w:rPr>
          <w:rFonts w:ascii="Arial" w:hAnsi="Arial" w:cs="Arial"/>
          <w:sz w:val="18"/>
          <w:szCs w:val="18"/>
          <w:lang w:val="fr-CA"/>
        </w:rPr>
        <w:instrText xml:space="preserve"> NOTEREF _Ref167440621 \h </w:instrText>
      </w:r>
      <w:r w:rsidR="00263B17" w:rsidRPr="00D44B10">
        <w:rPr>
          <w:rFonts w:ascii="Arial" w:hAnsi="Arial" w:cs="Arial"/>
          <w:sz w:val="18"/>
          <w:szCs w:val="18"/>
          <w:lang w:val="fr-CA"/>
        </w:rPr>
      </w:r>
      <w:r w:rsidR="00263B17" w:rsidRPr="00D44B10">
        <w:rPr>
          <w:rFonts w:ascii="Arial" w:hAnsi="Arial" w:cs="Arial"/>
          <w:sz w:val="18"/>
          <w:szCs w:val="18"/>
          <w:lang w:val="fr-CA"/>
        </w:rPr>
        <w:fldChar w:fldCharType="separate"/>
      </w:r>
      <w:r w:rsidR="004B4881">
        <w:rPr>
          <w:rFonts w:ascii="Arial" w:hAnsi="Arial" w:cs="Arial"/>
          <w:sz w:val="18"/>
          <w:szCs w:val="18"/>
          <w:lang w:val="fr-CA"/>
        </w:rPr>
        <w:t>216</w:t>
      </w:r>
      <w:r w:rsidR="00263B17" w:rsidRPr="00D44B10">
        <w:rPr>
          <w:rFonts w:ascii="Arial" w:hAnsi="Arial" w:cs="Arial"/>
          <w:sz w:val="18"/>
          <w:szCs w:val="18"/>
          <w:lang w:val="fr-CA"/>
        </w:rPr>
        <w:fldChar w:fldCharType="end"/>
      </w:r>
      <w:r w:rsidRPr="00BD22C2">
        <w:rPr>
          <w:rFonts w:ascii="Arial" w:hAnsi="Arial" w:cs="Arial"/>
          <w:sz w:val="18"/>
          <w:szCs w:val="18"/>
          <w:lang w:val="fr-CA"/>
        </w:rPr>
        <w:t xml:space="preserve"> par</w:t>
      </w:r>
      <w:r w:rsidR="00A22661" w:rsidRPr="00BD22C2">
        <w:rPr>
          <w:rFonts w:ascii="Arial" w:hAnsi="Arial" w:cs="Arial"/>
          <w:sz w:val="18"/>
          <w:szCs w:val="18"/>
          <w:lang w:val="fr-CA"/>
        </w:rPr>
        <w:t>.</w:t>
      </w:r>
      <w:r w:rsidR="0051216B" w:rsidRPr="00BD22C2">
        <w:rPr>
          <w:rFonts w:ascii="Arial" w:hAnsi="Arial" w:cs="Arial"/>
          <w:sz w:val="18"/>
          <w:szCs w:val="18"/>
          <w:lang w:val="fr-CA"/>
        </w:rPr>
        <w:t xml:space="preserve"> </w:t>
      </w:r>
      <w:r w:rsidRPr="00BD22C2">
        <w:rPr>
          <w:rFonts w:ascii="Arial" w:hAnsi="Arial" w:cs="Arial"/>
          <w:sz w:val="18"/>
          <w:szCs w:val="18"/>
          <w:lang w:val="fr-CA"/>
        </w:rPr>
        <w:t xml:space="preserve">62. </w:t>
      </w:r>
    </w:p>
  </w:endnote>
  <w:endnote w:id="223">
    <w:p w14:paraId="14D87AB3" w14:textId="6E43AF0E"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04DD3" w:rsidRPr="00BD22C2">
        <w:rPr>
          <w:rFonts w:ascii="Arial" w:hAnsi="Arial" w:cs="Arial"/>
          <w:i/>
          <w:sz w:val="18"/>
          <w:szCs w:val="18"/>
          <w:lang w:val="fr-CA"/>
        </w:rPr>
        <w:t>Id</w:t>
      </w:r>
      <w:r w:rsidR="00704DD3" w:rsidRPr="00BD22C2">
        <w:rPr>
          <w:rFonts w:ascii="Arial" w:hAnsi="Arial" w:cs="Arial"/>
          <w:sz w:val="18"/>
          <w:szCs w:val="18"/>
          <w:lang w:val="fr-CA"/>
        </w:rPr>
        <w:t xml:space="preserve">., par. </w:t>
      </w:r>
      <w:r w:rsidRPr="00BD22C2">
        <w:rPr>
          <w:rFonts w:ascii="Arial" w:hAnsi="Arial" w:cs="Arial"/>
          <w:sz w:val="18"/>
          <w:szCs w:val="18"/>
          <w:lang w:val="fr-CA"/>
        </w:rPr>
        <w:t>76.</w:t>
      </w:r>
    </w:p>
  </w:endnote>
  <w:endnote w:id="224">
    <w:p w14:paraId="2D6E6B88" w14:textId="6C764527"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La laïcité de l’État et l’importance accordée à la protection du français sont des ajouts respectivement apportés par l</w:t>
      </w:r>
      <w:r w:rsidR="00D44B10">
        <w:rPr>
          <w:rFonts w:ascii="Arial" w:hAnsi="Arial" w:cs="Arial"/>
          <w:sz w:val="18"/>
          <w:szCs w:val="18"/>
          <w:lang w:val="fr-CA"/>
        </w:rPr>
        <w:t>a</w:t>
      </w:r>
      <w:r w:rsidR="00856B01" w:rsidRPr="00BD22C2">
        <w:rPr>
          <w:rFonts w:ascii="Arial" w:hAnsi="Arial" w:cs="Arial"/>
          <w:sz w:val="18"/>
          <w:szCs w:val="18"/>
          <w:lang w:val="fr-CA"/>
        </w:rPr>
        <w:t xml:space="preserve"> </w:t>
      </w:r>
      <w:r w:rsidRPr="00BD22C2">
        <w:rPr>
          <w:rFonts w:ascii="Arial" w:hAnsi="Arial" w:cs="Arial"/>
          <w:i/>
          <w:sz w:val="18"/>
          <w:szCs w:val="18"/>
          <w:lang w:val="fr-CA"/>
        </w:rPr>
        <w:t>Loi</w:t>
      </w:r>
      <w:r w:rsidR="00C44BEE" w:rsidRPr="00BD22C2">
        <w:rPr>
          <w:rFonts w:ascii="Arial" w:hAnsi="Arial" w:cs="Arial"/>
          <w:i/>
          <w:sz w:val="18"/>
          <w:szCs w:val="18"/>
          <w:lang w:val="fr-CA"/>
        </w:rPr>
        <w:t xml:space="preserve"> sur la l</w:t>
      </w:r>
      <w:r w:rsidR="00951F29" w:rsidRPr="00BD22C2">
        <w:rPr>
          <w:rFonts w:ascii="Arial" w:hAnsi="Arial" w:cs="Arial"/>
          <w:i/>
          <w:sz w:val="18"/>
          <w:szCs w:val="18"/>
          <w:lang w:val="fr-CA"/>
        </w:rPr>
        <w:t>aï</w:t>
      </w:r>
      <w:r w:rsidR="00C44BEE" w:rsidRPr="00BD22C2">
        <w:rPr>
          <w:rFonts w:ascii="Arial" w:hAnsi="Arial" w:cs="Arial"/>
          <w:i/>
          <w:sz w:val="18"/>
          <w:szCs w:val="18"/>
          <w:lang w:val="fr-CA"/>
        </w:rPr>
        <w:t>cité de l’É</w:t>
      </w:r>
      <w:r w:rsidR="00951F29" w:rsidRPr="00BD22C2">
        <w:rPr>
          <w:rFonts w:ascii="Arial" w:hAnsi="Arial" w:cs="Arial"/>
          <w:i/>
          <w:sz w:val="18"/>
          <w:szCs w:val="18"/>
          <w:lang w:val="fr-CA"/>
        </w:rPr>
        <w:t>tat</w:t>
      </w:r>
      <w:r w:rsidR="00951F29" w:rsidRPr="00BD22C2">
        <w:rPr>
          <w:rFonts w:ascii="Arial" w:hAnsi="Arial" w:cs="Arial"/>
          <w:sz w:val="18"/>
          <w:szCs w:val="18"/>
          <w:lang w:val="fr-CA"/>
        </w:rPr>
        <w:t>, L</w:t>
      </w:r>
      <w:r w:rsidR="00066C02" w:rsidRPr="00BD22C2">
        <w:rPr>
          <w:rFonts w:ascii="Arial" w:hAnsi="Arial" w:cs="Arial"/>
          <w:sz w:val="18"/>
          <w:szCs w:val="18"/>
          <w:lang w:val="fr-CA"/>
        </w:rPr>
        <w:t>.</w:t>
      </w:r>
      <w:r w:rsidR="006305FE">
        <w:rPr>
          <w:rFonts w:ascii="Arial" w:hAnsi="Arial" w:cs="Arial"/>
          <w:sz w:val="18"/>
          <w:szCs w:val="18"/>
          <w:lang w:val="fr-CA"/>
        </w:rPr>
        <w:t> </w:t>
      </w:r>
      <w:r w:rsidR="00951F29" w:rsidRPr="00BD22C2">
        <w:rPr>
          <w:rFonts w:ascii="Arial" w:hAnsi="Arial" w:cs="Arial"/>
          <w:sz w:val="18"/>
          <w:szCs w:val="18"/>
          <w:lang w:val="fr-CA"/>
        </w:rPr>
        <w:t>Q</w:t>
      </w:r>
      <w:r w:rsidR="00066C02" w:rsidRPr="00BD22C2">
        <w:rPr>
          <w:rFonts w:ascii="Arial" w:hAnsi="Arial" w:cs="Arial"/>
          <w:sz w:val="18"/>
          <w:szCs w:val="18"/>
          <w:lang w:val="fr-CA"/>
        </w:rPr>
        <w:t>.</w:t>
      </w:r>
      <w:r w:rsidR="00CE1914">
        <w:rPr>
          <w:rFonts w:ascii="Arial" w:hAnsi="Arial" w:cs="Arial"/>
          <w:sz w:val="18"/>
          <w:szCs w:val="18"/>
          <w:lang w:val="fr-CA"/>
        </w:rPr>
        <w:t> </w:t>
      </w:r>
      <w:r w:rsidR="00951F29" w:rsidRPr="00BD22C2">
        <w:rPr>
          <w:rFonts w:ascii="Arial" w:hAnsi="Arial" w:cs="Arial"/>
          <w:sz w:val="18"/>
          <w:szCs w:val="18"/>
          <w:lang w:val="fr-CA"/>
        </w:rPr>
        <w:t>2</w:t>
      </w:r>
      <w:r w:rsidR="00D81360" w:rsidRPr="00BD22C2">
        <w:rPr>
          <w:rFonts w:ascii="Arial" w:hAnsi="Arial" w:cs="Arial"/>
          <w:sz w:val="18"/>
          <w:szCs w:val="18"/>
          <w:lang w:val="fr-CA"/>
        </w:rPr>
        <w:t>019, c.</w:t>
      </w:r>
      <w:r w:rsidR="00CE1914">
        <w:rPr>
          <w:rFonts w:ascii="Arial" w:hAnsi="Arial" w:cs="Arial"/>
          <w:sz w:val="18"/>
          <w:szCs w:val="18"/>
          <w:lang w:val="fr-CA"/>
        </w:rPr>
        <w:t> </w:t>
      </w:r>
      <w:r w:rsidR="00D81360" w:rsidRPr="00BD22C2">
        <w:rPr>
          <w:rFonts w:ascii="Arial" w:hAnsi="Arial" w:cs="Arial"/>
          <w:sz w:val="18"/>
          <w:szCs w:val="18"/>
          <w:lang w:val="fr-CA"/>
        </w:rPr>
        <w:t>12</w:t>
      </w:r>
      <w:r w:rsidR="004C0F54" w:rsidRPr="00BD22C2">
        <w:rPr>
          <w:rFonts w:ascii="Arial" w:hAnsi="Arial" w:cs="Arial"/>
          <w:sz w:val="18"/>
          <w:szCs w:val="18"/>
          <w:lang w:val="fr-CA"/>
        </w:rPr>
        <w:t xml:space="preserve"> et</w:t>
      </w:r>
      <w:r w:rsidR="00951F29" w:rsidRPr="00BD22C2">
        <w:rPr>
          <w:rFonts w:ascii="Arial" w:hAnsi="Arial" w:cs="Arial"/>
          <w:sz w:val="18"/>
          <w:szCs w:val="18"/>
          <w:lang w:val="fr-CA"/>
        </w:rPr>
        <w:t xml:space="preserve"> </w:t>
      </w:r>
      <w:r w:rsidR="000C420A" w:rsidRPr="00BD22C2">
        <w:rPr>
          <w:rFonts w:ascii="Arial" w:hAnsi="Arial" w:cs="Arial"/>
          <w:i/>
          <w:sz w:val="18"/>
          <w:szCs w:val="18"/>
          <w:lang w:val="fr-CA"/>
        </w:rPr>
        <w:t>Loi sur la langue officielle et commune du Québec, le français</w:t>
      </w:r>
      <w:r w:rsidR="000C420A" w:rsidRPr="00BD22C2">
        <w:rPr>
          <w:rFonts w:ascii="Arial" w:hAnsi="Arial" w:cs="Arial"/>
          <w:sz w:val="18"/>
          <w:szCs w:val="18"/>
          <w:lang w:val="fr-CA"/>
        </w:rPr>
        <w:t>, L</w:t>
      </w:r>
      <w:r w:rsidR="00066C02" w:rsidRPr="00BD22C2">
        <w:rPr>
          <w:rFonts w:ascii="Arial" w:hAnsi="Arial" w:cs="Arial"/>
          <w:sz w:val="18"/>
          <w:szCs w:val="18"/>
          <w:lang w:val="fr-CA"/>
        </w:rPr>
        <w:t>.</w:t>
      </w:r>
      <w:r w:rsidR="006305FE">
        <w:rPr>
          <w:rFonts w:ascii="Arial" w:hAnsi="Arial" w:cs="Arial"/>
          <w:sz w:val="18"/>
          <w:szCs w:val="18"/>
          <w:lang w:val="fr-CA"/>
        </w:rPr>
        <w:t> </w:t>
      </w:r>
      <w:r w:rsidR="000C420A" w:rsidRPr="00BD22C2">
        <w:rPr>
          <w:rFonts w:ascii="Arial" w:hAnsi="Arial" w:cs="Arial"/>
          <w:sz w:val="18"/>
          <w:szCs w:val="18"/>
          <w:lang w:val="fr-CA"/>
        </w:rPr>
        <w:t>Q</w:t>
      </w:r>
      <w:r w:rsidR="00066C02" w:rsidRPr="00BD22C2">
        <w:rPr>
          <w:rFonts w:ascii="Arial" w:hAnsi="Arial" w:cs="Arial"/>
          <w:sz w:val="18"/>
          <w:szCs w:val="18"/>
          <w:lang w:val="fr-CA"/>
        </w:rPr>
        <w:t>.</w:t>
      </w:r>
      <w:r w:rsidR="000C420A" w:rsidRPr="00BD22C2">
        <w:rPr>
          <w:rFonts w:ascii="Arial" w:hAnsi="Arial" w:cs="Arial"/>
          <w:sz w:val="18"/>
          <w:szCs w:val="18"/>
          <w:lang w:val="fr-CA"/>
        </w:rPr>
        <w:t xml:space="preserve"> 2022, c.</w:t>
      </w:r>
      <w:r w:rsidR="00CE1914">
        <w:rPr>
          <w:rFonts w:ascii="Arial" w:hAnsi="Arial" w:cs="Arial"/>
          <w:sz w:val="18"/>
          <w:szCs w:val="18"/>
          <w:lang w:val="fr-CA"/>
        </w:rPr>
        <w:t> </w:t>
      </w:r>
      <w:r w:rsidR="00D81360" w:rsidRPr="00BD22C2">
        <w:rPr>
          <w:rFonts w:ascii="Arial" w:hAnsi="Arial" w:cs="Arial"/>
          <w:sz w:val="18"/>
          <w:szCs w:val="18"/>
          <w:lang w:val="fr-CA"/>
        </w:rPr>
        <w:t>14</w:t>
      </w:r>
      <w:r w:rsidR="00536B1E" w:rsidRPr="00BD22C2">
        <w:rPr>
          <w:rFonts w:ascii="Arial" w:hAnsi="Arial" w:cs="Arial"/>
          <w:sz w:val="18"/>
          <w:szCs w:val="18"/>
          <w:lang w:val="fr-CA"/>
        </w:rPr>
        <w:t>.</w:t>
      </w:r>
      <w:r w:rsidRPr="00BD22C2">
        <w:rPr>
          <w:rFonts w:ascii="Arial" w:hAnsi="Arial" w:cs="Arial"/>
          <w:sz w:val="18"/>
          <w:szCs w:val="18"/>
          <w:lang w:val="fr-CA"/>
        </w:rPr>
        <w:t xml:space="preserve"> </w:t>
      </w:r>
    </w:p>
  </w:endnote>
  <w:endnote w:id="225">
    <w:p w14:paraId="4FE7E7CA" w14:textId="57103221"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263B17" w:rsidRPr="00BD22C2">
        <w:rPr>
          <w:rFonts w:ascii="Arial" w:hAnsi="Arial" w:cs="Arial"/>
          <w:i/>
          <w:sz w:val="18"/>
          <w:szCs w:val="18"/>
          <w:lang w:val="fr-CA"/>
        </w:rPr>
        <w:t>Bruker</w:t>
      </w:r>
      <w:r w:rsidR="00263B17" w:rsidRPr="00BD22C2">
        <w:rPr>
          <w:rFonts w:ascii="Arial" w:hAnsi="Arial" w:cs="Arial"/>
          <w:sz w:val="18"/>
          <w:szCs w:val="18"/>
          <w:lang w:val="fr-CA"/>
        </w:rPr>
        <w:t xml:space="preserve"> c </w:t>
      </w:r>
      <w:r w:rsidR="00263B17" w:rsidRPr="00BD22C2">
        <w:rPr>
          <w:rFonts w:ascii="Arial" w:hAnsi="Arial" w:cs="Arial"/>
          <w:i/>
          <w:sz w:val="18"/>
          <w:szCs w:val="18"/>
          <w:lang w:val="fr-CA"/>
        </w:rPr>
        <w:t>Marcovitz</w:t>
      </w:r>
      <w:r w:rsidR="00263B17" w:rsidRPr="00BD22C2">
        <w:rPr>
          <w:rFonts w:ascii="Arial" w:hAnsi="Arial" w:cs="Arial"/>
          <w:sz w:val="18"/>
          <w:szCs w:val="18"/>
          <w:lang w:val="fr-CA"/>
        </w:rPr>
        <w:t>,</w:t>
      </w:r>
      <w:r w:rsidR="00263B17" w:rsidRPr="008D2C4A">
        <w:rPr>
          <w:rFonts w:ascii="Arial" w:hAnsi="Arial" w:cs="Arial"/>
          <w:sz w:val="18"/>
          <w:szCs w:val="18"/>
          <w:lang w:val="fr-CA"/>
        </w:rPr>
        <w:t xml:space="preserve"> préc., note </w:t>
      </w:r>
      <w:r w:rsidR="00263B17" w:rsidRPr="008D2C4A">
        <w:rPr>
          <w:rFonts w:ascii="Arial" w:hAnsi="Arial" w:cs="Arial"/>
          <w:sz w:val="18"/>
          <w:szCs w:val="18"/>
          <w:lang w:val="fr-CA"/>
        </w:rPr>
        <w:fldChar w:fldCharType="begin"/>
      </w:r>
      <w:r w:rsidR="00263B17" w:rsidRPr="008D2C4A">
        <w:rPr>
          <w:rFonts w:ascii="Arial" w:hAnsi="Arial" w:cs="Arial"/>
          <w:sz w:val="18"/>
          <w:szCs w:val="18"/>
          <w:lang w:val="fr-CA"/>
        </w:rPr>
        <w:instrText xml:space="preserve"> NOTEREF _Ref167440621 \h </w:instrText>
      </w:r>
      <w:r w:rsidR="00263B17" w:rsidRPr="008D2C4A">
        <w:rPr>
          <w:rFonts w:ascii="Arial" w:hAnsi="Arial" w:cs="Arial"/>
          <w:sz w:val="18"/>
          <w:szCs w:val="18"/>
          <w:lang w:val="fr-CA"/>
        </w:rPr>
      </w:r>
      <w:r w:rsidR="00263B17" w:rsidRPr="008D2C4A">
        <w:rPr>
          <w:rFonts w:ascii="Arial" w:hAnsi="Arial" w:cs="Arial"/>
          <w:sz w:val="18"/>
          <w:szCs w:val="18"/>
          <w:lang w:val="fr-CA"/>
        </w:rPr>
        <w:fldChar w:fldCharType="separate"/>
      </w:r>
      <w:r w:rsidR="004B4881">
        <w:rPr>
          <w:rFonts w:ascii="Arial" w:hAnsi="Arial" w:cs="Arial"/>
          <w:sz w:val="18"/>
          <w:szCs w:val="18"/>
          <w:lang w:val="fr-CA"/>
        </w:rPr>
        <w:t>216</w:t>
      </w:r>
      <w:r w:rsidR="00263B17" w:rsidRPr="008D2C4A">
        <w:rPr>
          <w:rFonts w:ascii="Arial" w:hAnsi="Arial" w:cs="Arial"/>
          <w:sz w:val="18"/>
          <w:szCs w:val="18"/>
          <w:lang w:val="fr-CA"/>
        </w:rPr>
        <w:fldChar w:fldCharType="end"/>
      </w:r>
      <w:r w:rsidR="00704DD3" w:rsidRPr="00BD22C2">
        <w:rPr>
          <w:rFonts w:ascii="Arial" w:hAnsi="Arial" w:cs="Arial"/>
          <w:sz w:val="18"/>
          <w:szCs w:val="18"/>
          <w:lang w:val="fr-CA"/>
        </w:rPr>
        <w:t xml:space="preserve">, </w:t>
      </w:r>
      <w:r w:rsidRPr="00BD22C2">
        <w:rPr>
          <w:rFonts w:ascii="Arial" w:hAnsi="Arial" w:cs="Arial"/>
          <w:sz w:val="18"/>
          <w:szCs w:val="18"/>
          <w:lang w:val="fr-CA"/>
        </w:rPr>
        <w:t xml:space="preserve">par. 78. </w:t>
      </w:r>
    </w:p>
  </w:endnote>
  <w:endnote w:id="226">
    <w:p w14:paraId="2B1028DB" w14:textId="7F7E3085"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04DD3" w:rsidRPr="00BD22C2">
        <w:rPr>
          <w:rFonts w:ascii="Arial" w:hAnsi="Arial" w:cs="Arial"/>
          <w:i/>
          <w:sz w:val="18"/>
          <w:szCs w:val="18"/>
          <w:lang w:val="fr-CA"/>
        </w:rPr>
        <w:t>Id</w:t>
      </w:r>
      <w:r w:rsidR="00704DD3" w:rsidRPr="00BD22C2">
        <w:rPr>
          <w:rFonts w:ascii="Arial" w:hAnsi="Arial" w:cs="Arial"/>
          <w:sz w:val="18"/>
          <w:szCs w:val="18"/>
          <w:lang w:val="fr-CA"/>
        </w:rPr>
        <w:t>., par</w:t>
      </w:r>
      <w:r w:rsidRPr="00BD22C2">
        <w:rPr>
          <w:rFonts w:ascii="Arial" w:hAnsi="Arial" w:cs="Arial"/>
          <w:sz w:val="18"/>
          <w:szCs w:val="18"/>
          <w:lang w:val="fr-CA"/>
        </w:rPr>
        <w:t xml:space="preserve">. 77. </w:t>
      </w:r>
    </w:p>
  </w:endnote>
  <w:endnote w:id="227">
    <w:p w14:paraId="034424C1" w14:textId="3EBF8B0A"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Convention relative aux droits de l’enfant (1989)</w:t>
      </w:r>
      <w:r w:rsidRPr="00BD22C2">
        <w:rPr>
          <w:rFonts w:ascii="Arial" w:hAnsi="Arial" w:cs="Arial"/>
          <w:sz w:val="18"/>
          <w:szCs w:val="18"/>
          <w:lang w:val="fr-CA"/>
        </w:rPr>
        <w:t>, Doc. N.U.</w:t>
      </w:r>
      <w:r w:rsidR="008B4522">
        <w:rPr>
          <w:rFonts w:ascii="Arial" w:hAnsi="Arial" w:cs="Arial"/>
          <w:sz w:val="18"/>
          <w:szCs w:val="18"/>
          <w:lang w:val="fr-CA"/>
        </w:rPr>
        <w:t> </w:t>
      </w:r>
      <w:r w:rsidRPr="00BD22C2">
        <w:rPr>
          <w:rFonts w:ascii="Arial" w:hAnsi="Arial" w:cs="Arial"/>
          <w:sz w:val="18"/>
          <w:szCs w:val="18"/>
          <w:lang w:val="fr-CA"/>
        </w:rPr>
        <w:t>A/RES/44/25, [1992] R.T. Can. n° 3, R.T. Qué. 9 décembre 1991</w:t>
      </w:r>
      <w:r w:rsidR="000E0999" w:rsidRPr="00BD22C2">
        <w:rPr>
          <w:rFonts w:ascii="Arial" w:hAnsi="Arial" w:cs="Arial"/>
          <w:sz w:val="18"/>
          <w:szCs w:val="18"/>
          <w:lang w:val="fr-CA"/>
        </w:rPr>
        <w:t>,</w:t>
      </w:r>
      <w:r w:rsidR="005560CF" w:rsidRPr="00BD22C2">
        <w:rPr>
          <w:rFonts w:ascii="Arial" w:hAnsi="Arial" w:cs="Arial"/>
          <w:sz w:val="18"/>
          <w:szCs w:val="18"/>
          <w:lang w:val="fr-CA"/>
        </w:rPr>
        <w:t xml:space="preserve"> </w:t>
      </w:r>
      <w:r w:rsidR="000E0999" w:rsidRPr="00BD22C2">
        <w:rPr>
          <w:rFonts w:ascii="Arial" w:hAnsi="Arial" w:cs="Arial"/>
          <w:sz w:val="18"/>
          <w:szCs w:val="18"/>
          <w:lang w:val="fr-CA"/>
        </w:rPr>
        <w:t>(ci-après «</w:t>
      </w:r>
      <w:r w:rsidR="0051216B" w:rsidRPr="00BD22C2">
        <w:rPr>
          <w:rFonts w:ascii="Arial" w:hAnsi="Arial" w:cs="Arial"/>
          <w:sz w:val="18"/>
          <w:szCs w:val="18"/>
          <w:lang w:val="fr-CA"/>
        </w:rPr>
        <w:t> </w:t>
      </w:r>
      <w:r w:rsidR="000E0999" w:rsidRPr="00BD22C2">
        <w:rPr>
          <w:rFonts w:ascii="Arial" w:hAnsi="Arial" w:cs="Arial"/>
          <w:sz w:val="18"/>
          <w:szCs w:val="18"/>
          <w:lang w:val="fr-CA"/>
        </w:rPr>
        <w:t>CRDE</w:t>
      </w:r>
      <w:r w:rsidR="0051216B" w:rsidRPr="00BD22C2">
        <w:rPr>
          <w:rFonts w:ascii="Arial" w:hAnsi="Arial" w:cs="Arial"/>
          <w:sz w:val="18"/>
          <w:szCs w:val="18"/>
          <w:lang w:val="fr-CA"/>
        </w:rPr>
        <w:t> </w:t>
      </w:r>
      <w:r w:rsidR="000E0999" w:rsidRPr="00BD22C2">
        <w:rPr>
          <w:rFonts w:ascii="Arial" w:hAnsi="Arial" w:cs="Arial"/>
          <w:sz w:val="18"/>
          <w:szCs w:val="18"/>
          <w:lang w:val="fr-CA"/>
        </w:rPr>
        <w:t>»)</w:t>
      </w:r>
      <w:r w:rsidR="0051216B" w:rsidRPr="00BD22C2">
        <w:rPr>
          <w:rFonts w:ascii="Arial" w:hAnsi="Arial" w:cs="Arial"/>
          <w:sz w:val="18"/>
          <w:szCs w:val="18"/>
          <w:lang w:val="fr-CA"/>
        </w:rPr>
        <w:t> </w:t>
      </w:r>
      <w:r w:rsidR="005560CF" w:rsidRPr="00BD22C2">
        <w:rPr>
          <w:rFonts w:ascii="Arial" w:hAnsi="Arial" w:cs="Arial"/>
          <w:sz w:val="18"/>
          <w:szCs w:val="18"/>
          <w:lang w:val="fr-CA"/>
        </w:rPr>
        <w:t xml:space="preserve">; </w:t>
      </w:r>
      <w:r w:rsidRPr="00BD22C2">
        <w:rPr>
          <w:rFonts w:ascii="Arial" w:hAnsi="Arial" w:cs="Arial"/>
          <w:i/>
          <w:sz w:val="18"/>
          <w:szCs w:val="18"/>
          <w:lang w:val="fr-CA"/>
        </w:rPr>
        <w:t>Déclaration universelle des droits de l’homme</w:t>
      </w:r>
      <w:r w:rsidRPr="00BD22C2">
        <w:rPr>
          <w:rFonts w:ascii="Arial" w:hAnsi="Arial" w:cs="Arial"/>
          <w:sz w:val="18"/>
          <w:szCs w:val="18"/>
          <w:lang w:val="fr-CA"/>
        </w:rPr>
        <w:t>, Rés. 217 A (III), Doc. off. A.G.N.U., 3</w:t>
      </w:r>
      <w:r w:rsidRPr="00BD22C2">
        <w:rPr>
          <w:rFonts w:ascii="Arial" w:hAnsi="Arial" w:cs="Arial"/>
          <w:sz w:val="18"/>
          <w:szCs w:val="18"/>
          <w:vertAlign w:val="superscript"/>
          <w:lang w:val="fr-CA"/>
        </w:rPr>
        <w:t>e</w:t>
      </w:r>
      <w:r w:rsidRPr="00BD22C2">
        <w:rPr>
          <w:rFonts w:ascii="Arial" w:hAnsi="Arial" w:cs="Arial"/>
          <w:sz w:val="18"/>
          <w:szCs w:val="18"/>
          <w:lang w:val="fr-CA"/>
        </w:rPr>
        <w:t xml:space="preserve"> sess., suppl. n° 13, p. 17, Doc. N.</w:t>
      </w:r>
      <w:r w:rsidR="006305FE">
        <w:rPr>
          <w:rFonts w:ascii="Arial" w:hAnsi="Arial" w:cs="Arial"/>
          <w:sz w:val="18"/>
          <w:szCs w:val="18"/>
          <w:lang w:val="fr-CA"/>
        </w:rPr>
        <w:t> </w:t>
      </w:r>
      <w:r w:rsidRPr="00BD22C2">
        <w:rPr>
          <w:rFonts w:ascii="Arial" w:hAnsi="Arial" w:cs="Arial"/>
          <w:sz w:val="18"/>
          <w:szCs w:val="18"/>
          <w:lang w:val="fr-CA"/>
        </w:rPr>
        <w:t>U.</w:t>
      </w:r>
      <w:r w:rsidR="008B4522">
        <w:rPr>
          <w:rFonts w:ascii="Arial" w:hAnsi="Arial" w:cs="Arial"/>
          <w:sz w:val="18"/>
          <w:szCs w:val="18"/>
          <w:lang w:val="fr-CA"/>
        </w:rPr>
        <w:t> </w:t>
      </w:r>
      <w:r w:rsidRPr="00BD22C2">
        <w:rPr>
          <w:rFonts w:ascii="Arial" w:hAnsi="Arial" w:cs="Arial"/>
          <w:sz w:val="18"/>
          <w:szCs w:val="18"/>
          <w:lang w:val="fr-CA"/>
        </w:rPr>
        <w:t>A/810 (1948)</w:t>
      </w:r>
      <w:r w:rsidR="0051216B"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Pacte international relatif aux droits civils et politiques</w:t>
      </w:r>
      <w:r w:rsidRPr="00BD22C2">
        <w:rPr>
          <w:rFonts w:ascii="Arial" w:hAnsi="Arial" w:cs="Arial"/>
          <w:sz w:val="18"/>
          <w:szCs w:val="18"/>
          <w:lang w:val="fr-CA"/>
        </w:rPr>
        <w:t>,</w:t>
      </w:r>
      <w:r w:rsidR="000E1192" w:rsidRPr="00BD22C2">
        <w:rPr>
          <w:rFonts w:ascii="Arial" w:hAnsi="Arial" w:cs="Arial"/>
          <w:sz w:val="18"/>
          <w:szCs w:val="18"/>
          <w:lang w:val="fr-CA"/>
        </w:rPr>
        <w:t xml:space="preserve"> (</w:t>
      </w:r>
      <w:r w:rsidRPr="00BD22C2">
        <w:rPr>
          <w:rFonts w:ascii="Arial" w:hAnsi="Arial" w:cs="Arial"/>
          <w:sz w:val="18"/>
          <w:szCs w:val="18"/>
          <w:lang w:val="fr-CA"/>
        </w:rPr>
        <w:t>1966) 999</w:t>
      </w:r>
      <w:r w:rsidR="00B32B61">
        <w:rPr>
          <w:rFonts w:ascii="Arial" w:hAnsi="Arial" w:cs="Arial"/>
          <w:sz w:val="18"/>
          <w:szCs w:val="18"/>
          <w:lang w:val="fr-CA"/>
        </w:rPr>
        <w:t> </w:t>
      </w:r>
      <w:r w:rsidRPr="00BD22C2">
        <w:rPr>
          <w:rFonts w:ascii="Arial" w:hAnsi="Arial" w:cs="Arial"/>
          <w:sz w:val="18"/>
          <w:szCs w:val="18"/>
          <w:lang w:val="fr-CA"/>
        </w:rPr>
        <w:t>R.T.N.U. 171, [1976] R.T. Can. n° 47</w:t>
      </w:r>
      <w:r w:rsidR="00293D50" w:rsidRPr="00BD22C2">
        <w:rPr>
          <w:rFonts w:ascii="Arial" w:hAnsi="Arial" w:cs="Arial"/>
          <w:sz w:val="18"/>
          <w:szCs w:val="18"/>
          <w:lang w:val="fr-CA"/>
        </w:rPr>
        <w:t xml:space="preserve"> (ci-après, «</w:t>
      </w:r>
      <w:r w:rsidR="00595E85">
        <w:rPr>
          <w:rFonts w:ascii="Arial" w:hAnsi="Arial" w:cs="Arial"/>
          <w:sz w:val="18"/>
          <w:szCs w:val="18"/>
          <w:lang w:val="fr-CA"/>
        </w:rPr>
        <w:t> </w:t>
      </w:r>
      <w:r w:rsidR="00293D50" w:rsidRPr="00BD22C2">
        <w:rPr>
          <w:rFonts w:ascii="Arial" w:hAnsi="Arial" w:cs="Arial"/>
          <w:sz w:val="18"/>
          <w:szCs w:val="18"/>
          <w:lang w:val="fr-CA"/>
        </w:rPr>
        <w:t>PIDCP</w:t>
      </w:r>
      <w:r w:rsidR="00595E85">
        <w:rPr>
          <w:rFonts w:ascii="Arial" w:hAnsi="Arial" w:cs="Arial"/>
          <w:sz w:val="18"/>
          <w:szCs w:val="18"/>
          <w:lang w:val="fr-CA"/>
        </w:rPr>
        <w:t> </w:t>
      </w:r>
      <w:r w:rsidR="00293D50"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Pacte international relatif aux droits économiques, sociaux et culturels</w:t>
      </w:r>
      <w:r w:rsidRPr="00BD22C2">
        <w:rPr>
          <w:rFonts w:ascii="Arial" w:hAnsi="Arial" w:cs="Arial"/>
          <w:sz w:val="18"/>
          <w:szCs w:val="18"/>
          <w:lang w:val="fr-CA"/>
        </w:rPr>
        <w:t>, 16</w:t>
      </w:r>
      <w:r w:rsidR="00762FE8">
        <w:rPr>
          <w:rFonts w:ascii="Arial" w:hAnsi="Arial" w:cs="Arial"/>
          <w:sz w:val="18"/>
          <w:szCs w:val="18"/>
          <w:lang w:val="fr-CA"/>
        </w:rPr>
        <w:t> </w:t>
      </w:r>
      <w:r w:rsidRPr="00BD22C2">
        <w:rPr>
          <w:rFonts w:ascii="Arial" w:hAnsi="Arial" w:cs="Arial"/>
          <w:sz w:val="18"/>
          <w:szCs w:val="18"/>
          <w:lang w:val="fr-CA"/>
        </w:rPr>
        <w:t>décembre 1966, [1976] R.T. Can., n° 46</w:t>
      </w:r>
      <w:r w:rsidR="00293D50" w:rsidRPr="00BD22C2">
        <w:rPr>
          <w:rFonts w:ascii="Arial" w:hAnsi="Arial" w:cs="Arial"/>
          <w:sz w:val="18"/>
          <w:szCs w:val="18"/>
          <w:lang w:val="fr-CA"/>
        </w:rPr>
        <w:t xml:space="preserve">, </w:t>
      </w:r>
      <w:r w:rsidR="00293D50" w:rsidRPr="00BD22C2">
        <w:rPr>
          <w:rFonts w:ascii="Arial" w:hAnsi="Arial" w:cs="Arial"/>
          <w:iCs/>
          <w:sz w:val="18"/>
          <w:szCs w:val="18"/>
          <w:lang w:val="fr-CA"/>
        </w:rPr>
        <w:t>(ci-après «</w:t>
      </w:r>
      <w:r w:rsidR="00595E85">
        <w:rPr>
          <w:rFonts w:ascii="Arial" w:hAnsi="Arial" w:cs="Arial"/>
          <w:iCs/>
          <w:sz w:val="18"/>
          <w:szCs w:val="18"/>
          <w:lang w:val="fr-CA"/>
        </w:rPr>
        <w:t> </w:t>
      </w:r>
      <w:r w:rsidR="00293D50" w:rsidRPr="00BD22C2">
        <w:rPr>
          <w:rFonts w:ascii="Arial" w:hAnsi="Arial" w:cs="Arial"/>
          <w:iCs/>
          <w:sz w:val="18"/>
          <w:szCs w:val="18"/>
          <w:lang w:val="fr-CA"/>
        </w:rPr>
        <w:t>PIDESC</w:t>
      </w:r>
      <w:r w:rsidR="00595E85">
        <w:rPr>
          <w:rFonts w:ascii="Arial" w:hAnsi="Arial" w:cs="Arial"/>
          <w:iCs/>
          <w:sz w:val="18"/>
          <w:szCs w:val="18"/>
          <w:lang w:val="fr-CA"/>
        </w:rPr>
        <w:t> </w:t>
      </w:r>
      <w:r w:rsidR="00293D50" w:rsidRPr="00BD22C2">
        <w:rPr>
          <w:rFonts w:ascii="Arial" w:hAnsi="Arial" w:cs="Arial"/>
          <w:iCs/>
          <w:sz w:val="18"/>
          <w:szCs w:val="18"/>
          <w:lang w:val="fr-CA"/>
        </w:rPr>
        <w:t>»)</w:t>
      </w:r>
      <w:r w:rsidR="006115A5" w:rsidRPr="00BD22C2">
        <w:rPr>
          <w:rFonts w:ascii="Arial" w:hAnsi="Arial" w:cs="Arial"/>
          <w:sz w:val="18"/>
          <w:szCs w:val="18"/>
          <w:lang w:val="fr-CA"/>
        </w:rPr>
        <w:t>.</w:t>
      </w:r>
    </w:p>
  </w:endnote>
  <w:endnote w:id="228">
    <w:p w14:paraId="6842AE6B" w14:textId="45B8DD6C"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Pensons notamment à la </w:t>
      </w:r>
      <w:r w:rsidRPr="00BD22C2">
        <w:rPr>
          <w:rFonts w:ascii="Arial" w:hAnsi="Arial" w:cs="Arial"/>
          <w:i/>
          <w:sz w:val="18"/>
          <w:szCs w:val="18"/>
          <w:lang w:val="fr-CA"/>
        </w:rPr>
        <w:t>Charte canadienne des droits et libertés</w:t>
      </w:r>
      <w:r w:rsidRPr="00BD22C2">
        <w:rPr>
          <w:rFonts w:ascii="Arial" w:hAnsi="Arial" w:cs="Arial"/>
          <w:sz w:val="18"/>
          <w:szCs w:val="18"/>
          <w:lang w:val="fr-CA"/>
        </w:rPr>
        <w:t>, partie I de la Loi constitutionnelle de 1982 [annexe B de la Loi de 1982 sur le Canada, 1982, c.</w:t>
      </w:r>
      <w:r w:rsidR="00CE1914">
        <w:rPr>
          <w:rFonts w:ascii="Arial" w:hAnsi="Arial" w:cs="Arial"/>
          <w:sz w:val="18"/>
          <w:szCs w:val="18"/>
          <w:lang w:val="fr-CA"/>
        </w:rPr>
        <w:t> </w:t>
      </w:r>
      <w:r w:rsidRPr="00BD22C2">
        <w:rPr>
          <w:rFonts w:ascii="Arial" w:hAnsi="Arial" w:cs="Arial"/>
          <w:sz w:val="18"/>
          <w:szCs w:val="18"/>
          <w:lang w:val="fr-CA"/>
        </w:rPr>
        <w:t xml:space="preserve">11 (R.-U.)] et à la </w:t>
      </w:r>
      <w:r w:rsidRPr="00BD22C2">
        <w:rPr>
          <w:rFonts w:ascii="Arial" w:hAnsi="Arial" w:cs="Arial"/>
          <w:i/>
          <w:sz w:val="18"/>
          <w:szCs w:val="18"/>
          <w:lang w:val="fr-CA"/>
        </w:rPr>
        <w:t>Loi concernant les enfants, les jeunes et les familles des Premières Nations, des Inuits et des Métis</w:t>
      </w:r>
      <w:r w:rsidRPr="00BD22C2">
        <w:rPr>
          <w:rFonts w:ascii="Arial" w:hAnsi="Arial" w:cs="Arial"/>
          <w:sz w:val="18"/>
          <w:szCs w:val="18"/>
          <w:lang w:val="fr-CA"/>
        </w:rPr>
        <w:t>, L.C. 2019, c. 24.</w:t>
      </w:r>
    </w:p>
  </w:endnote>
  <w:endnote w:id="229">
    <w:p w14:paraId="612A2274" w14:textId="5545E2E3"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3D3FD7" w:rsidRPr="00BD22C2">
        <w:rPr>
          <w:rFonts w:ascii="Arial" w:hAnsi="Arial" w:cs="Arial"/>
          <w:sz w:val="18"/>
          <w:szCs w:val="18"/>
          <w:lang w:val="fr-CA"/>
        </w:rPr>
        <w:t xml:space="preserve">Pensons notamment à la </w:t>
      </w:r>
      <w:r w:rsidRPr="00BD22C2">
        <w:rPr>
          <w:rFonts w:ascii="Arial" w:hAnsi="Arial" w:cs="Arial"/>
          <w:sz w:val="18"/>
          <w:szCs w:val="18"/>
          <w:lang w:val="fr-CA"/>
        </w:rPr>
        <w:t xml:space="preserve">Charte, </w:t>
      </w:r>
      <w:r w:rsidR="00655E8C" w:rsidRPr="00BD22C2">
        <w:rPr>
          <w:rFonts w:ascii="Arial" w:hAnsi="Arial" w:cs="Arial"/>
          <w:sz w:val="18"/>
          <w:szCs w:val="18"/>
          <w:lang w:val="fr-CA"/>
        </w:rPr>
        <w:t>à</w:t>
      </w:r>
      <w:r w:rsidRPr="00BD22C2">
        <w:rPr>
          <w:rFonts w:ascii="Arial" w:hAnsi="Arial" w:cs="Arial"/>
          <w:sz w:val="18"/>
          <w:szCs w:val="18"/>
          <w:lang w:val="fr-CA"/>
        </w:rPr>
        <w:t xml:space="preserve"> </w:t>
      </w:r>
      <w:r w:rsidR="003D3FD7" w:rsidRPr="00BD22C2">
        <w:rPr>
          <w:rFonts w:ascii="Arial" w:hAnsi="Arial" w:cs="Arial"/>
          <w:sz w:val="18"/>
          <w:szCs w:val="18"/>
          <w:lang w:val="fr-CA"/>
        </w:rPr>
        <w:t xml:space="preserve">la </w:t>
      </w:r>
      <w:r w:rsidRPr="00BD22C2">
        <w:rPr>
          <w:rFonts w:ascii="Arial" w:hAnsi="Arial" w:cs="Arial"/>
          <w:sz w:val="18"/>
          <w:szCs w:val="18"/>
          <w:lang w:val="fr-CA"/>
        </w:rPr>
        <w:t>L.p.j.</w:t>
      </w:r>
      <w:r w:rsidR="009A2707" w:rsidRPr="00BD22C2">
        <w:rPr>
          <w:rFonts w:ascii="Arial" w:hAnsi="Arial" w:cs="Arial"/>
          <w:sz w:val="18"/>
          <w:szCs w:val="18"/>
          <w:lang w:val="fr-CA"/>
        </w:rPr>
        <w:t xml:space="preserve"> et</w:t>
      </w:r>
      <w:r w:rsidRPr="00BD22C2">
        <w:rPr>
          <w:rFonts w:ascii="Arial" w:hAnsi="Arial" w:cs="Arial"/>
          <w:sz w:val="18"/>
          <w:szCs w:val="18"/>
          <w:lang w:val="fr-CA"/>
        </w:rPr>
        <w:t xml:space="preserve"> </w:t>
      </w:r>
      <w:r w:rsidR="00FC392B" w:rsidRPr="00BD22C2">
        <w:rPr>
          <w:rFonts w:ascii="Arial" w:hAnsi="Arial" w:cs="Arial"/>
          <w:sz w:val="18"/>
          <w:szCs w:val="18"/>
          <w:lang w:val="fr-CA"/>
        </w:rPr>
        <w:t>au</w:t>
      </w:r>
      <w:r w:rsidR="003D3FD7" w:rsidRPr="00BD22C2">
        <w:rPr>
          <w:rFonts w:ascii="Arial" w:hAnsi="Arial" w:cs="Arial"/>
          <w:sz w:val="18"/>
          <w:szCs w:val="18"/>
          <w:lang w:val="fr-CA"/>
        </w:rPr>
        <w:t xml:space="preserve"> </w:t>
      </w:r>
      <w:r w:rsidRPr="00BD22C2">
        <w:rPr>
          <w:rFonts w:ascii="Arial" w:hAnsi="Arial" w:cs="Arial"/>
          <w:sz w:val="18"/>
          <w:szCs w:val="18"/>
          <w:lang w:val="fr-CA"/>
        </w:rPr>
        <w:t xml:space="preserve">C.c.Q. </w:t>
      </w:r>
    </w:p>
  </w:endnote>
  <w:endnote w:id="230">
    <w:p w14:paraId="287895FB" w14:textId="62629C00"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A76230" w:rsidRPr="00BD22C2">
        <w:rPr>
          <w:rFonts w:ascii="Arial" w:hAnsi="Arial" w:cs="Arial"/>
          <w:sz w:val="18"/>
          <w:szCs w:val="18"/>
          <w:lang w:val="fr-CA"/>
        </w:rPr>
        <w:t>Certaines Nations et communauté</w:t>
      </w:r>
      <w:r w:rsidR="003D3FD7" w:rsidRPr="00BD22C2">
        <w:rPr>
          <w:rFonts w:ascii="Arial" w:hAnsi="Arial" w:cs="Arial"/>
          <w:sz w:val="18"/>
          <w:szCs w:val="18"/>
          <w:lang w:val="fr-CA"/>
        </w:rPr>
        <w:t>s</w:t>
      </w:r>
      <w:r w:rsidR="00A76230" w:rsidRPr="00BD22C2">
        <w:rPr>
          <w:rFonts w:ascii="Arial" w:hAnsi="Arial" w:cs="Arial"/>
          <w:sz w:val="18"/>
          <w:szCs w:val="18"/>
          <w:lang w:val="fr-CA"/>
        </w:rPr>
        <w:t xml:space="preserve"> ont également leurs propres constitutions, qui protègent les droits </w:t>
      </w:r>
      <w:r w:rsidR="009D5D16" w:rsidRPr="00BD22C2">
        <w:rPr>
          <w:rFonts w:ascii="Arial" w:hAnsi="Arial" w:cs="Arial"/>
          <w:sz w:val="18"/>
          <w:szCs w:val="18"/>
          <w:lang w:val="fr-CA"/>
        </w:rPr>
        <w:t xml:space="preserve">fondamentaux de leurs membres. Voir </w:t>
      </w:r>
      <w:r w:rsidR="00A04D93" w:rsidRPr="00BD22C2">
        <w:rPr>
          <w:rFonts w:ascii="Arial" w:hAnsi="Arial" w:cs="Arial"/>
          <w:i/>
          <w:sz w:val="18"/>
          <w:szCs w:val="18"/>
          <w:lang w:val="fr-CA"/>
        </w:rPr>
        <w:t>Cindy Dickson</w:t>
      </w:r>
      <w:r w:rsidR="00A04D93" w:rsidRPr="00BD22C2">
        <w:rPr>
          <w:rFonts w:ascii="Arial" w:hAnsi="Arial" w:cs="Arial"/>
          <w:sz w:val="18"/>
          <w:szCs w:val="18"/>
          <w:lang w:val="fr-CA"/>
        </w:rPr>
        <w:t xml:space="preserve"> c. </w:t>
      </w:r>
      <w:r w:rsidR="00A04D93" w:rsidRPr="00BD22C2">
        <w:rPr>
          <w:rFonts w:ascii="Arial" w:hAnsi="Arial" w:cs="Arial"/>
          <w:i/>
          <w:sz w:val="18"/>
          <w:szCs w:val="18"/>
          <w:lang w:val="fr-CA"/>
        </w:rPr>
        <w:t>Vuntut Gwitchin First Nation</w:t>
      </w:r>
      <w:r w:rsidR="00A04D93" w:rsidRPr="00BD22C2">
        <w:rPr>
          <w:rFonts w:ascii="Arial" w:hAnsi="Arial" w:cs="Arial"/>
          <w:sz w:val="18"/>
          <w:szCs w:val="18"/>
          <w:lang w:val="fr-CA"/>
        </w:rPr>
        <w:t>, 2024 CSC</w:t>
      </w:r>
      <w:r w:rsidR="00CE1914">
        <w:rPr>
          <w:rFonts w:ascii="Arial" w:hAnsi="Arial" w:cs="Arial"/>
          <w:sz w:val="18"/>
          <w:szCs w:val="18"/>
          <w:lang w:val="fr-CA"/>
        </w:rPr>
        <w:t> </w:t>
      </w:r>
      <w:r w:rsidR="00A04D93" w:rsidRPr="00BD22C2">
        <w:rPr>
          <w:rFonts w:ascii="Arial" w:hAnsi="Arial" w:cs="Arial"/>
          <w:sz w:val="18"/>
          <w:szCs w:val="18"/>
          <w:lang w:val="fr-CA"/>
        </w:rPr>
        <w:t>10</w:t>
      </w:r>
      <w:r w:rsidR="00A943EA" w:rsidRPr="00BD22C2">
        <w:rPr>
          <w:rFonts w:ascii="Arial" w:hAnsi="Arial" w:cs="Arial"/>
          <w:sz w:val="18"/>
          <w:szCs w:val="18"/>
          <w:lang w:val="fr-CA"/>
        </w:rPr>
        <w:t xml:space="preserve"> et le </w:t>
      </w:r>
      <w:r w:rsidRPr="00BD22C2">
        <w:rPr>
          <w:rFonts w:ascii="Arial" w:hAnsi="Arial" w:cs="Arial"/>
          <w:i/>
          <w:sz w:val="18"/>
          <w:szCs w:val="18"/>
          <w:lang w:val="fr-CA"/>
        </w:rPr>
        <w:t xml:space="preserve">Renvoi relatif à la </w:t>
      </w:r>
      <w:r w:rsidRPr="00BD22C2">
        <w:rPr>
          <w:rFonts w:ascii="Arial" w:hAnsi="Arial" w:cs="Arial"/>
          <w:sz w:val="18"/>
          <w:szCs w:val="18"/>
          <w:lang w:val="fr-CA"/>
        </w:rPr>
        <w:t>Loi concernant les enfants, les jeunes et les familles des Premières Nations, des Inuits et des Métis, 2024</w:t>
      </w:r>
      <w:r w:rsidR="00B32B61">
        <w:rPr>
          <w:rFonts w:ascii="Arial" w:hAnsi="Arial" w:cs="Arial"/>
          <w:sz w:val="18"/>
          <w:szCs w:val="18"/>
          <w:lang w:val="fr-CA"/>
        </w:rPr>
        <w:t> </w:t>
      </w:r>
      <w:r w:rsidRPr="00BD22C2">
        <w:rPr>
          <w:rFonts w:ascii="Arial" w:hAnsi="Arial" w:cs="Arial"/>
          <w:sz w:val="18"/>
          <w:szCs w:val="18"/>
          <w:lang w:val="fr-CA"/>
        </w:rPr>
        <w:t xml:space="preserve">CSC 5. </w:t>
      </w:r>
    </w:p>
  </w:endnote>
  <w:endnote w:id="231">
    <w:p w14:paraId="351E8FDB" w14:textId="33275A8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Programme des Nations unies pour le développement</w:t>
      </w:r>
      <w:r w:rsidRPr="00BD22C2">
        <w:rPr>
          <w:rFonts w:ascii="Arial" w:hAnsi="Arial" w:cs="Arial"/>
          <w:sz w:val="18"/>
          <w:szCs w:val="18"/>
          <w:lang w:val="fr-CA"/>
        </w:rPr>
        <w:t xml:space="preserve">, </w:t>
      </w:r>
      <w:r w:rsidRPr="00BD22C2">
        <w:rPr>
          <w:rFonts w:ascii="Arial" w:hAnsi="Arial" w:cs="Arial"/>
          <w:i/>
          <w:sz w:val="18"/>
          <w:szCs w:val="18"/>
          <w:lang w:val="fr-CA"/>
        </w:rPr>
        <w:t>Promouvoir les droits humains et l’inclusion des personnes LGBTI : un manuel pour les parlementaires</w:t>
      </w:r>
      <w:r w:rsidRPr="00BD22C2">
        <w:rPr>
          <w:rFonts w:ascii="Arial" w:hAnsi="Arial" w:cs="Arial"/>
          <w:sz w:val="18"/>
          <w:szCs w:val="18"/>
          <w:lang w:val="fr-CA"/>
        </w:rPr>
        <w:t xml:space="preserve">, 2022, en ligne : </w:t>
      </w:r>
      <w:r w:rsidR="00A23217" w:rsidRPr="00BD22C2">
        <w:rPr>
          <w:rFonts w:ascii="Arial" w:hAnsi="Arial" w:cs="Arial"/>
          <w:sz w:val="18"/>
          <w:szCs w:val="18"/>
          <w:lang w:val="fr-CA"/>
        </w:rPr>
        <w:t>&lt;</w:t>
      </w:r>
      <w:hyperlink r:id="rId105" w:history="1">
        <w:r w:rsidR="00A23217" w:rsidRPr="00BD22C2">
          <w:rPr>
            <w:rStyle w:val="Lienhypertexte"/>
            <w:rFonts w:ascii="Arial" w:hAnsi="Arial" w:cs="Arial"/>
            <w:sz w:val="18"/>
            <w:szCs w:val="18"/>
            <w:lang w:val="fr-CA"/>
          </w:rPr>
          <w:t>https://www.undp.org/sites/g/files/zskgke326/files/2023-04/Advancing%20the%20human%20rights%20of%20LGBTI%20people%20-%20FRENCH.pdf</w:t>
        </w:r>
      </w:hyperlink>
      <w:r w:rsidR="00A23217" w:rsidRPr="00BD22C2">
        <w:rPr>
          <w:rFonts w:ascii="Arial" w:hAnsi="Arial" w:cs="Arial"/>
          <w:sz w:val="18"/>
          <w:szCs w:val="18"/>
          <w:lang w:val="fr-CA"/>
        </w:rPr>
        <w:t>&gt;.</w:t>
      </w:r>
    </w:p>
  </w:endnote>
  <w:endnote w:id="232">
    <w:p w14:paraId="70819DF2" w14:textId="4AF9347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E0999" w:rsidRPr="00BD22C2">
        <w:rPr>
          <w:rFonts w:ascii="Arial" w:hAnsi="Arial" w:cs="Arial"/>
          <w:sz w:val="18"/>
          <w:szCs w:val="18"/>
          <w:lang w:val="fr-CA"/>
        </w:rPr>
        <w:t>CRDE</w:t>
      </w:r>
      <w:r w:rsidR="002B32D5" w:rsidRPr="00BD22C2">
        <w:rPr>
          <w:rFonts w:ascii="Arial" w:hAnsi="Arial" w:cs="Arial"/>
          <w:sz w:val="18"/>
          <w:szCs w:val="18"/>
          <w:lang w:val="fr-CA"/>
        </w:rPr>
        <w:t>, art.</w:t>
      </w:r>
      <w:r w:rsidR="00CE1914">
        <w:rPr>
          <w:rFonts w:ascii="Arial" w:hAnsi="Arial" w:cs="Arial"/>
          <w:sz w:val="18"/>
          <w:szCs w:val="18"/>
          <w:lang w:val="fr-CA"/>
        </w:rPr>
        <w:t> </w:t>
      </w:r>
      <w:r w:rsidR="002B32D5" w:rsidRPr="00BD22C2">
        <w:rPr>
          <w:rFonts w:ascii="Arial" w:hAnsi="Arial" w:cs="Arial"/>
          <w:sz w:val="18"/>
          <w:szCs w:val="18"/>
          <w:lang w:val="fr-CA"/>
        </w:rPr>
        <w:t>4</w:t>
      </w:r>
      <w:r w:rsidR="005560CF" w:rsidRPr="00BD22C2">
        <w:rPr>
          <w:rFonts w:ascii="Arial" w:hAnsi="Arial" w:cs="Arial"/>
          <w:sz w:val="18"/>
          <w:szCs w:val="18"/>
          <w:lang w:val="fr-CA"/>
        </w:rPr>
        <w:t>.</w:t>
      </w:r>
    </w:p>
  </w:endnote>
  <w:endnote w:id="233">
    <w:p w14:paraId="37954181" w14:textId="575A4C8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F05BFB" w:rsidRPr="00BD22C2">
        <w:rPr>
          <w:rFonts w:ascii="Arial" w:hAnsi="Arial" w:cs="Arial"/>
          <w:smallCaps/>
          <w:sz w:val="18"/>
          <w:szCs w:val="18"/>
          <w:lang w:val="fr-CA"/>
        </w:rPr>
        <w:t>Commission des droits de la personne et des droits de la jeunesse</w:t>
      </w:r>
      <w:r w:rsidR="00D96ED6" w:rsidRPr="00BD22C2">
        <w:rPr>
          <w:rFonts w:ascii="Arial" w:hAnsi="Arial" w:cs="Arial"/>
          <w:sz w:val="18"/>
          <w:szCs w:val="18"/>
          <w:lang w:val="fr-CA"/>
        </w:rPr>
        <w:t xml:space="preserve">, </w:t>
      </w:r>
      <w:r w:rsidR="00F05BFB" w:rsidRPr="00BD22C2">
        <w:rPr>
          <w:rFonts w:ascii="Arial" w:hAnsi="Arial" w:cs="Arial"/>
          <w:i/>
          <w:sz w:val="18"/>
          <w:szCs w:val="18"/>
          <w:lang w:val="fr-CA"/>
        </w:rPr>
        <w:t>Mémoire à la Commission spéciale sur les droits des enfants et la protection de la jeunesse</w:t>
      </w:r>
      <w:r w:rsidR="00D96ED6" w:rsidRPr="00BD22C2">
        <w:rPr>
          <w:rFonts w:ascii="Arial" w:hAnsi="Arial" w:cs="Arial"/>
          <w:sz w:val="18"/>
          <w:szCs w:val="18"/>
          <w:lang w:val="fr-CA"/>
        </w:rPr>
        <w:t xml:space="preserve">, </w:t>
      </w:r>
      <w:r w:rsidR="00F05BFB" w:rsidRPr="00BD22C2">
        <w:rPr>
          <w:rFonts w:ascii="Arial" w:hAnsi="Arial" w:cs="Arial"/>
          <w:sz w:val="18"/>
          <w:szCs w:val="18"/>
          <w:lang w:val="fr-CA"/>
        </w:rPr>
        <w:t xml:space="preserve">(Cat. </w:t>
      </w:r>
      <w:r w:rsidR="009C2361" w:rsidRPr="00BD22C2">
        <w:rPr>
          <w:rFonts w:ascii="Arial" w:hAnsi="Arial" w:cs="Arial"/>
          <w:sz w:val="18"/>
          <w:szCs w:val="18"/>
          <w:lang w:val="fr-CA"/>
        </w:rPr>
        <w:t>2.211.5</w:t>
      </w:r>
      <w:r w:rsidR="00F05BFB" w:rsidRPr="00BD22C2">
        <w:rPr>
          <w:rFonts w:ascii="Arial" w:hAnsi="Arial" w:cs="Arial"/>
          <w:sz w:val="18"/>
          <w:szCs w:val="18"/>
          <w:lang w:val="fr-CA"/>
        </w:rPr>
        <w:t>)</w:t>
      </w:r>
      <w:r w:rsidR="0096328C" w:rsidRPr="00BD22C2">
        <w:rPr>
          <w:rFonts w:ascii="Arial" w:hAnsi="Arial" w:cs="Arial"/>
          <w:sz w:val="18"/>
          <w:szCs w:val="18"/>
          <w:lang w:val="fr-CA"/>
        </w:rPr>
        <w:t>,</w:t>
      </w:r>
      <w:r w:rsidR="00F05BFB" w:rsidRPr="00BD22C2">
        <w:rPr>
          <w:rFonts w:ascii="Arial" w:hAnsi="Arial" w:cs="Arial"/>
          <w:sz w:val="18"/>
          <w:szCs w:val="18"/>
          <w:lang w:val="fr-CA"/>
        </w:rPr>
        <w:t xml:space="preserve"> 2020</w:t>
      </w:r>
      <w:r w:rsidR="009C2361" w:rsidRPr="00BD22C2">
        <w:rPr>
          <w:rFonts w:ascii="Arial" w:hAnsi="Arial" w:cs="Arial"/>
          <w:sz w:val="18"/>
          <w:szCs w:val="18"/>
          <w:lang w:val="fr-CA"/>
        </w:rPr>
        <w:t xml:space="preserve">, </w:t>
      </w:r>
      <w:r w:rsidR="00D96ED6" w:rsidRPr="00BD22C2">
        <w:rPr>
          <w:rFonts w:ascii="Arial" w:hAnsi="Arial" w:cs="Arial"/>
          <w:sz w:val="18"/>
          <w:szCs w:val="18"/>
          <w:lang w:val="fr-CA"/>
        </w:rPr>
        <w:t>p.</w:t>
      </w:r>
      <w:r w:rsidR="00CE1914">
        <w:rPr>
          <w:rFonts w:ascii="Arial" w:hAnsi="Arial" w:cs="Arial"/>
          <w:sz w:val="18"/>
          <w:szCs w:val="18"/>
          <w:lang w:val="fr-CA"/>
        </w:rPr>
        <w:t> </w:t>
      </w:r>
      <w:r w:rsidR="00D96ED6" w:rsidRPr="00BD22C2">
        <w:rPr>
          <w:rFonts w:ascii="Arial" w:hAnsi="Arial" w:cs="Arial"/>
          <w:sz w:val="18"/>
          <w:szCs w:val="18"/>
          <w:lang w:val="fr-CA"/>
        </w:rPr>
        <w:t>6.</w:t>
      </w:r>
    </w:p>
  </w:endnote>
  <w:endnote w:id="234">
    <w:p w14:paraId="73FEBD9D" w14:textId="2F750E6B"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B5486" w:rsidRPr="00BD22C2">
        <w:rPr>
          <w:rFonts w:ascii="Arial" w:hAnsi="Arial" w:cs="Arial"/>
          <w:i/>
          <w:sz w:val="18"/>
          <w:szCs w:val="18"/>
          <w:lang w:val="fr-CA"/>
        </w:rPr>
        <w:t>Id</w:t>
      </w:r>
      <w:r w:rsidR="005B5486" w:rsidRPr="00BD22C2">
        <w:rPr>
          <w:rFonts w:ascii="Arial" w:hAnsi="Arial" w:cs="Arial"/>
          <w:sz w:val="18"/>
          <w:szCs w:val="18"/>
          <w:lang w:val="fr-CA"/>
        </w:rPr>
        <w:t>.</w:t>
      </w:r>
      <w:r w:rsidR="00CD1E45" w:rsidRPr="00BD22C2">
        <w:rPr>
          <w:rFonts w:ascii="Arial" w:hAnsi="Arial" w:cs="Arial"/>
          <w:sz w:val="18"/>
          <w:szCs w:val="18"/>
          <w:lang w:val="fr-CA"/>
        </w:rPr>
        <w:t xml:space="preserve"> Le Comité des droits de </w:t>
      </w:r>
      <w:r w:rsidR="006C53A4" w:rsidRPr="00BD22C2">
        <w:rPr>
          <w:rFonts w:ascii="Arial" w:hAnsi="Arial" w:cs="Arial"/>
          <w:sz w:val="18"/>
          <w:szCs w:val="18"/>
          <w:lang w:val="fr-CA"/>
        </w:rPr>
        <w:t>l</w:t>
      </w:r>
      <w:r w:rsidR="00CD1E45" w:rsidRPr="00BD22C2">
        <w:rPr>
          <w:rFonts w:ascii="Arial" w:hAnsi="Arial" w:cs="Arial"/>
          <w:sz w:val="18"/>
          <w:szCs w:val="18"/>
          <w:lang w:val="fr-CA"/>
        </w:rPr>
        <w:t xml:space="preserve">’enfant </w:t>
      </w:r>
      <w:r w:rsidR="006C53A4" w:rsidRPr="00BD22C2">
        <w:rPr>
          <w:rFonts w:ascii="Arial" w:hAnsi="Arial" w:cs="Arial"/>
          <w:sz w:val="18"/>
          <w:szCs w:val="18"/>
          <w:lang w:val="fr-CA"/>
        </w:rPr>
        <w:t>précise</w:t>
      </w:r>
      <w:r w:rsidR="00CD1E45" w:rsidRPr="00BD22C2">
        <w:rPr>
          <w:rFonts w:ascii="Arial" w:hAnsi="Arial" w:cs="Arial"/>
          <w:sz w:val="18"/>
          <w:szCs w:val="18"/>
          <w:lang w:val="fr-CA"/>
        </w:rPr>
        <w:t>, dans son Observation générale n</w:t>
      </w:r>
      <w:r w:rsidR="00CD1E45" w:rsidRPr="00BD22C2">
        <w:rPr>
          <w:rFonts w:ascii="Arial" w:hAnsi="Arial" w:cs="Arial"/>
          <w:sz w:val="18"/>
          <w:szCs w:val="18"/>
          <w:vertAlign w:val="superscript"/>
          <w:lang w:val="fr-CA"/>
        </w:rPr>
        <w:t>o</w:t>
      </w:r>
      <w:r w:rsidR="00CD1E45" w:rsidRPr="00BD22C2">
        <w:rPr>
          <w:rFonts w:ascii="Arial" w:hAnsi="Arial" w:cs="Arial"/>
          <w:sz w:val="18"/>
          <w:szCs w:val="18"/>
          <w:lang w:val="fr-CA"/>
        </w:rPr>
        <w:t>.</w:t>
      </w:r>
      <w:r w:rsidR="00CE1914">
        <w:rPr>
          <w:rFonts w:ascii="Arial" w:hAnsi="Arial" w:cs="Arial"/>
          <w:sz w:val="18"/>
          <w:szCs w:val="18"/>
          <w:lang w:val="fr-CA"/>
        </w:rPr>
        <w:t> </w:t>
      </w:r>
      <w:r w:rsidR="00704ED5" w:rsidRPr="00BD22C2">
        <w:rPr>
          <w:rFonts w:ascii="Arial" w:hAnsi="Arial" w:cs="Arial"/>
          <w:sz w:val="18"/>
          <w:szCs w:val="18"/>
          <w:lang w:val="fr-CA"/>
        </w:rPr>
        <w:t>5, que c</w:t>
      </w:r>
      <w:r w:rsidR="005B5486" w:rsidRPr="00BD22C2">
        <w:rPr>
          <w:rFonts w:ascii="Arial" w:hAnsi="Arial" w:cs="Arial"/>
          <w:sz w:val="18"/>
          <w:szCs w:val="18"/>
          <w:lang w:val="fr-CA"/>
        </w:rPr>
        <w:t xml:space="preserve">haque </w:t>
      </w:r>
      <w:r w:rsidRPr="00BD22C2">
        <w:rPr>
          <w:rFonts w:ascii="Arial" w:hAnsi="Arial" w:cs="Arial"/>
          <w:sz w:val="18"/>
          <w:szCs w:val="18"/>
          <w:lang w:val="fr-CA"/>
        </w:rPr>
        <w:t xml:space="preserve">institution ou organe législatif, administratif ou judiciaire est tenu de se conformer au principe de l’intérêt supérieur de l’enfant en se demandant systématiquement comment les droits et les intérêts de l’enfant seront affectés par ses décisions et ses actes. </w:t>
      </w:r>
      <w:r w:rsidR="0044130E" w:rsidRPr="00BD22C2">
        <w:rPr>
          <w:rFonts w:ascii="Arial" w:hAnsi="Arial" w:cs="Arial"/>
          <w:smallCaps/>
          <w:sz w:val="18"/>
          <w:szCs w:val="18"/>
          <w:lang w:val="fr-CA"/>
        </w:rPr>
        <w:t>Comité</w:t>
      </w:r>
      <w:r w:rsidR="00384542" w:rsidRPr="00BD22C2">
        <w:rPr>
          <w:rFonts w:ascii="Arial" w:hAnsi="Arial" w:cs="Arial"/>
          <w:smallCaps/>
          <w:sz w:val="18"/>
          <w:szCs w:val="18"/>
          <w:lang w:val="fr-CA"/>
        </w:rPr>
        <w:t xml:space="preserve"> des droits de l’enfant</w:t>
      </w:r>
      <w:r w:rsidR="00384542" w:rsidRPr="00BD22C2">
        <w:rPr>
          <w:rFonts w:ascii="Arial" w:hAnsi="Arial" w:cs="Arial"/>
          <w:sz w:val="18"/>
          <w:szCs w:val="18"/>
          <w:lang w:val="fr-CA"/>
        </w:rPr>
        <w:t>,</w:t>
      </w:r>
      <w:r w:rsidR="007C68FE" w:rsidRPr="00BD22C2">
        <w:rPr>
          <w:rFonts w:ascii="Arial" w:hAnsi="Arial" w:cs="Arial"/>
          <w:sz w:val="18"/>
          <w:szCs w:val="18"/>
          <w:lang w:val="fr-CA"/>
        </w:rPr>
        <w:t xml:space="preserve"> </w:t>
      </w:r>
      <w:r w:rsidR="007C68FE" w:rsidRPr="00BD22C2">
        <w:rPr>
          <w:rFonts w:ascii="Arial" w:hAnsi="Arial" w:cs="Arial"/>
          <w:i/>
          <w:sz w:val="18"/>
          <w:szCs w:val="18"/>
          <w:lang w:val="fr-CA"/>
        </w:rPr>
        <w:t>Observation générale n°</w:t>
      </w:r>
      <w:r w:rsidR="00CE1914">
        <w:rPr>
          <w:rFonts w:ascii="Arial" w:hAnsi="Arial" w:cs="Arial"/>
          <w:i/>
          <w:sz w:val="18"/>
          <w:szCs w:val="18"/>
          <w:lang w:val="fr-CA"/>
        </w:rPr>
        <w:t> </w:t>
      </w:r>
      <w:r w:rsidR="007C68FE" w:rsidRPr="00BD22C2">
        <w:rPr>
          <w:rFonts w:ascii="Arial" w:hAnsi="Arial" w:cs="Arial"/>
          <w:i/>
          <w:sz w:val="18"/>
          <w:szCs w:val="18"/>
          <w:lang w:val="fr-CA"/>
        </w:rPr>
        <w:t>5,</w:t>
      </w:r>
      <w:r w:rsidR="00384542" w:rsidRPr="00BD22C2">
        <w:rPr>
          <w:rFonts w:ascii="Arial" w:hAnsi="Arial" w:cs="Arial"/>
          <w:i/>
          <w:sz w:val="18"/>
          <w:szCs w:val="18"/>
          <w:lang w:val="fr-CA"/>
        </w:rPr>
        <w:t xml:space="preserve"> M</w:t>
      </w:r>
      <w:r w:rsidR="00080006" w:rsidRPr="00BD22C2">
        <w:rPr>
          <w:rFonts w:ascii="Arial" w:hAnsi="Arial" w:cs="Arial"/>
          <w:i/>
          <w:sz w:val="18"/>
          <w:szCs w:val="18"/>
          <w:lang w:val="fr-CA"/>
        </w:rPr>
        <w:t>esures d’application générales de la Convention relative aux droits de l’enfant (art.</w:t>
      </w:r>
      <w:r w:rsidR="00CE1914">
        <w:rPr>
          <w:rFonts w:ascii="Arial" w:hAnsi="Arial" w:cs="Arial"/>
          <w:i/>
          <w:sz w:val="18"/>
          <w:szCs w:val="18"/>
          <w:lang w:val="fr-CA"/>
        </w:rPr>
        <w:t> </w:t>
      </w:r>
      <w:r w:rsidR="00080006" w:rsidRPr="00BD22C2">
        <w:rPr>
          <w:rFonts w:ascii="Arial" w:hAnsi="Arial" w:cs="Arial"/>
          <w:i/>
          <w:sz w:val="18"/>
          <w:szCs w:val="18"/>
          <w:lang w:val="fr-CA"/>
        </w:rPr>
        <w:t>4, 42 et 44, par. 6)</w:t>
      </w:r>
      <w:r w:rsidR="007C68FE" w:rsidRPr="00BD22C2">
        <w:rPr>
          <w:rFonts w:ascii="Arial" w:hAnsi="Arial" w:cs="Arial"/>
          <w:i/>
          <w:sz w:val="18"/>
          <w:szCs w:val="18"/>
          <w:lang w:val="fr-CA"/>
        </w:rPr>
        <w:t>, Doc.</w:t>
      </w:r>
      <w:r w:rsidR="007B13A8" w:rsidRPr="00BD22C2">
        <w:rPr>
          <w:rFonts w:ascii="Arial" w:hAnsi="Arial" w:cs="Arial"/>
          <w:i/>
          <w:sz w:val="18"/>
          <w:szCs w:val="18"/>
          <w:lang w:val="fr-CA"/>
        </w:rPr>
        <w:t xml:space="preserve"> N.</w:t>
      </w:r>
      <w:r w:rsidR="006305FE">
        <w:rPr>
          <w:rFonts w:ascii="Arial" w:hAnsi="Arial" w:cs="Arial"/>
          <w:i/>
          <w:sz w:val="18"/>
          <w:szCs w:val="18"/>
          <w:lang w:val="fr-CA"/>
        </w:rPr>
        <w:t> </w:t>
      </w:r>
      <w:r w:rsidR="007B13A8" w:rsidRPr="00BD22C2">
        <w:rPr>
          <w:rFonts w:ascii="Arial" w:hAnsi="Arial" w:cs="Arial"/>
          <w:i/>
          <w:sz w:val="18"/>
          <w:szCs w:val="18"/>
          <w:lang w:val="fr-CA"/>
        </w:rPr>
        <w:t>U.</w:t>
      </w:r>
      <w:r w:rsidR="008B4522">
        <w:rPr>
          <w:rFonts w:ascii="Arial" w:hAnsi="Arial" w:cs="Arial"/>
          <w:i/>
          <w:sz w:val="18"/>
          <w:szCs w:val="18"/>
          <w:lang w:val="fr-CA"/>
        </w:rPr>
        <w:t> </w:t>
      </w:r>
      <w:r w:rsidRPr="00BD22C2">
        <w:rPr>
          <w:rFonts w:ascii="Arial" w:hAnsi="Arial" w:cs="Arial"/>
          <w:i/>
          <w:sz w:val="18"/>
          <w:szCs w:val="18"/>
          <w:lang w:val="fr-CA"/>
        </w:rPr>
        <w:t>CRC/GC/2003/5</w:t>
      </w:r>
      <w:r w:rsidR="007B13A8" w:rsidRPr="00BD22C2">
        <w:rPr>
          <w:rFonts w:ascii="Arial" w:hAnsi="Arial" w:cs="Arial"/>
          <w:sz w:val="18"/>
          <w:szCs w:val="18"/>
          <w:lang w:val="fr-CA"/>
        </w:rPr>
        <w:t>,</w:t>
      </w:r>
      <w:r w:rsidRPr="00BD22C2">
        <w:rPr>
          <w:rFonts w:ascii="Arial" w:hAnsi="Arial" w:cs="Arial"/>
          <w:sz w:val="18"/>
          <w:szCs w:val="18"/>
          <w:lang w:val="fr-CA"/>
        </w:rPr>
        <w:t xml:space="preserve"> p</w:t>
      </w:r>
      <w:r w:rsidR="007B1B71" w:rsidRPr="00BD22C2">
        <w:rPr>
          <w:rFonts w:ascii="Arial" w:hAnsi="Arial" w:cs="Arial"/>
          <w:sz w:val="18"/>
          <w:szCs w:val="18"/>
          <w:lang w:val="fr-CA"/>
        </w:rPr>
        <w:t>ar</w:t>
      </w:r>
      <w:r w:rsidRPr="00BD22C2">
        <w:rPr>
          <w:rFonts w:ascii="Arial" w:hAnsi="Arial" w:cs="Arial"/>
          <w:sz w:val="18"/>
          <w:szCs w:val="18"/>
          <w:lang w:val="fr-CA"/>
        </w:rPr>
        <w:t>.</w:t>
      </w:r>
      <w:r w:rsidR="007B1B71" w:rsidRPr="00BD22C2">
        <w:rPr>
          <w:rFonts w:ascii="Arial" w:hAnsi="Arial" w:cs="Arial"/>
          <w:sz w:val="18"/>
          <w:szCs w:val="18"/>
          <w:lang w:val="fr-CA"/>
        </w:rPr>
        <w:t xml:space="preserve"> 10 et 11.</w:t>
      </w:r>
    </w:p>
  </w:endnote>
  <w:endnote w:id="235">
    <w:p w14:paraId="0EBD2261" w14:textId="4852E77D"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Conférence mondiale sur les droits de l’homme</w:t>
      </w:r>
      <w:r w:rsidRPr="00BD22C2">
        <w:rPr>
          <w:rFonts w:ascii="Arial" w:hAnsi="Arial" w:cs="Arial"/>
          <w:sz w:val="18"/>
          <w:szCs w:val="18"/>
          <w:lang w:val="fr-CA"/>
        </w:rPr>
        <w:t>,</w:t>
      </w:r>
      <w:r w:rsidR="00830850" w:rsidRPr="00BD22C2">
        <w:rPr>
          <w:rFonts w:ascii="Arial" w:hAnsi="Arial" w:cs="Arial"/>
          <w:i/>
          <w:sz w:val="18"/>
          <w:szCs w:val="18"/>
          <w:lang w:val="fr-CA"/>
        </w:rPr>
        <w:t xml:space="preserve"> </w:t>
      </w:r>
      <w:r w:rsidR="00830850" w:rsidRPr="00BD22C2">
        <w:rPr>
          <w:rFonts w:ascii="Arial" w:hAnsi="Arial" w:cs="Arial"/>
          <w:iCs/>
          <w:sz w:val="18"/>
          <w:szCs w:val="18"/>
          <w:lang w:val="fr-CA"/>
        </w:rPr>
        <w:t>préc., note</w:t>
      </w:r>
      <w:r w:rsidR="00CE1914">
        <w:rPr>
          <w:rFonts w:ascii="Arial" w:hAnsi="Arial" w:cs="Arial"/>
          <w:iCs/>
          <w:sz w:val="18"/>
          <w:szCs w:val="18"/>
          <w:lang w:val="fr-CA"/>
        </w:rPr>
        <w:t> </w:t>
      </w:r>
      <w:r w:rsidR="000D4D7E" w:rsidRPr="00BD22C2">
        <w:rPr>
          <w:rFonts w:ascii="Arial" w:hAnsi="Arial" w:cs="Arial"/>
          <w:iCs/>
          <w:sz w:val="18"/>
          <w:szCs w:val="18"/>
          <w:lang w:val="fr-CA"/>
        </w:rPr>
        <w:fldChar w:fldCharType="begin"/>
      </w:r>
      <w:r w:rsidR="000D4D7E" w:rsidRPr="00BD22C2">
        <w:rPr>
          <w:rFonts w:ascii="Arial" w:hAnsi="Arial" w:cs="Arial"/>
          <w:iCs/>
          <w:sz w:val="18"/>
          <w:szCs w:val="18"/>
          <w:lang w:val="fr-CA"/>
        </w:rPr>
        <w:instrText xml:space="preserve"> NOTEREF _Ref166748702 \h </w:instrText>
      </w:r>
      <w:r w:rsidR="000D4D7E" w:rsidRPr="00BD22C2">
        <w:rPr>
          <w:rFonts w:ascii="Arial" w:hAnsi="Arial" w:cs="Arial"/>
          <w:iCs/>
          <w:sz w:val="18"/>
          <w:szCs w:val="18"/>
          <w:lang w:val="fr-CA"/>
        </w:rPr>
      </w:r>
      <w:r w:rsidR="000D4D7E" w:rsidRPr="00BD22C2">
        <w:rPr>
          <w:rFonts w:ascii="Arial" w:hAnsi="Arial" w:cs="Arial"/>
          <w:iCs/>
          <w:sz w:val="18"/>
          <w:szCs w:val="18"/>
          <w:lang w:val="fr-CA"/>
        </w:rPr>
        <w:fldChar w:fldCharType="separate"/>
      </w:r>
      <w:r w:rsidR="004B4881">
        <w:rPr>
          <w:rFonts w:ascii="Arial" w:hAnsi="Arial" w:cs="Arial"/>
          <w:iCs/>
          <w:sz w:val="18"/>
          <w:szCs w:val="18"/>
          <w:lang w:val="fr-CA"/>
        </w:rPr>
        <w:t>213</w:t>
      </w:r>
      <w:r w:rsidR="000D4D7E" w:rsidRPr="00BD22C2">
        <w:rPr>
          <w:rFonts w:ascii="Arial" w:hAnsi="Arial" w:cs="Arial"/>
          <w:iCs/>
          <w:sz w:val="18"/>
          <w:szCs w:val="18"/>
          <w:lang w:val="fr-CA"/>
        </w:rPr>
        <w:fldChar w:fldCharType="end"/>
      </w:r>
      <w:r w:rsidRPr="00BD22C2">
        <w:rPr>
          <w:rFonts w:ascii="Arial" w:hAnsi="Arial" w:cs="Arial"/>
          <w:sz w:val="18"/>
          <w:szCs w:val="18"/>
          <w:lang w:val="fr-CA"/>
        </w:rPr>
        <w:t>, par. 1 et 5</w:t>
      </w:r>
      <w:r w:rsidR="0051216B" w:rsidRPr="00BD22C2">
        <w:rPr>
          <w:rFonts w:ascii="Arial" w:hAnsi="Arial" w:cs="Arial"/>
          <w:sz w:val="18"/>
          <w:szCs w:val="18"/>
          <w:lang w:val="fr-CA"/>
        </w:rPr>
        <w:t> </w:t>
      </w:r>
      <w:r w:rsidR="0008518F" w:rsidRPr="00BD22C2">
        <w:rPr>
          <w:rFonts w:ascii="Arial" w:hAnsi="Arial" w:cs="Arial"/>
          <w:sz w:val="18"/>
          <w:szCs w:val="18"/>
          <w:lang w:val="fr-CA"/>
        </w:rPr>
        <w:t>;</w:t>
      </w:r>
      <w:r w:rsidR="00394663" w:rsidRPr="00BD22C2">
        <w:rPr>
          <w:rFonts w:ascii="Arial" w:hAnsi="Arial" w:cs="Arial"/>
          <w:sz w:val="18"/>
          <w:szCs w:val="18"/>
          <w:lang w:val="fr-CA"/>
        </w:rPr>
        <w:t xml:space="preserve"> </w:t>
      </w:r>
      <w:r w:rsidR="00472477" w:rsidRPr="00BD22C2">
        <w:rPr>
          <w:rFonts w:ascii="Arial" w:hAnsi="Arial" w:cs="Arial"/>
          <w:smallCaps/>
          <w:sz w:val="18"/>
          <w:szCs w:val="18"/>
          <w:lang w:val="fr-CA"/>
        </w:rPr>
        <w:t xml:space="preserve">UNICEF </w:t>
      </w:r>
      <w:r w:rsidR="00CE4873" w:rsidRPr="00BD22C2">
        <w:rPr>
          <w:rFonts w:ascii="Arial" w:hAnsi="Arial" w:cs="Arial"/>
          <w:smallCaps/>
          <w:sz w:val="18"/>
          <w:szCs w:val="18"/>
          <w:lang w:val="fr-CA"/>
        </w:rPr>
        <w:t>Canada</w:t>
      </w:r>
      <w:r w:rsidRPr="00BD22C2">
        <w:rPr>
          <w:rFonts w:ascii="Arial" w:hAnsi="Arial" w:cs="Arial"/>
          <w:sz w:val="18"/>
          <w:szCs w:val="18"/>
          <w:lang w:val="fr-CA"/>
        </w:rPr>
        <w:t xml:space="preserve">, </w:t>
      </w:r>
      <w:r w:rsidRPr="00BD22C2">
        <w:rPr>
          <w:rFonts w:ascii="Arial" w:hAnsi="Arial" w:cs="Arial"/>
          <w:i/>
          <w:sz w:val="18"/>
          <w:szCs w:val="18"/>
          <w:lang w:val="fr-CA"/>
        </w:rPr>
        <w:t>À propos de la Convention relative aux droits de l’enfant</w:t>
      </w:r>
      <w:r w:rsidRPr="00BD22C2">
        <w:rPr>
          <w:rFonts w:ascii="Arial" w:hAnsi="Arial" w:cs="Arial"/>
          <w:sz w:val="18"/>
          <w:szCs w:val="18"/>
          <w:lang w:val="fr-CA"/>
        </w:rPr>
        <w:t xml:space="preserve">, 2019, </w:t>
      </w:r>
      <w:r w:rsidR="00CD7894">
        <w:rPr>
          <w:rFonts w:ascii="Arial" w:hAnsi="Arial" w:cs="Arial"/>
          <w:sz w:val="18"/>
          <w:szCs w:val="18"/>
          <w:lang w:val="fr-CA"/>
        </w:rPr>
        <w:t>[E</w:t>
      </w:r>
      <w:r w:rsidR="00FF2EDE" w:rsidRPr="00BD22C2">
        <w:rPr>
          <w:rFonts w:ascii="Arial" w:hAnsi="Arial" w:cs="Arial"/>
          <w:sz w:val="18"/>
          <w:szCs w:val="18"/>
          <w:lang w:val="fr-CA"/>
        </w:rPr>
        <w:t>n ligne</w:t>
      </w:r>
      <w:r w:rsidR="00CD7894">
        <w:rPr>
          <w:rFonts w:ascii="Arial" w:hAnsi="Arial" w:cs="Arial"/>
          <w:sz w:val="18"/>
          <w:szCs w:val="18"/>
          <w:lang w:val="fr-CA"/>
        </w:rPr>
        <w:t>].</w:t>
      </w:r>
      <w:r w:rsidR="00FF2EDE" w:rsidRPr="00BD22C2">
        <w:rPr>
          <w:rFonts w:ascii="Arial" w:hAnsi="Arial" w:cs="Arial"/>
          <w:sz w:val="18"/>
          <w:szCs w:val="18"/>
          <w:lang w:val="fr-CA"/>
        </w:rPr>
        <w:t xml:space="preserve"> </w:t>
      </w:r>
      <w:hyperlink r:id="rId106" w:history="1">
        <w:r w:rsidR="00141BDE" w:rsidRPr="00BD22C2">
          <w:rPr>
            <w:rStyle w:val="Lienhypertexte"/>
            <w:rFonts w:ascii="Arial" w:hAnsi="Arial" w:cs="Arial"/>
            <w:sz w:val="18"/>
            <w:szCs w:val="18"/>
            <w:lang w:val="fr-CA"/>
          </w:rPr>
          <w:t>https://www.unicef.ca/fr/discover-fr/article/a-propos-d%27une-gouvernance-axee-sur-les-enfants</w:t>
        </w:r>
      </w:hyperlink>
      <w:r w:rsidR="00B41D67" w:rsidRPr="00BD22C2">
        <w:rPr>
          <w:rFonts w:ascii="Arial" w:hAnsi="Arial" w:cs="Arial"/>
          <w:sz w:val="18"/>
          <w:szCs w:val="18"/>
          <w:lang w:val="fr-CA"/>
        </w:rPr>
        <w:t> </w:t>
      </w:r>
      <w:r w:rsidR="00141BDE" w:rsidRPr="00BD22C2">
        <w:rPr>
          <w:rFonts w:ascii="Arial" w:hAnsi="Arial" w:cs="Arial"/>
          <w:sz w:val="18"/>
          <w:szCs w:val="18"/>
          <w:lang w:val="fr-CA"/>
        </w:rPr>
        <w:t>;</w:t>
      </w:r>
      <w:r w:rsidRPr="00BD22C2">
        <w:rPr>
          <w:rFonts w:ascii="Arial" w:hAnsi="Arial" w:cs="Arial"/>
          <w:sz w:val="18"/>
          <w:szCs w:val="18"/>
          <w:lang w:val="fr-CA"/>
        </w:rPr>
        <w:t xml:space="preserve"> UNICEF, </w:t>
      </w:r>
      <w:r w:rsidRPr="00BD22C2">
        <w:rPr>
          <w:rFonts w:ascii="Arial" w:hAnsi="Arial" w:cs="Arial"/>
          <w:i/>
          <w:sz w:val="18"/>
          <w:szCs w:val="18"/>
          <w:lang w:val="fr-CA"/>
        </w:rPr>
        <w:t xml:space="preserve">Pour chaque enfant, tous ses droits. La Convention relative aux droits de </w:t>
      </w:r>
      <w:r w:rsidR="0086483C" w:rsidRPr="00BD22C2">
        <w:rPr>
          <w:rFonts w:ascii="Arial" w:hAnsi="Arial" w:cs="Arial"/>
          <w:i/>
          <w:sz w:val="18"/>
          <w:szCs w:val="18"/>
          <w:lang w:val="fr-CA"/>
        </w:rPr>
        <w:t xml:space="preserve">l’enfant </w:t>
      </w:r>
      <w:r w:rsidRPr="00BD22C2">
        <w:rPr>
          <w:rFonts w:ascii="Arial" w:hAnsi="Arial" w:cs="Arial"/>
          <w:i/>
          <w:sz w:val="18"/>
          <w:szCs w:val="18"/>
          <w:lang w:val="fr-CA"/>
        </w:rPr>
        <w:t>à la croisée des chemins</w:t>
      </w:r>
      <w:r w:rsidRPr="00BD22C2">
        <w:rPr>
          <w:rFonts w:ascii="Arial" w:hAnsi="Arial" w:cs="Arial"/>
          <w:sz w:val="18"/>
          <w:szCs w:val="18"/>
          <w:lang w:val="fr-CA"/>
        </w:rPr>
        <w:t xml:space="preserve">, 2019, </w:t>
      </w:r>
      <w:r w:rsidR="0022617B">
        <w:rPr>
          <w:rFonts w:ascii="Arial" w:hAnsi="Arial" w:cs="Arial"/>
          <w:sz w:val="18"/>
          <w:szCs w:val="18"/>
          <w:lang w:val="fr-CA"/>
        </w:rPr>
        <w:t>[E</w:t>
      </w:r>
      <w:r w:rsidR="00141BDE" w:rsidRPr="00BD22C2">
        <w:rPr>
          <w:rFonts w:ascii="Arial" w:hAnsi="Arial" w:cs="Arial"/>
          <w:sz w:val="18"/>
          <w:szCs w:val="18"/>
          <w:lang w:val="fr-CA"/>
        </w:rPr>
        <w:t>n ligne</w:t>
      </w:r>
      <w:r w:rsidR="0022617B">
        <w:rPr>
          <w:rFonts w:ascii="Arial" w:hAnsi="Arial" w:cs="Arial"/>
          <w:sz w:val="18"/>
          <w:szCs w:val="18"/>
          <w:lang w:val="fr-CA"/>
        </w:rPr>
        <w:t>].</w:t>
      </w:r>
      <w:r w:rsidR="008523B8" w:rsidRPr="00BD22C2">
        <w:rPr>
          <w:rFonts w:ascii="Arial" w:hAnsi="Arial" w:cs="Arial"/>
          <w:sz w:val="18"/>
          <w:szCs w:val="18"/>
          <w:lang w:val="fr-CA"/>
        </w:rPr>
        <w:t xml:space="preserve"> </w:t>
      </w:r>
      <w:hyperlink r:id="rId107" w:history="1">
        <w:r w:rsidR="0022617B" w:rsidRPr="00380AC5">
          <w:rPr>
            <w:rStyle w:val="Lienhypertexte"/>
            <w:rFonts w:ascii="Arial" w:hAnsi="Arial" w:cs="Arial"/>
            <w:sz w:val="18"/>
            <w:szCs w:val="18"/>
            <w:lang w:val="fr-CA"/>
          </w:rPr>
          <w:t>https://www.unicef.org/fr/node/28116</w:t>
        </w:r>
      </w:hyperlink>
      <w:r w:rsidR="0022617B">
        <w:rPr>
          <w:rFonts w:ascii="Arial" w:hAnsi="Arial" w:cs="Arial"/>
          <w:sz w:val="18"/>
          <w:szCs w:val="18"/>
          <w:lang w:val="fr-CA"/>
        </w:rPr>
        <w:t xml:space="preserve"> </w:t>
      </w:r>
    </w:p>
  </w:endnote>
  <w:endnote w:id="236">
    <w:p w14:paraId="12A2AFBD" w14:textId="7C27AABB"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360152" w:rsidRPr="00BD22C2">
        <w:rPr>
          <w:rFonts w:ascii="Arial" w:hAnsi="Arial" w:cs="Arial"/>
          <w:smallCaps/>
          <w:sz w:val="18"/>
          <w:szCs w:val="18"/>
          <w:lang w:val="fr-CA"/>
        </w:rPr>
        <w:t>Comité des droits de l’enfant</w:t>
      </w:r>
      <w:r w:rsidR="00360152" w:rsidRPr="00BD22C2">
        <w:rPr>
          <w:rFonts w:ascii="Arial" w:hAnsi="Arial" w:cs="Arial"/>
          <w:i/>
          <w:sz w:val="18"/>
          <w:szCs w:val="18"/>
          <w:lang w:val="fr-CA"/>
        </w:rPr>
        <w:t xml:space="preserve">, </w:t>
      </w:r>
      <w:r w:rsidR="00BC6148" w:rsidRPr="00BD22C2">
        <w:rPr>
          <w:rFonts w:ascii="Arial" w:hAnsi="Arial" w:cs="Arial"/>
          <w:i/>
          <w:sz w:val="18"/>
          <w:szCs w:val="18"/>
          <w:lang w:val="fr-CA"/>
        </w:rPr>
        <w:t xml:space="preserve">Observation </w:t>
      </w:r>
      <w:r w:rsidR="00F6157F" w:rsidRPr="00BD22C2">
        <w:rPr>
          <w:rFonts w:ascii="Arial" w:hAnsi="Arial" w:cs="Arial"/>
          <w:i/>
          <w:sz w:val="18"/>
          <w:szCs w:val="18"/>
          <w:lang w:val="fr-CA"/>
        </w:rPr>
        <w:t>gé</w:t>
      </w:r>
      <w:r w:rsidR="001334F2" w:rsidRPr="00BD22C2">
        <w:rPr>
          <w:rFonts w:ascii="Arial" w:hAnsi="Arial" w:cs="Arial"/>
          <w:i/>
          <w:sz w:val="18"/>
          <w:szCs w:val="18"/>
          <w:lang w:val="fr-CA"/>
        </w:rPr>
        <w:t xml:space="preserve">nérale </w:t>
      </w:r>
      <w:r w:rsidR="00BC6148" w:rsidRPr="00BD22C2">
        <w:rPr>
          <w:rFonts w:ascii="Arial" w:hAnsi="Arial" w:cs="Arial"/>
          <w:i/>
          <w:sz w:val="18"/>
          <w:szCs w:val="18"/>
          <w:lang w:val="fr-CA"/>
        </w:rPr>
        <w:t>n°</w:t>
      </w:r>
      <w:r w:rsidR="00CE1914">
        <w:rPr>
          <w:rFonts w:ascii="Arial" w:hAnsi="Arial" w:cs="Arial"/>
          <w:i/>
          <w:sz w:val="18"/>
          <w:szCs w:val="18"/>
          <w:lang w:val="fr-CA"/>
        </w:rPr>
        <w:t> </w:t>
      </w:r>
      <w:r w:rsidR="00BC6148" w:rsidRPr="00BD22C2">
        <w:rPr>
          <w:rFonts w:ascii="Arial" w:hAnsi="Arial" w:cs="Arial"/>
          <w:i/>
          <w:sz w:val="18"/>
          <w:szCs w:val="18"/>
          <w:lang w:val="fr-CA"/>
        </w:rPr>
        <w:t xml:space="preserve">5, </w:t>
      </w:r>
      <w:r w:rsidR="00BC6148" w:rsidRPr="00BD22C2">
        <w:rPr>
          <w:rFonts w:ascii="Arial" w:hAnsi="Arial" w:cs="Arial"/>
          <w:iCs/>
          <w:sz w:val="18"/>
          <w:szCs w:val="18"/>
          <w:lang w:val="fr-CA"/>
        </w:rPr>
        <w:t>préc., note</w:t>
      </w:r>
      <w:r w:rsidR="00CE1914">
        <w:rPr>
          <w:rFonts w:ascii="Arial" w:hAnsi="Arial" w:cs="Arial"/>
          <w:iCs/>
          <w:sz w:val="18"/>
          <w:szCs w:val="18"/>
          <w:lang w:val="fr-CA"/>
        </w:rPr>
        <w:t> </w:t>
      </w:r>
      <w:r w:rsidR="004F54D3" w:rsidRPr="00BD22C2">
        <w:rPr>
          <w:rFonts w:ascii="Arial" w:hAnsi="Arial" w:cs="Arial"/>
          <w:iCs/>
          <w:sz w:val="18"/>
          <w:szCs w:val="18"/>
          <w:lang w:val="fr-CA"/>
        </w:rPr>
        <w:fldChar w:fldCharType="begin"/>
      </w:r>
      <w:r w:rsidR="004F54D3" w:rsidRPr="00BD22C2">
        <w:rPr>
          <w:rFonts w:ascii="Arial" w:hAnsi="Arial" w:cs="Arial"/>
          <w:iCs/>
          <w:sz w:val="18"/>
          <w:szCs w:val="18"/>
          <w:lang w:val="fr-CA"/>
        </w:rPr>
        <w:instrText xml:space="preserve"> NOTEREF _Ref167441297 \h </w:instrText>
      </w:r>
      <w:r w:rsidR="004F54D3" w:rsidRPr="00BD22C2">
        <w:rPr>
          <w:rFonts w:ascii="Arial" w:hAnsi="Arial" w:cs="Arial"/>
          <w:iCs/>
          <w:sz w:val="18"/>
          <w:szCs w:val="18"/>
          <w:lang w:val="fr-CA"/>
        </w:rPr>
      </w:r>
      <w:r w:rsidR="004F54D3" w:rsidRPr="00BD22C2">
        <w:rPr>
          <w:rFonts w:ascii="Arial" w:hAnsi="Arial" w:cs="Arial"/>
          <w:iCs/>
          <w:sz w:val="18"/>
          <w:szCs w:val="18"/>
          <w:lang w:val="fr-CA"/>
        </w:rPr>
        <w:fldChar w:fldCharType="separate"/>
      </w:r>
      <w:r w:rsidR="004B4881">
        <w:rPr>
          <w:rFonts w:ascii="Arial" w:hAnsi="Arial" w:cs="Arial"/>
          <w:iCs/>
          <w:sz w:val="18"/>
          <w:szCs w:val="18"/>
          <w:lang w:val="fr-CA"/>
        </w:rPr>
        <w:t>233</w:t>
      </w:r>
      <w:r w:rsidR="004F54D3" w:rsidRPr="00BD22C2">
        <w:rPr>
          <w:rFonts w:ascii="Arial" w:hAnsi="Arial" w:cs="Arial"/>
          <w:iCs/>
          <w:sz w:val="18"/>
          <w:szCs w:val="18"/>
          <w:lang w:val="fr-CA"/>
        </w:rPr>
        <w:fldChar w:fldCharType="end"/>
      </w:r>
      <w:r w:rsidR="00360152" w:rsidRPr="00BD22C2">
        <w:rPr>
          <w:rFonts w:ascii="Arial" w:hAnsi="Arial" w:cs="Arial"/>
          <w:sz w:val="18"/>
          <w:szCs w:val="18"/>
          <w:lang w:val="fr-CA"/>
        </w:rPr>
        <w:t>, par.</w:t>
      </w:r>
      <w:r w:rsidR="0051216B" w:rsidRPr="00BD22C2">
        <w:rPr>
          <w:rFonts w:ascii="Arial" w:hAnsi="Arial" w:cs="Arial"/>
          <w:sz w:val="18"/>
          <w:szCs w:val="18"/>
          <w:lang w:val="fr-CA"/>
        </w:rPr>
        <w:t xml:space="preserve"> </w:t>
      </w:r>
      <w:r w:rsidR="00360152" w:rsidRPr="00BD22C2">
        <w:rPr>
          <w:rFonts w:ascii="Arial" w:hAnsi="Arial" w:cs="Arial"/>
          <w:sz w:val="18"/>
          <w:szCs w:val="18"/>
          <w:lang w:val="fr-CA"/>
        </w:rPr>
        <w:t>1</w:t>
      </w:r>
      <w:r w:rsidR="001F14FD" w:rsidRPr="00BD22C2">
        <w:rPr>
          <w:rFonts w:ascii="Arial" w:hAnsi="Arial" w:cs="Arial"/>
          <w:sz w:val="18"/>
          <w:szCs w:val="18"/>
          <w:lang w:val="fr-CA"/>
        </w:rPr>
        <w:t xml:space="preserve">. </w:t>
      </w:r>
    </w:p>
  </w:endnote>
  <w:endnote w:id="237">
    <w:p w14:paraId="063CB311" w14:textId="449DEE56"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 art. 2, 6, 8, 24 et 28</w:t>
      </w:r>
      <w:r w:rsidR="0086483C" w:rsidRPr="00BD22C2">
        <w:rPr>
          <w:rFonts w:ascii="Arial" w:hAnsi="Arial" w:cs="Arial"/>
          <w:sz w:val="18"/>
          <w:szCs w:val="18"/>
          <w:lang w:val="fr-CA"/>
        </w:rPr>
        <w:t>.</w:t>
      </w:r>
      <w:r w:rsidRPr="00BD22C2">
        <w:rPr>
          <w:rFonts w:ascii="Arial" w:hAnsi="Arial" w:cs="Arial"/>
          <w:sz w:val="18"/>
          <w:szCs w:val="18"/>
          <w:lang w:val="fr-CA"/>
        </w:rPr>
        <w:t xml:space="preserve"> </w:t>
      </w:r>
    </w:p>
  </w:endnote>
  <w:endnote w:id="238">
    <w:p w14:paraId="14A04BA2" w14:textId="77777777" w:rsidR="00060BA8" w:rsidRPr="00BD22C2" w:rsidRDefault="00060BA8" w:rsidP="00060BA8">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CRDE, art. 4. </w:t>
      </w:r>
    </w:p>
  </w:endnote>
  <w:endnote w:id="239">
    <w:p w14:paraId="73BFBE85" w14:textId="43F96993"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La Charte</w:t>
      </w:r>
      <w:r w:rsidR="00C76D0D" w:rsidRPr="00BD22C2">
        <w:rPr>
          <w:rFonts w:ascii="Arial" w:hAnsi="Arial" w:cs="Arial"/>
          <w:sz w:val="18"/>
          <w:szCs w:val="18"/>
          <w:lang w:val="fr-CA"/>
        </w:rPr>
        <w:t xml:space="preserve"> offre une protection</w:t>
      </w:r>
      <w:r w:rsidRPr="00BD22C2" w:rsidDel="00C76D0D">
        <w:rPr>
          <w:rFonts w:ascii="Arial" w:hAnsi="Arial" w:cs="Arial"/>
          <w:sz w:val="18"/>
          <w:szCs w:val="18"/>
          <w:lang w:val="fr-CA"/>
        </w:rPr>
        <w:t xml:space="preserve"> </w:t>
      </w:r>
      <w:r w:rsidR="00B562B2" w:rsidRPr="00BD22C2">
        <w:rPr>
          <w:rFonts w:ascii="Arial" w:hAnsi="Arial" w:cs="Arial"/>
          <w:sz w:val="18"/>
          <w:szCs w:val="18"/>
          <w:lang w:val="fr-CA"/>
        </w:rPr>
        <w:t>à l’encontre de</w:t>
      </w:r>
      <w:r w:rsidRPr="00BD22C2">
        <w:rPr>
          <w:rFonts w:ascii="Arial" w:hAnsi="Arial" w:cs="Arial"/>
          <w:sz w:val="18"/>
          <w:szCs w:val="18"/>
          <w:lang w:val="fr-CA"/>
        </w:rPr>
        <w:t xml:space="preserve"> la discrimination fondée sur l’âge, sauf lorsque l’exigence liée à l’âge est inscrite dans une loi. Dans ces situations, la distinction est réputée ne pas être discriminatoire. </w:t>
      </w:r>
      <w:r w:rsidR="005B4020" w:rsidRPr="00BD22C2">
        <w:rPr>
          <w:rFonts w:ascii="Arial" w:hAnsi="Arial" w:cs="Arial"/>
          <w:sz w:val="18"/>
          <w:szCs w:val="18"/>
          <w:lang w:val="fr-CA"/>
        </w:rPr>
        <w:t>Charte, art.</w:t>
      </w:r>
      <w:r w:rsidR="00CE1914">
        <w:rPr>
          <w:rFonts w:ascii="Arial" w:hAnsi="Arial" w:cs="Arial"/>
          <w:sz w:val="18"/>
          <w:szCs w:val="18"/>
          <w:lang w:val="fr-CA"/>
        </w:rPr>
        <w:t> </w:t>
      </w:r>
      <w:r w:rsidRPr="00BD22C2">
        <w:rPr>
          <w:rFonts w:ascii="Arial" w:hAnsi="Arial" w:cs="Arial"/>
          <w:sz w:val="18"/>
          <w:szCs w:val="18"/>
          <w:lang w:val="fr-CA"/>
        </w:rPr>
        <w:t>10</w:t>
      </w:r>
      <w:r w:rsidR="005B4020" w:rsidRPr="00BD22C2">
        <w:rPr>
          <w:rFonts w:ascii="Arial" w:hAnsi="Arial" w:cs="Arial"/>
          <w:sz w:val="18"/>
          <w:szCs w:val="18"/>
          <w:lang w:val="fr-CA"/>
        </w:rPr>
        <w:t>.</w:t>
      </w:r>
      <w:r w:rsidRPr="00BD22C2">
        <w:rPr>
          <w:rFonts w:ascii="Arial" w:hAnsi="Arial" w:cs="Arial"/>
          <w:sz w:val="18"/>
          <w:szCs w:val="18"/>
          <w:lang w:val="fr-CA"/>
        </w:rPr>
        <w:t xml:space="preserve"> </w:t>
      </w:r>
    </w:p>
  </w:endnote>
  <w:endnote w:id="240">
    <w:p w14:paraId="1DFCF771"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Voir notamment C.c.Q, art. 1 et 3.</w:t>
      </w:r>
    </w:p>
  </w:endnote>
  <w:endnote w:id="241">
    <w:p w14:paraId="0CAD7F19" w14:textId="0BB5812A"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 art. 3</w:t>
      </w:r>
      <w:r w:rsidR="004F54D3" w:rsidRPr="00BD22C2">
        <w:rPr>
          <w:rFonts w:ascii="Arial" w:hAnsi="Arial" w:cs="Arial"/>
          <w:sz w:val="18"/>
          <w:szCs w:val="18"/>
          <w:lang w:val="fr-CA"/>
        </w:rPr>
        <w:t>,</w:t>
      </w:r>
      <w:r w:rsidRPr="00BD22C2">
        <w:rPr>
          <w:rFonts w:ascii="Arial" w:hAnsi="Arial" w:cs="Arial"/>
          <w:sz w:val="18"/>
          <w:szCs w:val="18"/>
          <w:lang w:val="fr-CA"/>
        </w:rPr>
        <w:t xml:space="preserve"> 1). </w:t>
      </w:r>
    </w:p>
  </w:endnote>
  <w:endnote w:id="242">
    <w:p w14:paraId="76F19BC6"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CRDE, art. 12. </w:t>
      </w:r>
    </w:p>
  </w:endnote>
  <w:endnote w:id="243">
    <w:p w14:paraId="2DF1F5E3"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 art. 2.</w:t>
      </w:r>
    </w:p>
  </w:endnote>
  <w:endnote w:id="244">
    <w:p w14:paraId="3672E227" w14:textId="442B7175"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 art. 6</w:t>
      </w:r>
      <w:r w:rsidR="00B41D67" w:rsidRPr="00BD22C2">
        <w:rPr>
          <w:rFonts w:ascii="Arial" w:hAnsi="Arial" w:cs="Arial"/>
          <w:sz w:val="18"/>
          <w:szCs w:val="18"/>
          <w:lang w:val="fr-CA"/>
        </w:rPr>
        <w:t> </w:t>
      </w:r>
      <w:r w:rsidR="00636F63"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Directives générales concernant la forme et le contenu des rapports périodiques que les États parties doivent présenter conformément au paragraphe 1</w:t>
      </w:r>
      <w:r w:rsidR="00762FE8">
        <w:rPr>
          <w:rFonts w:ascii="Arial" w:hAnsi="Arial" w:cs="Arial"/>
          <w:i/>
          <w:sz w:val="18"/>
          <w:szCs w:val="18"/>
          <w:lang w:val="fr-CA"/>
        </w:rPr>
        <w:t> </w:t>
      </w:r>
      <w:r w:rsidRPr="00BD22C2">
        <w:rPr>
          <w:rFonts w:ascii="Arial" w:hAnsi="Arial" w:cs="Arial"/>
          <w:i/>
          <w:sz w:val="18"/>
          <w:szCs w:val="18"/>
          <w:lang w:val="fr-CA"/>
        </w:rPr>
        <w:t>b) de l’article 44 de la Convention</w:t>
      </w:r>
      <w:r w:rsidRPr="00BD22C2">
        <w:rPr>
          <w:rFonts w:ascii="Arial" w:hAnsi="Arial" w:cs="Arial"/>
          <w:sz w:val="18"/>
          <w:szCs w:val="18"/>
          <w:lang w:val="fr-CA"/>
        </w:rPr>
        <w:t>, Doc. N.</w:t>
      </w:r>
      <w:r w:rsidR="006305FE">
        <w:rPr>
          <w:rFonts w:ascii="Arial" w:hAnsi="Arial" w:cs="Arial"/>
          <w:sz w:val="18"/>
          <w:szCs w:val="18"/>
          <w:lang w:val="fr-CA"/>
        </w:rPr>
        <w:t> </w:t>
      </w:r>
      <w:r w:rsidRPr="00BD22C2">
        <w:rPr>
          <w:rFonts w:ascii="Arial" w:hAnsi="Arial" w:cs="Arial"/>
          <w:sz w:val="18"/>
          <w:szCs w:val="18"/>
          <w:lang w:val="fr-CA"/>
        </w:rPr>
        <w:t>U.</w:t>
      </w:r>
      <w:r w:rsidR="008B4522">
        <w:rPr>
          <w:rFonts w:ascii="Arial" w:hAnsi="Arial" w:cs="Arial"/>
          <w:sz w:val="18"/>
          <w:szCs w:val="18"/>
          <w:lang w:val="fr-CA"/>
        </w:rPr>
        <w:t> </w:t>
      </w:r>
      <w:r w:rsidRPr="00BD22C2">
        <w:rPr>
          <w:rFonts w:ascii="Arial" w:hAnsi="Arial" w:cs="Arial"/>
          <w:sz w:val="18"/>
          <w:szCs w:val="18"/>
          <w:lang w:val="fr-CA"/>
        </w:rPr>
        <w:t>CRC/C/58 (1996</w:t>
      </w:r>
      <w:r w:rsidR="004617D2" w:rsidRPr="00BD22C2">
        <w:rPr>
          <w:rFonts w:ascii="Arial" w:hAnsi="Arial" w:cs="Arial"/>
          <w:sz w:val="18"/>
          <w:szCs w:val="18"/>
          <w:lang w:val="fr-CA"/>
        </w:rPr>
        <w:t>)</w:t>
      </w:r>
      <w:r w:rsidR="00B41D67" w:rsidRPr="00BD22C2">
        <w:rPr>
          <w:rFonts w:ascii="Arial" w:hAnsi="Arial" w:cs="Arial"/>
          <w:sz w:val="18"/>
          <w:szCs w:val="18"/>
          <w:lang w:val="fr-CA"/>
        </w:rPr>
        <w:t> </w:t>
      </w:r>
      <w:r w:rsidR="004617D2" w:rsidRPr="00BD22C2">
        <w:rPr>
          <w:rFonts w:ascii="Arial" w:hAnsi="Arial" w:cs="Arial"/>
          <w:sz w:val="18"/>
          <w:szCs w:val="18"/>
          <w:lang w:val="fr-CA"/>
        </w:rPr>
        <w:t>;</w:t>
      </w:r>
      <w:r w:rsidRPr="00BD22C2">
        <w:rPr>
          <w:rFonts w:ascii="Arial" w:hAnsi="Arial" w:cs="Arial"/>
          <w:sz w:val="18"/>
          <w:szCs w:val="18"/>
          <w:lang w:val="fr-CA"/>
        </w:rPr>
        <w:t xml:space="preserve"> </w:t>
      </w:r>
      <w:r w:rsidR="00B55645" w:rsidRPr="00BD22C2">
        <w:rPr>
          <w:rFonts w:ascii="Arial" w:eastAsia="Times New Roman" w:hAnsi="Arial" w:cs="Arial"/>
          <w:smallCaps/>
          <w:sz w:val="18"/>
          <w:szCs w:val="18"/>
          <w:lang w:val="fr-CA" w:eastAsia="x-none"/>
        </w:rPr>
        <w:t>Comité des droits de l’enfant</w:t>
      </w:r>
      <w:r w:rsidR="00B55645" w:rsidRPr="00BD22C2">
        <w:rPr>
          <w:rFonts w:ascii="Arial" w:eastAsia="Times New Roman" w:hAnsi="Arial" w:cs="Arial"/>
          <w:sz w:val="18"/>
          <w:szCs w:val="18"/>
          <w:lang w:val="fr-CA" w:eastAsia="x-none"/>
        </w:rPr>
        <w:t xml:space="preserve">, </w:t>
      </w:r>
      <w:r w:rsidR="001334F2" w:rsidRPr="00BD22C2">
        <w:rPr>
          <w:rFonts w:ascii="Arial" w:hAnsi="Arial" w:cs="Arial"/>
          <w:i/>
          <w:sz w:val="18"/>
          <w:szCs w:val="18"/>
          <w:lang w:val="fr-CA"/>
        </w:rPr>
        <w:t>Observation générale n°</w:t>
      </w:r>
      <w:r w:rsidR="00CE1914">
        <w:rPr>
          <w:rFonts w:ascii="Arial" w:hAnsi="Arial" w:cs="Arial"/>
          <w:i/>
          <w:sz w:val="18"/>
          <w:szCs w:val="18"/>
          <w:lang w:val="fr-CA"/>
        </w:rPr>
        <w:t> </w:t>
      </w:r>
      <w:r w:rsidR="001334F2" w:rsidRPr="00BD22C2">
        <w:rPr>
          <w:rFonts w:ascii="Arial" w:hAnsi="Arial" w:cs="Arial"/>
          <w:i/>
          <w:sz w:val="18"/>
          <w:szCs w:val="18"/>
          <w:lang w:val="fr-CA"/>
        </w:rPr>
        <w:t xml:space="preserve">5, </w:t>
      </w:r>
      <w:r w:rsidR="001334F2" w:rsidRPr="00BD22C2">
        <w:rPr>
          <w:rFonts w:ascii="Arial" w:hAnsi="Arial" w:cs="Arial"/>
          <w:iCs/>
          <w:sz w:val="18"/>
          <w:szCs w:val="18"/>
          <w:lang w:val="fr-CA"/>
        </w:rPr>
        <w:t>préc., note</w:t>
      </w:r>
      <w:r w:rsidR="00CE1914">
        <w:rPr>
          <w:rFonts w:ascii="Arial" w:hAnsi="Arial" w:cs="Arial"/>
          <w:iCs/>
          <w:sz w:val="18"/>
          <w:szCs w:val="18"/>
          <w:lang w:val="fr-CA"/>
        </w:rPr>
        <w:t> </w:t>
      </w:r>
      <w:r w:rsidR="001334F2" w:rsidRPr="00BD22C2">
        <w:rPr>
          <w:rFonts w:ascii="Arial" w:hAnsi="Arial" w:cs="Arial"/>
          <w:iCs/>
          <w:sz w:val="18"/>
          <w:szCs w:val="18"/>
          <w:lang w:val="fr-CA"/>
        </w:rPr>
        <w:fldChar w:fldCharType="begin"/>
      </w:r>
      <w:r w:rsidR="001334F2" w:rsidRPr="00BD22C2">
        <w:rPr>
          <w:rFonts w:ascii="Arial" w:hAnsi="Arial" w:cs="Arial"/>
          <w:iCs/>
          <w:sz w:val="18"/>
          <w:szCs w:val="18"/>
          <w:lang w:val="fr-CA"/>
        </w:rPr>
        <w:instrText xml:space="preserve"> NOTEREF _Ref167441297 \h </w:instrText>
      </w:r>
      <w:r w:rsidR="001334F2" w:rsidRPr="00BD22C2">
        <w:rPr>
          <w:rFonts w:ascii="Arial" w:hAnsi="Arial" w:cs="Arial"/>
          <w:iCs/>
          <w:sz w:val="18"/>
          <w:szCs w:val="18"/>
          <w:lang w:val="fr-CA"/>
        </w:rPr>
      </w:r>
      <w:r w:rsidR="001334F2" w:rsidRPr="00BD22C2">
        <w:rPr>
          <w:rFonts w:ascii="Arial" w:hAnsi="Arial" w:cs="Arial"/>
          <w:iCs/>
          <w:sz w:val="18"/>
          <w:szCs w:val="18"/>
          <w:lang w:val="fr-CA"/>
        </w:rPr>
        <w:fldChar w:fldCharType="separate"/>
      </w:r>
      <w:r w:rsidR="004B4881">
        <w:rPr>
          <w:rFonts w:ascii="Arial" w:hAnsi="Arial" w:cs="Arial"/>
          <w:iCs/>
          <w:sz w:val="18"/>
          <w:szCs w:val="18"/>
          <w:lang w:val="fr-CA"/>
        </w:rPr>
        <w:t>233</w:t>
      </w:r>
      <w:r w:rsidR="001334F2" w:rsidRPr="00BD22C2">
        <w:rPr>
          <w:rFonts w:ascii="Arial" w:hAnsi="Arial" w:cs="Arial"/>
          <w:iCs/>
          <w:sz w:val="18"/>
          <w:szCs w:val="18"/>
          <w:lang w:val="fr-CA"/>
        </w:rPr>
        <w:fldChar w:fldCharType="end"/>
      </w:r>
      <w:r w:rsidR="00B55645" w:rsidRPr="00BD22C2">
        <w:rPr>
          <w:rFonts w:ascii="Arial" w:hAnsi="Arial" w:cs="Arial"/>
          <w:sz w:val="18"/>
          <w:szCs w:val="18"/>
          <w:lang w:val="fr-CA"/>
        </w:rPr>
        <w:t>,</w:t>
      </w:r>
      <w:r w:rsidR="00421955" w:rsidRPr="00BD22C2">
        <w:rPr>
          <w:rFonts w:ascii="Arial" w:hAnsi="Arial" w:cs="Arial"/>
          <w:sz w:val="18"/>
          <w:szCs w:val="18"/>
          <w:lang w:val="fr-CA"/>
        </w:rPr>
        <w:t xml:space="preserve"> </w:t>
      </w:r>
      <w:r w:rsidRPr="00BD22C2">
        <w:rPr>
          <w:rFonts w:ascii="Arial" w:hAnsi="Arial" w:cs="Arial"/>
          <w:sz w:val="18"/>
          <w:szCs w:val="18"/>
          <w:lang w:val="fr-CA"/>
        </w:rPr>
        <w:t xml:space="preserve">par. 12. Pour une description plus complète de ces quatre principes, voir </w:t>
      </w:r>
      <w:r w:rsidR="00C87F53" w:rsidRPr="00BD22C2">
        <w:rPr>
          <w:rFonts w:ascii="Arial" w:hAnsi="Arial" w:cs="Arial"/>
          <w:smallCaps/>
          <w:sz w:val="18"/>
          <w:szCs w:val="18"/>
          <w:lang w:val="fr-CA"/>
        </w:rPr>
        <w:t>Commission des droits de la personne et des droits de la jeunesse</w:t>
      </w:r>
      <w:r w:rsidR="00C87F53" w:rsidRPr="00BD22C2">
        <w:rPr>
          <w:rFonts w:ascii="Arial" w:hAnsi="Arial" w:cs="Arial"/>
          <w:sz w:val="18"/>
          <w:szCs w:val="18"/>
          <w:lang w:val="fr-CA"/>
        </w:rPr>
        <w:t xml:space="preserve">, </w:t>
      </w:r>
      <w:r w:rsidR="008C271E" w:rsidRPr="00BD22C2">
        <w:rPr>
          <w:rFonts w:ascii="Arial" w:hAnsi="Arial" w:cs="Arial"/>
          <w:iCs/>
          <w:sz w:val="18"/>
          <w:szCs w:val="18"/>
          <w:lang w:val="fr-CA"/>
        </w:rPr>
        <w:t>2020, préc., note</w:t>
      </w:r>
      <w:r w:rsidR="00CE1914">
        <w:rPr>
          <w:rFonts w:ascii="Arial" w:hAnsi="Arial" w:cs="Arial"/>
          <w:iCs/>
          <w:sz w:val="18"/>
          <w:szCs w:val="18"/>
          <w:lang w:val="fr-CA"/>
        </w:rPr>
        <w:t> </w:t>
      </w:r>
      <w:r w:rsidR="009217F5" w:rsidRPr="00BD22C2">
        <w:rPr>
          <w:rFonts w:ascii="Arial" w:hAnsi="Arial" w:cs="Arial"/>
          <w:iCs/>
          <w:sz w:val="18"/>
          <w:szCs w:val="18"/>
          <w:lang w:val="fr-CA"/>
        </w:rPr>
        <w:fldChar w:fldCharType="begin"/>
      </w:r>
      <w:r w:rsidR="009217F5" w:rsidRPr="00BD22C2">
        <w:rPr>
          <w:rFonts w:ascii="Arial" w:hAnsi="Arial" w:cs="Arial"/>
          <w:iCs/>
          <w:sz w:val="18"/>
          <w:szCs w:val="18"/>
          <w:lang w:val="fr-CA"/>
        </w:rPr>
        <w:instrText xml:space="preserve"> NOTEREF _Ref167441834 \h </w:instrText>
      </w:r>
      <w:r w:rsidR="009217F5" w:rsidRPr="00BD22C2">
        <w:rPr>
          <w:rFonts w:ascii="Arial" w:hAnsi="Arial" w:cs="Arial"/>
          <w:iCs/>
          <w:sz w:val="18"/>
          <w:szCs w:val="18"/>
          <w:lang w:val="fr-CA"/>
        </w:rPr>
      </w:r>
      <w:r w:rsidR="009217F5" w:rsidRPr="00BD22C2">
        <w:rPr>
          <w:rFonts w:ascii="Arial" w:hAnsi="Arial" w:cs="Arial"/>
          <w:iCs/>
          <w:sz w:val="18"/>
          <w:szCs w:val="18"/>
          <w:lang w:val="fr-CA"/>
        </w:rPr>
        <w:fldChar w:fldCharType="separate"/>
      </w:r>
      <w:r w:rsidR="004B4881">
        <w:rPr>
          <w:rFonts w:ascii="Arial" w:hAnsi="Arial" w:cs="Arial"/>
          <w:iCs/>
          <w:sz w:val="18"/>
          <w:szCs w:val="18"/>
          <w:lang w:val="fr-CA"/>
        </w:rPr>
        <w:t>232</w:t>
      </w:r>
      <w:r w:rsidR="009217F5" w:rsidRPr="00BD22C2">
        <w:rPr>
          <w:rFonts w:ascii="Arial" w:hAnsi="Arial" w:cs="Arial"/>
          <w:iCs/>
          <w:sz w:val="18"/>
          <w:szCs w:val="18"/>
          <w:lang w:val="fr-CA"/>
        </w:rPr>
        <w:fldChar w:fldCharType="end"/>
      </w:r>
      <w:r w:rsidR="00C71EF4" w:rsidRPr="00BD22C2">
        <w:rPr>
          <w:rFonts w:ascii="Arial" w:hAnsi="Arial" w:cs="Arial"/>
          <w:sz w:val="18"/>
          <w:szCs w:val="18"/>
          <w:lang w:val="fr-CA"/>
        </w:rPr>
        <w:t>, p.</w:t>
      </w:r>
      <w:r w:rsidR="00CE1914">
        <w:rPr>
          <w:rFonts w:ascii="Arial" w:hAnsi="Arial" w:cs="Arial"/>
          <w:sz w:val="18"/>
          <w:szCs w:val="18"/>
          <w:lang w:val="fr-CA"/>
        </w:rPr>
        <w:t> </w:t>
      </w:r>
      <w:r w:rsidR="00C71EF4" w:rsidRPr="00BD22C2">
        <w:rPr>
          <w:rFonts w:ascii="Arial" w:hAnsi="Arial" w:cs="Arial"/>
          <w:sz w:val="18"/>
          <w:szCs w:val="18"/>
          <w:lang w:val="fr-CA"/>
        </w:rPr>
        <w:t>8.</w:t>
      </w:r>
    </w:p>
  </w:endnote>
  <w:endnote w:id="245">
    <w:p w14:paraId="705AC017" w14:textId="7204BDA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w:t>
      </w:r>
      <w:r w:rsidR="008F033F" w:rsidRPr="00BD22C2">
        <w:rPr>
          <w:rFonts w:ascii="Arial" w:hAnsi="Arial" w:cs="Arial"/>
          <w:sz w:val="18"/>
          <w:szCs w:val="18"/>
          <w:lang w:val="fr-CA"/>
        </w:rPr>
        <w:t>, art.</w:t>
      </w:r>
      <w:r w:rsidR="00CE1914">
        <w:rPr>
          <w:rFonts w:ascii="Arial" w:hAnsi="Arial" w:cs="Arial"/>
          <w:sz w:val="18"/>
          <w:szCs w:val="18"/>
          <w:lang w:val="fr-CA"/>
        </w:rPr>
        <w:t> </w:t>
      </w:r>
      <w:r w:rsidR="008F033F" w:rsidRPr="00BD22C2">
        <w:rPr>
          <w:rFonts w:ascii="Arial" w:hAnsi="Arial" w:cs="Arial"/>
          <w:sz w:val="18"/>
          <w:szCs w:val="18"/>
          <w:lang w:val="fr-CA"/>
        </w:rPr>
        <w:t>3.</w:t>
      </w:r>
    </w:p>
  </w:endnote>
  <w:endnote w:id="246">
    <w:p w14:paraId="64882EF6" w14:textId="5CE0A1C4"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w:t>
      </w:r>
      <w:r w:rsidRPr="00BD22C2">
        <w:rPr>
          <w:rFonts w:ascii="Arial" w:hAnsi="Arial" w:cs="Arial"/>
          <w:i/>
          <w:sz w:val="18"/>
          <w:szCs w:val="18"/>
          <w:vertAlign w:val="superscript"/>
          <w:lang w:val="fr-CA"/>
        </w:rPr>
        <w:t>o</w:t>
      </w:r>
      <w:r w:rsidRPr="00BD22C2">
        <w:rPr>
          <w:rFonts w:ascii="Arial" w:hAnsi="Arial" w:cs="Arial"/>
          <w:i/>
          <w:sz w:val="18"/>
          <w:szCs w:val="18"/>
          <w:lang w:val="fr-CA"/>
        </w:rPr>
        <w:t xml:space="preserve"> 14 (2013) sur le droit de </w:t>
      </w:r>
      <w:r w:rsidR="00704ED5" w:rsidRPr="00BD22C2">
        <w:rPr>
          <w:rFonts w:ascii="Arial" w:hAnsi="Arial" w:cs="Arial"/>
          <w:i/>
          <w:sz w:val="18"/>
          <w:szCs w:val="18"/>
          <w:lang w:val="fr-CA"/>
        </w:rPr>
        <w:t xml:space="preserve">l’enfant </w:t>
      </w:r>
      <w:r w:rsidRPr="00BD22C2">
        <w:rPr>
          <w:rFonts w:ascii="Arial" w:hAnsi="Arial" w:cs="Arial"/>
          <w:i/>
          <w:sz w:val="18"/>
          <w:szCs w:val="18"/>
          <w:lang w:val="fr-CA"/>
        </w:rPr>
        <w:t xml:space="preserve">à ce que son intérêt supérieur soit une considération primordiale, </w:t>
      </w:r>
      <w:r w:rsidR="00D10A1A" w:rsidRPr="00BD22C2">
        <w:rPr>
          <w:rFonts w:ascii="Arial" w:hAnsi="Arial" w:cs="Arial"/>
          <w:i/>
          <w:sz w:val="18"/>
          <w:szCs w:val="18"/>
          <w:lang w:val="fr-CA"/>
        </w:rPr>
        <w:t>(</w:t>
      </w:r>
      <w:r w:rsidRPr="00BD22C2">
        <w:rPr>
          <w:rFonts w:ascii="Arial" w:hAnsi="Arial" w:cs="Arial"/>
          <w:i/>
          <w:sz w:val="18"/>
          <w:szCs w:val="18"/>
          <w:lang w:val="fr-CA"/>
        </w:rPr>
        <w:t>art. 3, par. 1</w:t>
      </w:r>
      <w:r w:rsidR="00D10A1A" w:rsidRPr="00BD22C2">
        <w:rPr>
          <w:rFonts w:ascii="Arial" w:hAnsi="Arial" w:cs="Arial"/>
          <w:i/>
          <w:sz w:val="18"/>
          <w:szCs w:val="18"/>
          <w:lang w:val="fr-CA"/>
        </w:rPr>
        <w:t>)</w:t>
      </w:r>
      <w:r w:rsidRPr="00BD22C2">
        <w:rPr>
          <w:rFonts w:ascii="Arial" w:hAnsi="Arial" w:cs="Arial"/>
          <w:sz w:val="18"/>
          <w:szCs w:val="18"/>
          <w:lang w:val="fr-CA"/>
        </w:rPr>
        <w:t>, Doc. N.</w:t>
      </w:r>
      <w:r w:rsidR="006305FE">
        <w:rPr>
          <w:rFonts w:ascii="Arial" w:hAnsi="Arial" w:cs="Arial"/>
          <w:sz w:val="18"/>
          <w:szCs w:val="18"/>
          <w:lang w:val="fr-CA"/>
        </w:rPr>
        <w:t> </w:t>
      </w:r>
      <w:r w:rsidRPr="00BD22C2">
        <w:rPr>
          <w:rFonts w:ascii="Arial" w:hAnsi="Arial" w:cs="Arial"/>
          <w:sz w:val="18"/>
          <w:szCs w:val="18"/>
          <w:lang w:val="fr-CA"/>
        </w:rPr>
        <w:t>U.</w:t>
      </w:r>
      <w:r w:rsidR="008B4522">
        <w:rPr>
          <w:rFonts w:ascii="Arial" w:hAnsi="Arial" w:cs="Arial"/>
          <w:sz w:val="18"/>
          <w:szCs w:val="18"/>
          <w:lang w:val="fr-CA"/>
        </w:rPr>
        <w:t> </w:t>
      </w:r>
      <w:r w:rsidRPr="00BD22C2">
        <w:rPr>
          <w:rFonts w:ascii="Arial" w:hAnsi="Arial" w:cs="Arial"/>
          <w:sz w:val="18"/>
          <w:szCs w:val="18"/>
          <w:lang w:val="fr-CA"/>
        </w:rPr>
        <w:t>CRC/C/GC/14, par. 35.</w:t>
      </w:r>
    </w:p>
  </w:endnote>
  <w:endnote w:id="247">
    <w:p w14:paraId="2897D746" w14:textId="5486D7F5"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334F2" w:rsidRPr="00BD22C2">
        <w:rPr>
          <w:rFonts w:ascii="Arial" w:hAnsi="Arial" w:cs="Arial"/>
          <w:i/>
          <w:sz w:val="18"/>
          <w:szCs w:val="18"/>
          <w:lang w:val="fr-CA"/>
        </w:rPr>
        <w:t>Id.</w:t>
      </w:r>
      <w:r w:rsidRPr="00BD22C2">
        <w:rPr>
          <w:rFonts w:ascii="Arial" w:hAnsi="Arial" w:cs="Arial"/>
          <w:sz w:val="18"/>
          <w:szCs w:val="18"/>
          <w:lang w:val="fr-CA"/>
        </w:rPr>
        <w:t xml:space="preserve">, par. 6. </w:t>
      </w:r>
    </w:p>
  </w:endnote>
  <w:endnote w:id="248">
    <w:p w14:paraId="642A508D" w14:textId="19FF57A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C.c.Q</w:t>
      </w:r>
      <w:r w:rsidR="000E4BA5" w:rsidRPr="00BD22C2">
        <w:rPr>
          <w:rFonts w:ascii="Arial" w:hAnsi="Arial" w:cs="Arial"/>
          <w:sz w:val="18"/>
          <w:szCs w:val="18"/>
          <w:lang w:val="fr-CA"/>
        </w:rPr>
        <w:t>., art. 33</w:t>
      </w:r>
      <w:r w:rsidR="00B41D67" w:rsidRPr="00BD22C2">
        <w:rPr>
          <w:rFonts w:ascii="Arial" w:hAnsi="Arial" w:cs="Arial"/>
          <w:sz w:val="18"/>
          <w:szCs w:val="18"/>
          <w:lang w:val="fr-CA"/>
        </w:rPr>
        <w:t> </w:t>
      </w:r>
      <w:r w:rsidR="006A007F" w:rsidRPr="00BD22C2">
        <w:rPr>
          <w:rFonts w:ascii="Arial" w:hAnsi="Arial" w:cs="Arial"/>
          <w:sz w:val="18"/>
          <w:szCs w:val="18"/>
          <w:lang w:val="fr-CA"/>
        </w:rPr>
        <w:t>; L.p.j., art.</w:t>
      </w:r>
      <w:r w:rsidR="00CE1914">
        <w:rPr>
          <w:rFonts w:ascii="Arial" w:hAnsi="Arial" w:cs="Arial"/>
          <w:sz w:val="18"/>
          <w:szCs w:val="18"/>
          <w:lang w:val="fr-CA"/>
        </w:rPr>
        <w:t> </w:t>
      </w:r>
      <w:r w:rsidR="006A007F" w:rsidRPr="00BD22C2">
        <w:rPr>
          <w:rFonts w:ascii="Arial" w:hAnsi="Arial" w:cs="Arial"/>
          <w:sz w:val="18"/>
          <w:szCs w:val="18"/>
          <w:lang w:val="fr-CA"/>
        </w:rPr>
        <w:t>3</w:t>
      </w:r>
      <w:r w:rsidR="00B41D67"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shd w:val="clear" w:color="auto" w:fill="FFFFFF"/>
          <w:lang w:val="fr-CA"/>
        </w:rPr>
        <w:t>C.(G).</w:t>
      </w:r>
      <w:r w:rsidRPr="00BD22C2">
        <w:rPr>
          <w:rFonts w:ascii="Arial" w:hAnsi="Arial" w:cs="Arial"/>
          <w:sz w:val="18"/>
          <w:szCs w:val="18"/>
          <w:shd w:val="clear" w:color="auto" w:fill="FFFFFF"/>
          <w:lang w:val="fr-CA"/>
        </w:rPr>
        <w:t xml:space="preserve"> c. </w:t>
      </w:r>
      <w:r w:rsidRPr="00BD22C2">
        <w:rPr>
          <w:rFonts w:ascii="Arial" w:hAnsi="Arial" w:cs="Arial"/>
          <w:i/>
          <w:sz w:val="18"/>
          <w:szCs w:val="18"/>
          <w:shd w:val="clear" w:color="auto" w:fill="FFFFFF"/>
          <w:lang w:val="fr-CA"/>
        </w:rPr>
        <w:t>V.— F. (T)</w:t>
      </w:r>
      <w:r w:rsidRPr="00BD22C2">
        <w:rPr>
          <w:rFonts w:ascii="Arial" w:hAnsi="Arial" w:cs="Arial"/>
          <w:sz w:val="18"/>
          <w:szCs w:val="18"/>
          <w:shd w:val="clear" w:color="auto" w:fill="FFFFFF"/>
          <w:lang w:val="fr-CA"/>
        </w:rPr>
        <w:t>, </w:t>
      </w:r>
      <w:r w:rsidRPr="00BD22C2">
        <w:rPr>
          <w:rFonts w:ascii="Arial" w:hAnsi="Arial" w:cs="Arial"/>
          <w:color w:val="000000"/>
          <w:sz w:val="18"/>
          <w:szCs w:val="18"/>
          <w:shd w:val="clear" w:color="auto" w:fill="FFFFFF"/>
          <w:lang w:val="fr-CA"/>
        </w:rPr>
        <w:t>[1987], 2 R.C.S. 244</w:t>
      </w:r>
      <w:r w:rsidRPr="00BD22C2">
        <w:rPr>
          <w:rFonts w:ascii="Arial" w:hAnsi="Arial" w:cs="Arial"/>
          <w:sz w:val="18"/>
          <w:szCs w:val="18"/>
          <w:shd w:val="clear" w:color="auto" w:fill="FFFFFF"/>
          <w:lang w:val="fr-CA"/>
        </w:rPr>
        <w:t xml:space="preserve">, 269 et 270. </w:t>
      </w:r>
    </w:p>
  </w:endnote>
  <w:endnote w:id="249">
    <w:p w14:paraId="006C1EAD" w14:textId="1543AAB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Carmen </w:t>
      </w:r>
      <w:r w:rsidRPr="00BD22C2">
        <w:rPr>
          <w:rFonts w:ascii="Arial" w:hAnsi="Arial" w:cs="Arial"/>
          <w:smallCaps/>
          <w:sz w:val="18"/>
          <w:szCs w:val="18"/>
          <w:lang w:val="fr-CA"/>
        </w:rPr>
        <w:t>Lavallée</w:t>
      </w:r>
      <w:r w:rsidR="0004283E" w:rsidRPr="00BD22C2">
        <w:rPr>
          <w:rFonts w:ascii="Arial" w:hAnsi="Arial" w:cs="Arial"/>
          <w:sz w:val="18"/>
          <w:szCs w:val="18"/>
          <w:lang w:val="fr-CA"/>
        </w:rPr>
        <w:t xml:space="preserve"> et</w:t>
      </w:r>
      <w:r w:rsidRPr="00BD22C2">
        <w:rPr>
          <w:rFonts w:ascii="Arial" w:hAnsi="Arial" w:cs="Arial"/>
          <w:sz w:val="18"/>
          <w:szCs w:val="18"/>
          <w:lang w:val="fr-CA"/>
        </w:rPr>
        <w:t xml:space="preserve"> Julie</w:t>
      </w:r>
      <w:r w:rsidR="003E2A18" w:rsidRPr="00BD22C2">
        <w:rPr>
          <w:rFonts w:ascii="Arial" w:hAnsi="Arial" w:cs="Arial"/>
          <w:sz w:val="18"/>
          <w:szCs w:val="18"/>
          <w:lang w:val="fr-CA"/>
        </w:rPr>
        <w:t>-Véronique</w:t>
      </w:r>
      <w:r w:rsidRPr="00BD22C2">
        <w:rPr>
          <w:rFonts w:ascii="Arial" w:hAnsi="Arial" w:cs="Arial"/>
          <w:sz w:val="18"/>
          <w:szCs w:val="18"/>
          <w:lang w:val="fr-CA"/>
        </w:rPr>
        <w:t xml:space="preserve"> </w:t>
      </w:r>
      <w:r w:rsidR="008F06F0" w:rsidRPr="00BD22C2">
        <w:rPr>
          <w:rFonts w:ascii="Arial" w:hAnsi="Arial" w:cs="Arial"/>
          <w:smallCaps/>
          <w:sz w:val="18"/>
          <w:szCs w:val="18"/>
          <w:lang w:val="fr-CA"/>
        </w:rPr>
        <w:t>Allaire</w:t>
      </w:r>
      <w:r w:rsidR="002B2FD1" w:rsidRPr="00BD22C2">
        <w:rPr>
          <w:rFonts w:ascii="Arial" w:hAnsi="Arial" w:cs="Arial"/>
          <w:sz w:val="18"/>
          <w:szCs w:val="18"/>
          <w:lang w:val="fr-CA"/>
        </w:rPr>
        <w:t xml:space="preserve">, </w:t>
      </w:r>
      <w:r w:rsidRPr="00BD22C2">
        <w:rPr>
          <w:rFonts w:ascii="Arial" w:hAnsi="Arial" w:cs="Arial"/>
          <w:i/>
          <w:sz w:val="18"/>
          <w:szCs w:val="18"/>
          <w:lang w:val="fr-CA"/>
        </w:rPr>
        <w:t>L’enfant, ses familles et les institutions d’adoption : regards sur le droit français et le droit québécois</w:t>
      </w:r>
      <w:r w:rsidRPr="00BD22C2">
        <w:rPr>
          <w:rFonts w:ascii="Arial" w:hAnsi="Arial" w:cs="Arial"/>
          <w:sz w:val="18"/>
          <w:szCs w:val="18"/>
          <w:lang w:val="fr-CA"/>
        </w:rPr>
        <w:t xml:space="preserve">, </w:t>
      </w:r>
      <w:r w:rsidR="005A369F" w:rsidRPr="00BD22C2">
        <w:rPr>
          <w:rFonts w:ascii="Arial" w:hAnsi="Arial" w:cs="Arial"/>
          <w:sz w:val="18"/>
          <w:szCs w:val="18"/>
          <w:lang w:val="fr-CA"/>
        </w:rPr>
        <w:t xml:space="preserve">Montréal, Wilson et Lafleur, </w:t>
      </w:r>
      <w:r w:rsidR="003C5B05" w:rsidRPr="00BD22C2">
        <w:rPr>
          <w:rFonts w:ascii="Arial" w:hAnsi="Arial" w:cs="Arial"/>
          <w:sz w:val="18"/>
          <w:szCs w:val="18"/>
          <w:lang w:val="fr-CA"/>
        </w:rPr>
        <w:t>2005</w:t>
      </w:r>
      <w:r w:rsidR="00080ECD" w:rsidRPr="00BD22C2">
        <w:rPr>
          <w:rFonts w:ascii="Arial" w:hAnsi="Arial" w:cs="Arial"/>
          <w:sz w:val="18"/>
          <w:szCs w:val="18"/>
          <w:lang w:val="fr-CA"/>
        </w:rPr>
        <w:t xml:space="preserve">, </w:t>
      </w:r>
      <w:r w:rsidRPr="00BD22C2">
        <w:rPr>
          <w:rFonts w:ascii="Arial" w:hAnsi="Arial" w:cs="Arial"/>
          <w:sz w:val="18"/>
          <w:szCs w:val="18"/>
          <w:lang w:val="fr-CA"/>
        </w:rPr>
        <w:t xml:space="preserve">par. 323. </w:t>
      </w:r>
    </w:p>
  </w:endnote>
  <w:endnote w:id="250">
    <w:p w14:paraId="0FA71A1C" w14:textId="5C66D51A" w:rsidR="0006160E" w:rsidRPr="00BD22C2" w:rsidRDefault="0006160E" w:rsidP="0006160E">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w:t>
      </w:r>
      <w:r w:rsidRPr="00BD22C2">
        <w:rPr>
          <w:rFonts w:ascii="Arial" w:hAnsi="Arial" w:cs="Arial"/>
          <w:i/>
          <w:sz w:val="18"/>
          <w:szCs w:val="18"/>
          <w:vertAlign w:val="superscript"/>
          <w:lang w:val="fr-CA"/>
        </w:rPr>
        <w:t>o</w:t>
      </w:r>
      <w:r w:rsidRPr="00BD22C2">
        <w:rPr>
          <w:rFonts w:ascii="Arial" w:hAnsi="Arial" w:cs="Arial"/>
          <w:i/>
          <w:sz w:val="18"/>
          <w:szCs w:val="18"/>
          <w:lang w:val="fr-CA"/>
        </w:rPr>
        <w:t> 14</w:t>
      </w:r>
      <w:r w:rsidRPr="00BD22C2">
        <w:rPr>
          <w:rFonts w:ascii="Arial" w:hAnsi="Arial" w:cs="Arial"/>
          <w:sz w:val="18"/>
          <w:szCs w:val="18"/>
          <w:lang w:val="fr-CA"/>
        </w:rPr>
        <w:t>,</w:t>
      </w:r>
      <w:r w:rsidR="00D15D50" w:rsidRPr="00BD22C2">
        <w:rPr>
          <w:rFonts w:ascii="Arial" w:hAnsi="Arial" w:cs="Arial"/>
          <w:sz w:val="18"/>
          <w:szCs w:val="18"/>
          <w:lang w:val="fr-CA"/>
        </w:rPr>
        <w:t xml:space="preserve"> préc., note</w:t>
      </w:r>
      <w:r w:rsidR="00CE1914">
        <w:rPr>
          <w:rFonts w:ascii="Arial" w:hAnsi="Arial" w:cs="Arial"/>
          <w:sz w:val="18"/>
          <w:szCs w:val="18"/>
          <w:lang w:val="fr-CA"/>
        </w:rPr>
        <w:t> </w:t>
      </w:r>
      <w:r w:rsidR="00537387" w:rsidRPr="00BD22C2">
        <w:rPr>
          <w:rFonts w:ascii="Arial" w:hAnsi="Arial" w:cs="Arial"/>
          <w:sz w:val="18"/>
          <w:szCs w:val="18"/>
          <w:lang w:val="fr-CA"/>
        </w:rPr>
        <w:fldChar w:fldCharType="begin"/>
      </w:r>
      <w:r w:rsidR="00537387" w:rsidRPr="00BD22C2">
        <w:rPr>
          <w:rFonts w:ascii="Arial" w:hAnsi="Arial" w:cs="Arial"/>
          <w:sz w:val="18"/>
          <w:szCs w:val="18"/>
          <w:lang w:val="fr-CA"/>
        </w:rPr>
        <w:instrText xml:space="preserve"> NOTEREF _Ref167441453 \h </w:instrText>
      </w:r>
      <w:r w:rsidR="00537387" w:rsidRPr="00BD22C2">
        <w:rPr>
          <w:rFonts w:ascii="Arial" w:hAnsi="Arial" w:cs="Arial"/>
          <w:sz w:val="18"/>
          <w:szCs w:val="18"/>
          <w:lang w:val="fr-CA"/>
        </w:rPr>
      </w:r>
      <w:r w:rsidR="00537387" w:rsidRPr="00BD22C2">
        <w:rPr>
          <w:rFonts w:ascii="Arial" w:hAnsi="Arial" w:cs="Arial"/>
          <w:sz w:val="18"/>
          <w:szCs w:val="18"/>
          <w:lang w:val="fr-CA"/>
        </w:rPr>
        <w:fldChar w:fldCharType="separate"/>
      </w:r>
      <w:r w:rsidR="004B4881">
        <w:rPr>
          <w:rFonts w:ascii="Arial" w:hAnsi="Arial" w:cs="Arial"/>
          <w:sz w:val="18"/>
          <w:szCs w:val="18"/>
          <w:lang w:val="fr-CA"/>
        </w:rPr>
        <w:t>245</w:t>
      </w:r>
      <w:r w:rsidR="00537387" w:rsidRPr="00BD22C2">
        <w:rPr>
          <w:rFonts w:ascii="Arial" w:hAnsi="Arial" w:cs="Arial"/>
          <w:sz w:val="18"/>
          <w:szCs w:val="18"/>
          <w:lang w:val="fr-CA"/>
        </w:rPr>
        <w:fldChar w:fldCharType="end"/>
      </w:r>
      <w:r w:rsidR="00537387" w:rsidRPr="00BD22C2">
        <w:rPr>
          <w:rFonts w:ascii="Arial" w:hAnsi="Arial" w:cs="Arial"/>
          <w:sz w:val="18"/>
          <w:szCs w:val="18"/>
          <w:lang w:val="fr-CA"/>
        </w:rPr>
        <w:t>,</w:t>
      </w:r>
      <w:r w:rsidRPr="00BD22C2">
        <w:rPr>
          <w:rFonts w:ascii="Arial" w:hAnsi="Arial" w:cs="Arial"/>
          <w:sz w:val="18"/>
          <w:szCs w:val="18"/>
          <w:lang w:val="fr-CA"/>
        </w:rPr>
        <w:t xml:space="preserve"> par. 39.  </w:t>
      </w:r>
    </w:p>
  </w:endnote>
  <w:endnote w:id="251">
    <w:p w14:paraId="130163B5" w14:textId="6C3C7B8D"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823B6F">
        <w:rPr>
          <w:rFonts w:ascii="Arial" w:hAnsi="Arial" w:cs="Arial"/>
          <w:i/>
          <w:iCs/>
          <w:sz w:val="18"/>
          <w:szCs w:val="18"/>
          <w:lang w:val="fr-CA"/>
        </w:rPr>
        <w:t>Id</w:t>
      </w:r>
      <w:r w:rsidRPr="00BD22C2">
        <w:rPr>
          <w:rFonts w:ascii="Arial" w:hAnsi="Arial" w:cs="Arial"/>
          <w:sz w:val="18"/>
          <w:szCs w:val="18"/>
          <w:lang w:val="fr-CA"/>
        </w:rPr>
        <w:t>.</w:t>
      </w:r>
      <w:r w:rsidR="004A1AE1" w:rsidRPr="00BD22C2">
        <w:rPr>
          <w:rFonts w:ascii="Arial" w:hAnsi="Arial" w:cs="Arial"/>
          <w:sz w:val="18"/>
          <w:szCs w:val="18"/>
          <w:lang w:val="fr-CA"/>
        </w:rPr>
        <w:t>, par. 48</w:t>
      </w:r>
      <w:r w:rsidRPr="00BD22C2">
        <w:rPr>
          <w:rFonts w:ascii="Arial" w:hAnsi="Arial" w:cs="Arial"/>
          <w:sz w:val="18"/>
          <w:szCs w:val="18"/>
          <w:lang w:val="fr-CA"/>
        </w:rPr>
        <w:t>.</w:t>
      </w:r>
    </w:p>
  </w:endnote>
  <w:endnote w:id="252">
    <w:p w14:paraId="46551EC7" w14:textId="73D38A25" w:rsidR="00527B57" w:rsidRPr="00BD22C2" w:rsidRDefault="00527B57" w:rsidP="00527B57">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823B6F" w:rsidRPr="00823B6F">
        <w:rPr>
          <w:rFonts w:ascii="Arial" w:hAnsi="Arial" w:cs="Arial"/>
          <w:i/>
          <w:iCs/>
          <w:sz w:val="18"/>
          <w:szCs w:val="18"/>
          <w:lang w:val="fr-CA"/>
        </w:rPr>
        <w:t>Id</w:t>
      </w:r>
      <w:r w:rsidR="00823B6F" w:rsidRPr="00BD22C2">
        <w:rPr>
          <w:rFonts w:ascii="Arial" w:hAnsi="Arial" w:cs="Arial"/>
          <w:sz w:val="18"/>
          <w:szCs w:val="18"/>
          <w:lang w:val="fr-CA"/>
        </w:rPr>
        <w:t>.</w:t>
      </w:r>
      <w:r w:rsidR="00823B6F">
        <w:rPr>
          <w:rFonts w:ascii="Arial" w:hAnsi="Arial" w:cs="Arial"/>
          <w:smallCaps/>
          <w:sz w:val="18"/>
          <w:szCs w:val="18"/>
          <w:lang w:val="fr-CA"/>
        </w:rPr>
        <w:t>,</w:t>
      </w:r>
      <w:r w:rsidRPr="00BD22C2">
        <w:rPr>
          <w:rFonts w:ascii="Arial" w:hAnsi="Arial" w:cs="Arial"/>
          <w:sz w:val="18"/>
          <w:szCs w:val="18"/>
          <w:lang w:val="fr-CA"/>
        </w:rPr>
        <w:t xml:space="preserve"> par. 48. Dans le domaine particulier de la protection de la jeunesse, l’analyse se fait en fonction des critères prévus aux articles 3 et 131.4</w:t>
      </w:r>
      <w:r w:rsidR="00B32B61">
        <w:rPr>
          <w:rFonts w:ascii="Arial" w:hAnsi="Arial" w:cs="Arial"/>
          <w:sz w:val="18"/>
          <w:szCs w:val="18"/>
          <w:lang w:val="fr-CA"/>
        </w:rPr>
        <w:t> </w:t>
      </w:r>
      <w:r w:rsidRPr="00BD22C2">
        <w:rPr>
          <w:rFonts w:ascii="Arial" w:hAnsi="Arial" w:cs="Arial"/>
          <w:sz w:val="18"/>
          <w:szCs w:val="18"/>
          <w:lang w:val="fr-CA"/>
        </w:rPr>
        <w:t xml:space="preserve">L.p.j. </w:t>
      </w:r>
    </w:p>
  </w:endnote>
  <w:endnote w:id="253">
    <w:p w14:paraId="69B5A8E6" w14:textId="77777777" w:rsidR="00F7531E" w:rsidRPr="00BD22C2" w:rsidRDefault="00F7531E" w:rsidP="00C00F96">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B562B2" w:rsidRPr="00BD22C2">
        <w:rPr>
          <w:rFonts w:ascii="Arial" w:hAnsi="Arial" w:cs="Arial"/>
          <w:i/>
          <w:sz w:val="18"/>
          <w:szCs w:val="18"/>
          <w:lang w:val="fr-CA"/>
        </w:rPr>
        <w:t>Id</w:t>
      </w:r>
      <w:r w:rsidR="00B562B2" w:rsidRPr="00BD22C2">
        <w:rPr>
          <w:rFonts w:ascii="Arial" w:hAnsi="Arial" w:cs="Arial"/>
          <w:sz w:val="18"/>
          <w:szCs w:val="18"/>
          <w:lang w:val="fr-CA"/>
        </w:rPr>
        <w:t>.</w:t>
      </w:r>
      <w:r w:rsidRPr="00BD22C2">
        <w:rPr>
          <w:rFonts w:ascii="Arial" w:hAnsi="Arial" w:cs="Arial"/>
          <w:sz w:val="18"/>
          <w:szCs w:val="18"/>
          <w:lang w:val="fr-CA"/>
        </w:rPr>
        <w:t>, par. 55</w:t>
      </w:r>
      <w:r w:rsidR="00577618" w:rsidRPr="00BD22C2">
        <w:rPr>
          <w:rFonts w:ascii="Arial" w:hAnsi="Arial" w:cs="Arial"/>
          <w:sz w:val="18"/>
          <w:szCs w:val="18"/>
          <w:lang w:val="fr-CA"/>
        </w:rPr>
        <w:t>.</w:t>
      </w:r>
    </w:p>
  </w:endnote>
  <w:endnote w:id="254">
    <w:p w14:paraId="3C106A2D" w14:textId="4BE6AD4C"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B562B2" w:rsidRPr="00BD22C2">
        <w:rPr>
          <w:rFonts w:ascii="Arial" w:hAnsi="Arial" w:cs="Arial"/>
          <w:i/>
          <w:sz w:val="18"/>
          <w:szCs w:val="18"/>
          <w:lang w:val="fr-CA"/>
        </w:rPr>
        <w:t>Id</w:t>
      </w:r>
      <w:r w:rsidR="00577618" w:rsidRPr="00BD22C2">
        <w:rPr>
          <w:rFonts w:ascii="Arial" w:hAnsi="Arial" w:cs="Arial"/>
          <w:sz w:val="18"/>
          <w:szCs w:val="18"/>
          <w:lang w:val="fr-CA"/>
        </w:rPr>
        <w:t>.</w:t>
      </w:r>
      <w:r w:rsidRPr="00BD22C2">
        <w:rPr>
          <w:rFonts w:ascii="Arial" w:hAnsi="Arial" w:cs="Arial"/>
          <w:sz w:val="18"/>
          <w:szCs w:val="18"/>
          <w:lang w:val="fr-CA"/>
        </w:rPr>
        <w:t xml:space="preserve">, par. 39. </w:t>
      </w:r>
    </w:p>
  </w:endnote>
  <w:endnote w:id="255">
    <w:p w14:paraId="5CC6074E"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w:t>
      </w:r>
    </w:p>
  </w:endnote>
  <w:endnote w:id="256">
    <w:p w14:paraId="341315B3" w14:textId="76AE9145"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Voir, à titre d’exemples, </w:t>
      </w:r>
      <w:r w:rsidRPr="00BD22C2">
        <w:rPr>
          <w:rFonts w:ascii="Arial" w:hAnsi="Arial" w:cs="Arial"/>
          <w:i/>
          <w:sz w:val="18"/>
          <w:szCs w:val="18"/>
          <w:lang w:val="fr-CA"/>
        </w:rPr>
        <w:t xml:space="preserve">Young </w:t>
      </w:r>
      <w:r w:rsidRPr="00BD22C2">
        <w:rPr>
          <w:rFonts w:ascii="Arial" w:hAnsi="Arial" w:cs="Arial"/>
          <w:sz w:val="18"/>
          <w:szCs w:val="18"/>
          <w:lang w:val="fr-CA"/>
        </w:rPr>
        <w:t xml:space="preserve">c. </w:t>
      </w:r>
      <w:r w:rsidRPr="00BD22C2">
        <w:rPr>
          <w:rFonts w:ascii="Arial" w:hAnsi="Arial" w:cs="Arial"/>
          <w:i/>
          <w:sz w:val="18"/>
          <w:szCs w:val="18"/>
          <w:lang w:val="fr-CA"/>
        </w:rPr>
        <w:t>Young</w:t>
      </w:r>
      <w:r w:rsidRPr="00BD22C2">
        <w:rPr>
          <w:rFonts w:ascii="Arial" w:hAnsi="Arial" w:cs="Arial"/>
          <w:sz w:val="18"/>
          <w:szCs w:val="18"/>
          <w:lang w:val="fr-CA"/>
        </w:rPr>
        <w:t>, [1993] 4</w:t>
      </w:r>
      <w:r w:rsidR="00B32B61">
        <w:rPr>
          <w:rFonts w:ascii="Arial" w:hAnsi="Arial" w:cs="Arial"/>
          <w:sz w:val="18"/>
          <w:szCs w:val="18"/>
          <w:lang w:val="fr-CA"/>
        </w:rPr>
        <w:t> </w:t>
      </w:r>
      <w:r w:rsidRPr="00BD22C2">
        <w:rPr>
          <w:rFonts w:ascii="Arial" w:hAnsi="Arial" w:cs="Arial"/>
          <w:sz w:val="18"/>
          <w:szCs w:val="18"/>
          <w:lang w:val="fr-CA"/>
        </w:rPr>
        <w:t>R.C.S. 3</w:t>
      </w:r>
      <w:r w:rsidR="00234C28" w:rsidRPr="00BD22C2">
        <w:rPr>
          <w:rFonts w:ascii="Arial" w:hAnsi="Arial" w:cs="Arial"/>
          <w:sz w:val="18"/>
          <w:szCs w:val="18"/>
          <w:lang w:val="fr-CA"/>
        </w:rPr>
        <w:t xml:space="preserve"> </w:t>
      </w:r>
      <w:r w:rsidRPr="00BD22C2">
        <w:rPr>
          <w:rFonts w:ascii="Arial" w:hAnsi="Arial" w:cs="Arial"/>
          <w:sz w:val="18"/>
          <w:szCs w:val="18"/>
          <w:lang w:val="fr-CA"/>
        </w:rPr>
        <w:t>; </w:t>
      </w:r>
      <w:r w:rsidRPr="00BD22C2">
        <w:rPr>
          <w:rFonts w:ascii="Arial" w:hAnsi="Arial" w:cs="Arial"/>
          <w:i/>
          <w:sz w:val="18"/>
          <w:szCs w:val="18"/>
          <w:lang w:val="fr-CA"/>
        </w:rPr>
        <w:t>Nouveau-Brunswick (Ministre de la Santé et des Services communautaires)</w:t>
      </w:r>
      <w:r w:rsidR="004D158B" w:rsidRPr="00BD22C2">
        <w:rPr>
          <w:rFonts w:ascii="Arial" w:hAnsi="Arial" w:cs="Arial"/>
          <w:sz w:val="18"/>
          <w:szCs w:val="18"/>
          <w:lang w:val="fr-CA"/>
        </w:rPr>
        <w:t xml:space="preserve"> </w:t>
      </w:r>
      <w:r w:rsidRPr="00BD22C2">
        <w:rPr>
          <w:rFonts w:ascii="Arial" w:hAnsi="Arial" w:cs="Arial"/>
          <w:sz w:val="18"/>
          <w:szCs w:val="18"/>
          <w:lang w:val="fr-CA"/>
        </w:rPr>
        <w:t>c</w:t>
      </w:r>
      <w:r w:rsidRPr="00BD22C2">
        <w:rPr>
          <w:rFonts w:ascii="Arial" w:hAnsi="Arial" w:cs="Arial"/>
          <w:i/>
          <w:sz w:val="18"/>
          <w:szCs w:val="18"/>
          <w:lang w:val="fr-CA"/>
        </w:rPr>
        <w:t>. L</w:t>
      </w:r>
      <w:r w:rsidR="00577618" w:rsidRPr="00BD22C2">
        <w:rPr>
          <w:rFonts w:ascii="Arial" w:hAnsi="Arial" w:cs="Arial"/>
          <w:i/>
          <w:sz w:val="18"/>
          <w:szCs w:val="18"/>
          <w:lang w:val="fr-CA"/>
        </w:rPr>
        <w:t>.</w:t>
      </w:r>
      <w:r w:rsidR="0051216B" w:rsidRPr="00BD22C2">
        <w:rPr>
          <w:rFonts w:ascii="Arial" w:hAnsi="Arial" w:cs="Arial"/>
          <w:i/>
          <w:sz w:val="18"/>
          <w:szCs w:val="18"/>
          <w:lang w:val="fr-CA"/>
        </w:rPr>
        <w:t>—</w:t>
      </w:r>
      <w:r w:rsidRPr="00BD22C2">
        <w:rPr>
          <w:rFonts w:ascii="Arial" w:hAnsi="Arial" w:cs="Arial"/>
          <w:i/>
          <w:sz w:val="18"/>
          <w:szCs w:val="18"/>
          <w:lang w:val="fr-CA"/>
        </w:rPr>
        <w:t xml:space="preserve"> (M</w:t>
      </w:r>
      <w:r w:rsidR="00577618" w:rsidRPr="00BD22C2">
        <w:rPr>
          <w:rFonts w:ascii="Arial" w:hAnsi="Arial" w:cs="Arial"/>
          <w:i/>
          <w:sz w:val="18"/>
          <w:szCs w:val="18"/>
          <w:lang w:val="fr-CA"/>
        </w:rPr>
        <w:t>.</w:t>
      </w:r>
      <w:r w:rsidRPr="00BD22C2">
        <w:rPr>
          <w:rFonts w:ascii="Arial" w:hAnsi="Arial" w:cs="Arial"/>
          <w:i/>
          <w:sz w:val="18"/>
          <w:szCs w:val="18"/>
          <w:lang w:val="fr-CA"/>
        </w:rPr>
        <w:t>)</w:t>
      </w:r>
      <w:r w:rsidRPr="00BD22C2">
        <w:rPr>
          <w:rFonts w:ascii="Arial" w:hAnsi="Arial" w:cs="Arial"/>
          <w:sz w:val="18"/>
          <w:szCs w:val="18"/>
          <w:lang w:val="fr-CA"/>
        </w:rPr>
        <w:t>, [1998] 2 R.C.S.</w:t>
      </w:r>
      <w:r w:rsidR="00CE1914">
        <w:rPr>
          <w:rFonts w:ascii="Arial" w:hAnsi="Arial" w:cs="Arial"/>
          <w:sz w:val="18"/>
          <w:szCs w:val="18"/>
          <w:lang w:val="fr-CA"/>
        </w:rPr>
        <w:t> </w:t>
      </w:r>
      <w:r w:rsidRPr="00BD22C2">
        <w:rPr>
          <w:rFonts w:ascii="Arial" w:hAnsi="Arial" w:cs="Arial"/>
          <w:sz w:val="18"/>
          <w:szCs w:val="18"/>
          <w:lang w:val="fr-CA"/>
        </w:rPr>
        <w:t xml:space="preserve">534, </w:t>
      </w:r>
      <w:r w:rsidR="008F03A8" w:rsidRPr="00BD22C2">
        <w:rPr>
          <w:rFonts w:ascii="Arial" w:hAnsi="Arial" w:cs="Arial"/>
          <w:sz w:val="18"/>
          <w:szCs w:val="18"/>
          <w:lang w:val="fr-CA"/>
        </w:rPr>
        <w:t>par. 46</w:t>
      </w:r>
      <w:r w:rsidRPr="00BD22C2">
        <w:rPr>
          <w:rFonts w:ascii="Arial" w:hAnsi="Arial" w:cs="Arial"/>
          <w:sz w:val="18"/>
          <w:szCs w:val="18"/>
          <w:lang w:val="fr-CA"/>
        </w:rPr>
        <w:t xml:space="preserve">, </w:t>
      </w:r>
      <w:r w:rsidRPr="00BD22C2">
        <w:rPr>
          <w:rFonts w:ascii="Arial" w:hAnsi="Arial" w:cs="Arial"/>
          <w:i/>
          <w:sz w:val="18"/>
          <w:szCs w:val="18"/>
          <w:lang w:val="fr-CA"/>
        </w:rPr>
        <w:t>Canadian Foundation for Children, Youth and the Law</w:t>
      </w:r>
      <w:r w:rsidRPr="00BD22C2">
        <w:rPr>
          <w:rFonts w:ascii="Arial" w:hAnsi="Arial" w:cs="Arial"/>
          <w:sz w:val="18"/>
          <w:szCs w:val="18"/>
          <w:lang w:val="fr-CA"/>
        </w:rPr>
        <w:t xml:space="preserve"> c. </w:t>
      </w:r>
      <w:r w:rsidRPr="00BD22C2">
        <w:rPr>
          <w:rFonts w:ascii="Arial" w:hAnsi="Arial" w:cs="Arial"/>
          <w:i/>
          <w:sz w:val="18"/>
          <w:szCs w:val="18"/>
          <w:lang w:val="fr-CA"/>
        </w:rPr>
        <w:t>Canada (Procureur général)</w:t>
      </w:r>
      <w:r w:rsidRPr="00BD22C2">
        <w:rPr>
          <w:rFonts w:ascii="Arial" w:hAnsi="Arial" w:cs="Arial"/>
          <w:sz w:val="18"/>
          <w:szCs w:val="18"/>
          <w:lang w:val="fr-CA"/>
        </w:rPr>
        <w:t>, 2004 CSC 4, par. 10</w:t>
      </w:r>
      <w:r w:rsidR="005900CB" w:rsidRPr="00BD22C2">
        <w:rPr>
          <w:rFonts w:ascii="Arial" w:hAnsi="Arial" w:cs="Arial"/>
          <w:sz w:val="18"/>
          <w:szCs w:val="18"/>
          <w:lang w:val="fr-CA"/>
        </w:rPr>
        <w:t xml:space="preserve">, </w:t>
      </w:r>
      <w:r w:rsidR="005900CB" w:rsidRPr="00BD22C2">
        <w:rPr>
          <w:rFonts w:ascii="Arial" w:hAnsi="Arial" w:cs="Arial"/>
          <w:i/>
          <w:sz w:val="18"/>
          <w:szCs w:val="18"/>
          <w:lang w:val="fr-CA"/>
        </w:rPr>
        <w:t>C.(G.)</w:t>
      </w:r>
      <w:r w:rsidR="005900CB" w:rsidRPr="00BD22C2">
        <w:rPr>
          <w:rFonts w:ascii="Arial" w:hAnsi="Arial" w:cs="Arial"/>
          <w:sz w:val="18"/>
          <w:szCs w:val="18"/>
          <w:lang w:val="fr-CA"/>
        </w:rPr>
        <w:t xml:space="preserve"> c. </w:t>
      </w:r>
      <w:r w:rsidR="005900CB" w:rsidRPr="00BD22C2">
        <w:rPr>
          <w:rFonts w:ascii="Arial" w:hAnsi="Arial" w:cs="Arial"/>
          <w:i/>
          <w:sz w:val="18"/>
          <w:szCs w:val="18"/>
          <w:lang w:val="fr-CA"/>
        </w:rPr>
        <w:t>V.-F.(T.)</w:t>
      </w:r>
      <w:r w:rsidR="005900CB" w:rsidRPr="00BD22C2">
        <w:rPr>
          <w:rFonts w:ascii="Arial" w:hAnsi="Arial" w:cs="Arial"/>
          <w:sz w:val="18"/>
          <w:szCs w:val="18"/>
          <w:lang w:val="fr-CA"/>
        </w:rPr>
        <w:t>,</w:t>
      </w:r>
      <w:r w:rsidR="00B4109E" w:rsidRPr="00BD22C2">
        <w:rPr>
          <w:rFonts w:ascii="Arial" w:hAnsi="Arial" w:cs="Arial"/>
          <w:sz w:val="18"/>
          <w:szCs w:val="18"/>
          <w:lang w:val="fr-CA"/>
        </w:rPr>
        <w:t xml:space="preserve"> </w:t>
      </w:r>
      <w:r w:rsidR="005F7D65" w:rsidRPr="00BD22C2">
        <w:rPr>
          <w:rFonts w:ascii="Arial" w:hAnsi="Arial" w:cs="Arial"/>
          <w:sz w:val="18"/>
          <w:szCs w:val="18"/>
          <w:lang w:val="fr-CA"/>
        </w:rPr>
        <w:t xml:space="preserve">préc., note </w:t>
      </w:r>
      <w:r w:rsidR="00707240" w:rsidRPr="00BD22C2">
        <w:rPr>
          <w:rFonts w:ascii="Arial" w:hAnsi="Arial" w:cs="Arial"/>
          <w:sz w:val="18"/>
          <w:szCs w:val="18"/>
          <w:lang w:val="fr-CA"/>
        </w:rPr>
        <w:t>246</w:t>
      </w:r>
      <w:r w:rsidR="00B4109E" w:rsidRPr="00BD22C2">
        <w:rPr>
          <w:rFonts w:ascii="Arial" w:hAnsi="Arial" w:cs="Arial"/>
          <w:sz w:val="18"/>
          <w:szCs w:val="18"/>
          <w:lang w:val="fr-CA"/>
        </w:rPr>
        <w:t>, p</w:t>
      </w:r>
      <w:r w:rsidR="00F22BCA" w:rsidRPr="00BD22C2">
        <w:rPr>
          <w:rFonts w:ascii="Arial" w:hAnsi="Arial" w:cs="Arial"/>
          <w:sz w:val="18"/>
          <w:szCs w:val="18"/>
          <w:lang w:val="fr-CA"/>
        </w:rPr>
        <w:t>ar. 42</w:t>
      </w:r>
      <w:r w:rsidR="0051583D" w:rsidRPr="00BD22C2">
        <w:rPr>
          <w:rFonts w:ascii="Arial" w:hAnsi="Arial" w:cs="Arial"/>
          <w:sz w:val="18"/>
          <w:szCs w:val="18"/>
          <w:lang w:val="fr-CA"/>
        </w:rPr>
        <w:t xml:space="preserve">, </w:t>
      </w:r>
      <w:r w:rsidR="0051583D" w:rsidRPr="00BD22C2">
        <w:rPr>
          <w:rFonts w:ascii="Arial" w:hAnsi="Arial" w:cs="Arial"/>
          <w:i/>
          <w:sz w:val="18"/>
          <w:szCs w:val="18"/>
          <w:lang w:val="fr-CA"/>
        </w:rPr>
        <w:t>P</w:t>
      </w:r>
      <w:r w:rsidR="00530EC5" w:rsidRPr="00BD22C2">
        <w:rPr>
          <w:rFonts w:ascii="Arial" w:hAnsi="Arial" w:cs="Arial"/>
          <w:i/>
          <w:sz w:val="18"/>
          <w:szCs w:val="18"/>
          <w:lang w:val="fr-CA"/>
        </w:rPr>
        <w:t>.</w:t>
      </w:r>
      <w:r w:rsidR="0051583D" w:rsidRPr="00BD22C2">
        <w:rPr>
          <w:rFonts w:ascii="Arial" w:hAnsi="Arial" w:cs="Arial"/>
          <w:i/>
          <w:sz w:val="18"/>
          <w:szCs w:val="18"/>
          <w:lang w:val="fr-CA"/>
        </w:rPr>
        <w:t>(D</w:t>
      </w:r>
      <w:r w:rsidR="00530EC5" w:rsidRPr="00BD22C2">
        <w:rPr>
          <w:rFonts w:ascii="Arial" w:hAnsi="Arial" w:cs="Arial"/>
          <w:i/>
          <w:sz w:val="18"/>
          <w:szCs w:val="18"/>
          <w:lang w:val="fr-CA"/>
        </w:rPr>
        <w:t>.</w:t>
      </w:r>
      <w:r w:rsidR="0051583D" w:rsidRPr="00BD22C2">
        <w:rPr>
          <w:rFonts w:ascii="Arial" w:hAnsi="Arial" w:cs="Arial"/>
          <w:i/>
          <w:sz w:val="18"/>
          <w:szCs w:val="18"/>
          <w:lang w:val="fr-CA"/>
        </w:rPr>
        <w:t>)</w:t>
      </w:r>
      <w:r w:rsidR="0051583D" w:rsidRPr="00BD22C2">
        <w:rPr>
          <w:rFonts w:ascii="Arial" w:hAnsi="Arial" w:cs="Arial"/>
          <w:sz w:val="18"/>
          <w:szCs w:val="18"/>
          <w:lang w:val="fr-CA"/>
        </w:rPr>
        <w:t xml:space="preserve"> c. </w:t>
      </w:r>
      <w:r w:rsidR="0051583D" w:rsidRPr="00BD22C2">
        <w:rPr>
          <w:rFonts w:ascii="Arial" w:hAnsi="Arial" w:cs="Arial"/>
          <w:i/>
          <w:sz w:val="18"/>
          <w:szCs w:val="18"/>
          <w:lang w:val="fr-CA"/>
        </w:rPr>
        <w:t>S.(C.)</w:t>
      </w:r>
      <w:r w:rsidR="0051583D" w:rsidRPr="00BD22C2">
        <w:rPr>
          <w:rFonts w:ascii="Arial" w:hAnsi="Arial" w:cs="Arial"/>
          <w:sz w:val="18"/>
          <w:szCs w:val="18"/>
          <w:lang w:val="fr-CA"/>
        </w:rPr>
        <w:t>,</w:t>
      </w:r>
      <w:r w:rsidR="00EA421D" w:rsidRPr="00BD22C2">
        <w:rPr>
          <w:rFonts w:ascii="Arial" w:hAnsi="Arial" w:cs="Arial"/>
          <w:sz w:val="18"/>
          <w:szCs w:val="18"/>
          <w:lang w:val="fr-CA"/>
        </w:rPr>
        <w:t xml:space="preserve"> [1993] 4</w:t>
      </w:r>
      <w:r w:rsidR="00B32B61">
        <w:rPr>
          <w:rFonts w:ascii="Arial" w:hAnsi="Arial" w:cs="Arial"/>
          <w:sz w:val="18"/>
          <w:szCs w:val="18"/>
          <w:lang w:val="fr-CA"/>
        </w:rPr>
        <w:t> </w:t>
      </w:r>
      <w:r w:rsidR="00EA421D" w:rsidRPr="00BD22C2">
        <w:rPr>
          <w:rFonts w:ascii="Arial" w:hAnsi="Arial" w:cs="Arial"/>
          <w:sz w:val="18"/>
          <w:szCs w:val="18"/>
          <w:lang w:val="fr-CA"/>
        </w:rPr>
        <w:t>R.C.S.,</w:t>
      </w:r>
      <w:r w:rsidR="00EC70EC" w:rsidRPr="00BD22C2">
        <w:rPr>
          <w:rFonts w:ascii="Arial" w:hAnsi="Arial" w:cs="Arial"/>
          <w:sz w:val="18"/>
          <w:szCs w:val="18"/>
          <w:lang w:val="fr-CA"/>
        </w:rPr>
        <w:t xml:space="preserve"> 141,</w:t>
      </w:r>
      <w:r w:rsidR="0051583D" w:rsidRPr="00BD22C2">
        <w:rPr>
          <w:rFonts w:ascii="Arial" w:hAnsi="Arial" w:cs="Arial"/>
          <w:sz w:val="18"/>
          <w:szCs w:val="18"/>
          <w:lang w:val="fr-CA"/>
        </w:rPr>
        <w:t xml:space="preserve"> p.</w:t>
      </w:r>
      <w:r w:rsidR="00CE1914">
        <w:rPr>
          <w:rFonts w:ascii="Arial" w:hAnsi="Arial" w:cs="Arial"/>
          <w:sz w:val="18"/>
          <w:szCs w:val="18"/>
          <w:lang w:val="fr-CA"/>
        </w:rPr>
        <w:t> </w:t>
      </w:r>
      <w:r w:rsidR="0051583D" w:rsidRPr="00BD22C2">
        <w:rPr>
          <w:rFonts w:ascii="Arial" w:hAnsi="Arial" w:cs="Arial"/>
          <w:sz w:val="18"/>
          <w:szCs w:val="18"/>
          <w:lang w:val="fr-CA"/>
        </w:rPr>
        <w:t xml:space="preserve">174. </w:t>
      </w:r>
    </w:p>
  </w:endnote>
  <w:endnote w:id="257">
    <w:p w14:paraId="5B34501D" w14:textId="4AECB510"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shd w:val="clear" w:color="auto" w:fill="FFFFFF"/>
          <w:lang w:val="fr-CA"/>
        </w:rPr>
        <w:t>Baker</w:t>
      </w:r>
      <w:r w:rsidRPr="00BD22C2">
        <w:rPr>
          <w:rFonts w:ascii="Arial" w:hAnsi="Arial" w:cs="Arial"/>
          <w:sz w:val="18"/>
          <w:szCs w:val="18"/>
          <w:shd w:val="clear" w:color="auto" w:fill="FFFFFF"/>
          <w:lang w:val="fr-CA"/>
        </w:rPr>
        <w:t> c</w:t>
      </w:r>
      <w:r w:rsidRPr="00BD22C2">
        <w:rPr>
          <w:rFonts w:ascii="Arial" w:hAnsi="Arial" w:cs="Arial"/>
          <w:i/>
          <w:sz w:val="18"/>
          <w:szCs w:val="18"/>
          <w:shd w:val="clear" w:color="auto" w:fill="FFFFFF"/>
          <w:lang w:val="fr-CA"/>
        </w:rPr>
        <w:t>. Canada (Ministre de la Citoyenneté et de l’Immigration)</w:t>
      </w:r>
      <w:r w:rsidRPr="00BD22C2">
        <w:rPr>
          <w:rFonts w:ascii="Arial" w:hAnsi="Arial" w:cs="Arial"/>
          <w:sz w:val="18"/>
          <w:szCs w:val="18"/>
          <w:shd w:val="clear" w:color="auto" w:fill="FFFFFF"/>
          <w:lang w:val="fr-CA"/>
        </w:rPr>
        <w:t xml:space="preserve">, </w:t>
      </w:r>
      <w:r w:rsidRPr="00BD22C2">
        <w:rPr>
          <w:rFonts w:ascii="Arial" w:hAnsi="Arial" w:cs="Arial"/>
          <w:color w:val="212529"/>
          <w:sz w:val="18"/>
          <w:szCs w:val="18"/>
          <w:lang w:val="fr-CA"/>
        </w:rPr>
        <w:t>[1999] 2</w:t>
      </w:r>
      <w:r w:rsidR="00B32B61">
        <w:rPr>
          <w:rFonts w:ascii="Arial" w:hAnsi="Arial" w:cs="Arial"/>
          <w:color w:val="212529"/>
          <w:sz w:val="18"/>
          <w:szCs w:val="18"/>
          <w:lang w:val="fr-CA"/>
        </w:rPr>
        <w:t> </w:t>
      </w:r>
      <w:r w:rsidRPr="00BD22C2">
        <w:rPr>
          <w:rFonts w:ascii="Arial" w:hAnsi="Arial" w:cs="Arial"/>
          <w:color w:val="212529"/>
          <w:sz w:val="18"/>
          <w:szCs w:val="18"/>
          <w:lang w:val="fr-CA"/>
        </w:rPr>
        <w:t>RCS</w:t>
      </w:r>
      <w:r w:rsidR="00CE1914">
        <w:rPr>
          <w:rFonts w:ascii="Arial" w:hAnsi="Arial" w:cs="Arial"/>
          <w:color w:val="212529"/>
          <w:sz w:val="18"/>
          <w:szCs w:val="18"/>
          <w:lang w:val="fr-CA"/>
        </w:rPr>
        <w:t> </w:t>
      </w:r>
      <w:r w:rsidRPr="00BD22C2">
        <w:rPr>
          <w:rFonts w:ascii="Arial" w:hAnsi="Arial" w:cs="Arial"/>
          <w:color w:val="212529"/>
          <w:sz w:val="18"/>
          <w:szCs w:val="18"/>
          <w:lang w:val="fr-CA"/>
        </w:rPr>
        <w:t>817</w:t>
      </w:r>
      <w:r w:rsidRPr="00BD22C2">
        <w:rPr>
          <w:rFonts w:ascii="Arial" w:hAnsi="Arial" w:cs="Arial"/>
          <w:sz w:val="18"/>
          <w:szCs w:val="18"/>
          <w:shd w:val="clear" w:color="auto" w:fill="FFFFFF"/>
          <w:lang w:val="fr-CA"/>
        </w:rPr>
        <w:t>, par.</w:t>
      </w:r>
      <w:r w:rsidR="00FF6945">
        <w:rPr>
          <w:rFonts w:ascii="Arial" w:hAnsi="Arial" w:cs="Arial"/>
          <w:sz w:val="18"/>
          <w:szCs w:val="18"/>
          <w:shd w:val="clear" w:color="auto" w:fill="FFFFFF"/>
          <w:lang w:val="fr-CA"/>
        </w:rPr>
        <w:t xml:space="preserve"> </w:t>
      </w:r>
      <w:r w:rsidRPr="00BD22C2">
        <w:rPr>
          <w:rFonts w:ascii="Arial" w:hAnsi="Arial" w:cs="Arial"/>
          <w:sz w:val="18"/>
          <w:szCs w:val="18"/>
          <w:shd w:val="clear" w:color="auto" w:fill="FFFFFF"/>
          <w:lang w:val="fr-CA"/>
        </w:rPr>
        <w:t>75</w:t>
      </w:r>
      <w:r w:rsidR="006945E7" w:rsidRPr="00BD22C2">
        <w:rPr>
          <w:rFonts w:ascii="Arial" w:hAnsi="Arial" w:cs="Arial"/>
          <w:sz w:val="18"/>
          <w:szCs w:val="18"/>
          <w:shd w:val="clear" w:color="auto" w:fill="FFFFFF"/>
          <w:lang w:val="fr-CA"/>
        </w:rPr>
        <w:t xml:space="preserve">; </w:t>
      </w:r>
      <w:r w:rsidR="006945E7" w:rsidRPr="00BD22C2">
        <w:rPr>
          <w:rFonts w:ascii="Arial" w:hAnsi="Arial" w:cs="Arial"/>
          <w:i/>
          <w:sz w:val="18"/>
          <w:szCs w:val="18"/>
          <w:shd w:val="clear" w:color="auto" w:fill="FFFFFF"/>
          <w:lang w:val="fr-CA"/>
        </w:rPr>
        <w:t>Canadian Foundation for Children, Youth and the Law</w:t>
      </w:r>
      <w:r w:rsidR="006945E7" w:rsidRPr="00BD22C2">
        <w:rPr>
          <w:rFonts w:ascii="Arial" w:hAnsi="Arial" w:cs="Arial"/>
          <w:sz w:val="18"/>
          <w:szCs w:val="18"/>
          <w:shd w:val="clear" w:color="auto" w:fill="FFFFFF"/>
          <w:lang w:val="fr-CA"/>
        </w:rPr>
        <w:t xml:space="preserve"> c. </w:t>
      </w:r>
      <w:r w:rsidR="006945E7" w:rsidRPr="00BD22C2">
        <w:rPr>
          <w:rFonts w:ascii="Arial" w:hAnsi="Arial" w:cs="Arial"/>
          <w:i/>
          <w:sz w:val="18"/>
          <w:szCs w:val="18"/>
          <w:shd w:val="clear" w:color="auto" w:fill="FFFFFF"/>
          <w:lang w:val="fr-CA"/>
        </w:rPr>
        <w:t>Canada (Procureur général)</w:t>
      </w:r>
      <w:r w:rsidR="006945E7" w:rsidRPr="00BD22C2">
        <w:rPr>
          <w:rFonts w:ascii="Arial" w:hAnsi="Arial" w:cs="Arial"/>
          <w:sz w:val="18"/>
          <w:szCs w:val="18"/>
          <w:shd w:val="clear" w:color="auto" w:fill="FFFFFF"/>
          <w:lang w:val="fr-CA"/>
        </w:rPr>
        <w:t xml:space="preserve">, </w:t>
      </w:r>
      <w:r w:rsidR="00707240" w:rsidRPr="00BD22C2">
        <w:rPr>
          <w:rFonts w:ascii="Arial" w:hAnsi="Arial" w:cs="Arial"/>
          <w:sz w:val="18"/>
          <w:szCs w:val="18"/>
          <w:shd w:val="clear" w:color="auto" w:fill="FFFFFF"/>
          <w:lang w:val="fr-CA"/>
        </w:rPr>
        <w:t xml:space="preserve">préc., note </w:t>
      </w:r>
      <w:r w:rsidR="0079613F" w:rsidRPr="00BD22C2">
        <w:rPr>
          <w:rFonts w:ascii="Arial" w:hAnsi="Arial" w:cs="Arial"/>
          <w:sz w:val="18"/>
          <w:szCs w:val="18"/>
          <w:shd w:val="clear" w:color="auto" w:fill="FFFFFF"/>
          <w:lang w:val="fr-CA"/>
        </w:rPr>
        <w:t>254</w:t>
      </w:r>
      <w:r w:rsidR="006945E7" w:rsidRPr="00BD22C2">
        <w:rPr>
          <w:rFonts w:ascii="Arial" w:hAnsi="Arial" w:cs="Arial"/>
          <w:sz w:val="18"/>
          <w:szCs w:val="18"/>
          <w:shd w:val="clear" w:color="auto" w:fill="FFFFFF"/>
          <w:lang w:val="fr-CA"/>
        </w:rPr>
        <w:t>, par. 10</w:t>
      </w:r>
      <w:r w:rsidRPr="00BD22C2">
        <w:rPr>
          <w:rFonts w:ascii="Arial" w:hAnsi="Arial" w:cs="Arial"/>
          <w:sz w:val="18"/>
          <w:szCs w:val="18"/>
          <w:shd w:val="clear" w:color="auto" w:fill="FFFFFF"/>
          <w:lang w:val="fr-CA"/>
        </w:rPr>
        <w:t>.</w:t>
      </w:r>
    </w:p>
  </w:endnote>
  <w:endnote w:id="258">
    <w:p w14:paraId="00F24B72" w14:textId="4F3D856D"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Bruker</w:t>
      </w:r>
      <w:r w:rsidRPr="00BD22C2">
        <w:rPr>
          <w:rFonts w:ascii="Arial" w:hAnsi="Arial" w:cs="Arial"/>
          <w:sz w:val="18"/>
          <w:szCs w:val="18"/>
          <w:lang w:val="fr-CA"/>
        </w:rPr>
        <w:t xml:space="preserve"> c. </w:t>
      </w:r>
      <w:r w:rsidRPr="00BD22C2">
        <w:rPr>
          <w:rFonts w:ascii="Arial" w:hAnsi="Arial" w:cs="Arial"/>
          <w:i/>
          <w:sz w:val="18"/>
          <w:szCs w:val="18"/>
          <w:lang w:val="fr-CA"/>
        </w:rPr>
        <w:t>Marcovitz</w:t>
      </w:r>
      <w:r w:rsidR="00577618" w:rsidRPr="00BD22C2">
        <w:rPr>
          <w:rFonts w:ascii="Arial" w:hAnsi="Arial" w:cs="Arial"/>
          <w:color w:val="212529"/>
          <w:sz w:val="18"/>
          <w:szCs w:val="18"/>
          <w:lang w:val="fr-CA"/>
        </w:rPr>
        <w:t xml:space="preserve">, </w:t>
      </w:r>
      <w:r w:rsidR="0033416B" w:rsidRPr="00012387">
        <w:rPr>
          <w:rFonts w:ascii="Arial" w:hAnsi="Arial" w:cs="Arial"/>
          <w:sz w:val="18"/>
          <w:szCs w:val="18"/>
          <w:lang w:val="fr-CA"/>
        </w:rPr>
        <w:t>préc., note</w:t>
      </w:r>
      <w:r w:rsidR="00CE1914">
        <w:rPr>
          <w:rFonts w:ascii="Arial" w:hAnsi="Arial" w:cs="Arial"/>
          <w:sz w:val="18"/>
          <w:szCs w:val="18"/>
          <w:lang w:val="fr-CA"/>
        </w:rPr>
        <w:t> </w:t>
      </w:r>
      <w:r w:rsidR="009A45E0" w:rsidRPr="00012387">
        <w:rPr>
          <w:rFonts w:ascii="Arial" w:hAnsi="Arial" w:cs="Arial"/>
          <w:sz w:val="18"/>
          <w:szCs w:val="18"/>
          <w:lang w:val="fr-CA"/>
        </w:rPr>
        <w:fldChar w:fldCharType="begin"/>
      </w:r>
      <w:r w:rsidR="009A45E0" w:rsidRPr="00012387">
        <w:rPr>
          <w:rFonts w:ascii="Arial" w:hAnsi="Arial" w:cs="Arial"/>
          <w:sz w:val="18"/>
          <w:szCs w:val="18"/>
          <w:lang w:val="fr-CA"/>
        </w:rPr>
        <w:instrText xml:space="preserve"> NOTEREF _Ref167440621 \h </w:instrText>
      </w:r>
      <w:r w:rsidR="009A45E0" w:rsidRPr="00012387">
        <w:rPr>
          <w:rFonts w:ascii="Arial" w:hAnsi="Arial" w:cs="Arial"/>
          <w:sz w:val="18"/>
          <w:szCs w:val="18"/>
          <w:lang w:val="fr-CA"/>
        </w:rPr>
      </w:r>
      <w:r w:rsidR="009A45E0" w:rsidRPr="00012387">
        <w:rPr>
          <w:rFonts w:ascii="Arial" w:hAnsi="Arial" w:cs="Arial"/>
          <w:sz w:val="18"/>
          <w:szCs w:val="18"/>
          <w:lang w:val="fr-CA"/>
        </w:rPr>
        <w:fldChar w:fldCharType="separate"/>
      </w:r>
      <w:r w:rsidR="004B4881">
        <w:rPr>
          <w:rFonts w:ascii="Arial" w:hAnsi="Arial" w:cs="Arial"/>
          <w:sz w:val="18"/>
          <w:szCs w:val="18"/>
          <w:lang w:val="fr-CA"/>
        </w:rPr>
        <w:t>216</w:t>
      </w:r>
      <w:r w:rsidR="009A45E0" w:rsidRPr="00012387">
        <w:rPr>
          <w:rFonts w:ascii="Arial" w:hAnsi="Arial" w:cs="Arial"/>
          <w:sz w:val="18"/>
          <w:szCs w:val="18"/>
          <w:lang w:val="fr-CA"/>
        </w:rPr>
        <w:fldChar w:fldCharType="end"/>
      </w:r>
      <w:r w:rsidR="00F154CC" w:rsidRPr="00012387">
        <w:rPr>
          <w:rFonts w:ascii="Arial" w:hAnsi="Arial" w:cs="Arial"/>
          <w:sz w:val="18"/>
          <w:szCs w:val="18"/>
          <w:lang w:val="fr-CA"/>
        </w:rPr>
        <w:t>.</w:t>
      </w:r>
    </w:p>
  </w:endnote>
  <w:endnote w:id="259">
    <w:p w14:paraId="69F4BDAD" w14:textId="2552EFD4" w:rsidR="00A756AE" w:rsidRPr="00BD22C2" w:rsidRDefault="00A756AE" w:rsidP="00A756AE">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w:t>
      </w:r>
      <w:r w:rsidRPr="00BD22C2">
        <w:rPr>
          <w:rFonts w:ascii="Arial" w:hAnsi="Arial" w:cs="Arial"/>
          <w:i/>
          <w:sz w:val="18"/>
          <w:szCs w:val="18"/>
          <w:vertAlign w:val="superscript"/>
          <w:lang w:val="fr-CA"/>
        </w:rPr>
        <w:t>o</w:t>
      </w:r>
      <w:r w:rsidRPr="00BD22C2">
        <w:rPr>
          <w:rFonts w:ascii="Arial" w:hAnsi="Arial" w:cs="Arial"/>
          <w:i/>
          <w:sz w:val="18"/>
          <w:szCs w:val="18"/>
          <w:lang w:val="fr-CA"/>
        </w:rPr>
        <w:t> 14</w:t>
      </w:r>
      <w:r w:rsidR="00950EA6">
        <w:rPr>
          <w:rFonts w:ascii="Arial" w:hAnsi="Arial" w:cs="Arial"/>
          <w:iCs/>
          <w:sz w:val="18"/>
          <w:szCs w:val="18"/>
          <w:lang w:val="fr-CA"/>
        </w:rPr>
        <w:t>,</w:t>
      </w:r>
      <w:r w:rsidRPr="00BD22C2">
        <w:rPr>
          <w:rFonts w:ascii="Arial" w:hAnsi="Arial" w:cs="Arial"/>
          <w:i/>
          <w:sz w:val="18"/>
          <w:szCs w:val="18"/>
          <w:lang w:val="fr-CA"/>
        </w:rPr>
        <w:t xml:space="preserve"> </w:t>
      </w:r>
      <w:r w:rsidR="009A45E0" w:rsidRPr="00BD22C2">
        <w:rPr>
          <w:rFonts w:ascii="Arial" w:hAnsi="Arial" w:cs="Arial"/>
          <w:sz w:val="18"/>
          <w:szCs w:val="18"/>
          <w:lang w:val="fr-CA"/>
        </w:rPr>
        <w:t>préc., note</w:t>
      </w:r>
      <w:r w:rsidR="00CE1914">
        <w:rPr>
          <w:rFonts w:ascii="Arial" w:hAnsi="Arial" w:cs="Arial"/>
          <w:sz w:val="18"/>
          <w:szCs w:val="18"/>
          <w:lang w:val="fr-CA"/>
        </w:rPr>
        <w:t> </w:t>
      </w:r>
      <w:r w:rsidR="009A45E0" w:rsidRPr="00BD22C2">
        <w:rPr>
          <w:rFonts w:ascii="Arial" w:hAnsi="Arial" w:cs="Arial"/>
          <w:sz w:val="18"/>
          <w:szCs w:val="18"/>
          <w:lang w:val="fr-CA"/>
        </w:rPr>
        <w:fldChar w:fldCharType="begin"/>
      </w:r>
      <w:r w:rsidR="009A45E0" w:rsidRPr="00BD22C2">
        <w:rPr>
          <w:rFonts w:ascii="Arial" w:hAnsi="Arial" w:cs="Arial"/>
          <w:sz w:val="18"/>
          <w:szCs w:val="18"/>
          <w:lang w:val="fr-CA"/>
        </w:rPr>
        <w:instrText xml:space="preserve"> NOTEREF _Ref167441453 \h </w:instrText>
      </w:r>
      <w:r w:rsidR="009A45E0" w:rsidRPr="00BD22C2">
        <w:rPr>
          <w:rFonts w:ascii="Arial" w:hAnsi="Arial" w:cs="Arial"/>
          <w:sz w:val="18"/>
          <w:szCs w:val="18"/>
          <w:lang w:val="fr-CA"/>
        </w:rPr>
      </w:r>
      <w:r w:rsidR="009A45E0" w:rsidRPr="00BD22C2">
        <w:rPr>
          <w:rFonts w:ascii="Arial" w:hAnsi="Arial" w:cs="Arial"/>
          <w:sz w:val="18"/>
          <w:szCs w:val="18"/>
          <w:lang w:val="fr-CA"/>
        </w:rPr>
        <w:fldChar w:fldCharType="separate"/>
      </w:r>
      <w:r w:rsidR="004B4881">
        <w:rPr>
          <w:rFonts w:ascii="Arial" w:hAnsi="Arial" w:cs="Arial"/>
          <w:sz w:val="18"/>
          <w:szCs w:val="18"/>
          <w:lang w:val="fr-CA"/>
        </w:rPr>
        <w:t>245</w:t>
      </w:r>
      <w:r w:rsidR="009A45E0" w:rsidRPr="00BD22C2">
        <w:rPr>
          <w:rFonts w:ascii="Arial" w:hAnsi="Arial" w:cs="Arial"/>
          <w:sz w:val="18"/>
          <w:szCs w:val="18"/>
          <w:lang w:val="fr-CA"/>
        </w:rPr>
        <w:fldChar w:fldCharType="end"/>
      </w:r>
      <w:r w:rsidR="009A45E0" w:rsidRPr="00BD22C2">
        <w:rPr>
          <w:rFonts w:ascii="Arial" w:hAnsi="Arial" w:cs="Arial"/>
          <w:sz w:val="18"/>
          <w:szCs w:val="18"/>
          <w:lang w:val="fr-CA"/>
        </w:rPr>
        <w:t xml:space="preserve">, </w:t>
      </w:r>
      <w:r w:rsidRPr="00BD22C2">
        <w:rPr>
          <w:rFonts w:ascii="Arial" w:hAnsi="Arial" w:cs="Arial"/>
          <w:sz w:val="18"/>
          <w:szCs w:val="18"/>
          <w:lang w:val="fr-CA"/>
        </w:rPr>
        <w:t xml:space="preserve">par. 99.  Pour une description de ce processus d’évaluation, voir aussi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Mémoire à la Commission de la santé et des services sociaux de l’Assemblée nationale — Projet de loi n°</w:t>
      </w:r>
      <w:r w:rsidR="00CE1914">
        <w:rPr>
          <w:rFonts w:ascii="Arial" w:hAnsi="Arial" w:cs="Arial"/>
          <w:i/>
          <w:sz w:val="18"/>
          <w:szCs w:val="18"/>
          <w:lang w:val="fr-CA"/>
        </w:rPr>
        <w:t> </w:t>
      </w:r>
      <w:r w:rsidRPr="00BD22C2">
        <w:rPr>
          <w:rFonts w:ascii="Arial" w:hAnsi="Arial" w:cs="Arial"/>
          <w:i/>
          <w:sz w:val="18"/>
          <w:szCs w:val="18"/>
          <w:lang w:val="fr-CA"/>
        </w:rPr>
        <w:t>37, Loi sur le commissaire au bien-être et aux droits des enfants</w:t>
      </w:r>
      <w:r w:rsidRPr="00BD22C2">
        <w:rPr>
          <w:rFonts w:ascii="Arial" w:hAnsi="Arial" w:cs="Arial"/>
          <w:sz w:val="18"/>
          <w:szCs w:val="18"/>
          <w:lang w:val="fr-CA"/>
        </w:rPr>
        <w:t>, (Cat. 2.211.5), 2024, p.</w:t>
      </w:r>
      <w:r w:rsidR="00CE1914">
        <w:rPr>
          <w:rFonts w:ascii="Arial" w:hAnsi="Arial" w:cs="Arial"/>
          <w:sz w:val="18"/>
          <w:szCs w:val="18"/>
          <w:lang w:val="fr-CA"/>
        </w:rPr>
        <w:t> </w:t>
      </w:r>
      <w:r w:rsidRPr="00BD22C2">
        <w:rPr>
          <w:rFonts w:ascii="Arial" w:hAnsi="Arial" w:cs="Arial"/>
          <w:sz w:val="18"/>
          <w:szCs w:val="18"/>
          <w:lang w:val="fr-CA"/>
        </w:rPr>
        <w:t>34</w:t>
      </w:r>
      <w:r w:rsidR="00760ECD">
        <w:rPr>
          <w:rFonts w:ascii="Arial" w:hAnsi="Arial" w:cs="Arial"/>
          <w:sz w:val="18"/>
          <w:szCs w:val="18"/>
          <w:lang w:val="fr-CA"/>
        </w:rPr>
        <w:t xml:space="preserve"> à </w:t>
      </w:r>
      <w:r w:rsidRPr="00BD22C2">
        <w:rPr>
          <w:rFonts w:ascii="Arial" w:hAnsi="Arial" w:cs="Arial"/>
          <w:sz w:val="18"/>
          <w:szCs w:val="18"/>
          <w:lang w:val="fr-CA"/>
        </w:rPr>
        <w:t>36.</w:t>
      </w:r>
    </w:p>
  </w:endnote>
  <w:endnote w:id="260">
    <w:p w14:paraId="73F39704" w14:textId="2E3FBD19"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CRDE</w:t>
      </w:r>
      <w:r w:rsidR="005C2B67" w:rsidRPr="00E16C03">
        <w:rPr>
          <w:rFonts w:ascii="Arial" w:hAnsi="Arial" w:cs="Arial"/>
          <w:sz w:val="18"/>
          <w:szCs w:val="18"/>
          <w:lang w:val="en-CA"/>
        </w:rPr>
        <w:t>,</w:t>
      </w:r>
      <w:r w:rsidRPr="00E16C03">
        <w:rPr>
          <w:rFonts w:ascii="Arial" w:hAnsi="Arial" w:cs="Arial"/>
          <w:sz w:val="18"/>
          <w:szCs w:val="18"/>
          <w:lang w:val="en-CA"/>
        </w:rPr>
        <w:t xml:space="preserve"> art. 12</w:t>
      </w:r>
      <w:r w:rsidR="005C2B67" w:rsidRPr="00E16C03">
        <w:rPr>
          <w:rFonts w:ascii="Arial" w:hAnsi="Arial" w:cs="Arial"/>
          <w:sz w:val="18"/>
          <w:szCs w:val="18"/>
          <w:lang w:val="en-CA"/>
        </w:rPr>
        <w:t>.</w:t>
      </w:r>
    </w:p>
  </w:endnote>
  <w:endnote w:id="261">
    <w:p w14:paraId="6DEB4ECB" w14:textId="2207FE6D" w:rsidR="00297D50" w:rsidRPr="00BD22C2" w:rsidRDefault="00297D50" w:rsidP="00707395">
      <w:pPr>
        <w:pStyle w:val="Notedefin"/>
        <w:spacing w:after="24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A312B6" w:rsidRPr="00E16C03">
        <w:rPr>
          <w:rFonts w:ascii="Arial" w:hAnsi="Arial" w:cs="Arial"/>
          <w:sz w:val="18"/>
          <w:szCs w:val="18"/>
          <w:lang w:val="en-CA"/>
        </w:rPr>
        <w:tab/>
        <w:t>C.c.Q., art.</w:t>
      </w:r>
      <w:r w:rsidR="00CE1914">
        <w:rPr>
          <w:rFonts w:ascii="Arial" w:hAnsi="Arial" w:cs="Arial"/>
          <w:sz w:val="18"/>
          <w:szCs w:val="18"/>
          <w:lang w:val="en-CA"/>
        </w:rPr>
        <w:t> </w:t>
      </w:r>
      <w:r w:rsidR="00A312B6" w:rsidRPr="00E16C03">
        <w:rPr>
          <w:rFonts w:ascii="Arial" w:hAnsi="Arial" w:cs="Arial"/>
          <w:sz w:val="18"/>
          <w:szCs w:val="18"/>
          <w:lang w:val="en-CA"/>
        </w:rPr>
        <w:t xml:space="preserve">32, L.p.j., art. </w:t>
      </w:r>
      <w:r w:rsidR="00E511B9" w:rsidRPr="00E16C03">
        <w:rPr>
          <w:rFonts w:ascii="Arial" w:hAnsi="Arial" w:cs="Arial"/>
          <w:sz w:val="18"/>
          <w:szCs w:val="18"/>
          <w:lang w:val="en-CA"/>
        </w:rPr>
        <w:t xml:space="preserve">5, 6, 6.1, 7. </w:t>
      </w:r>
      <w:r w:rsidR="00E9306B" w:rsidRPr="00BD22C2">
        <w:rPr>
          <w:rFonts w:ascii="Arial" w:hAnsi="Arial" w:cs="Arial"/>
          <w:sz w:val="18"/>
          <w:szCs w:val="18"/>
          <w:lang w:val="fr-CA"/>
        </w:rPr>
        <w:t>Ajoutons que la jurisprudence québécois</w:t>
      </w:r>
      <w:r w:rsidR="004E4C1F" w:rsidRPr="00BD22C2">
        <w:rPr>
          <w:rFonts w:ascii="Arial" w:hAnsi="Arial" w:cs="Arial"/>
          <w:sz w:val="18"/>
          <w:szCs w:val="18"/>
          <w:lang w:val="fr-CA"/>
        </w:rPr>
        <w:t xml:space="preserve">e </w:t>
      </w:r>
      <w:r w:rsidR="00FD6128" w:rsidRPr="00BD22C2">
        <w:rPr>
          <w:rFonts w:ascii="Arial" w:hAnsi="Arial" w:cs="Arial"/>
          <w:sz w:val="18"/>
          <w:szCs w:val="18"/>
          <w:lang w:val="fr-CA"/>
        </w:rPr>
        <w:t>reconnait l’importance de la prise en compte de l’opinion de l’enfant</w:t>
      </w:r>
      <w:r w:rsidR="00E30B76">
        <w:rPr>
          <w:rFonts w:ascii="Arial" w:hAnsi="Arial" w:cs="Arial"/>
          <w:sz w:val="18"/>
          <w:szCs w:val="18"/>
          <w:lang w:val="fr-CA"/>
        </w:rPr>
        <w:t> </w:t>
      </w:r>
      <w:r w:rsidR="000856D2" w:rsidRPr="00BD22C2">
        <w:rPr>
          <w:rFonts w:ascii="Arial" w:hAnsi="Arial" w:cs="Arial"/>
          <w:sz w:val="18"/>
          <w:szCs w:val="18"/>
          <w:lang w:val="fr-CA"/>
        </w:rPr>
        <w:t>:</w:t>
      </w:r>
      <w:r w:rsidR="000856D2" w:rsidRPr="00BD22C2">
        <w:rPr>
          <w:lang w:val="fr-CA"/>
        </w:rPr>
        <w:t xml:space="preserve"> </w:t>
      </w:r>
      <w:r w:rsidR="000856D2" w:rsidRPr="00BD22C2">
        <w:rPr>
          <w:rFonts w:ascii="Arial" w:hAnsi="Arial" w:cs="Arial"/>
          <w:i/>
          <w:sz w:val="18"/>
          <w:szCs w:val="18"/>
          <w:lang w:val="fr-CA"/>
        </w:rPr>
        <w:t>Droit de la famille – 15754</w:t>
      </w:r>
      <w:r w:rsidR="000856D2" w:rsidRPr="00BD22C2">
        <w:rPr>
          <w:rFonts w:ascii="Arial" w:hAnsi="Arial" w:cs="Arial"/>
          <w:sz w:val="18"/>
          <w:szCs w:val="18"/>
          <w:lang w:val="fr-CA"/>
        </w:rPr>
        <w:t>, 2015</w:t>
      </w:r>
      <w:r w:rsidR="00B32B61">
        <w:rPr>
          <w:rFonts w:ascii="Arial" w:hAnsi="Arial" w:cs="Arial"/>
          <w:sz w:val="18"/>
          <w:szCs w:val="18"/>
          <w:lang w:val="fr-CA"/>
        </w:rPr>
        <w:t> </w:t>
      </w:r>
      <w:r w:rsidR="000856D2" w:rsidRPr="00BD22C2">
        <w:rPr>
          <w:rFonts w:ascii="Arial" w:hAnsi="Arial" w:cs="Arial"/>
          <w:sz w:val="18"/>
          <w:szCs w:val="18"/>
          <w:lang w:val="fr-CA"/>
        </w:rPr>
        <w:t>QCCA</w:t>
      </w:r>
      <w:r w:rsidR="00CE1914">
        <w:rPr>
          <w:rFonts w:ascii="Arial" w:hAnsi="Arial" w:cs="Arial"/>
          <w:sz w:val="18"/>
          <w:szCs w:val="18"/>
          <w:lang w:val="fr-CA"/>
        </w:rPr>
        <w:t> </w:t>
      </w:r>
      <w:r w:rsidR="000856D2" w:rsidRPr="00BD22C2">
        <w:rPr>
          <w:rFonts w:ascii="Arial" w:hAnsi="Arial" w:cs="Arial"/>
          <w:sz w:val="18"/>
          <w:szCs w:val="18"/>
          <w:lang w:val="fr-CA"/>
        </w:rPr>
        <w:t xml:space="preserve">650, par. 8, </w:t>
      </w:r>
      <w:r w:rsidR="00D80E8E" w:rsidRPr="00BD22C2">
        <w:rPr>
          <w:rFonts w:ascii="Arial" w:hAnsi="Arial" w:cs="Arial"/>
          <w:i/>
          <w:sz w:val="18"/>
          <w:szCs w:val="18"/>
          <w:lang w:val="fr-CA"/>
        </w:rPr>
        <w:t xml:space="preserve">Droit de la famille </w:t>
      </w:r>
      <w:r w:rsidR="00D80E8E" w:rsidRPr="00BD22C2">
        <w:rPr>
          <w:rFonts w:ascii="Arial" w:hAnsi="Arial" w:cs="Arial"/>
          <w:i/>
          <w:iCs/>
          <w:sz w:val="18"/>
          <w:szCs w:val="18"/>
          <w:lang w:val="fr-CA"/>
        </w:rPr>
        <w:t>–</w:t>
      </w:r>
      <w:r w:rsidR="00D80E8E" w:rsidRPr="00BD22C2">
        <w:rPr>
          <w:rFonts w:ascii="Arial" w:hAnsi="Arial" w:cs="Arial"/>
          <w:i/>
          <w:sz w:val="18"/>
          <w:szCs w:val="18"/>
          <w:lang w:val="fr-CA"/>
        </w:rPr>
        <w:t xml:space="preserve"> 072340</w:t>
      </w:r>
      <w:r w:rsidR="00D80E8E" w:rsidRPr="00BD22C2">
        <w:rPr>
          <w:rFonts w:ascii="Arial" w:hAnsi="Arial" w:cs="Arial"/>
          <w:sz w:val="18"/>
          <w:szCs w:val="18"/>
          <w:lang w:val="fr-CA"/>
        </w:rPr>
        <w:t>, 2007</w:t>
      </w:r>
      <w:r w:rsidR="00B32B61">
        <w:rPr>
          <w:rFonts w:ascii="Arial" w:hAnsi="Arial" w:cs="Arial"/>
          <w:sz w:val="18"/>
          <w:szCs w:val="18"/>
          <w:lang w:val="fr-CA"/>
        </w:rPr>
        <w:t> </w:t>
      </w:r>
      <w:r w:rsidR="00D80E8E" w:rsidRPr="00BD22C2">
        <w:rPr>
          <w:rFonts w:ascii="Arial" w:hAnsi="Arial" w:cs="Arial"/>
          <w:sz w:val="18"/>
          <w:szCs w:val="18"/>
          <w:lang w:val="fr-CA"/>
        </w:rPr>
        <w:t>QCCS</w:t>
      </w:r>
      <w:r w:rsidR="00CE1914">
        <w:rPr>
          <w:rFonts w:ascii="Arial" w:hAnsi="Arial" w:cs="Arial"/>
          <w:sz w:val="18"/>
          <w:szCs w:val="18"/>
          <w:lang w:val="fr-CA"/>
        </w:rPr>
        <w:t> </w:t>
      </w:r>
      <w:r w:rsidR="00D80E8E" w:rsidRPr="00BD22C2">
        <w:rPr>
          <w:rFonts w:ascii="Arial" w:hAnsi="Arial" w:cs="Arial"/>
          <w:sz w:val="18"/>
          <w:szCs w:val="18"/>
          <w:lang w:val="fr-CA"/>
        </w:rPr>
        <w:t>4522</w:t>
      </w:r>
      <w:r w:rsidR="00E9306B" w:rsidRPr="00BD22C2">
        <w:rPr>
          <w:rFonts w:ascii="Arial" w:hAnsi="Arial" w:cs="Arial"/>
          <w:sz w:val="18"/>
          <w:szCs w:val="18"/>
          <w:lang w:val="fr-CA"/>
        </w:rPr>
        <w:t xml:space="preserve">, </w:t>
      </w:r>
      <w:r w:rsidR="00D80E8E" w:rsidRPr="00BD22C2">
        <w:rPr>
          <w:rFonts w:ascii="Arial" w:hAnsi="Arial" w:cs="Arial"/>
          <w:sz w:val="18"/>
          <w:szCs w:val="18"/>
          <w:lang w:val="fr-CA"/>
        </w:rPr>
        <w:t xml:space="preserve">par. </w:t>
      </w:r>
      <w:r w:rsidR="004A5099" w:rsidRPr="00BD22C2">
        <w:rPr>
          <w:rFonts w:ascii="Arial" w:hAnsi="Arial" w:cs="Arial"/>
          <w:sz w:val="18"/>
          <w:szCs w:val="18"/>
          <w:lang w:val="fr-CA"/>
        </w:rPr>
        <w:t xml:space="preserve">61 à 63, </w:t>
      </w:r>
      <w:r w:rsidR="0098391F" w:rsidRPr="00BD22C2">
        <w:rPr>
          <w:rFonts w:ascii="Arial" w:hAnsi="Arial" w:cs="Arial"/>
          <w:i/>
          <w:sz w:val="18"/>
          <w:szCs w:val="18"/>
          <w:lang w:val="fr-CA"/>
        </w:rPr>
        <w:t>Droit de la famille — 20555</w:t>
      </w:r>
      <w:r w:rsidR="0098391F" w:rsidRPr="00BD22C2">
        <w:rPr>
          <w:rFonts w:ascii="Arial" w:hAnsi="Arial" w:cs="Arial"/>
          <w:sz w:val="18"/>
          <w:szCs w:val="18"/>
          <w:lang w:val="fr-CA"/>
        </w:rPr>
        <w:t xml:space="preserve">, 2020 QCCS 1240, par. 132, 133. </w:t>
      </w:r>
    </w:p>
  </w:endnote>
  <w:endnote w:id="262">
    <w:p w14:paraId="7E8EB715" w14:textId="30AAB2F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32710C" w:rsidRPr="00BD22C2">
        <w:rPr>
          <w:rFonts w:ascii="Arial" w:hAnsi="Arial" w:cs="Arial"/>
          <w:sz w:val="18"/>
          <w:szCs w:val="18"/>
          <w:lang w:val="fr-CA"/>
        </w:rPr>
        <w:t>C</w:t>
      </w:r>
      <w:r w:rsidR="0032710C" w:rsidRPr="00BD22C2">
        <w:rPr>
          <w:rFonts w:ascii="Arial" w:hAnsi="Arial" w:cs="Arial"/>
          <w:smallCaps/>
          <w:sz w:val="18"/>
          <w:szCs w:val="18"/>
          <w:lang w:val="fr-CA"/>
        </w:rPr>
        <w:t>omité des droits de l’enfant</w:t>
      </w:r>
      <w:r w:rsidR="004F55E7" w:rsidRPr="00BD22C2">
        <w:rPr>
          <w:rFonts w:ascii="Arial" w:hAnsi="Arial" w:cs="Arial"/>
          <w:sz w:val="18"/>
          <w:szCs w:val="18"/>
          <w:lang w:val="fr-CA"/>
        </w:rPr>
        <w:t xml:space="preserve">, </w:t>
      </w:r>
      <w:r w:rsidR="004F55E7" w:rsidRPr="00BD22C2">
        <w:rPr>
          <w:rFonts w:ascii="Arial" w:hAnsi="Arial" w:cs="Arial"/>
          <w:i/>
          <w:sz w:val="18"/>
          <w:szCs w:val="18"/>
          <w:lang w:val="fr-CA"/>
        </w:rPr>
        <w:t xml:space="preserve">Observation générale </w:t>
      </w:r>
      <w:r w:rsidR="00D311DB" w:rsidRPr="00BD22C2">
        <w:rPr>
          <w:rFonts w:ascii="Arial" w:hAnsi="Arial" w:cs="Arial"/>
          <w:i/>
          <w:iCs/>
          <w:sz w:val="18"/>
          <w:szCs w:val="18"/>
          <w:lang w:val="fr-CA"/>
        </w:rPr>
        <w:t>n°</w:t>
      </w:r>
      <w:r w:rsidR="00CE1914">
        <w:rPr>
          <w:rFonts w:ascii="Arial" w:hAnsi="Arial" w:cs="Arial"/>
          <w:i/>
          <w:sz w:val="18"/>
          <w:szCs w:val="18"/>
          <w:lang w:val="fr-CA"/>
        </w:rPr>
        <w:t> </w:t>
      </w:r>
      <w:r w:rsidR="004F55E7" w:rsidRPr="00BD22C2">
        <w:rPr>
          <w:rFonts w:ascii="Arial" w:hAnsi="Arial" w:cs="Arial"/>
          <w:i/>
          <w:sz w:val="18"/>
          <w:szCs w:val="18"/>
          <w:lang w:val="fr-CA"/>
        </w:rPr>
        <w:t>12 (20</w:t>
      </w:r>
      <w:r w:rsidR="00491945" w:rsidRPr="00BD22C2">
        <w:rPr>
          <w:rFonts w:ascii="Arial" w:hAnsi="Arial" w:cs="Arial"/>
          <w:i/>
          <w:sz w:val="18"/>
          <w:szCs w:val="18"/>
          <w:lang w:val="fr-CA"/>
        </w:rPr>
        <w:t>09</w:t>
      </w:r>
      <w:r w:rsidR="004F55E7" w:rsidRPr="00BD22C2">
        <w:rPr>
          <w:rFonts w:ascii="Arial" w:hAnsi="Arial" w:cs="Arial"/>
          <w:i/>
          <w:sz w:val="18"/>
          <w:szCs w:val="18"/>
          <w:lang w:val="fr-CA"/>
        </w:rPr>
        <w:t>)</w:t>
      </w:r>
      <w:r w:rsidR="00491945" w:rsidRPr="00BD22C2">
        <w:rPr>
          <w:rFonts w:ascii="Arial" w:hAnsi="Arial" w:cs="Arial"/>
          <w:i/>
          <w:sz w:val="18"/>
          <w:szCs w:val="18"/>
          <w:lang w:val="fr-CA"/>
        </w:rPr>
        <w:t xml:space="preserve"> </w:t>
      </w:r>
      <w:r w:rsidR="00D311DB" w:rsidRPr="00BD22C2">
        <w:rPr>
          <w:rFonts w:ascii="Arial" w:hAnsi="Arial" w:cs="Arial"/>
          <w:i/>
          <w:iCs/>
          <w:sz w:val="18"/>
          <w:szCs w:val="18"/>
          <w:lang w:val="fr-CA"/>
        </w:rPr>
        <w:t>sur le</w:t>
      </w:r>
      <w:r w:rsidR="00491945" w:rsidRPr="00BD22C2">
        <w:rPr>
          <w:rFonts w:ascii="Arial" w:hAnsi="Arial" w:cs="Arial"/>
          <w:i/>
          <w:sz w:val="18"/>
          <w:szCs w:val="18"/>
          <w:lang w:val="fr-CA"/>
        </w:rPr>
        <w:t xml:space="preserve"> droit de l’enfant d’être entendu</w:t>
      </w:r>
      <w:r w:rsidR="004F55E7" w:rsidRPr="00BD22C2">
        <w:rPr>
          <w:rFonts w:ascii="Arial" w:hAnsi="Arial" w:cs="Arial"/>
          <w:sz w:val="18"/>
          <w:szCs w:val="18"/>
          <w:lang w:val="fr-CA"/>
        </w:rPr>
        <w:t>, Doc. N.</w:t>
      </w:r>
      <w:r w:rsidR="006305FE">
        <w:rPr>
          <w:rFonts w:ascii="Arial" w:hAnsi="Arial" w:cs="Arial"/>
          <w:sz w:val="18"/>
          <w:szCs w:val="18"/>
          <w:lang w:val="fr-CA"/>
        </w:rPr>
        <w:t> </w:t>
      </w:r>
      <w:r w:rsidR="004F55E7" w:rsidRPr="00BD22C2">
        <w:rPr>
          <w:rFonts w:ascii="Arial" w:hAnsi="Arial" w:cs="Arial"/>
          <w:sz w:val="18"/>
          <w:szCs w:val="18"/>
          <w:lang w:val="fr-CA"/>
        </w:rPr>
        <w:t>U.</w:t>
      </w:r>
      <w:r w:rsidR="008B4522">
        <w:rPr>
          <w:rFonts w:ascii="Arial" w:hAnsi="Arial" w:cs="Arial"/>
          <w:sz w:val="18"/>
          <w:szCs w:val="18"/>
          <w:lang w:val="fr-CA"/>
        </w:rPr>
        <w:t> </w:t>
      </w:r>
      <w:r w:rsidR="004F55E7" w:rsidRPr="00BD22C2">
        <w:rPr>
          <w:rFonts w:ascii="Arial" w:hAnsi="Arial" w:cs="Arial"/>
          <w:sz w:val="18"/>
          <w:szCs w:val="18"/>
          <w:lang w:val="fr-CA"/>
        </w:rPr>
        <w:t>CRC/C/GC/1</w:t>
      </w:r>
      <w:r w:rsidR="0032710C" w:rsidRPr="00BD22C2">
        <w:rPr>
          <w:rFonts w:ascii="Arial" w:hAnsi="Arial" w:cs="Arial"/>
          <w:sz w:val="18"/>
          <w:szCs w:val="18"/>
          <w:lang w:val="fr-CA"/>
        </w:rPr>
        <w:t>2</w:t>
      </w:r>
      <w:r w:rsidR="004F55E7" w:rsidRPr="00BD22C2">
        <w:rPr>
          <w:rFonts w:ascii="Arial" w:hAnsi="Arial" w:cs="Arial"/>
          <w:sz w:val="18"/>
          <w:szCs w:val="18"/>
          <w:lang w:val="fr-CA"/>
        </w:rPr>
        <w:t xml:space="preserve">, par. </w:t>
      </w:r>
      <w:r w:rsidRPr="00BD22C2">
        <w:rPr>
          <w:rFonts w:ascii="Arial" w:hAnsi="Arial" w:cs="Arial"/>
          <w:sz w:val="18"/>
          <w:szCs w:val="18"/>
          <w:lang w:val="fr-CA"/>
        </w:rPr>
        <w:t>12.</w:t>
      </w:r>
    </w:p>
  </w:endnote>
  <w:endnote w:id="263">
    <w:p w14:paraId="44129092" w14:textId="725F3C20"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B21D2C" w:rsidRPr="00BD22C2">
        <w:rPr>
          <w:rFonts w:ascii="Arial" w:hAnsi="Arial" w:cs="Arial"/>
          <w:smallCaps/>
          <w:sz w:val="18"/>
          <w:szCs w:val="18"/>
          <w:lang w:val="fr-CA"/>
        </w:rPr>
        <w:t>Comité des droits de l’enfant</w:t>
      </w:r>
      <w:r w:rsidR="00B21D2C" w:rsidRPr="00BD22C2">
        <w:rPr>
          <w:rFonts w:ascii="Arial" w:hAnsi="Arial" w:cs="Arial"/>
          <w:sz w:val="18"/>
          <w:szCs w:val="18"/>
          <w:lang w:val="fr-CA"/>
        </w:rPr>
        <w:t xml:space="preserve">, </w:t>
      </w:r>
      <w:r w:rsidR="00B21D2C" w:rsidRPr="00BD22C2">
        <w:rPr>
          <w:rFonts w:ascii="Arial" w:hAnsi="Arial" w:cs="Arial"/>
          <w:i/>
          <w:iCs/>
          <w:sz w:val="18"/>
          <w:szCs w:val="18"/>
          <w:lang w:val="fr-CA"/>
        </w:rPr>
        <w:t>Observation générale n°</w:t>
      </w:r>
      <w:r w:rsidR="00CE1914">
        <w:rPr>
          <w:rFonts w:ascii="Arial" w:hAnsi="Arial" w:cs="Arial"/>
          <w:i/>
          <w:iCs/>
          <w:sz w:val="18"/>
          <w:szCs w:val="18"/>
          <w:lang w:val="fr-CA"/>
        </w:rPr>
        <w:t> </w:t>
      </w:r>
      <w:r w:rsidR="00B21D2C" w:rsidRPr="00BD22C2">
        <w:rPr>
          <w:rFonts w:ascii="Arial" w:hAnsi="Arial" w:cs="Arial"/>
          <w:i/>
          <w:iCs/>
          <w:sz w:val="18"/>
          <w:szCs w:val="18"/>
          <w:lang w:val="fr-CA"/>
        </w:rPr>
        <w:t xml:space="preserve">5, </w:t>
      </w:r>
      <w:r w:rsidR="0051277D" w:rsidRPr="00BD22C2">
        <w:rPr>
          <w:rFonts w:ascii="Arial" w:hAnsi="Arial" w:cs="Arial"/>
          <w:sz w:val="18"/>
          <w:szCs w:val="18"/>
          <w:lang w:val="fr-CA"/>
        </w:rPr>
        <w:t>préc., note</w:t>
      </w:r>
      <w:r w:rsidR="00CE1914">
        <w:rPr>
          <w:rFonts w:ascii="Arial" w:hAnsi="Arial" w:cs="Arial"/>
          <w:sz w:val="18"/>
          <w:szCs w:val="18"/>
          <w:lang w:val="fr-CA"/>
        </w:rPr>
        <w:t> </w:t>
      </w:r>
      <w:r w:rsidR="0051277D" w:rsidRPr="00BD22C2">
        <w:rPr>
          <w:rFonts w:ascii="Arial" w:hAnsi="Arial" w:cs="Arial"/>
          <w:sz w:val="18"/>
          <w:szCs w:val="18"/>
          <w:lang w:val="fr-CA"/>
        </w:rPr>
        <w:fldChar w:fldCharType="begin"/>
      </w:r>
      <w:r w:rsidR="0051277D" w:rsidRPr="00BD22C2">
        <w:rPr>
          <w:rFonts w:ascii="Arial" w:hAnsi="Arial" w:cs="Arial"/>
          <w:sz w:val="18"/>
          <w:szCs w:val="18"/>
          <w:lang w:val="fr-CA"/>
        </w:rPr>
        <w:instrText xml:space="preserve"> NOTEREF _Ref167441297 \h </w:instrText>
      </w:r>
      <w:r w:rsidR="0051277D" w:rsidRPr="00BD22C2">
        <w:rPr>
          <w:rFonts w:ascii="Arial" w:hAnsi="Arial" w:cs="Arial"/>
          <w:sz w:val="18"/>
          <w:szCs w:val="18"/>
          <w:lang w:val="fr-CA"/>
        </w:rPr>
      </w:r>
      <w:r w:rsidR="0051277D" w:rsidRPr="00BD22C2">
        <w:rPr>
          <w:rFonts w:ascii="Arial" w:hAnsi="Arial" w:cs="Arial"/>
          <w:sz w:val="18"/>
          <w:szCs w:val="18"/>
          <w:lang w:val="fr-CA"/>
        </w:rPr>
        <w:fldChar w:fldCharType="separate"/>
      </w:r>
      <w:r w:rsidR="004B4881">
        <w:rPr>
          <w:rFonts w:ascii="Arial" w:hAnsi="Arial" w:cs="Arial"/>
          <w:sz w:val="18"/>
          <w:szCs w:val="18"/>
          <w:lang w:val="fr-CA"/>
        </w:rPr>
        <w:t>233</w:t>
      </w:r>
      <w:r w:rsidR="0051277D" w:rsidRPr="00BD22C2">
        <w:rPr>
          <w:rFonts w:ascii="Arial" w:hAnsi="Arial" w:cs="Arial"/>
          <w:sz w:val="18"/>
          <w:szCs w:val="18"/>
          <w:lang w:val="fr-CA"/>
        </w:rPr>
        <w:fldChar w:fldCharType="end"/>
      </w:r>
      <w:r w:rsidR="00B21D2C" w:rsidRPr="00BD22C2">
        <w:rPr>
          <w:rFonts w:ascii="Arial" w:hAnsi="Arial" w:cs="Arial"/>
          <w:sz w:val="18"/>
          <w:szCs w:val="18"/>
          <w:lang w:val="fr-CA"/>
        </w:rPr>
        <w:t>.</w:t>
      </w:r>
    </w:p>
  </w:endnote>
  <w:endnote w:id="264">
    <w:p w14:paraId="37731295"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CRDE, art. 2. </w:t>
      </w:r>
    </w:p>
  </w:endnote>
  <w:endnote w:id="265">
    <w:p w14:paraId="549C9F8A" w14:textId="27B866E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Comité des droits économiques, sociaux et culturels</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 20, La non-discrimination dans l’exercice des droits économiques, sociaux et culturels</w:t>
      </w:r>
      <w:r w:rsidRPr="00BD22C2">
        <w:rPr>
          <w:rFonts w:ascii="Arial" w:hAnsi="Arial" w:cs="Arial"/>
          <w:sz w:val="18"/>
          <w:szCs w:val="18"/>
          <w:lang w:val="fr-CA"/>
        </w:rPr>
        <w:t>, Doc. N.U.</w:t>
      </w:r>
      <w:r w:rsidR="008B4522">
        <w:rPr>
          <w:rFonts w:ascii="Arial" w:hAnsi="Arial" w:cs="Arial"/>
          <w:sz w:val="18"/>
          <w:szCs w:val="18"/>
          <w:lang w:val="fr-CA"/>
        </w:rPr>
        <w:t> </w:t>
      </w:r>
      <w:r w:rsidRPr="00BD22C2">
        <w:rPr>
          <w:rFonts w:ascii="Arial" w:hAnsi="Arial" w:cs="Arial"/>
          <w:sz w:val="18"/>
          <w:szCs w:val="18"/>
          <w:lang w:val="fr-CA"/>
        </w:rPr>
        <w:t>E/C.12/GC/20 (2009), par. 39.</w:t>
      </w:r>
    </w:p>
  </w:endnote>
  <w:endnote w:id="266">
    <w:p w14:paraId="3A081280" w14:textId="741F7A09" w:rsidR="00076BA1" w:rsidRPr="00BD22C2" w:rsidRDefault="00076BA1" w:rsidP="00A71971">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77EED" w:rsidRPr="00BD22C2">
        <w:rPr>
          <w:rFonts w:ascii="Arial" w:hAnsi="Arial" w:cs="Arial"/>
          <w:smallCaps/>
          <w:sz w:val="18"/>
          <w:szCs w:val="18"/>
          <w:lang w:val="fr-CA"/>
        </w:rPr>
        <w:t>Comité des droits de l’enfant</w:t>
      </w:r>
      <w:r w:rsidR="00301C98" w:rsidRPr="00BD22C2">
        <w:rPr>
          <w:rStyle w:val="NotedebasdepageCar"/>
          <w:szCs w:val="18"/>
          <w:lang w:val="fr-CA"/>
        </w:rPr>
        <w:t xml:space="preserve">, </w:t>
      </w:r>
      <w:r w:rsidR="00301C98" w:rsidRPr="00BD22C2">
        <w:rPr>
          <w:rStyle w:val="NotedebasdepageCar"/>
          <w:i/>
          <w:szCs w:val="18"/>
          <w:lang w:val="fr-CA"/>
        </w:rPr>
        <w:t>Observation générale no</w:t>
      </w:r>
      <w:r w:rsidR="00CE1914">
        <w:rPr>
          <w:rStyle w:val="NotedebasdepageCar"/>
          <w:i/>
          <w:szCs w:val="18"/>
          <w:lang w:val="fr-CA"/>
        </w:rPr>
        <w:t> </w:t>
      </w:r>
      <w:r w:rsidR="00301C98" w:rsidRPr="00BD22C2">
        <w:rPr>
          <w:rStyle w:val="NotedebasdepageCar"/>
          <w:i/>
          <w:szCs w:val="18"/>
          <w:lang w:val="fr-CA"/>
        </w:rPr>
        <w:t>14</w:t>
      </w:r>
      <w:r w:rsidR="0051277D" w:rsidRPr="00BD22C2">
        <w:rPr>
          <w:rStyle w:val="NotedebasdepageCar"/>
          <w:i/>
          <w:szCs w:val="18"/>
          <w:lang w:val="fr-CA"/>
        </w:rPr>
        <w:t>,</w:t>
      </w:r>
      <w:r w:rsidR="00301C98" w:rsidRPr="00BD22C2">
        <w:rPr>
          <w:rStyle w:val="NotedebasdepageCar"/>
          <w:i/>
          <w:szCs w:val="18"/>
          <w:lang w:val="fr-CA"/>
        </w:rPr>
        <w:t xml:space="preserve"> </w:t>
      </w:r>
      <w:r w:rsidR="009A45E0" w:rsidRPr="00BD22C2">
        <w:rPr>
          <w:rFonts w:ascii="Arial" w:hAnsi="Arial" w:cs="Arial"/>
          <w:sz w:val="18"/>
          <w:szCs w:val="18"/>
          <w:lang w:val="fr-CA"/>
        </w:rPr>
        <w:t>préc., note</w:t>
      </w:r>
      <w:r w:rsidR="00CE1914">
        <w:rPr>
          <w:rFonts w:ascii="Arial" w:hAnsi="Arial" w:cs="Arial"/>
          <w:sz w:val="18"/>
          <w:szCs w:val="18"/>
          <w:lang w:val="fr-CA"/>
        </w:rPr>
        <w:t> </w:t>
      </w:r>
      <w:r w:rsidR="009A45E0" w:rsidRPr="00BD22C2">
        <w:rPr>
          <w:rFonts w:ascii="Arial" w:hAnsi="Arial" w:cs="Arial"/>
          <w:sz w:val="18"/>
          <w:szCs w:val="18"/>
          <w:lang w:val="fr-CA"/>
        </w:rPr>
        <w:fldChar w:fldCharType="begin"/>
      </w:r>
      <w:r w:rsidR="009A45E0" w:rsidRPr="00BD22C2">
        <w:rPr>
          <w:rFonts w:ascii="Arial" w:hAnsi="Arial" w:cs="Arial"/>
          <w:sz w:val="18"/>
          <w:szCs w:val="18"/>
          <w:lang w:val="fr-CA"/>
        </w:rPr>
        <w:instrText xml:space="preserve"> NOTEREF _Ref167441453 \h </w:instrText>
      </w:r>
      <w:r w:rsidR="009A45E0" w:rsidRPr="00BD22C2">
        <w:rPr>
          <w:rFonts w:ascii="Arial" w:hAnsi="Arial" w:cs="Arial"/>
          <w:sz w:val="18"/>
          <w:szCs w:val="18"/>
          <w:lang w:val="fr-CA"/>
        </w:rPr>
      </w:r>
      <w:r w:rsidR="009A45E0" w:rsidRPr="00BD22C2">
        <w:rPr>
          <w:rFonts w:ascii="Arial" w:hAnsi="Arial" w:cs="Arial"/>
          <w:sz w:val="18"/>
          <w:szCs w:val="18"/>
          <w:lang w:val="fr-CA"/>
        </w:rPr>
        <w:fldChar w:fldCharType="separate"/>
      </w:r>
      <w:r w:rsidR="004B4881">
        <w:rPr>
          <w:rFonts w:ascii="Arial" w:hAnsi="Arial" w:cs="Arial"/>
          <w:sz w:val="18"/>
          <w:szCs w:val="18"/>
          <w:lang w:val="fr-CA"/>
        </w:rPr>
        <w:t>245</w:t>
      </w:r>
      <w:r w:rsidR="009A45E0" w:rsidRPr="00BD22C2">
        <w:rPr>
          <w:rFonts w:ascii="Arial" w:hAnsi="Arial" w:cs="Arial"/>
          <w:sz w:val="18"/>
          <w:szCs w:val="18"/>
          <w:lang w:val="fr-CA"/>
        </w:rPr>
        <w:fldChar w:fldCharType="end"/>
      </w:r>
      <w:r w:rsidR="00301C98" w:rsidRPr="00BD22C2">
        <w:rPr>
          <w:rStyle w:val="NotedebasdepageCar"/>
          <w:szCs w:val="18"/>
          <w:lang w:val="fr-CA"/>
        </w:rPr>
        <w:t>, par. 41</w:t>
      </w:r>
      <w:r w:rsidR="00301C98" w:rsidRPr="00BD22C2">
        <w:rPr>
          <w:rStyle w:val="NotedebasdepageCar"/>
          <w:i/>
          <w:szCs w:val="18"/>
          <w:lang w:val="fr-CA"/>
        </w:rPr>
        <w:t>.</w:t>
      </w:r>
    </w:p>
  </w:endnote>
  <w:endnote w:id="267">
    <w:p w14:paraId="0C7905E1" w14:textId="3E72D4CE" w:rsidR="00F7531E" w:rsidRPr="00BD22C2" w:rsidRDefault="00F7531E" w:rsidP="00EE4F27">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3E381A" w:rsidRPr="00BD22C2">
        <w:rPr>
          <w:rFonts w:ascii="Arial" w:hAnsi="Arial" w:cs="Arial"/>
          <w:sz w:val="18"/>
          <w:szCs w:val="18"/>
          <w:lang w:val="fr-CA"/>
        </w:rPr>
        <w:t>Charte, art.</w:t>
      </w:r>
      <w:r w:rsidR="00CE1914">
        <w:rPr>
          <w:rFonts w:ascii="Arial" w:hAnsi="Arial" w:cs="Arial"/>
          <w:sz w:val="18"/>
          <w:szCs w:val="18"/>
          <w:lang w:val="fr-CA"/>
        </w:rPr>
        <w:t> </w:t>
      </w:r>
      <w:r w:rsidR="003E381A" w:rsidRPr="00BD22C2">
        <w:rPr>
          <w:rFonts w:ascii="Arial" w:hAnsi="Arial" w:cs="Arial"/>
          <w:sz w:val="18"/>
          <w:szCs w:val="18"/>
          <w:lang w:val="fr-CA"/>
        </w:rPr>
        <w:t>1</w:t>
      </w:r>
      <w:r w:rsidRPr="00BD22C2">
        <w:rPr>
          <w:rFonts w:ascii="Arial" w:hAnsi="Arial" w:cs="Arial"/>
          <w:sz w:val="18"/>
          <w:szCs w:val="18"/>
          <w:lang w:val="fr-CA"/>
        </w:rPr>
        <w:t xml:space="preserve"> et 39</w:t>
      </w:r>
      <w:r w:rsidR="003E381A" w:rsidRPr="00BD22C2">
        <w:rPr>
          <w:rFonts w:ascii="Arial" w:hAnsi="Arial" w:cs="Arial"/>
          <w:sz w:val="18"/>
          <w:szCs w:val="18"/>
          <w:lang w:val="fr-CA"/>
        </w:rPr>
        <w:t>.</w:t>
      </w:r>
    </w:p>
  </w:endnote>
  <w:endnote w:id="268">
    <w:p w14:paraId="19E3322D" w14:textId="70DCF7D6"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73320" w:rsidRPr="00BD22C2">
        <w:rPr>
          <w:rFonts w:ascii="Arial" w:hAnsi="Arial" w:cs="Arial"/>
          <w:sz w:val="18"/>
          <w:szCs w:val="18"/>
          <w:lang w:val="fr-CA"/>
        </w:rPr>
        <w:t>CRDE</w:t>
      </w:r>
      <w:r w:rsidR="00DF69D4">
        <w:rPr>
          <w:rFonts w:ascii="Arial" w:hAnsi="Arial" w:cs="Arial"/>
          <w:sz w:val="18"/>
          <w:szCs w:val="18"/>
          <w:lang w:val="fr-CA"/>
        </w:rPr>
        <w:t>,</w:t>
      </w:r>
      <w:r w:rsidR="00773320" w:rsidRPr="00BD22C2">
        <w:rPr>
          <w:rFonts w:ascii="Arial" w:hAnsi="Arial" w:cs="Arial"/>
          <w:sz w:val="18"/>
          <w:szCs w:val="18"/>
          <w:lang w:val="fr-CA"/>
        </w:rPr>
        <w:t xml:space="preserve"> art.</w:t>
      </w:r>
      <w:r w:rsidR="00CE1914">
        <w:rPr>
          <w:rFonts w:ascii="Arial" w:hAnsi="Arial" w:cs="Arial"/>
          <w:sz w:val="18"/>
          <w:szCs w:val="18"/>
          <w:lang w:val="fr-CA"/>
        </w:rPr>
        <w:t> </w:t>
      </w:r>
      <w:r w:rsidRPr="00BD22C2">
        <w:rPr>
          <w:rFonts w:ascii="Arial" w:hAnsi="Arial" w:cs="Arial"/>
          <w:sz w:val="18"/>
          <w:szCs w:val="18"/>
          <w:lang w:val="fr-CA"/>
        </w:rPr>
        <w:t xml:space="preserve">5 et 18. </w:t>
      </w:r>
    </w:p>
  </w:endnote>
  <w:endnote w:id="269">
    <w:p w14:paraId="3C08ACFC" w14:textId="1D5E2291"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73320" w:rsidRPr="00BD22C2">
        <w:rPr>
          <w:rFonts w:ascii="Arial" w:hAnsi="Arial" w:cs="Arial"/>
          <w:i/>
          <w:sz w:val="18"/>
          <w:szCs w:val="18"/>
          <w:lang w:val="fr-CA"/>
        </w:rPr>
        <w:t>Id</w:t>
      </w:r>
      <w:r w:rsidR="00773320" w:rsidRPr="00BD22C2">
        <w:rPr>
          <w:rFonts w:ascii="Arial" w:hAnsi="Arial" w:cs="Arial"/>
          <w:sz w:val="18"/>
          <w:szCs w:val="18"/>
          <w:lang w:val="fr-CA"/>
        </w:rPr>
        <w:t>., a</w:t>
      </w:r>
      <w:r w:rsidRPr="00BD22C2">
        <w:rPr>
          <w:rFonts w:ascii="Arial" w:hAnsi="Arial" w:cs="Arial"/>
          <w:sz w:val="18"/>
          <w:szCs w:val="18"/>
          <w:lang w:val="fr-CA"/>
        </w:rPr>
        <w:t>rt. 24, 27, 28, 29 et 31.</w:t>
      </w:r>
    </w:p>
  </w:endnote>
  <w:endnote w:id="270">
    <w:p w14:paraId="33E101B6" w14:textId="343CCE3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bookmarkStart w:id="137" w:name="_Hlk165478797"/>
      <w:r w:rsidR="00773320" w:rsidRPr="00BD22C2">
        <w:rPr>
          <w:rFonts w:ascii="Arial" w:hAnsi="Arial" w:cs="Arial"/>
          <w:sz w:val="18"/>
          <w:szCs w:val="18"/>
          <w:lang w:val="fr-CA"/>
        </w:rPr>
        <w:t>Voir le</w:t>
      </w:r>
      <w:r w:rsidR="001E1C7B" w:rsidRPr="00BD22C2">
        <w:rPr>
          <w:rFonts w:ascii="Arial" w:hAnsi="Arial" w:cs="Arial"/>
          <w:sz w:val="18"/>
          <w:szCs w:val="18"/>
          <w:lang w:val="fr-CA"/>
        </w:rPr>
        <w:t xml:space="preserve"> Chapitre</w:t>
      </w:r>
      <w:r w:rsidR="00CE1914">
        <w:rPr>
          <w:rFonts w:ascii="Arial" w:hAnsi="Arial" w:cs="Arial"/>
          <w:sz w:val="18"/>
          <w:szCs w:val="18"/>
          <w:lang w:val="fr-CA"/>
        </w:rPr>
        <w:t> </w:t>
      </w:r>
      <w:r w:rsidR="001E1C7B" w:rsidRPr="00BD22C2">
        <w:rPr>
          <w:rFonts w:ascii="Arial" w:hAnsi="Arial" w:cs="Arial"/>
          <w:sz w:val="18"/>
          <w:szCs w:val="18"/>
          <w:lang w:val="fr-CA"/>
        </w:rPr>
        <w:t xml:space="preserve">IV de la Charte. </w:t>
      </w:r>
      <w:bookmarkEnd w:id="137"/>
    </w:p>
  </w:endnote>
  <w:endnote w:id="271">
    <w:p w14:paraId="5A0B6581" w14:textId="1FA0BAF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 13 (2011), Le droit de l’enfant d’être protégé contre toutes les formes de violence</w:t>
      </w:r>
      <w:r w:rsidRPr="00BD22C2">
        <w:rPr>
          <w:rFonts w:ascii="Arial" w:hAnsi="Arial" w:cs="Arial"/>
          <w:sz w:val="18"/>
          <w:szCs w:val="18"/>
          <w:lang w:val="fr-CA"/>
        </w:rPr>
        <w:t>, Doc. N.</w:t>
      </w:r>
      <w:r w:rsidR="006305FE">
        <w:rPr>
          <w:rFonts w:ascii="Arial" w:hAnsi="Arial" w:cs="Arial"/>
          <w:sz w:val="18"/>
          <w:szCs w:val="18"/>
          <w:lang w:val="fr-CA"/>
        </w:rPr>
        <w:t> </w:t>
      </w:r>
      <w:r w:rsidRPr="00BD22C2">
        <w:rPr>
          <w:rFonts w:ascii="Arial" w:hAnsi="Arial" w:cs="Arial"/>
          <w:sz w:val="18"/>
          <w:szCs w:val="18"/>
          <w:lang w:val="fr-CA"/>
        </w:rPr>
        <w:t>U.</w:t>
      </w:r>
      <w:r w:rsidR="008B4522">
        <w:rPr>
          <w:rFonts w:ascii="Arial" w:hAnsi="Arial" w:cs="Arial"/>
          <w:sz w:val="18"/>
          <w:szCs w:val="18"/>
          <w:lang w:val="fr-CA"/>
        </w:rPr>
        <w:t> </w:t>
      </w:r>
      <w:r w:rsidRPr="00BD22C2">
        <w:rPr>
          <w:rFonts w:ascii="Arial" w:hAnsi="Arial" w:cs="Arial"/>
          <w:sz w:val="18"/>
          <w:szCs w:val="18"/>
          <w:lang w:val="fr-CA"/>
        </w:rPr>
        <w:t>CRC/C/GC/13, p</w:t>
      </w:r>
      <w:r w:rsidR="00D81273" w:rsidRPr="00BD22C2">
        <w:rPr>
          <w:rFonts w:ascii="Arial" w:hAnsi="Arial" w:cs="Arial"/>
          <w:sz w:val="18"/>
          <w:szCs w:val="18"/>
          <w:lang w:val="fr-CA"/>
        </w:rPr>
        <w:t>ar</w:t>
      </w:r>
      <w:r w:rsidRPr="00BD22C2">
        <w:rPr>
          <w:rFonts w:ascii="Arial" w:hAnsi="Arial" w:cs="Arial"/>
          <w:sz w:val="18"/>
          <w:szCs w:val="18"/>
          <w:lang w:val="fr-CA"/>
        </w:rPr>
        <w:t>.</w:t>
      </w:r>
      <w:r w:rsidR="00FF6945">
        <w:rPr>
          <w:rFonts w:ascii="Arial" w:hAnsi="Arial" w:cs="Arial"/>
          <w:sz w:val="18"/>
          <w:szCs w:val="18"/>
          <w:lang w:val="fr-CA"/>
        </w:rPr>
        <w:t xml:space="preserve"> </w:t>
      </w:r>
      <w:r w:rsidRPr="00BD22C2">
        <w:rPr>
          <w:rFonts w:ascii="Arial" w:hAnsi="Arial" w:cs="Arial"/>
          <w:sz w:val="18"/>
          <w:szCs w:val="18"/>
          <w:lang w:val="fr-CA"/>
        </w:rPr>
        <w:t>62.</w:t>
      </w:r>
    </w:p>
  </w:endnote>
  <w:endnote w:id="272">
    <w:p w14:paraId="0241DD29" w14:textId="00962FC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977375" w:rsidRPr="00BD22C2">
        <w:rPr>
          <w:rFonts w:ascii="Arial" w:hAnsi="Arial" w:cs="Arial"/>
          <w:i/>
          <w:sz w:val="18"/>
          <w:szCs w:val="18"/>
          <w:lang w:val="fr-CA"/>
        </w:rPr>
        <w:t>Principes sur l’application de la législation internationale des droits humains en matière d’orientation sexuelle et d’identité de genre</w:t>
      </w:r>
      <w:r w:rsidR="00977375" w:rsidRPr="00BD22C2">
        <w:rPr>
          <w:rFonts w:ascii="Arial" w:hAnsi="Arial" w:cs="Arial"/>
          <w:sz w:val="18"/>
          <w:szCs w:val="18"/>
          <w:lang w:val="fr-CA"/>
        </w:rPr>
        <w:t xml:space="preserve"> (Principes de Jogjakarta), 2007, </w:t>
      </w:r>
      <w:r w:rsidR="009635CF" w:rsidRPr="00BD22C2">
        <w:rPr>
          <w:rFonts w:ascii="Arial" w:hAnsi="Arial" w:cs="Arial"/>
          <w:sz w:val="18"/>
          <w:szCs w:val="18"/>
          <w:lang w:val="fr-CA"/>
        </w:rPr>
        <w:t>p</w:t>
      </w:r>
      <w:r w:rsidR="003468C2" w:rsidRPr="00BD22C2">
        <w:rPr>
          <w:rFonts w:ascii="Arial" w:hAnsi="Arial" w:cs="Arial"/>
          <w:sz w:val="18"/>
          <w:szCs w:val="18"/>
          <w:lang w:val="fr-CA"/>
        </w:rPr>
        <w:t>réambule</w:t>
      </w:r>
      <w:r w:rsidR="009635CF" w:rsidRPr="00BD22C2">
        <w:rPr>
          <w:rFonts w:ascii="Arial" w:hAnsi="Arial" w:cs="Arial"/>
          <w:sz w:val="18"/>
          <w:szCs w:val="18"/>
          <w:lang w:val="fr-CA"/>
        </w:rPr>
        <w:t xml:space="preserve">, </w:t>
      </w:r>
      <w:r w:rsidR="00977375" w:rsidRPr="00BD22C2">
        <w:rPr>
          <w:rFonts w:ascii="Arial" w:hAnsi="Arial" w:cs="Arial"/>
          <w:sz w:val="18"/>
          <w:szCs w:val="18"/>
          <w:lang w:val="fr-CA"/>
        </w:rPr>
        <w:t>[En ligne].</w:t>
      </w:r>
      <w:r w:rsidR="00BE5947" w:rsidRPr="00BD22C2">
        <w:rPr>
          <w:rStyle w:val="NotesBasPageCar"/>
          <w:lang w:val="fr-CA"/>
        </w:rPr>
        <w:t xml:space="preserve"> </w:t>
      </w:r>
      <w:r w:rsidR="00BE5947">
        <w:fldChar w:fldCharType="begin"/>
      </w:r>
      <w:r w:rsidR="00BE5947" w:rsidRPr="003E3312">
        <w:rPr>
          <w:lang w:val="fr-CA"/>
        </w:rPr>
        <w:instrText>HYPERLINK "https://yogyakartaprinciples.org/wp-content/uploads/2016/08/principles_fr.pdf"</w:instrText>
      </w:r>
      <w:r w:rsidR="00BE5947">
        <w:fldChar w:fldCharType="separate"/>
      </w:r>
      <w:r w:rsidR="00BE5947" w:rsidRPr="00BD22C2">
        <w:rPr>
          <w:rStyle w:val="Lienhypertexte"/>
          <w:rFonts w:ascii="Arial" w:hAnsi="Arial"/>
          <w:sz w:val="18"/>
          <w:szCs w:val="22"/>
          <w:lang w:val="fr-CA"/>
        </w:rPr>
        <w:t>https://yogyakartaprinciples.org/wp-content/uploads/2016/08/principles_fr.pdf</w:t>
      </w:r>
      <w:r w:rsidR="00BE5947">
        <w:rPr>
          <w:rStyle w:val="Lienhypertexte"/>
          <w:rFonts w:ascii="Arial" w:hAnsi="Arial"/>
          <w:sz w:val="18"/>
          <w:szCs w:val="22"/>
          <w:lang w:val="fr-CA"/>
        </w:rPr>
        <w:fldChar w:fldCharType="end"/>
      </w:r>
      <w:r w:rsidR="00BE5947" w:rsidRPr="00BD22C2">
        <w:rPr>
          <w:rStyle w:val="NotesBasPageCar"/>
          <w:lang w:val="fr-CA"/>
        </w:rPr>
        <w:t xml:space="preserve"> </w:t>
      </w:r>
    </w:p>
  </w:endnote>
  <w:endnote w:id="273">
    <w:p w14:paraId="33CE1276" w14:textId="550E2641"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627E1" w:rsidRPr="00BD22C2">
        <w:rPr>
          <w:rFonts w:ascii="Arial" w:hAnsi="Arial" w:cs="Arial"/>
          <w:smallCaps/>
          <w:sz w:val="18"/>
          <w:szCs w:val="18"/>
          <w:lang w:val="fr-CA"/>
        </w:rPr>
        <w:t>Commission des droits de la personne et des droits de la jeunesse</w:t>
      </w:r>
      <w:r w:rsidR="004627E1" w:rsidRPr="00BD22C2">
        <w:rPr>
          <w:rFonts w:ascii="Arial" w:hAnsi="Arial" w:cs="Arial"/>
          <w:sz w:val="18"/>
          <w:szCs w:val="18"/>
          <w:lang w:val="fr-CA"/>
        </w:rPr>
        <w:t xml:space="preserve">, </w:t>
      </w:r>
      <w:r w:rsidRPr="00BD22C2">
        <w:rPr>
          <w:rFonts w:ascii="Arial" w:hAnsi="Arial" w:cs="Arial"/>
          <w:i/>
          <w:sz w:val="18"/>
          <w:szCs w:val="18"/>
          <w:lang w:val="fr-CA"/>
        </w:rPr>
        <w:t xml:space="preserve">Mémoire à la Commission </w:t>
      </w:r>
      <w:r w:rsidR="009B5AFD" w:rsidRPr="00BD22C2">
        <w:rPr>
          <w:rFonts w:ascii="Arial" w:hAnsi="Arial" w:cs="Arial"/>
          <w:i/>
          <w:sz w:val="18"/>
          <w:szCs w:val="18"/>
          <w:lang w:val="fr-CA"/>
        </w:rPr>
        <w:t>spéciale sur les droits des enfants</w:t>
      </w:r>
      <w:r w:rsidR="001D27B5" w:rsidRPr="00BD22C2">
        <w:rPr>
          <w:rFonts w:ascii="Arial" w:hAnsi="Arial" w:cs="Arial"/>
          <w:i/>
          <w:sz w:val="18"/>
          <w:szCs w:val="18"/>
          <w:lang w:val="fr-CA"/>
        </w:rPr>
        <w:t xml:space="preserve"> et </w:t>
      </w:r>
      <w:r w:rsidR="009B5AFD" w:rsidRPr="00BD22C2">
        <w:rPr>
          <w:rFonts w:ascii="Arial" w:hAnsi="Arial" w:cs="Arial"/>
          <w:i/>
          <w:sz w:val="18"/>
          <w:szCs w:val="18"/>
          <w:lang w:val="fr-CA"/>
        </w:rPr>
        <w:t>la protection de la jeunesse</w:t>
      </w:r>
      <w:r w:rsidR="009B5AFD" w:rsidRPr="00BD22C2">
        <w:rPr>
          <w:rFonts w:ascii="Arial" w:hAnsi="Arial" w:cs="Arial"/>
          <w:sz w:val="18"/>
          <w:szCs w:val="18"/>
          <w:lang w:val="fr-CA"/>
        </w:rPr>
        <w:t xml:space="preserve">, </w:t>
      </w:r>
      <w:r w:rsidR="009D1114" w:rsidRPr="00BD22C2">
        <w:rPr>
          <w:rFonts w:ascii="Arial" w:hAnsi="Arial" w:cs="Arial"/>
          <w:sz w:val="18"/>
          <w:szCs w:val="18"/>
          <w:lang w:val="fr-CA"/>
        </w:rPr>
        <w:t>préc.</w:t>
      </w:r>
      <w:r w:rsidR="00313B2D">
        <w:rPr>
          <w:rFonts w:ascii="Arial" w:hAnsi="Arial" w:cs="Arial"/>
          <w:sz w:val="18"/>
          <w:szCs w:val="18"/>
          <w:lang w:val="fr-CA"/>
        </w:rPr>
        <w:t>,</w:t>
      </w:r>
      <w:r w:rsidR="009D1114" w:rsidRPr="00BD22C2">
        <w:rPr>
          <w:rFonts w:ascii="Arial" w:hAnsi="Arial" w:cs="Arial"/>
          <w:sz w:val="18"/>
          <w:szCs w:val="18"/>
          <w:lang w:val="fr-CA"/>
        </w:rPr>
        <w:t xml:space="preserve"> note</w:t>
      </w:r>
      <w:r w:rsidR="00CE1914">
        <w:rPr>
          <w:rFonts w:ascii="Arial" w:hAnsi="Arial" w:cs="Arial"/>
          <w:sz w:val="18"/>
          <w:szCs w:val="18"/>
          <w:lang w:val="fr-CA"/>
        </w:rPr>
        <w:t> </w:t>
      </w:r>
      <w:r w:rsidR="003A07E9" w:rsidRPr="00BD22C2">
        <w:rPr>
          <w:rFonts w:ascii="Arial" w:hAnsi="Arial" w:cs="Arial"/>
          <w:sz w:val="18"/>
          <w:szCs w:val="18"/>
          <w:lang w:val="fr-CA"/>
        </w:rPr>
        <w:t>231</w:t>
      </w:r>
      <w:r w:rsidR="00341A63" w:rsidRPr="00BD22C2">
        <w:rPr>
          <w:rFonts w:ascii="Arial" w:hAnsi="Arial" w:cs="Arial"/>
          <w:sz w:val="18"/>
          <w:szCs w:val="18"/>
          <w:lang w:val="fr-CA"/>
        </w:rPr>
        <w:t>, p.</w:t>
      </w:r>
      <w:r w:rsidR="00CE1914">
        <w:rPr>
          <w:rFonts w:ascii="Arial" w:hAnsi="Arial" w:cs="Arial"/>
          <w:sz w:val="18"/>
          <w:szCs w:val="18"/>
          <w:lang w:val="fr-CA"/>
        </w:rPr>
        <w:t> </w:t>
      </w:r>
      <w:r w:rsidR="00341A63" w:rsidRPr="00BD22C2">
        <w:rPr>
          <w:rFonts w:ascii="Arial" w:hAnsi="Arial" w:cs="Arial"/>
          <w:sz w:val="18"/>
          <w:szCs w:val="18"/>
          <w:lang w:val="fr-CA"/>
        </w:rPr>
        <w:t>229</w:t>
      </w:r>
      <w:r w:rsidR="009B5AFD" w:rsidRPr="00BD22C2">
        <w:rPr>
          <w:rFonts w:ascii="Arial" w:hAnsi="Arial" w:cs="Arial"/>
          <w:sz w:val="18"/>
          <w:szCs w:val="18"/>
          <w:lang w:val="fr-CA"/>
        </w:rPr>
        <w:t>.</w:t>
      </w:r>
    </w:p>
  </w:endnote>
  <w:endnote w:id="274">
    <w:p w14:paraId="4BB33A67" w14:textId="1F4010A0"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w:t>
      </w:r>
      <w:r w:rsidR="003050D6" w:rsidRPr="00BD22C2">
        <w:rPr>
          <w:rFonts w:ascii="Arial" w:hAnsi="Arial" w:cs="Arial"/>
          <w:sz w:val="18"/>
          <w:szCs w:val="18"/>
          <w:lang w:val="fr-CA"/>
        </w:rPr>
        <w:t>,</w:t>
      </w:r>
      <w:r w:rsidRPr="00BD22C2">
        <w:rPr>
          <w:rFonts w:ascii="Arial" w:hAnsi="Arial" w:cs="Arial"/>
          <w:sz w:val="18"/>
          <w:szCs w:val="18"/>
          <w:lang w:val="fr-CA"/>
        </w:rPr>
        <w:t xml:space="preserve"> art. 5, 14 et 18.</w:t>
      </w:r>
    </w:p>
  </w:endnote>
  <w:endnote w:id="275">
    <w:p w14:paraId="67511DDF"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Charte, art. 39 et 41.</w:t>
      </w:r>
    </w:p>
  </w:endnote>
  <w:endnote w:id="276">
    <w:p w14:paraId="2E4AC9D3" w14:textId="77777777"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C.c.Q., art. 32.</w:t>
      </w:r>
    </w:p>
  </w:endnote>
  <w:endnote w:id="277">
    <w:p w14:paraId="062D6212" w14:textId="1C389458"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Lp.j., art. </w:t>
      </w:r>
      <w:r w:rsidR="00236B0E" w:rsidRPr="00E16C03">
        <w:rPr>
          <w:rFonts w:ascii="Arial" w:hAnsi="Arial" w:cs="Arial"/>
          <w:sz w:val="18"/>
          <w:szCs w:val="18"/>
          <w:lang w:val="en-CA"/>
        </w:rPr>
        <w:t>11.4.</w:t>
      </w:r>
    </w:p>
  </w:endnote>
  <w:endnote w:id="278">
    <w:p w14:paraId="3388B6D2" w14:textId="55168AFE"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C11236" w:rsidRPr="00BD22C2">
        <w:rPr>
          <w:rFonts w:ascii="Arial" w:hAnsi="Arial" w:cs="Arial"/>
          <w:sz w:val="18"/>
          <w:szCs w:val="18"/>
          <w:lang w:val="fr-CA"/>
        </w:rPr>
        <w:t>Charte, art</w:t>
      </w:r>
      <w:r w:rsidRPr="00BD22C2">
        <w:rPr>
          <w:rFonts w:ascii="Arial" w:hAnsi="Arial" w:cs="Arial"/>
          <w:sz w:val="18"/>
          <w:szCs w:val="18"/>
          <w:lang w:val="fr-CA"/>
        </w:rPr>
        <w:t>. 41.</w:t>
      </w:r>
    </w:p>
  </w:endnote>
  <w:endnote w:id="279">
    <w:p w14:paraId="3DC18B83" w14:textId="71903305"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D158B" w:rsidRPr="00BD22C2">
        <w:rPr>
          <w:rFonts w:ascii="Arial" w:hAnsi="Arial" w:cs="Arial"/>
          <w:sz w:val="18"/>
          <w:szCs w:val="18"/>
          <w:lang w:val="fr-CA"/>
        </w:rPr>
        <w:tab/>
      </w:r>
      <w:r w:rsidR="00CB3A85" w:rsidRPr="00BD22C2">
        <w:rPr>
          <w:rFonts w:ascii="Arial" w:hAnsi="Arial" w:cs="Arial"/>
          <w:sz w:val="18"/>
          <w:szCs w:val="18"/>
          <w:lang w:val="fr-CA"/>
        </w:rPr>
        <w:t>Voir le Chapitre</w:t>
      </w:r>
      <w:r w:rsidR="00CE1914">
        <w:rPr>
          <w:rFonts w:ascii="Arial" w:hAnsi="Arial" w:cs="Arial"/>
          <w:sz w:val="18"/>
          <w:szCs w:val="18"/>
          <w:lang w:val="fr-CA"/>
        </w:rPr>
        <w:t> </w:t>
      </w:r>
      <w:r w:rsidR="00CB3A85" w:rsidRPr="00BD22C2">
        <w:rPr>
          <w:rFonts w:ascii="Arial" w:hAnsi="Arial" w:cs="Arial"/>
          <w:sz w:val="18"/>
          <w:szCs w:val="18"/>
          <w:lang w:val="fr-CA"/>
        </w:rPr>
        <w:t>IV de la Charte et la L.p.j.</w:t>
      </w:r>
      <w:r w:rsidR="001C73F4" w:rsidRPr="00BD22C2">
        <w:rPr>
          <w:rFonts w:ascii="Arial" w:hAnsi="Arial" w:cs="Arial"/>
          <w:sz w:val="18"/>
          <w:szCs w:val="18"/>
          <w:lang w:val="fr-CA"/>
        </w:rPr>
        <w:t xml:space="preserve"> </w:t>
      </w:r>
      <w:r w:rsidR="00A2390B" w:rsidRPr="00BD22C2">
        <w:rPr>
          <w:rFonts w:ascii="Arial" w:hAnsi="Arial" w:cs="Arial"/>
          <w:sz w:val="18"/>
          <w:szCs w:val="18"/>
          <w:lang w:val="fr-CA"/>
        </w:rPr>
        <w:t>Notons que la L.</w:t>
      </w:r>
      <w:r w:rsidR="004F3ED5" w:rsidRPr="00BD22C2">
        <w:rPr>
          <w:rFonts w:ascii="Arial" w:hAnsi="Arial" w:cs="Arial"/>
          <w:sz w:val="18"/>
          <w:szCs w:val="18"/>
          <w:lang w:val="fr-CA"/>
        </w:rPr>
        <w:t>p.</w:t>
      </w:r>
      <w:r w:rsidR="00A2390B" w:rsidRPr="00BD22C2">
        <w:rPr>
          <w:rFonts w:ascii="Arial" w:hAnsi="Arial" w:cs="Arial"/>
          <w:sz w:val="18"/>
          <w:szCs w:val="18"/>
          <w:lang w:val="fr-CA"/>
        </w:rPr>
        <w:t xml:space="preserve">j. est une loi d’application exceptionnelle : </w:t>
      </w:r>
      <w:r w:rsidR="00594438" w:rsidRPr="00BD22C2">
        <w:rPr>
          <w:rFonts w:ascii="Arial" w:hAnsi="Arial" w:cs="Arial"/>
          <w:sz w:val="18"/>
          <w:szCs w:val="18"/>
          <w:lang w:val="fr-CA"/>
        </w:rPr>
        <w:t>l’État n’intervient</w:t>
      </w:r>
      <w:r w:rsidR="00306394" w:rsidRPr="00BD22C2">
        <w:rPr>
          <w:rFonts w:ascii="Arial" w:hAnsi="Arial" w:cs="Arial"/>
          <w:sz w:val="18"/>
          <w:szCs w:val="18"/>
          <w:lang w:val="fr-CA"/>
        </w:rPr>
        <w:t xml:space="preserve"> en application de cette loi que pour mettre fin à la compromission d</w:t>
      </w:r>
      <w:r w:rsidR="001D0DC7" w:rsidRPr="00BD22C2">
        <w:rPr>
          <w:rFonts w:ascii="Arial" w:hAnsi="Arial" w:cs="Arial"/>
          <w:sz w:val="18"/>
          <w:szCs w:val="18"/>
          <w:lang w:val="fr-CA"/>
        </w:rPr>
        <w:t xml:space="preserve">u développement ou de la sécurité de l’enfant et pour protéger ce </w:t>
      </w:r>
      <w:r w:rsidR="000935EC" w:rsidRPr="00BD22C2">
        <w:rPr>
          <w:rFonts w:ascii="Arial" w:hAnsi="Arial" w:cs="Arial"/>
          <w:sz w:val="18"/>
          <w:szCs w:val="18"/>
          <w:lang w:val="fr-CA"/>
        </w:rPr>
        <w:t>dernier</w:t>
      </w:r>
      <w:r w:rsidR="00CD15BB" w:rsidRPr="00BD22C2">
        <w:rPr>
          <w:rFonts w:ascii="Arial" w:hAnsi="Arial" w:cs="Arial"/>
          <w:sz w:val="18"/>
          <w:szCs w:val="18"/>
          <w:lang w:val="fr-CA"/>
        </w:rPr>
        <w:t xml:space="preserve">, </w:t>
      </w:r>
      <w:r w:rsidR="004A697D" w:rsidRPr="00BD22C2">
        <w:rPr>
          <w:rFonts w:ascii="Arial" w:hAnsi="Arial" w:cs="Arial"/>
          <w:i/>
          <w:sz w:val="18"/>
          <w:szCs w:val="18"/>
          <w:lang w:val="fr-CA"/>
        </w:rPr>
        <w:t xml:space="preserve">Protection de la jeunesse </w:t>
      </w:r>
      <w:r w:rsidR="001538F9" w:rsidRPr="00BD22C2">
        <w:rPr>
          <w:rFonts w:ascii="Arial" w:hAnsi="Arial" w:cs="Arial"/>
          <w:i/>
          <w:sz w:val="18"/>
          <w:szCs w:val="18"/>
          <w:lang w:val="fr-CA"/>
        </w:rPr>
        <w:t>– 177908</w:t>
      </w:r>
      <w:r w:rsidR="001538F9" w:rsidRPr="00BD22C2">
        <w:rPr>
          <w:rFonts w:ascii="Arial" w:hAnsi="Arial" w:cs="Arial"/>
          <w:sz w:val="18"/>
          <w:szCs w:val="18"/>
          <w:lang w:val="fr-CA"/>
        </w:rPr>
        <w:t>, 2017</w:t>
      </w:r>
      <w:r w:rsidR="00B32B61">
        <w:rPr>
          <w:rFonts w:ascii="Arial" w:hAnsi="Arial" w:cs="Arial"/>
          <w:sz w:val="18"/>
          <w:szCs w:val="18"/>
          <w:lang w:val="fr-CA"/>
        </w:rPr>
        <w:t> </w:t>
      </w:r>
      <w:r w:rsidR="001538F9" w:rsidRPr="00BD22C2">
        <w:rPr>
          <w:rFonts w:ascii="Arial" w:hAnsi="Arial" w:cs="Arial"/>
          <w:sz w:val="18"/>
          <w:szCs w:val="18"/>
          <w:lang w:val="fr-CA"/>
        </w:rPr>
        <w:t>QCCQ</w:t>
      </w:r>
      <w:r w:rsidR="00CE1914">
        <w:rPr>
          <w:rFonts w:ascii="Arial" w:hAnsi="Arial" w:cs="Arial"/>
          <w:sz w:val="18"/>
          <w:szCs w:val="18"/>
          <w:lang w:val="fr-CA"/>
        </w:rPr>
        <w:t> </w:t>
      </w:r>
      <w:r w:rsidR="001538F9" w:rsidRPr="00BD22C2">
        <w:rPr>
          <w:rFonts w:ascii="Arial" w:hAnsi="Arial" w:cs="Arial"/>
          <w:sz w:val="18"/>
          <w:szCs w:val="18"/>
          <w:lang w:val="fr-CA"/>
        </w:rPr>
        <w:t>1370</w:t>
      </w:r>
      <w:r w:rsidR="00CD15BB" w:rsidRPr="00BD22C2">
        <w:rPr>
          <w:rFonts w:ascii="Arial" w:hAnsi="Arial" w:cs="Arial"/>
          <w:sz w:val="18"/>
          <w:szCs w:val="18"/>
          <w:lang w:val="fr-CA"/>
        </w:rPr>
        <w:t xml:space="preserve">3. </w:t>
      </w:r>
    </w:p>
  </w:endnote>
  <w:endnote w:id="280">
    <w:p w14:paraId="12262637" w14:textId="0082594D" w:rsidR="00984E9F" w:rsidRPr="00BD22C2" w:rsidRDefault="00984E9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D158B" w:rsidRPr="00BD22C2">
        <w:rPr>
          <w:rFonts w:ascii="Arial" w:hAnsi="Arial" w:cs="Arial"/>
          <w:sz w:val="18"/>
          <w:szCs w:val="18"/>
          <w:lang w:val="fr-CA"/>
        </w:rPr>
        <w:tab/>
      </w:r>
      <w:r w:rsidRPr="009C0AE8">
        <w:rPr>
          <w:rFonts w:ascii="Arial" w:hAnsi="Arial" w:cs="Arial"/>
          <w:smallCaps/>
          <w:sz w:val="18"/>
          <w:szCs w:val="18"/>
          <w:lang w:val="fr-CA"/>
        </w:rPr>
        <w:t>Ministère de la Justice</w:t>
      </w:r>
      <w:r w:rsidR="00DE5A0A" w:rsidRPr="009C0AE8">
        <w:rPr>
          <w:rFonts w:ascii="Arial" w:hAnsi="Arial" w:cs="Arial"/>
          <w:smallCaps/>
          <w:sz w:val="18"/>
          <w:szCs w:val="18"/>
          <w:lang w:val="fr-CA"/>
        </w:rPr>
        <w:t xml:space="preserve"> du Québec</w:t>
      </w:r>
      <w:r w:rsidRPr="00BD22C2">
        <w:rPr>
          <w:rFonts w:ascii="Arial" w:hAnsi="Arial" w:cs="Arial"/>
          <w:sz w:val="18"/>
          <w:szCs w:val="18"/>
          <w:lang w:val="fr-CA"/>
        </w:rPr>
        <w:t xml:space="preserve">, </w:t>
      </w:r>
      <w:r w:rsidRPr="00BD22C2">
        <w:rPr>
          <w:rFonts w:ascii="Arial" w:hAnsi="Arial" w:cs="Arial"/>
          <w:i/>
          <w:sz w:val="18"/>
          <w:szCs w:val="18"/>
          <w:lang w:val="fr-CA"/>
        </w:rPr>
        <w:t>Commentaires du ministre de la justice</w:t>
      </w:r>
      <w:r w:rsidRPr="00BD22C2">
        <w:rPr>
          <w:rFonts w:ascii="Arial" w:hAnsi="Arial" w:cs="Arial"/>
          <w:sz w:val="18"/>
          <w:szCs w:val="18"/>
          <w:lang w:val="fr-CA"/>
        </w:rPr>
        <w:t>, t. 1, Québec, Publications du Québec, 1993</w:t>
      </w:r>
      <w:r w:rsidR="009E6F89" w:rsidRPr="00BD22C2">
        <w:rPr>
          <w:rFonts w:ascii="Arial" w:hAnsi="Arial" w:cs="Arial"/>
          <w:sz w:val="18"/>
          <w:szCs w:val="18"/>
          <w:lang w:val="fr-CA"/>
        </w:rPr>
        <w:t>,</w:t>
      </w:r>
      <w:r w:rsidRPr="00BD22C2">
        <w:rPr>
          <w:rFonts w:ascii="Arial" w:hAnsi="Arial" w:cs="Arial"/>
          <w:sz w:val="18"/>
          <w:szCs w:val="18"/>
          <w:lang w:val="fr-CA"/>
        </w:rPr>
        <w:t xml:space="preserve"> 110.</w:t>
      </w:r>
    </w:p>
  </w:endnote>
  <w:endnote w:id="281">
    <w:p w14:paraId="5C94C539" w14:textId="257BD40C" w:rsidR="00984E9F" w:rsidRPr="00BD22C2" w:rsidRDefault="00984E9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sz w:val="18"/>
          <w:szCs w:val="18"/>
          <w:lang w:val="fr-CA"/>
        </w:rPr>
        <w:t xml:space="preserve">Robert </w:t>
      </w:r>
      <w:r w:rsidRPr="00BD22C2">
        <w:rPr>
          <w:rFonts w:ascii="Arial" w:hAnsi="Arial" w:cs="Arial"/>
          <w:smallCaps/>
          <w:sz w:val="18"/>
          <w:szCs w:val="18"/>
          <w:lang w:val="fr-CA"/>
        </w:rPr>
        <w:t>P. Kouri</w:t>
      </w:r>
      <w:r w:rsidRPr="00BD22C2">
        <w:rPr>
          <w:rFonts w:ascii="Arial" w:hAnsi="Arial" w:cs="Arial"/>
          <w:sz w:val="18"/>
          <w:szCs w:val="18"/>
          <w:lang w:val="fr-CA"/>
        </w:rPr>
        <w:t>, « Le mineur et les soins médicaux, A.C. c. Manitoba</w:t>
      </w:r>
      <w:r w:rsidR="007138D6" w:rsidRPr="00BD22C2">
        <w:rPr>
          <w:rFonts w:ascii="Arial" w:hAnsi="Arial" w:cs="Arial"/>
          <w:sz w:val="18"/>
          <w:szCs w:val="18"/>
          <w:lang w:val="fr-CA"/>
        </w:rPr>
        <w:t> </w:t>
      </w:r>
      <w:r w:rsidRPr="00BD22C2">
        <w:rPr>
          <w:rFonts w:ascii="Arial" w:hAnsi="Arial" w:cs="Arial"/>
          <w:sz w:val="18"/>
          <w:szCs w:val="18"/>
          <w:lang w:val="fr-CA"/>
        </w:rPr>
        <w:t xml:space="preserve">: de l’autonomie au meilleur intérêt, une limite bien floue », </w:t>
      </w:r>
      <w:r w:rsidR="00D2215B" w:rsidRPr="00BD22C2">
        <w:rPr>
          <w:rFonts w:ascii="Arial" w:hAnsi="Arial" w:cs="Arial"/>
          <w:sz w:val="18"/>
          <w:szCs w:val="18"/>
          <w:lang w:val="fr-CA"/>
        </w:rPr>
        <w:t>(20</w:t>
      </w:r>
      <w:r w:rsidR="004967D2" w:rsidRPr="00BD22C2">
        <w:rPr>
          <w:rFonts w:ascii="Arial" w:hAnsi="Arial" w:cs="Arial"/>
          <w:sz w:val="18"/>
          <w:szCs w:val="18"/>
          <w:lang w:val="fr-CA"/>
        </w:rPr>
        <w:t>10</w:t>
      </w:r>
      <w:r w:rsidR="00D2215B" w:rsidRPr="00BD22C2">
        <w:rPr>
          <w:rFonts w:ascii="Arial" w:hAnsi="Arial" w:cs="Arial"/>
          <w:sz w:val="18"/>
          <w:szCs w:val="18"/>
          <w:lang w:val="fr-CA"/>
        </w:rPr>
        <w:t>)</w:t>
      </w:r>
      <w:r w:rsidRPr="00BD22C2">
        <w:rPr>
          <w:rFonts w:ascii="Arial" w:hAnsi="Arial" w:cs="Arial"/>
          <w:sz w:val="18"/>
          <w:szCs w:val="18"/>
          <w:lang w:val="fr-CA"/>
        </w:rPr>
        <w:t xml:space="preserve"> </w:t>
      </w:r>
      <w:r w:rsidRPr="00082306">
        <w:rPr>
          <w:rFonts w:ascii="Arial" w:hAnsi="Arial" w:cs="Arial"/>
          <w:i/>
          <w:sz w:val="18"/>
          <w:szCs w:val="18"/>
          <w:lang w:val="fr-CA"/>
        </w:rPr>
        <w:t>McGill Journal of Law and Health / Revue de droit et santé de McGill</w:t>
      </w:r>
      <w:r w:rsidRPr="00BD22C2">
        <w:rPr>
          <w:rFonts w:ascii="Arial" w:hAnsi="Arial" w:cs="Arial"/>
          <w:sz w:val="18"/>
          <w:szCs w:val="18"/>
          <w:lang w:val="fr-CA"/>
        </w:rPr>
        <w:t>, vol.</w:t>
      </w:r>
      <w:r w:rsidR="00CE1914">
        <w:rPr>
          <w:rFonts w:ascii="Arial" w:hAnsi="Arial" w:cs="Arial"/>
          <w:sz w:val="18"/>
          <w:szCs w:val="18"/>
          <w:lang w:val="fr-CA"/>
        </w:rPr>
        <w:t> </w:t>
      </w:r>
      <w:r w:rsidRPr="00BD22C2">
        <w:rPr>
          <w:rFonts w:ascii="Arial" w:hAnsi="Arial" w:cs="Arial"/>
          <w:sz w:val="18"/>
          <w:szCs w:val="18"/>
          <w:lang w:val="fr-CA"/>
        </w:rPr>
        <w:t>4, no. 1, p.</w:t>
      </w:r>
      <w:r w:rsidR="00CE1914">
        <w:rPr>
          <w:rFonts w:ascii="Arial" w:hAnsi="Arial" w:cs="Arial"/>
          <w:sz w:val="18"/>
          <w:szCs w:val="18"/>
          <w:lang w:val="fr-CA"/>
        </w:rPr>
        <w:t> </w:t>
      </w:r>
      <w:r w:rsidRPr="00BD22C2">
        <w:rPr>
          <w:rFonts w:ascii="Arial" w:hAnsi="Arial" w:cs="Arial"/>
          <w:sz w:val="18"/>
          <w:szCs w:val="18"/>
          <w:lang w:val="fr-CA"/>
        </w:rPr>
        <w:t>66.</w:t>
      </w:r>
    </w:p>
  </w:endnote>
  <w:endnote w:id="282">
    <w:p w14:paraId="451202E5"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C.c.Q., art. 597 et 598. </w:t>
      </w:r>
    </w:p>
  </w:endnote>
  <w:endnote w:id="283">
    <w:p w14:paraId="5F05F104" w14:textId="1F4A14E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C.c.Q., art.</w:t>
      </w:r>
      <w:r w:rsidR="00CE1914">
        <w:rPr>
          <w:rFonts w:ascii="Arial" w:hAnsi="Arial" w:cs="Arial"/>
          <w:sz w:val="18"/>
          <w:szCs w:val="18"/>
          <w:lang w:val="fr-CA"/>
        </w:rPr>
        <w:t> </w:t>
      </w:r>
      <w:r w:rsidR="00D20FE7" w:rsidRPr="00BD22C2">
        <w:rPr>
          <w:rFonts w:ascii="Arial" w:hAnsi="Arial" w:cs="Arial"/>
          <w:sz w:val="18"/>
          <w:szCs w:val="18"/>
          <w:lang w:val="fr-CA"/>
        </w:rPr>
        <w:t>153, 598 et</w:t>
      </w:r>
      <w:r w:rsidRPr="00BD22C2">
        <w:rPr>
          <w:rFonts w:ascii="Arial" w:hAnsi="Arial" w:cs="Arial"/>
          <w:sz w:val="18"/>
          <w:szCs w:val="18"/>
          <w:lang w:val="fr-CA"/>
        </w:rPr>
        <w:t> 599, en tant que titulaires de l’autorité parentale, les parents ont, à l’égard de leur enfant, le droit et le devoir de garde, de surveillance et d’éducation</w:t>
      </w:r>
      <w:r w:rsidR="00D20FE7" w:rsidRPr="00BD22C2">
        <w:rPr>
          <w:rFonts w:ascii="Arial" w:hAnsi="Arial" w:cs="Arial"/>
          <w:sz w:val="18"/>
          <w:szCs w:val="18"/>
          <w:lang w:val="fr-CA"/>
        </w:rPr>
        <w:t>.</w:t>
      </w:r>
      <w:r w:rsidRPr="00BD22C2">
        <w:rPr>
          <w:rFonts w:ascii="Arial" w:hAnsi="Arial" w:cs="Arial"/>
          <w:sz w:val="18"/>
          <w:szCs w:val="18"/>
          <w:lang w:val="fr-CA"/>
        </w:rPr>
        <w:t xml:space="preserve"> L’enfant reste soumis à l’autorité de ses parents jusqu’à sa majorité, qui est établie à 18</w:t>
      </w:r>
      <w:r w:rsidR="00B32B61">
        <w:rPr>
          <w:rFonts w:ascii="Arial" w:hAnsi="Arial" w:cs="Arial"/>
          <w:sz w:val="18"/>
          <w:szCs w:val="18"/>
          <w:lang w:val="fr-CA"/>
        </w:rPr>
        <w:t> </w:t>
      </w:r>
      <w:r w:rsidRPr="00BD22C2">
        <w:rPr>
          <w:rFonts w:ascii="Arial" w:hAnsi="Arial" w:cs="Arial"/>
          <w:sz w:val="18"/>
          <w:szCs w:val="18"/>
          <w:lang w:val="fr-CA"/>
        </w:rPr>
        <w:t>ans.</w:t>
      </w:r>
    </w:p>
  </w:endnote>
  <w:endnote w:id="284">
    <w:p w14:paraId="01FC20E4" w14:textId="3652B4BB"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C.c.Q, art.</w:t>
      </w:r>
      <w:r w:rsidR="00CE1914">
        <w:rPr>
          <w:rFonts w:ascii="Arial" w:hAnsi="Arial" w:cs="Arial"/>
          <w:sz w:val="18"/>
          <w:szCs w:val="18"/>
          <w:lang w:val="fr-CA"/>
        </w:rPr>
        <w:t> </w:t>
      </w:r>
      <w:r w:rsidRPr="00BD22C2">
        <w:rPr>
          <w:rFonts w:ascii="Arial" w:hAnsi="Arial" w:cs="Arial"/>
          <w:sz w:val="18"/>
          <w:szCs w:val="18"/>
          <w:lang w:val="fr-CA"/>
        </w:rPr>
        <w:t xml:space="preserve">33. </w:t>
      </w:r>
      <w:r w:rsidR="00D20FE7" w:rsidRPr="00BD22C2">
        <w:rPr>
          <w:rFonts w:ascii="Arial" w:hAnsi="Arial" w:cs="Arial"/>
          <w:sz w:val="18"/>
          <w:szCs w:val="18"/>
          <w:lang w:val="fr-CA"/>
        </w:rPr>
        <w:t>Voir aussi</w:t>
      </w:r>
      <w:r w:rsidRPr="00BD22C2">
        <w:rPr>
          <w:rFonts w:ascii="Arial" w:hAnsi="Arial" w:cs="Arial"/>
          <w:sz w:val="18"/>
          <w:szCs w:val="18"/>
          <w:lang w:val="fr-CA"/>
        </w:rPr>
        <w:t xml:space="preserve"> </w:t>
      </w:r>
      <w:r w:rsidRPr="00BD22C2">
        <w:rPr>
          <w:rFonts w:ascii="Arial" w:hAnsi="Arial" w:cs="Arial"/>
          <w:i/>
          <w:sz w:val="18"/>
          <w:szCs w:val="18"/>
          <w:lang w:val="fr-CA"/>
        </w:rPr>
        <w:t>C.(G.)</w:t>
      </w:r>
      <w:r w:rsidRPr="00BD22C2">
        <w:rPr>
          <w:rFonts w:ascii="Arial" w:hAnsi="Arial" w:cs="Arial"/>
          <w:sz w:val="18"/>
          <w:szCs w:val="18"/>
          <w:lang w:val="fr-CA"/>
        </w:rPr>
        <w:t xml:space="preserve"> c. </w:t>
      </w:r>
      <w:r w:rsidRPr="00BD22C2">
        <w:rPr>
          <w:rFonts w:ascii="Arial" w:hAnsi="Arial" w:cs="Arial"/>
          <w:i/>
          <w:sz w:val="18"/>
          <w:szCs w:val="18"/>
          <w:lang w:val="fr-CA"/>
        </w:rPr>
        <w:t>V.</w:t>
      </w:r>
      <w:r w:rsidRPr="00BD22C2">
        <w:rPr>
          <w:rFonts w:ascii="Cambria Math" w:hAnsi="Cambria Math" w:cs="Cambria Math"/>
          <w:i/>
          <w:sz w:val="18"/>
          <w:szCs w:val="18"/>
          <w:lang w:val="fr-CA"/>
        </w:rPr>
        <w:t>‑</w:t>
      </w:r>
      <w:r w:rsidRPr="00BD22C2">
        <w:rPr>
          <w:rFonts w:ascii="Arial" w:hAnsi="Arial" w:cs="Arial"/>
          <w:i/>
          <w:sz w:val="18"/>
          <w:szCs w:val="18"/>
          <w:lang w:val="fr-CA"/>
        </w:rPr>
        <w:t>F.(T.)</w:t>
      </w:r>
      <w:r w:rsidRPr="00BD22C2">
        <w:rPr>
          <w:rFonts w:ascii="Arial" w:hAnsi="Arial" w:cs="Arial"/>
          <w:sz w:val="18"/>
          <w:szCs w:val="18"/>
          <w:lang w:val="fr-CA"/>
        </w:rPr>
        <w:t xml:space="preserve">, </w:t>
      </w:r>
      <w:r w:rsidR="003A07E9" w:rsidRPr="00BD22C2">
        <w:rPr>
          <w:rFonts w:ascii="Arial" w:hAnsi="Arial" w:cs="Arial"/>
          <w:sz w:val="18"/>
          <w:szCs w:val="18"/>
          <w:lang w:val="fr-CA"/>
        </w:rPr>
        <w:t>préc., note</w:t>
      </w:r>
      <w:r w:rsidR="00CE1914">
        <w:rPr>
          <w:rFonts w:ascii="Arial" w:hAnsi="Arial" w:cs="Arial"/>
          <w:sz w:val="18"/>
          <w:szCs w:val="18"/>
          <w:lang w:val="fr-CA"/>
        </w:rPr>
        <w:t> </w:t>
      </w:r>
      <w:r w:rsidR="003A07E9" w:rsidRPr="00BD22C2">
        <w:rPr>
          <w:rFonts w:ascii="Arial" w:hAnsi="Arial" w:cs="Arial"/>
          <w:sz w:val="18"/>
          <w:szCs w:val="18"/>
          <w:lang w:val="fr-CA"/>
        </w:rPr>
        <w:t>246,</w:t>
      </w:r>
      <w:r w:rsidRPr="00BD22C2">
        <w:rPr>
          <w:rFonts w:ascii="Arial" w:hAnsi="Arial" w:cs="Arial"/>
          <w:sz w:val="18"/>
          <w:szCs w:val="18"/>
          <w:lang w:val="fr-CA"/>
        </w:rPr>
        <w:t xml:space="preserve"> par. 44.</w:t>
      </w:r>
    </w:p>
  </w:endnote>
  <w:endnote w:id="285">
    <w:p w14:paraId="408676A9" w14:textId="44023F73"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Young</w:t>
      </w:r>
      <w:r w:rsidRPr="00BD22C2">
        <w:rPr>
          <w:rFonts w:ascii="Arial" w:hAnsi="Arial" w:cs="Arial"/>
          <w:sz w:val="18"/>
          <w:szCs w:val="18"/>
          <w:lang w:val="fr-CA"/>
        </w:rPr>
        <w:t xml:space="preserve"> c. </w:t>
      </w:r>
      <w:r w:rsidRPr="00BD22C2">
        <w:rPr>
          <w:rFonts w:ascii="Arial" w:hAnsi="Arial" w:cs="Arial"/>
          <w:i/>
          <w:sz w:val="18"/>
          <w:szCs w:val="18"/>
          <w:lang w:val="fr-CA"/>
        </w:rPr>
        <w:t>Young</w:t>
      </w:r>
      <w:r w:rsidRPr="00BD22C2">
        <w:rPr>
          <w:rFonts w:ascii="Arial" w:hAnsi="Arial" w:cs="Arial"/>
          <w:sz w:val="18"/>
          <w:szCs w:val="18"/>
          <w:lang w:val="fr-CA"/>
        </w:rPr>
        <w:t xml:space="preserve">, </w:t>
      </w:r>
      <w:r w:rsidR="003B7E45" w:rsidRPr="00BD22C2">
        <w:rPr>
          <w:rFonts w:ascii="Arial" w:hAnsi="Arial" w:cs="Arial"/>
          <w:sz w:val="18"/>
          <w:szCs w:val="18"/>
          <w:lang w:val="fr-CA"/>
        </w:rPr>
        <w:t>préc., note 254</w:t>
      </w:r>
      <w:r w:rsidRPr="00BD22C2">
        <w:rPr>
          <w:rFonts w:ascii="Arial" w:hAnsi="Arial" w:cs="Arial"/>
          <w:sz w:val="18"/>
          <w:szCs w:val="18"/>
          <w:lang w:val="fr-CA"/>
        </w:rPr>
        <w:t>, p.</w:t>
      </w:r>
      <w:r w:rsidR="00CE1914">
        <w:rPr>
          <w:rFonts w:ascii="Arial" w:hAnsi="Arial" w:cs="Arial"/>
          <w:sz w:val="18"/>
          <w:szCs w:val="18"/>
          <w:lang w:val="fr-CA"/>
        </w:rPr>
        <w:t> </w:t>
      </w:r>
      <w:r w:rsidRPr="00BD22C2">
        <w:rPr>
          <w:rFonts w:ascii="Arial" w:hAnsi="Arial" w:cs="Arial"/>
          <w:sz w:val="18"/>
          <w:szCs w:val="18"/>
          <w:lang w:val="fr-CA"/>
        </w:rPr>
        <w:t>37</w:t>
      </w:r>
      <w:r w:rsidR="00760ECD">
        <w:rPr>
          <w:rFonts w:ascii="Arial" w:hAnsi="Arial" w:cs="Arial"/>
          <w:sz w:val="18"/>
          <w:szCs w:val="18"/>
          <w:lang w:val="fr-CA"/>
        </w:rPr>
        <w:t xml:space="preserve"> et </w:t>
      </w:r>
      <w:r w:rsidRPr="00BD22C2">
        <w:rPr>
          <w:rFonts w:ascii="Arial" w:hAnsi="Arial" w:cs="Arial"/>
          <w:sz w:val="18"/>
          <w:szCs w:val="18"/>
          <w:lang w:val="fr-CA"/>
        </w:rPr>
        <w:t xml:space="preserve">38; </w:t>
      </w:r>
      <w:r w:rsidR="000E21B5" w:rsidRPr="00BD22C2">
        <w:rPr>
          <w:rFonts w:ascii="Arial" w:hAnsi="Arial" w:cs="Arial"/>
          <w:i/>
          <w:iCs/>
          <w:sz w:val="18"/>
          <w:szCs w:val="18"/>
          <w:lang w:val="fr-CA"/>
        </w:rPr>
        <w:t xml:space="preserve">C.(G.) </w:t>
      </w:r>
      <w:r w:rsidR="000E21B5" w:rsidRPr="00BD22C2">
        <w:rPr>
          <w:rFonts w:ascii="Arial" w:hAnsi="Arial" w:cs="Arial"/>
          <w:sz w:val="18"/>
          <w:szCs w:val="18"/>
          <w:lang w:val="fr-CA"/>
        </w:rPr>
        <w:t xml:space="preserve">c. </w:t>
      </w:r>
      <w:r w:rsidR="000E21B5" w:rsidRPr="00BD22C2">
        <w:rPr>
          <w:rFonts w:ascii="Arial" w:hAnsi="Arial" w:cs="Arial"/>
          <w:i/>
          <w:iCs/>
          <w:sz w:val="18"/>
          <w:szCs w:val="18"/>
          <w:lang w:val="fr-CA"/>
        </w:rPr>
        <w:t>V.</w:t>
      </w:r>
      <w:r w:rsidR="000E21B5" w:rsidRPr="00BD22C2">
        <w:rPr>
          <w:rFonts w:ascii="Cambria Math" w:hAnsi="Cambria Math" w:cs="Cambria Math"/>
          <w:i/>
          <w:iCs/>
          <w:sz w:val="18"/>
          <w:szCs w:val="18"/>
          <w:lang w:val="fr-CA"/>
        </w:rPr>
        <w:t>‑</w:t>
      </w:r>
      <w:r w:rsidR="000E21B5" w:rsidRPr="00BD22C2">
        <w:rPr>
          <w:rFonts w:ascii="Arial" w:hAnsi="Arial" w:cs="Arial"/>
          <w:i/>
          <w:iCs/>
          <w:sz w:val="18"/>
          <w:szCs w:val="18"/>
          <w:lang w:val="fr-CA"/>
        </w:rPr>
        <w:t>F.(T.)</w:t>
      </w:r>
      <w:r w:rsidR="000E21B5" w:rsidRPr="00BD22C2">
        <w:rPr>
          <w:rFonts w:ascii="Arial" w:hAnsi="Arial" w:cs="Arial"/>
          <w:sz w:val="18"/>
          <w:szCs w:val="18"/>
          <w:lang w:val="fr-CA"/>
        </w:rPr>
        <w:t xml:space="preserve">, </w:t>
      </w:r>
      <w:r w:rsidR="000E21B5" w:rsidRPr="00BD22C2">
        <w:rPr>
          <w:rFonts w:ascii="Arial" w:hAnsi="Arial" w:cs="Arial"/>
          <w:i/>
          <w:iCs/>
          <w:sz w:val="18"/>
          <w:szCs w:val="18"/>
          <w:lang w:val="fr-CA"/>
        </w:rPr>
        <w:t>id</w:t>
      </w:r>
      <w:r w:rsidR="000E21B5"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Examen de la conformité du cours d’éthique et culture religieuse à la Charte</w:t>
      </w:r>
      <w:r w:rsidRPr="00BD22C2">
        <w:rPr>
          <w:rFonts w:ascii="Arial" w:hAnsi="Arial" w:cs="Arial"/>
          <w:sz w:val="18"/>
          <w:szCs w:val="18"/>
          <w:lang w:val="fr-CA"/>
        </w:rPr>
        <w:t xml:space="preserve">, Paul </w:t>
      </w:r>
      <w:r w:rsidRPr="00F37C55">
        <w:rPr>
          <w:rFonts w:ascii="Arial" w:hAnsi="Arial" w:cs="Arial"/>
          <w:smallCaps/>
          <w:sz w:val="18"/>
          <w:szCs w:val="18"/>
          <w:lang w:val="fr-CA"/>
        </w:rPr>
        <w:t>Eid</w:t>
      </w:r>
      <w:r w:rsidRPr="00BD22C2">
        <w:rPr>
          <w:rFonts w:ascii="Arial" w:hAnsi="Arial" w:cs="Arial"/>
          <w:sz w:val="18"/>
          <w:szCs w:val="18"/>
          <w:lang w:val="fr-CA"/>
        </w:rPr>
        <w:t xml:space="preserve">, (Cat. 2.120-4.22), 2008, p. 6 ;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Les droits de l’enfant en matière religieuse : état du droit québécois, canadien et international</w:t>
      </w:r>
      <w:r w:rsidRPr="00BD22C2">
        <w:rPr>
          <w:rFonts w:ascii="Arial" w:hAnsi="Arial" w:cs="Arial"/>
          <w:sz w:val="18"/>
          <w:szCs w:val="18"/>
          <w:lang w:val="fr-CA"/>
        </w:rPr>
        <w:t xml:space="preserve">, (Cat. 2.113-2.15), 2017, p. 8. Voir aussi l’art. 604 du C.c.Q. qui prévoit qu’en cas de difficulté relative à l’exercice de l’autorité parentale, le tribunal statue dans l’intérêt de l’enfant, après avoir favorisé la conciliation des parties. </w:t>
      </w:r>
    </w:p>
  </w:endnote>
  <w:endnote w:id="286">
    <w:p w14:paraId="01831535" w14:textId="7E9BEBD9"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C.c.Q, art.</w:t>
      </w:r>
      <w:r w:rsidR="00CE1914">
        <w:rPr>
          <w:rFonts w:ascii="Arial" w:hAnsi="Arial" w:cs="Arial"/>
          <w:sz w:val="18"/>
          <w:szCs w:val="18"/>
          <w:lang w:val="en-CA"/>
        </w:rPr>
        <w:t> </w:t>
      </w:r>
      <w:r w:rsidRPr="00E16C03">
        <w:rPr>
          <w:rFonts w:ascii="Arial" w:hAnsi="Arial" w:cs="Arial"/>
          <w:sz w:val="18"/>
          <w:szCs w:val="18"/>
          <w:lang w:val="en-CA"/>
        </w:rPr>
        <w:t xml:space="preserve">599. </w:t>
      </w:r>
    </w:p>
  </w:endnote>
  <w:endnote w:id="287">
    <w:p w14:paraId="1CD13446" w14:textId="13CD5B36"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AB5BC8" w:rsidRPr="00E16C03">
        <w:rPr>
          <w:rFonts w:ascii="Arial" w:hAnsi="Arial" w:cs="Arial"/>
          <w:sz w:val="18"/>
          <w:szCs w:val="18"/>
          <w:lang w:val="en-CA"/>
        </w:rPr>
        <w:t>CRDE, art.</w:t>
      </w:r>
      <w:r w:rsidR="00CE1914">
        <w:rPr>
          <w:rFonts w:ascii="Arial" w:hAnsi="Arial" w:cs="Arial"/>
          <w:sz w:val="18"/>
          <w:szCs w:val="18"/>
          <w:lang w:val="en-CA"/>
        </w:rPr>
        <w:t> </w:t>
      </w:r>
      <w:r w:rsidR="00AB5BC8" w:rsidRPr="00E16C03">
        <w:rPr>
          <w:rFonts w:ascii="Arial" w:hAnsi="Arial" w:cs="Arial"/>
          <w:sz w:val="18"/>
          <w:szCs w:val="18"/>
          <w:lang w:val="en-CA"/>
        </w:rPr>
        <w:t xml:space="preserve">12. </w:t>
      </w:r>
    </w:p>
  </w:endnote>
  <w:endnote w:id="288">
    <w:p w14:paraId="20CF26BE" w14:textId="2C068B1A"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bookmarkStart w:id="141" w:name="_Hlk165531233"/>
      <w:r w:rsidRPr="00BD22C2">
        <w:rPr>
          <w:rFonts w:ascii="Arial" w:hAnsi="Arial" w:cs="Arial"/>
          <w:sz w:val="18"/>
          <w:szCs w:val="18"/>
          <w:lang w:val="fr-CA"/>
        </w:rPr>
        <w:t>C</w:t>
      </w:r>
      <w:r w:rsidRPr="00BD22C2">
        <w:rPr>
          <w:rFonts w:ascii="Arial" w:hAnsi="Arial" w:cs="Arial"/>
          <w:smallCaps/>
          <w:sz w:val="18"/>
          <w:szCs w:val="18"/>
          <w:lang w:val="fr-CA"/>
        </w:rPr>
        <w:t>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w:t>
      </w:r>
      <w:r w:rsidR="00CE1914">
        <w:rPr>
          <w:rFonts w:ascii="Arial" w:hAnsi="Arial" w:cs="Arial"/>
          <w:i/>
          <w:iCs/>
          <w:sz w:val="18"/>
          <w:szCs w:val="18"/>
          <w:lang w:val="fr-CA"/>
        </w:rPr>
        <w:t> </w:t>
      </w:r>
      <w:r w:rsidRPr="00BD22C2">
        <w:rPr>
          <w:rFonts w:ascii="Arial" w:hAnsi="Arial" w:cs="Arial"/>
          <w:i/>
          <w:sz w:val="18"/>
          <w:szCs w:val="18"/>
          <w:lang w:val="fr-CA"/>
        </w:rPr>
        <w:t>12</w:t>
      </w:r>
      <w:r w:rsidR="00C11263" w:rsidRPr="00BD22C2">
        <w:rPr>
          <w:rFonts w:ascii="Arial" w:hAnsi="Arial" w:cs="Arial"/>
          <w:i/>
          <w:iCs/>
          <w:sz w:val="18"/>
          <w:szCs w:val="18"/>
          <w:lang w:val="fr-CA"/>
        </w:rPr>
        <w:t xml:space="preserve">, </w:t>
      </w:r>
      <w:r w:rsidR="00C11263" w:rsidRPr="00BD22C2">
        <w:rPr>
          <w:rFonts w:ascii="Arial" w:hAnsi="Arial" w:cs="Arial"/>
          <w:sz w:val="18"/>
          <w:szCs w:val="18"/>
          <w:lang w:val="fr-CA"/>
        </w:rPr>
        <w:t>pr</w:t>
      </w:r>
      <w:r w:rsidR="0042614D" w:rsidRPr="00BD22C2">
        <w:rPr>
          <w:rFonts w:ascii="Arial" w:hAnsi="Arial" w:cs="Arial"/>
          <w:sz w:val="18"/>
          <w:szCs w:val="18"/>
          <w:lang w:val="fr-CA"/>
        </w:rPr>
        <w:t>éc., note</w:t>
      </w:r>
      <w:r w:rsidR="00CE1914">
        <w:rPr>
          <w:rFonts w:ascii="Arial" w:hAnsi="Arial" w:cs="Arial"/>
          <w:sz w:val="18"/>
          <w:szCs w:val="18"/>
          <w:lang w:val="fr-CA"/>
        </w:rPr>
        <w:t> </w:t>
      </w:r>
      <w:r w:rsidR="0042614D" w:rsidRPr="00BD22C2">
        <w:rPr>
          <w:rFonts w:ascii="Arial" w:hAnsi="Arial" w:cs="Arial"/>
          <w:sz w:val="18"/>
          <w:szCs w:val="18"/>
          <w:lang w:val="fr-CA"/>
        </w:rPr>
        <w:t>260</w:t>
      </w:r>
      <w:r w:rsidRPr="00BD22C2">
        <w:rPr>
          <w:rFonts w:ascii="Arial" w:hAnsi="Arial" w:cs="Arial"/>
          <w:sz w:val="18"/>
          <w:szCs w:val="18"/>
          <w:lang w:val="fr-CA"/>
        </w:rPr>
        <w:t>, par. 29.</w:t>
      </w:r>
    </w:p>
    <w:bookmarkEnd w:id="141"/>
  </w:endnote>
  <w:endnote w:id="289">
    <w:p w14:paraId="460E06AD"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w:t>
      </w:r>
    </w:p>
  </w:endnote>
  <w:endnote w:id="290">
    <w:p w14:paraId="2322ED29" w14:textId="1F696D94"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543B0C" w:rsidRPr="00BD22C2">
        <w:rPr>
          <w:rFonts w:ascii="Arial" w:hAnsi="Arial" w:cs="Arial"/>
          <w:sz w:val="18"/>
          <w:szCs w:val="18"/>
          <w:lang w:val="fr-CA"/>
        </w:rPr>
        <w:tab/>
      </w:r>
      <w:r w:rsidR="00784203" w:rsidRPr="00BD22C2">
        <w:rPr>
          <w:rFonts w:ascii="Arial" w:hAnsi="Arial" w:cs="Arial"/>
          <w:smallCaps/>
          <w:sz w:val="18"/>
          <w:szCs w:val="18"/>
          <w:lang w:val="fr-CA"/>
        </w:rPr>
        <w:t>Conseil des droits de l’homme</w:t>
      </w:r>
      <w:r w:rsidR="00784203" w:rsidRPr="00BD22C2">
        <w:rPr>
          <w:rFonts w:ascii="Arial" w:hAnsi="Arial" w:cs="Arial"/>
          <w:sz w:val="18"/>
          <w:szCs w:val="18"/>
          <w:lang w:val="fr-CA"/>
        </w:rPr>
        <w:t xml:space="preserve">, </w:t>
      </w:r>
      <w:r w:rsidR="00AF3B37" w:rsidRPr="00BD22C2">
        <w:rPr>
          <w:rFonts w:ascii="Arial" w:hAnsi="Arial" w:cs="Arial"/>
          <w:i/>
          <w:sz w:val="18"/>
          <w:szCs w:val="18"/>
          <w:lang w:val="fr-CA"/>
        </w:rPr>
        <w:t>Intelligence artificielle et respect de la vie privée, et respect de la vie privée des enfants</w:t>
      </w:r>
      <w:r w:rsidR="0010135A" w:rsidRPr="00BD22C2">
        <w:rPr>
          <w:rFonts w:ascii="Arial" w:hAnsi="Arial" w:cs="Arial"/>
          <w:i/>
          <w:sz w:val="18"/>
          <w:szCs w:val="18"/>
          <w:lang w:val="fr-CA"/>
        </w:rPr>
        <w:t xml:space="preserve"> </w:t>
      </w:r>
      <w:r w:rsidR="0051216B" w:rsidRPr="00BD22C2">
        <w:rPr>
          <w:rFonts w:ascii="Arial" w:hAnsi="Arial" w:cs="Arial"/>
          <w:i/>
          <w:sz w:val="18"/>
          <w:szCs w:val="18"/>
          <w:lang w:val="fr-CA"/>
        </w:rPr>
        <w:t>—</w:t>
      </w:r>
      <w:r w:rsidR="0010135A" w:rsidRPr="00BD22C2">
        <w:rPr>
          <w:rFonts w:ascii="Arial" w:hAnsi="Arial" w:cs="Arial"/>
          <w:i/>
          <w:sz w:val="18"/>
          <w:szCs w:val="18"/>
          <w:lang w:val="fr-CA"/>
        </w:rPr>
        <w:t xml:space="preserve"> </w:t>
      </w:r>
      <w:r w:rsidR="00AF3B37" w:rsidRPr="00BD22C2">
        <w:rPr>
          <w:rFonts w:ascii="Arial" w:hAnsi="Arial" w:cs="Arial"/>
          <w:i/>
          <w:sz w:val="18"/>
          <w:szCs w:val="18"/>
          <w:lang w:val="fr-CA"/>
        </w:rPr>
        <w:t>Rapport du Rapporteur spécial sur le droit à la vie privée, Joseph A. Cannataci</w:t>
      </w:r>
      <w:r w:rsidR="0010135A" w:rsidRPr="00BD22C2">
        <w:rPr>
          <w:rFonts w:ascii="Arial" w:hAnsi="Arial" w:cs="Arial"/>
          <w:sz w:val="18"/>
          <w:szCs w:val="18"/>
          <w:lang w:val="fr-CA"/>
        </w:rPr>
        <w:t>,</w:t>
      </w:r>
      <w:r w:rsidRPr="00BD22C2">
        <w:rPr>
          <w:rFonts w:ascii="Arial" w:hAnsi="Arial" w:cs="Arial"/>
          <w:sz w:val="18"/>
          <w:szCs w:val="18"/>
          <w:lang w:val="fr-CA"/>
        </w:rPr>
        <w:t xml:space="preserve"> </w:t>
      </w:r>
      <w:r w:rsidR="00FF6631" w:rsidRPr="00BD22C2">
        <w:rPr>
          <w:rFonts w:ascii="Arial" w:hAnsi="Arial" w:cs="Arial"/>
          <w:sz w:val="18"/>
          <w:szCs w:val="18"/>
          <w:lang w:val="fr-CA"/>
        </w:rPr>
        <w:t xml:space="preserve">A/HRC/46/37, </w:t>
      </w:r>
      <w:r w:rsidR="00304A44" w:rsidRPr="00BD22C2">
        <w:rPr>
          <w:rFonts w:ascii="Arial" w:hAnsi="Arial" w:cs="Arial"/>
          <w:sz w:val="18"/>
          <w:szCs w:val="18"/>
          <w:lang w:val="fr-CA"/>
        </w:rPr>
        <w:t>25</w:t>
      </w:r>
      <w:r w:rsidR="00762FE8">
        <w:rPr>
          <w:rFonts w:ascii="Arial" w:hAnsi="Arial" w:cs="Arial"/>
          <w:sz w:val="18"/>
          <w:szCs w:val="18"/>
          <w:lang w:val="fr-CA"/>
        </w:rPr>
        <w:t> </w:t>
      </w:r>
      <w:r w:rsidR="00304A44" w:rsidRPr="00BD22C2">
        <w:rPr>
          <w:rFonts w:ascii="Arial" w:hAnsi="Arial" w:cs="Arial"/>
          <w:sz w:val="18"/>
          <w:szCs w:val="18"/>
          <w:lang w:val="fr-CA"/>
        </w:rPr>
        <w:t xml:space="preserve">janvier 2021, </w:t>
      </w:r>
      <w:r w:rsidRPr="00BD22C2">
        <w:rPr>
          <w:rFonts w:ascii="Arial" w:hAnsi="Arial" w:cs="Arial"/>
          <w:sz w:val="18"/>
          <w:szCs w:val="18"/>
          <w:lang w:val="fr-CA"/>
        </w:rPr>
        <w:t>par. 96.</w:t>
      </w:r>
    </w:p>
  </w:endnote>
  <w:endnote w:id="291">
    <w:p w14:paraId="0DF0F2A6" w14:textId="2A5A8025"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1E26FD" w:rsidRPr="00E16C03">
        <w:rPr>
          <w:rFonts w:ascii="Arial" w:hAnsi="Arial" w:cs="Arial"/>
          <w:sz w:val="18"/>
          <w:szCs w:val="18"/>
          <w:lang w:val="en-CA"/>
        </w:rPr>
        <w:tab/>
      </w:r>
      <w:r w:rsidR="00CC6389" w:rsidRPr="00E16C03">
        <w:rPr>
          <w:rFonts w:ascii="Arial" w:hAnsi="Arial" w:cs="Arial"/>
          <w:sz w:val="18"/>
          <w:szCs w:val="18"/>
          <w:lang w:val="en-CA"/>
        </w:rPr>
        <w:t>PIDESC</w:t>
      </w:r>
      <w:r w:rsidRPr="00E16C03">
        <w:rPr>
          <w:rFonts w:ascii="Arial" w:hAnsi="Arial" w:cs="Arial"/>
          <w:sz w:val="18"/>
          <w:szCs w:val="18"/>
          <w:lang w:val="en-CA"/>
        </w:rPr>
        <w:t>, art.</w:t>
      </w:r>
      <w:r w:rsidR="00CE1914">
        <w:rPr>
          <w:rFonts w:ascii="Arial" w:hAnsi="Arial" w:cs="Arial"/>
          <w:sz w:val="18"/>
          <w:szCs w:val="18"/>
          <w:lang w:val="en-CA"/>
        </w:rPr>
        <w:t> </w:t>
      </w:r>
      <w:r w:rsidRPr="00E16C03">
        <w:rPr>
          <w:rFonts w:ascii="Arial" w:hAnsi="Arial" w:cs="Arial"/>
          <w:sz w:val="18"/>
          <w:szCs w:val="18"/>
          <w:lang w:val="en-CA"/>
        </w:rPr>
        <w:t>13</w:t>
      </w:r>
      <w:r w:rsidR="00B41D67" w:rsidRPr="00E16C03">
        <w:rPr>
          <w:rFonts w:ascii="Arial" w:hAnsi="Arial" w:cs="Arial"/>
          <w:sz w:val="18"/>
          <w:szCs w:val="18"/>
          <w:lang w:val="en-CA"/>
        </w:rPr>
        <w:t> </w:t>
      </w:r>
      <w:r w:rsidRPr="00E16C03">
        <w:rPr>
          <w:rFonts w:ascii="Arial" w:hAnsi="Arial" w:cs="Arial"/>
          <w:sz w:val="18"/>
          <w:szCs w:val="18"/>
          <w:lang w:val="en-CA"/>
        </w:rPr>
        <w:t>; C</w:t>
      </w:r>
      <w:r w:rsidR="00562B9E" w:rsidRPr="00E16C03">
        <w:rPr>
          <w:rFonts w:ascii="Arial" w:hAnsi="Arial" w:cs="Arial"/>
          <w:sz w:val="18"/>
          <w:szCs w:val="18"/>
          <w:lang w:val="en-CA"/>
        </w:rPr>
        <w:t>RDE</w:t>
      </w:r>
      <w:r w:rsidRPr="00E16C03">
        <w:rPr>
          <w:rFonts w:ascii="Arial" w:hAnsi="Arial" w:cs="Arial"/>
          <w:sz w:val="18"/>
          <w:szCs w:val="18"/>
          <w:lang w:val="en-CA"/>
        </w:rPr>
        <w:t>, art.</w:t>
      </w:r>
      <w:r w:rsidR="00CE1914">
        <w:rPr>
          <w:rFonts w:ascii="Arial" w:hAnsi="Arial" w:cs="Arial"/>
          <w:sz w:val="18"/>
          <w:szCs w:val="18"/>
          <w:lang w:val="en-CA"/>
        </w:rPr>
        <w:t> </w:t>
      </w:r>
      <w:r w:rsidRPr="00E16C03">
        <w:rPr>
          <w:rFonts w:ascii="Arial" w:hAnsi="Arial" w:cs="Arial"/>
          <w:sz w:val="18"/>
          <w:szCs w:val="18"/>
          <w:lang w:val="en-CA"/>
        </w:rPr>
        <w:t>28 et 29</w:t>
      </w:r>
      <w:r w:rsidR="00B41D67" w:rsidRPr="00E16C03">
        <w:rPr>
          <w:rFonts w:ascii="Arial" w:hAnsi="Arial" w:cs="Arial"/>
          <w:sz w:val="18"/>
          <w:szCs w:val="18"/>
          <w:lang w:val="en-CA"/>
        </w:rPr>
        <w:t> </w:t>
      </w:r>
      <w:r w:rsidRPr="00E16C03">
        <w:rPr>
          <w:rFonts w:ascii="Arial" w:hAnsi="Arial" w:cs="Arial"/>
          <w:sz w:val="18"/>
          <w:szCs w:val="18"/>
          <w:lang w:val="en-CA"/>
        </w:rPr>
        <w:t>; Charte, art.</w:t>
      </w:r>
      <w:r w:rsidR="00CE1914">
        <w:rPr>
          <w:rFonts w:ascii="Arial" w:hAnsi="Arial" w:cs="Arial"/>
          <w:sz w:val="18"/>
          <w:szCs w:val="18"/>
          <w:lang w:val="en-CA"/>
        </w:rPr>
        <w:t> </w:t>
      </w:r>
      <w:r w:rsidRPr="00E16C03">
        <w:rPr>
          <w:rFonts w:ascii="Arial" w:hAnsi="Arial" w:cs="Arial"/>
          <w:sz w:val="18"/>
          <w:szCs w:val="18"/>
          <w:lang w:val="en-CA"/>
        </w:rPr>
        <w:t xml:space="preserve">40. </w:t>
      </w:r>
    </w:p>
  </w:endnote>
  <w:endnote w:id="292">
    <w:p w14:paraId="6F9978FC" w14:textId="3B6A22D0"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1E26FD" w:rsidRPr="00E16C03">
        <w:rPr>
          <w:rFonts w:ascii="Arial" w:hAnsi="Arial" w:cs="Arial"/>
          <w:sz w:val="18"/>
          <w:szCs w:val="18"/>
          <w:lang w:val="en-CA"/>
        </w:rPr>
        <w:tab/>
      </w:r>
      <w:r w:rsidRPr="00E16C03">
        <w:rPr>
          <w:rFonts w:ascii="Arial" w:hAnsi="Arial" w:cs="Arial"/>
          <w:sz w:val="18"/>
          <w:szCs w:val="18"/>
          <w:lang w:val="en-CA"/>
        </w:rPr>
        <w:t>Charte, art.</w:t>
      </w:r>
      <w:r w:rsidR="00CE1914">
        <w:rPr>
          <w:rFonts w:ascii="Arial" w:hAnsi="Arial" w:cs="Arial"/>
          <w:sz w:val="18"/>
          <w:szCs w:val="18"/>
          <w:lang w:val="en-CA"/>
        </w:rPr>
        <w:t> </w:t>
      </w:r>
      <w:r w:rsidRPr="00E16C03">
        <w:rPr>
          <w:rFonts w:ascii="Arial" w:hAnsi="Arial" w:cs="Arial"/>
          <w:sz w:val="18"/>
          <w:szCs w:val="18"/>
          <w:lang w:val="en-CA"/>
        </w:rPr>
        <w:t xml:space="preserve">10. </w:t>
      </w:r>
    </w:p>
  </w:endnote>
  <w:endnote w:id="293">
    <w:p w14:paraId="6DC33B9A" w14:textId="5E4A054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4E6C" w:rsidRPr="00BD22C2">
        <w:rPr>
          <w:rFonts w:ascii="Arial" w:hAnsi="Arial" w:cs="Arial"/>
          <w:sz w:val="18"/>
          <w:szCs w:val="18"/>
          <w:lang w:val="fr-CA"/>
        </w:rPr>
        <w:tab/>
      </w:r>
      <w:bookmarkStart w:id="143" w:name="_Hlk165489851"/>
      <w:r w:rsidR="00231F58" w:rsidRPr="00BD22C2">
        <w:rPr>
          <w:rFonts w:ascii="Arial" w:hAnsi="Arial" w:cs="Arial"/>
          <w:smallCaps/>
          <w:sz w:val="18"/>
          <w:szCs w:val="18"/>
          <w:lang w:val="fr-CA"/>
        </w:rPr>
        <w:t>Conseil des droits de l’homme</w:t>
      </w:r>
      <w:r w:rsidR="00231F58" w:rsidRPr="00BD22C2">
        <w:rPr>
          <w:rFonts w:ascii="Arial" w:hAnsi="Arial" w:cs="Arial"/>
          <w:sz w:val="18"/>
          <w:szCs w:val="18"/>
          <w:lang w:val="fr-CA"/>
        </w:rPr>
        <w:t xml:space="preserve">, </w:t>
      </w:r>
      <w:bookmarkEnd w:id="143"/>
      <w:r w:rsidR="000F77B2" w:rsidRPr="00BD22C2">
        <w:rPr>
          <w:rFonts w:ascii="Arial" w:hAnsi="Arial" w:cs="Arial"/>
          <w:iCs/>
          <w:sz w:val="18"/>
          <w:szCs w:val="18"/>
          <w:lang w:val="fr-CA"/>
        </w:rPr>
        <w:t>préc.</w:t>
      </w:r>
      <w:r w:rsidR="00F378AA" w:rsidRPr="00BD22C2">
        <w:rPr>
          <w:rFonts w:ascii="Arial" w:hAnsi="Arial" w:cs="Arial"/>
          <w:iCs/>
          <w:sz w:val="18"/>
          <w:szCs w:val="18"/>
          <w:lang w:val="fr-CA"/>
        </w:rPr>
        <w:t>, note</w:t>
      </w:r>
      <w:r w:rsidR="00CE1914">
        <w:rPr>
          <w:rFonts w:ascii="Arial" w:hAnsi="Arial" w:cs="Arial"/>
          <w:iCs/>
          <w:sz w:val="18"/>
          <w:szCs w:val="18"/>
          <w:lang w:val="fr-CA"/>
        </w:rPr>
        <w:t> </w:t>
      </w:r>
      <w:r w:rsidR="00F378AA" w:rsidRPr="00BD22C2">
        <w:rPr>
          <w:rFonts w:ascii="Arial" w:hAnsi="Arial" w:cs="Arial"/>
          <w:iCs/>
          <w:sz w:val="18"/>
          <w:szCs w:val="18"/>
          <w:lang w:val="fr-CA"/>
        </w:rPr>
        <w:fldChar w:fldCharType="begin"/>
      </w:r>
      <w:r w:rsidR="00F378AA" w:rsidRPr="00BD22C2">
        <w:rPr>
          <w:rFonts w:ascii="Arial" w:hAnsi="Arial" w:cs="Arial"/>
          <w:iCs/>
          <w:sz w:val="18"/>
          <w:szCs w:val="18"/>
          <w:lang w:val="fr-CA"/>
        </w:rPr>
        <w:instrText xml:space="preserve"> NOTEREF _Ref167455436 \h </w:instrText>
      </w:r>
      <w:r w:rsidR="00F378AA" w:rsidRPr="00BD22C2">
        <w:rPr>
          <w:rFonts w:ascii="Arial" w:hAnsi="Arial" w:cs="Arial"/>
          <w:iCs/>
          <w:sz w:val="18"/>
          <w:szCs w:val="18"/>
          <w:lang w:val="fr-CA"/>
        </w:rPr>
      </w:r>
      <w:r w:rsidR="00F378AA" w:rsidRPr="00BD22C2">
        <w:rPr>
          <w:rFonts w:ascii="Arial" w:hAnsi="Arial" w:cs="Arial"/>
          <w:iCs/>
          <w:sz w:val="18"/>
          <w:szCs w:val="18"/>
          <w:lang w:val="fr-CA"/>
        </w:rPr>
        <w:fldChar w:fldCharType="separate"/>
      </w:r>
      <w:r w:rsidR="004B4881">
        <w:rPr>
          <w:rFonts w:ascii="Arial" w:hAnsi="Arial" w:cs="Arial"/>
          <w:iCs/>
          <w:sz w:val="18"/>
          <w:szCs w:val="18"/>
          <w:lang w:val="fr-CA"/>
        </w:rPr>
        <w:t>289</w:t>
      </w:r>
      <w:r w:rsidR="00F378AA" w:rsidRPr="00BD22C2">
        <w:rPr>
          <w:rFonts w:ascii="Arial" w:hAnsi="Arial" w:cs="Arial"/>
          <w:iCs/>
          <w:sz w:val="18"/>
          <w:szCs w:val="18"/>
          <w:lang w:val="fr-CA"/>
        </w:rPr>
        <w:fldChar w:fldCharType="end"/>
      </w:r>
      <w:r w:rsidR="00231F58" w:rsidRPr="00BD22C2">
        <w:rPr>
          <w:rFonts w:ascii="Arial" w:hAnsi="Arial" w:cs="Arial"/>
          <w:sz w:val="18"/>
          <w:szCs w:val="18"/>
          <w:lang w:val="fr-CA"/>
        </w:rPr>
        <w:t xml:space="preserve">, </w:t>
      </w:r>
      <w:r w:rsidRPr="00BD22C2">
        <w:rPr>
          <w:rFonts w:ascii="Arial" w:hAnsi="Arial" w:cs="Arial"/>
          <w:sz w:val="18"/>
          <w:szCs w:val="18"/>
          <w:lang w:val="fr-CA"/>
        </w:rPr>
        <w:t xml:space="preserve">par. 104. </w:t>
      </w:r>
    </w:p>
  </w:endnote>
  <w:endnote w:id="294">
    <w:p w14:paraId="75D27E0D" w14:textId="18D3BF8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4E6C" w:rsidRPr="00BD22C2">
        <w:rPr>
          <w:rFonts w:ascii="Arial" w:hAnsi="Arial" w:cs="Arial"/>
          <w:sz w:val="18"/>
          <w:szCs w:val="18"/>
          <w:lang w:val="fr-CA"/>
        </w:rPr>
        <w:tab/>
      </w:r>
      <w:r w:rsidRPr="00BD22C2">
        <w:rPr>
          <w:rFonts w:ascii="Arial" w:hAnsi="Arial" w:cs="Arial"/>
          <w:sz w:val="18"/>
          <w:szCs w:val="18"/>
          <w:lang w:val="fr-CA"/>
        </w:rPr>
        <w:t xml:space="preserve">Voir notamment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Commentaires sur le projet de loi n°</w:t>
      </w:r>
      <w:r w:rsidR="00CE1914">
        <w:rPr>
          <w:rFonts w:ascii="Arial" w:hAnsi="Arial" w:cs="Arial"/>
          <w:i/>
          <w:sz w:val="18"/>
          <w:szCs w:val="18"/>
          <w:lang w:val="fr-CA"/>
        </w:rPr>
        <w:t> </w:t>
      </w:r>
      <w:r w:rsidRPr="00BD22C2">
        <w:rPr>
          <w:rFonts w:ascii="Arial" w:hAnsi="Arial" w:cs="Arial"/>
          <w:i/>
          <w:sz w:val="18"/>
          <w:szCs w:val="18"/>
          <w:lang w:val="fr-CA"/>
        </w:rPr>
        <w:t>56, Loi visant à lutter contre l’intimidation à l’école</w:t>
      </w:r>
      <w:r w:rsidRPr="00BD22C2">
        <w:rPr>
          <w:rFonts w:ascii="Arial" w:hAnsi="Arial" w:cs="Arial"/>
          <w:sz w:val="18"/>
          <w:szCs w:val="18"/>
          <w:lang w:val="fr-CA"/>
        </w:rPr>
        <w:t xml:space="preserve">, (Cat. 2.412.117), 2012 et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Lettre sur le Projet de loi n°</w:t>
      </w:r>
      <w:r w:rsidR="00CE1914">
        <w:rPr>
          <w:rFonts w:ascii="Arial" w:hAnsi="Arial" w:cs="Arial"/>
          <w:i/>
          <w:sz w:val="18"/>
          <w:szCs w:val="18"/>
          <w:lang w:val="fr-CA"/>
        </w:rPr>
        <w:t> </w:t>
      </w:r>
      <w:r w:rsidRPr="00BD22C2">
        <w:rPr>
          <w:rFonts w:ascii="Arial" w:hAnsi="Arial" w:cs="Arial"/>
          <w:i/>
          <w:sz w:val="18"/>
          <w:szCs w:val="18"/>
          <w:lang w:val="fr-CA"/>
        </w:rPr>
        <w:t>47, Loi visant à renforcer la protection des élèves</w:t>
      </w:r>
      <w:r w:rsidRPr="00BD22C2">
        <w:rPr>
          <w:rFonts w:ascii="Arial" w:hAnsi="Arial" w:cs="Arial"/>
          <w:sz w:val="18"/>
          <w:szCs w:val="18"/>
          <w:lang w:val="fr-CA"/>
        </w:rPr>
        <w:t xml:space="preserve">, 2024. </w:t>
      </w:r>
    </w:p>
  </w:endnote>
  <w:endnote w:id="295">
    <w:p w14:paraId="32A93F25" w14:textId="70826DA4"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4E6C" w:rsidRPr="00BD22C2">
        <w:rPr>
          <w:rFonts w:ascii="Arial" w:hAnsi="Arial" w:cs="Arial"/>
          <w:sz w:val="18"/>
          <w:szCs w:val="18"/>
          <w:lang w:val="fr-CA"/>
        </w:rPr>
        <w:tab/>
      </w:r>
      <w:r w:rsidRPr="00BD22C2">
        <w:rPr>
          <w:rFonts w:ascii="Arial" w:hAnsi="Arial" w:cs="Arial"/>
          <w:sz w:val="18"/>
          <w:szCs w:val="18"/>
          <w:lang w:val="fr-CA"/>
        </w:rPr>
        <w:t>CRDE</w:t>
      </w:r>
      <w:r w:rsidR="00881926" w:rsidRPr="00BD22C2">
        <w:rPr>
          <w:rFonts w:ascii="Arial" w:hAnsi="Arial" w:cs="Arial"/>
          <w:sz w:val="18"/>
          <w:szCs w:val="18"/>
          <w:lang w:val="fr-CA"/>
        </w:rPr>
        <w:t>, art.</w:t>
      </w:r>
      <w:r w:rsidR="00CE1914">
        <w:rPr>
          <w:rFonts w:ascii="Arial" w:hAnsi="Arial" w:cs="Arial"/>
          <w:sz w:val="18"/>
          <w:szCs w:val="18"/>
          <w:lang w:val="fr-CA"/>
        </w:rPr>
        <w:t> </w:t>
      </w:r>
      <w:r w:rsidR="00DF2560" w:rsidRPr="00BD22C2">
        <w:rPr>
          <w:rFonts w:ascii="Arial" w:hAnsi="Arial" w:cs="Arial"/>
          <w:sz w:val="18"/>
          <w:szCs w:val="18"/>
          <w:lang w:val="fr-CA"/>
        </w:rPr>
        <w:t>16</w:t>
      </w:r>
      <w:r w:rsidR="00B41D67" w:rsidRPr="00BD22C2">
        <w:rPr>
          <w:rFonts w:ascii="Arial" w:hAnsi="Arial" w:cs="Arial"/>
          <w:sz w:val="18"/>
          <w:szCs w:val="18"/>
          <w:lang w:val="fr-CA"/>
        </w:rPr>
        <w:t> </w:t>
      </w:r>
      <w:r w:rsidR="00F3285F" w:rsidRPr="00BD22C2">
        <w:rPr>
          <w:rFonts w:ascii="Arial" w:hAnsi="Arial" w:cs="Arial"/>
          <w:sz w:val="18"/>
          <w:szCs w:val="18"/>
          <w:lang w:val="fr-CA"/>
        </w:rPr>
        <w:t xml:space="preserve">; </w:t>
      </w:r>
      <w:r w:rsidR="004A58B1" w:rsidRPr="00BD22C2">
        <w:rPr>
          <w:rFonts w:ascii="Arial" w:hAnsi="Arial" w:cs="Arial"/>
          <w:i/>
          <w:sz w:val="18"/>
          <w:szCs w:val="18"/>
          <w:lang w:val="fr-CA"/>
        </w:rPr>
        <w:t xml:space="preserve">Déclaration universelle des droits de l’homme, </w:t>
      </w:r>
      <w:r w:rsidR="00CA069F" w:rsidRPr="00BD22C2">
        <w:rPr>
          <w:rFonts w:ascii="Arial" w:hAnsi="Arial" w:cs="Arial"/>
          <w:iCs/>
          <w:sz w:val="18"/>
          <w:szCs w:val="18"/>
          <w:lang w:val="fr-CA"/>
        </w:rPr>
        <w:t>préc.,</w:t>
      </w:r>
      <w:r w:rsidR="00CA069F" w:rsidRPr="00BD22C2">
        <w:rPr>
          <w:rFonts w:ascii="Arial" w:hAnsi="Arial" w:cs="Arial"/>
          <w:i/>
          <w:sz w:val="18"/>
          <w:szCs w:val="18"/>
          <w:lang w:val="fr-CA"/>
        </w:rPr>
        <w:t xml:space="preserve"> </w:t>
      </w:r>
      <w:r w:rsidR="00CA069F" w:rsidRPr="00BD22C2">
        <w:rPr>
          <w:rFonts w:ascii="Arial" w:hAnsi="Arial" w:cs="Arial"/>
          <w:iCs/>
          <w:sz w:val="18"/>
          <w:szCs w:val="18"/>
          <w:lang w:val="fr-CA"/>
        </w:rPr>
        <w:t>note 225</w:t>
      </w:r>
      <w:r w:rsidR="004632FB" w:rsidRPr="00BD22C2">
        <w:rPr>
          <w:rFonts w:ascii="Arial" w:hAnsi="Arial" w:cs="Arial"/>
          <w:sz w:val="18"/>
          <w:szCs w:val="18"/>
          <w:lang w:val="fr-CA"/>
        </w:rPr>
        <w:t xml:space="preserve">, </w:t>
      </w:r>
      <w:r w:rsidR="004A58B1" w:rsidRPr="00BD22C2">
        <w:rPr>
          <w:rFonts w:ascii="Arial" w:hAnsi="Arial" w:cs="Arial"/>
          <w:sz w:val="18"/>
          <w:szCs w:val="18"/>
          <w:lang w:val="fr-CA"/>
        </w:rPr>
        <w:t>art.</w:t>
      </w:r>
      <w:r w:rsidR="00CE1914">
        <w:rPr>
          <w:rFonts w:ascii="Arial" w:hAnsi="Arial" w:cs="Arial"/>
          <w:sz w:val="18"/>
          <w:szCs w:val="18"/>
          <w:lang w:val="fr-CA"/>
        </w:rPr>
        <w:t> </w:t>
      </w:r>
      <w:r w:rsidR="004A58B1" w:rsidRPr="00BD22C2">
        <w:rPr>
          <w:rFonts w:ascii="Arial" w:hAnsi="Arial" w:cs="Arial"/>
          <w:sz w:val="18"/>
          <w:szCs w:val="18"/>
          <w:lang w:val="fr-CA"/>
        </w:rPr>
        <w:t>12</w:t>
      </w:r>
      <w:r w:rsidR="00B41D67" w:rsidRPr="00BD22C2">
        <w:rPr>
          <w:rFonts w:ascii="Arial" w:hAnsi="Arial" w:cs="Arial"/>
          <w:sz w:val="18"/>
          <w:szCs w:val="18"/>
          <w:lang w:val="fr-CA"/>
        </w:rPr>
        <w:t> </w:t>
      </w:r>
      <w:r w:rsidR="004632FB" w:rsidRPr="00BD22C2">
        <w:rPr>
          <w:rFonts w:ascii="Arial" w:hAnsi="Arial" w:cs="Arial"/>
          <w:sz w:val="18"/>
          <w:szCs w:val="18"/>
          <w:lang w:val="fr-CA"/>
        </w:rPr>
        <w:t>;</w:t>
      </w:r>
      <w:r w:rsidR="004A58B1" w:rsidRPr="00BD22C2">
        <w:rPr>
          <w:rFonts w:ascii="Arial" w:hAnsi="Arial" w:cs="Arial"/>
          <w:sz w:val="18"/>
          <w:szCs w:val="18"/>
          <w:lang w:val="fr-CA"/>
        </w:rPr>
        <w:t xml:space="preserve"> </w:t>
      </w:r>
      <w:r w:rsidR="007B268D" w:rsidRPr="00BD22C2">
        <w:rPr>
          <w:rFonts w:ascii="Arial" w:hAnsi="Arial" w:cs="Arial"/>
          <w:sz w:val="18"/>
          <w:szCs w:val="18"/>
          <w:lang w:val="fr-CA"/>
        </w:rPr>
        <w:t xml:space="preserve">PIDCP, </w:t>
      </w:r>
      <w:r w:rsidR="004A58B1" w:rsidRPr="00BD22C2">
        <w:rPr>
          <w:rFonts w:ascii="Arial" w:hAnsi="Arial" w:cs="Arial"/>
          <w:sz w:val="18"/>
          <w:szCs w:val="18"/>
          <w:lang w:val="fr-CA"/>
        </w:rPr>
        <w:t>art.</w:t>
      </w:r>
      <w:r w:rsidR="00CE1914">
        <w:rPr>
          <w:rFonts w:ascii="Arial" w:hAnsi="Arial" w:cs="Arial"/>
          <w:sz w:val="18"/>
          <w:szCs w:val="18"/>
          <w:lang w:val="fr-CA"/>
        </w:rPr>
        <w:t> </w:t>
      </w:r>
      <w:r w:rsidR="004A58B1" w:rsidRPr="00BD22C2">
        <w:rPr>
          <w:rFonts w:ascii="Arial" w:hAnsi="Arial" w:cs="Arial"/>
          <w:sz w:val="18"/>
          <w:szCs w:val="18"/>
          <w:lang w:val="fr-CA"/>
        </w:rPr>
        <w:t>17.</w:t>
      </w:r>
    </w:p>
  </w:endnote>
  <w:endnote w:id="296">
    <w:p w14:paraId="21E83F37" w14:textId="7FDFC243"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4E6C" w:rsidRPr="00BD22C2">
        <w:rPr>
          <w:rFonts w:ascii="Arial" w:hAnsi="Arial" w:cs="Arial"/>
          <w:sz w:val="18"/>
          <w:szCs w:val="18"/>
          <w:lang w:val="fr-CA"/>
        </w:rPr>
        <w:tab/>
      </w:r>
      <w:r w:rsidRPr="00BD22C2">
        <w:rPr>
          <w:rFonts w:ascii="Arial" w:hAnsi="Arial" w:cs="Arial"/>
          <w:sz w:val="18"/>
          <w:szCs w:val="18"/>
          <w:lang w:val="fr-CA"/>
        </w:rPr>
        <w:t>Charte</w:t>
      </w:r>
      <w:r w:rsidR="004A58B1" w:rsidRPr="00BD22C2">
        <w:rPr>
          <w:rFonts w:ascii="Arial" w:hAnsi="Arial" w:cs="Arial"/>
          <w:sz w:val="18"/>
          <w:szCs w:val="18"/>
          <w:lang w:val="fr-CA"/>
        </w:rPr>
        <w:t>, art.</w:t>
      </w:r>
      <w:r w:rsidR="00CE1914">
        <w:rPr>
          <w:rFonts w:ascii="Arial" w:hAnsi="Arial" w:cs="Arial"/>
          <w:sz w:val="18"/>
          <w:szCs w:val="18"/>
          <w:lang w:val="fr-CA"/>
        </w:rPr>
        <w:t> </w:t>
      </w:r>
      <w:r w:rsidR="004A58B1" w:rsidRPr="00BD22C2">
        <w:rPr>
          <w:rFonts w:ascii="Arial" w:hAnsi="Arial" w:cs="Arial"/>
          <w:sz w:val="18"/>
          <w:szCs w:val="18"/>
          <w:lang w:val="fr-CA"/>
        </w:rPr>
        <w:t>5</w:t>
      </w:r>
      <w:r w:rsidRPr="00BD22C2">
        <w:rPr>
          <w:rFonts w:ascii="Arial" w:hAnsi="Arial" w:cs="Arial"/>
          <w:sz w:val="18"/>
          <w:szCs w:val="18"/>
          <w:lang w:val="fr-CA"/>
        </w:rPr>
        <w:t xml:space="preserve">. </w:t>
      </w:r>
    </w:p>
  </w:endnote>
  <w:endnote w:id="297">
    <w:p w14:paraId="65CDF379" w14:textId="5C41CDF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4E6C" w:rsidRPr="00BD22C2">
        <w:rPr>
          <w:rFonts w:ascii="Arial" w:hAnsi="Arial" w:cs="Arial"/>
          <w:sz w:val="18"/>
          <w:szCs w:val="18"/>
          <w:lang w:val="fr-CA"/>
        </w:rPr>
        <w:tab/>
      </w:r>
      <w:r w:rsidR="004A58B1" w:rsidRPr="00BD22C2">
        <w:rPr>
          <w:rFonts w:ascii="Arial" w:hAnsi="Arial" w:cs="Arial"/>
          <w:smallCaps/>
          <w:sz w:val="18"/>
          <w:szCs w:val="18"/>
          <w:lang w:val="fr-CA"/>
        </w:rPr>
        <w:t>Conseil des droits de l’homme</w:t>
      </w:r>
      <w:r w:rsidR="004A58B1" w:rsidRPr="00BD22C2">
        <w:rPr>
          <w:rFonts w:ascii="Arial" w:hAnsi="Arial" w:cs="Arial"/>
          <w:sz w:val="18"/>
          <w:szCs w:val="18"/>
          <w:lang w:val="fr-CA"/>
        </w:rPr>
        <w:t xml:space="preserve">, </w:t>
      </w:r>
      <w:r w:rsidR="00F378AA" w:rsidRPr="00BD22C2">
        <w:rPr>
          <w:rFonts w:ascii="Arial" w:hAnsi="Arial" w:cs="Arial"/>
          <w:iCs/>
          <w:sz w:val="18"/>
          <w:szCs w:val="18"/>
          <w:lang w:val="fr-CA"/>
        </w:rPr>
        <w:t>préc., note</w:t>
      </w:r>
      <w:r w:rsidR="00CE1914">
        <w:rPr>
          <w:rFonts w:ascii="Arial" w:hAnsi="Arial" w:cs="Arial"/>
          <w:iCs/>
          <w:sz w:val="18"/>
          <w:szCs w:val="18"/>
          <w:lang w:val="fr-CA"/>
        </w:rPr>
        <w:t> </w:t>
      </w:r>
      <w:r w:rsidR="00F378AA" w:rsidRPr="00BD22C2">
        <w:rPr>
          <w:rFonts w:ascii="Arial" w:hAnsi="Arial" w:cs="Arial"/>
          <w:iCs/>
          <w:sz w:val="18"/>
          <w:szCs w:val="18"/>
          <w:lang w:val="fr-CA"/>
        </w:rPr>
        <w:fldChar w:fldCharType="begin"/>
      </w:r>
      <w:r w:rsidR="00F378AA" w:rsidRPr="00BD22C2">
        <w:rPr>
          <w:rFonts w:ascii="Arial" w:hAnsi="Arial" w:cs="Arial"/>
          <w:iCs/>
          <w:sz w:val="18"/>
          <w:szCs w:val="18"/>
          <w:lang w:val="fr-CA"/>
        </w:rPr>
        <w:instrText xml:space="preserve"> NOTEREF _Ref167455436 \h </w:instrText>
      </w:r>
      <w:r w:rsidR="00F378AA" w:rsidRPr="00BD22C2">
        <w:rPr>
          <w:rFonts w:ascii="Arial" w:hAnsi="Arial" w:cs="Arial"/>
          <w:iCs/>
          <w:sz w:val="18"/>
          <w:szCs w:val="18"/>
          <w:lang w:val="fr-CA"/>
        </w:rPr>
      </w:r>
      <w:r w:rsidR="00F378AA" w:rsidRPr="00BD22C2">
        <w:rPr>
          <w:rFonts w:ascii="Arial" w:hAnsi="Arial" w:cs="Arial"/>
          <w:iCs/>
          <w:sz w:val="18"/>
          <w:szCs w:val="18"/>
          <w:lang w:val="fr-CA"/>
        </w:rPr>
        <w:fldChar w:fldCharType="separate"/>
      </w:r>
      <w:r w:rsidR="004B4881">
        <w:rPr>
          <w:rFonts w:ascii="Arial" w:hAnsi="Arial" w:cs="Arial"/>
          <w:iCs/>
          <w:sz w:val="18"/>
          <w:szCs w:val="18"/>
          <w:lang w:val="fr-CA"/>
        </w:rPr>
        <w:t>289</w:t>
      </w:r>
      <w:r w:rsidR="00F378AA" w:rsidRPr="00BD22C2">
        <w:rPr>
          <w:rFonts w:ascii="Arial" w:hAnsi="Arial" w:cs="Arial"/>
          <w:iCs/>
          <w:sz w:val="18"/>
          <w:szCs w:val="18"/>
          <w:lang w:val="fr-CA"/>
        </w:rPr>
        <w:fldChar w:fldCharType="end"/>
      </w:r>
      <w:r w:rsidRPr="00BD22C2">
        <w:rPr>
          <w:rFonts w:ascii="Arial" w:hAnsi="Arial" w:cs="Arial"/>
          <w:sz w:val="18"/>
          <w:szCs w:val="18"/>
          <w:lang w:val="fr-CA"/>
        </w:rPr>
        <w:t>, par. 72.</w:t>
      </w:r>
    </w:p>
  </w:endnote>
  <w:endnote w:id="298">
    <w:p w14:paraId="47DA747C" w14:textId="254909B4" w:rsidR="006971DC" w:rsidRPr="00BD22C2" w:rsidRDefault="006971D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4E6C" w:rsidRPr="00BD22C2">
        <w:rPr>
          <w:rFonts w:ascii="Arial" w:hAnsi="Arial" w:cs="Arial"/>
          <w:sz w:val="18"/>
          <w:szCs w:val="18"/>
          <w:lang w:val="fr-CA"/>
        </w:rPr>
        <w:tab/>
      </w:r>
      <w:r w:rsidRPr="00BD22C2">
        <w:rPr>
          <w:rFonts w:ascii="Arial" w:hAnsi="Arial" w:cs="Arial"/>
          <w:i/>
          <w:sz w:val="18"/>
          <w:szCs w:val="18"/>
          <w:lang w:val="fr-CA"/>
        </w:rPr>
        <w:t>L</w:t>
      </w:r>
      <w:r w:rsidR="008D4705" w:rsidRPr="00BD22C2">
        <w:rPr>
          <w:rFonts w:ascii="Arial" w:hAnsi="Arial" w:cs="Arial"/>
          <w:i/>
          <w:sz w:val="18"/>
          <w:szCs w:val="18"/>
          <w:lang w:val="fr-CA"/>
        </w:rPr>
        <w:t xml:space="preserve">oi sur </w:t>
      </w:r>
      <w:r w:rsidR="00DE4E73" w:rsidRPr="00BD22C2">
        <w:rPr>
          <w:rFonts w:ascii="Arial" w:hAnsi="Arial" w:cs="Arial"/>
          <w:i/>
          <w:sz w:val="18"/>
          <w:szCs w:val="18"/>
          <w:lang w:val="fr-CA"/>
        </w:rPr>
        <w:t>les services de</w:t>
      </w:r>
      <w:r w:rsidR="008D4705" w:rsidRPr="00BD22C2">
        <w:rPr>
          <w:rFonts w:ascii="Arial" w:hAnsi="Arial" w:cs="Arial"/>
          <w:i/>
          <w:sz w:val="18"/>
          <w:szCs w:val="18"/>
          <w:lang w:val="fr-CA"/>
        </w:rPr>
        <w:t xml:space="preserve"> santé et les services </w:t>
      </w:r>
      <w:r w:rsidR="00196CD9" w:rsidRPr="00BD22C2">
        <w:rPr>
          <w:rFonts w:ascii="Arial" w:hAnsi="Arial" w:cs="Arial"/>
          <w:i/>
          <w:sz w:val="18"/>
          <w:szCs w:val="18"/>
          <w:lang w:val="fr-CA"/>
        </w:rPr>
        <w:t>sociaux</w:t>
      </w:r>
      <w:r w:rsidR="00D745D6" w:rsidRPr="00BD22C2">
        <w:rPr>
          <w:rFonts w:ascii="Arial" w:hAnsi="Arial" w:cs="Arial"/>
          <w:sz w:val="18"/>
          <w:szCs w:val="18"/>
          <w:lang w:val="fr-CA"/>
        </w:rPr>
        <w:t>,</w:t>
      </w:r>
      <w:r w:rsidR="00CD48F8" w:rsidRPr="00BD22C2">
        <w:rPr>
          <w:rFonts w:ascii="Arial" w:hAnsi="Arial" w:cs="Arial"/>
          <w:sz w:val="18"/>
          <w:szCs w:val="18"/>
          <w:lang w:val="fr-CA"/>
        </w:rPr>
        <w:t xml:space="preserve"> R</w:t>
      </w:r>
      <w:r w:rsidR="0000509E">
        <w:rPr>
          <w:rFonts w:ascii="Arial" w:hAnsi="Arial" w:cs="Arial"/>
          <w:sz w:val="18"/>
          <w:szCs w:val="18"/>
          <w:lang w:val="fr-CA"/>
        </w:rPr>
        <w:t>LRQ,</w:t>
      </w:r>
      <w:r w:rsidRPr="00BD22C2">
        <w:rPr>
          <w:rFonts w:ascii="Arial" w:hAnsi="Arial" w:cs="Arial"/>
          <w:sz w:val="18"/>
          <w:szCs w:val="18"/>
          <w:lang w:val="fr-CA"/>
        </w:rPr>
        <w:t xml:space="preserve"> </w:t>
      </w:r>
      <w:r w:rsidR="005D725D" w:rsidRPr="00BD22C2">
        <w:rPr>
          <w:rFonts w:ascii="Arial" w:hAnsi="Arial" w:cs="Arial"/>
          <w:sz w:val="18"/>
          <w:szCs w:val="18"/>
          <w:lang w:val="fr-CA"/>
        </w:rPr>
        <w:t>c. S</w:t>
      </w:r>
      <w:r w:rsidR="00CE1914">
        <w:rPr>
          <w:rFonts w:ascii="Arial" w:hAnsi="Arial" w:cs="Arial"/>
          <w:sz w:val="18"/>
          <w:szCs w:val="18"/>
          <w:lang w:val="fr-CA"/>
        </w:rPr>
        <w:t> </w:t>
      </w:r>
      <w:r w:rsidR="005D725D" w:rsidRPr="00BD22C2">
        <w:rPr>
          <w:rFonts w:ascii="Arial" w:hAnsi="Arial" w:cs="Arial"/>
          <w:sz w:val="18"/>
          <w:szCs w:val="18"/>
          <w:lang w:val="fr-CA"/>
        </w:rPr>
        <w:t xml:space="preserve">-4.2, </w:t>
      </w:r>
      <w:r w:rsidRPr="00BD22C2">
        <w:rPr>
          <w:rFonts w:ascii="Arial" w:hAnsi="Arial" w:cs="Arial"/>
          <w:sz w:val="18"/>
          <w:szCs w:val="18"/>
          <w:lang w:val="fr-CA"/>
        </w:rPr>
        <w:t>art.</w:t>
      </w:r>
      <w:r w:rsidR="00CE1914">
        <w:rPr>
          <w:rFonts w:ascii="Arial" w:hAnsi="Arial" w:cs="Arial"/>
          <w:sz w:val="18"/>
          <w:szCs w:val="18"/>
          <w:lang w:val="fr-CA"/>
        </w:rPr>
        <w:t> </w:t>
      </w:r>
      <w:r w:rsidRPr="00BD22C2">
        <w:rPr>
          <w:rFonts w:ascii="Arial" w:hAnsi="Arial" w:cs="Arial"/>
          <w:sz w:val="18"/>
          <w:szCs w:val="18"/>
          <w:lang w:val="fr-CA"/>
        </w:rPr>
        <w:t>18, mais des exceptions sont prévues pour les parent</w:t>
      </w:r>
      <w:r w:rsidR="00831E11" w:rsidRPr="00BD22C2">
        <w:rPr>
          <w:rFonts w:ascii="Arial" w:hAnsi="Arial" w:cs="Arial"/>
          <w:sz w:val="18"/>
          <w:szCs w:val="18"/>
          <w:lang w:val="fr-CA"/>
        </w:rPr>
        <w:t>s</w:t>
      </w:r>
      <w:r w:rsidRPr="00BD22C2">
        <w:rPr>
          <w:rFonts w:ascii="Arial" w:hAnsi="Arial" w:cs="Arial"/>
          <w:sz w:val="18"/>
          <w:szCs w:val="18"/>
          <w:lang w:val="fr-CA"/>
        </w:rPr>
        <w:t xml:space="preserve"> à l’art</w:t>
      </w:r>
      <w:r w:rsidR="00A81771">
        <w:rPr>
          <w:rFonts w:ascii="Arial" w:hAnsi="Arial" w:cs="Arial"/>
          <w:sz w:val="18"/>
          <w:szCs w:val="18"/>
          <w:lang w:val="fr-CA"/>
        </w:rPr>
        <w:t>.</w:t>
      </w:r>
      <w:r w:rsidR="00CE1914">
        <w:rPr>
          <w:rFonts w:ascii="Arial" w:hAnsi="Arial" w:cs="Arial"/>
          <w:sz w:val="18"/>
          <w:szCs w:val="18"/>
          <w:lang w:val="fr-CA"/>
        </w:rPr>
        <w:t> </w:t>
      </w:r>
      <w:r w:rsidRPr="00BD22C2">
        <w:rPr>
          <w:rFonts w:ascii="Arial" w:hAnsi="Arial" w:cs="Arial"/>
          <w:sz w:val="18"/>
          <w:szCs w:val="18"/>
          <w:lang w:val="fr-CA"/>
        </w:rPr>
        <w:t xml:space="preserve">21 </w:t>
      </w:r>
      <w:r w:rsidR="00B84280" w:rsidRPr="00BD22C2">
        <w:rPr>
          <w:rFonts w:ascii="Arial" w:hAnsi="Arial" w:cs="Arial"/>
          <w:sz w:val="18"/>
          <w:szCs w:val="18"/>
          <w:lang w:val="fr-CA"/>
        </w:rPr>
        <w:t>de cette même Loi.</w:t>
      </w:r>
      <w:r w:rsidRPr="00BD22C2">
        <w:rPr>
          <w:rFonts w:ascii="Arial" w:hAnsi="Arial" w:cs="Arial"/>
          <w:sz w:val="18"/>
          <w:szCs w:val="18"/>
          <w:lang w:val="fr-CA"/>
        </w:rPr>
        <w:t xml:space="preserve"> </w:t>
      </w:r>
    </w:p>
  </w:endnote>
  <w:endnote w:id="299">
    <w:p w14:paraId="5C74FC78" w14:textId="159AC764"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00944E6C" w:rsidRPr="00BD22C2">
        <w:rPr>
          <w:rFonts w:ascii="Arial" w:hAnsi="Arial" w:cs="Arial"/>
          <w:smallCaps/>
          <w:sz w:val="18"/>
          <w:szCs w:val="18"/>
          <w:lang w:val="fr-CA"/>
        </w:rPr>
        <w:t xml:space="preserve"> </w:t>
      </w:r>
      <w:r w:rsidR="00944E6C" w:rsidRPr="00BD22C2">
        <w:rPr>
          <w:rFonts w:ascii="Arial" w:hAnsi="Arial" w:cs="Arial"/>
          <w:smallCaps/>
          <w:sz w:val="18"/>
          <w:szCs w:val="18"/>
          <w:lang w:val="fr-CA"/>
        </w:rPr>
        <w:tab/>
      </w:r>
      <w:r w:rsidR="00E168F7" w:rsidRPr="00BD22C2">
        <w:rPr>
          <w:rFonts w:ascii="Arial" w:hAnsi="Arial" w:cs="Arial"/>
          <w:smallCaps/>
          <w:sz w:val="18"/>
          <w:szCs w:val="18"/>
          <w:lang w:val="fr-CA"/>
        </w:rPr>
        <w:t>Conseil des droits de l’homme</w:t>
      </w:r>
      <w:r w:rsidR="00E168F7" w:rsidRPr="00BD22C2">
        <w:rPr>
          <w:rFonts w:ascii="Arial" w:hAnsi="Arial" w:cs="Arial"/>
          <w:i/>
          <w:sz w:val="18"/>
          <w:szCs w:val="18"/>
          <w:lang w:val="fr-CA"/>
        </w:rPr>
        <w:t xml:space="preserve">, </w:t>
      </w:r>
      <w:r w:rsidR="008944A1" w:rsidRPr="00BD22C2">
        <w:rPr>
          <w:rFonts w:ascii="Arial" w:hAnsi="Arial" w:cs="Arial"/>
          <w:iCs/>
          <w:sz w:val="18"/>
          <w:szCs w:val="18"/>
          <w:lang w:val="fr-CA"/>
        </w:rPr>
        <w:t>2021, préc., note</w:t>
      </w:r>
      <w:r w:rsidR="00CE1914">
        <w:rPr>
          <w:rFonts w:ascii="Arial" w:hAnsi="Arial" w:cs="Arial"/>
          <w:iCs/>
          <w:sz w:val="18"/>
          <w:szCs w:val="18"/>
          <w:lang w:val="fr-CA"/>
        </w:rPr>
        <w:t> </w:t>
      </w:r>
      <w:r w:rsidR="002E2E86" w:rsidRPr="00BD22C2">
        <w:rPr>
          <w:rFonts w:ascii="Arial" w:hAnsi="Arial" w:cs="Arial"/>
          <w:iCs/>
          <w:sz w:val="18"/>
          <w:szCs w:val="18"/>
          <w:lang w:val="fr-CA"/>
        </w:rPr>
        <w:t>288</w:t>
      </w:r>
      <w:r w:rsidR="00E168F7" w:rsidRPr="00BD22C2">
        <w:rPr>
          <w:rFonts w:ascii="Arial" w:hAnsi="Arial" w:cs="Arial"/>
          <w:sz w:val="18"/>
          <w:szCs w:val="18"/>
          <w:lang w:val="fr-CA"/>
        </w:rPr>
        <w:t xml:space="preserve">, </w:t>
      </w:r>
      <w:r w:rsidRPr="00BD22C2">
        <w:rPr>
          <w:rFonts w:ascii="Arial" w:hAnsi="Arial" w:cs="Arial"/>
          <w:sz w:val="18"/>
          <w:szCs w:val="18"/>
          <w:lang w:val="fr-CA"/>
        </w:rPr>
        <w:t>par. 80.</w:t>
      </w:r>
    </w:p>
  </w:endnote>
  <w:endnote w:id="300">
    <w:p w14:paraId="4032C6BB" w14:textId="74F7DFDA"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B22A7" w:rsidRPr="00BD22C2">
        <w:rPr>
          <w:rFonts w:ascii="Arial" w:hAnsi="Arial" w:cs="Arial"/>
          <w:sz w:val="18"/>
          <w:szCs w:val="18"/>
          <w:lang w:val="fr-CA"/>
        </w:rPr>
        <w:t xml:space="preserve">Par exemple, </w:t>
      </w:r>
      <w:r w:rsidR="007771E9" w:rsidRPr="00BD22C2">
        <w:rPr>
          <w:rFonts w:ascii="Arial" w:hAnsi="Arial" w:cs="Arial"/>
          <w:sz w:val="18"/>
          <w:szCs w:val="18"/>
          <w:lang w:val="fr-CA"/>
        </w:rPr>
        <w:t>en matière de soins</w:t>
      </w:r>
      <w:r w:rsidR="00C25C6C" w:rsidRPr="00BD22C2">
        <w:rPr>
          <w:rFonts w:ascii="Arial" w:hAnsi="Arial" w:cs="Arial"/>
          <w:sz w:val="18"/>
          <w:szCs w:val="18"/>
          <w:lang w:val="fr-CA"/>
        </w:rPr>
        <w:t xml:space="preserve"> ou</w:t>
      </w:r>
      <w:r w:rsidR="007771E9" w:rsidRPr="00BD22C2">
        <w:rPr>
          <w:rFonts w:ascii="Arial" w:hAnsi="Arial" w:cs="Arial"/>
          <w:sz w:val="18"/>
          <w:szCs w:val="18"/>
          <w:lang w:val="fr-CA"/>
        </w:rPr>
        <w:t xml:space="preserve"> de garde. </w:t>
      </w:r>
      <w:r w:rsidRPr="00BD22C2">
        <w:rPr>
          <w:rFonts w:ascii="Arial" w:hAnsi="Arial" w:cs="Arial"/>
          <w:i/>
          <w:iCs/>
          <w:sz w:val="18"/>
          <w:szCs w:val="18"/>
          <w:lang w:val="fr-CA"/>
        </w:rPr>
        <w:t>B.</w:t>
      </w:r>
      <w:r w:rsidRPr="00BD22C2">
        <w:rPr>
          <w:rFonts w:ascii="Arial" w:hAnsi="Arial" w:cs="Arial"/>
          <w:i/>
          <w:sz w:val="18"/>
          <w:szCs w:val="18"/>
          <w:lang w:val="fr-CA"/>
        </w:rPr>
        <w:t xml:space="preserve"> (R.)</w:t>
      </w:r>
      <w:r w:rsidRPr="00BD22C2">
        <w:rPr>
          <w:rFonts w:ascii="Arial" w:hAnsi="Arial" w:cs="Arial"/>
          <w:sz w:val="18"/>
          <w:szCs w:val="18"/>
          <w:lang w:val="fr-CA"/>
        </w:rPr>
        <w:t xml:space="preserve"> c. </w:t>
      </w:r>
      <w:r w:rsidR="00865968" w:rsidRPr="00BD22C2">
        <w:rPr>
          <w:rFonts w:ascii="Arial" w:hAnsi="Arial" w:cs="Arial"/>
          <w:i/>
          <w:sz w:val="18"/>
          <w:szCs w:val="18"/>
          <w:lang w:val="fr-CA"/>
        </w:rPr>
        <w:t>Children</w:t>
      </w:r>
      <w:r w:rsidR="007138D6" w:rsidRPr="00BD22C2">
        <w:rPr>
          <w:rFonts w:ascii="Arial" w:hAnsi="Arial" w:cs="Arial"/>
          <w:i/>
          <w:sz w:val="18"/>
          <w:szCs w:val="18"/>
          <w:lang w:val="fr-CA"/>
        </w:rPr>
        <w:t>’</w:t>
      </w:r>
      <w:r w:rsidR="00865968" w:rsidRPr="00BD22C2">
        <w:rPr>
          <w:rFonts w:ascii="Arial" w:hAnsi="Arial" w:cs="Arial"/>
          <w:i/>
          <w:sz w:val="18"/>
          <w:szCs w:val="18"/>
          <w:lang w:val="fr-CA"/>
        </w:rPr>
        <w:t>s</w:t>
      </w:r>
      <w:r w:rsidRPr="00BD22C2">
        <w:rPr>
          <w:rFonts w:ascii="Arial" w:hAnsi="Arial" w:cs="Arial"/>
          <w:i/>
          <w:sz w:val="18"/>
          <w:szCs w:val="18"/>
          <w:lang w:val="fr-CA"/>
        </w:rPr>
        <w:t xml:space="preserve"> Aid</w:t>
      </w:r>
      <w:r w:rsidR="00865968" w:rsidRPr="00BD22C2">
        <w:rPr>
          <w:rFonts w:ascii="Arial" w:hAnsi="Arial" w:cs="Arial"/>
          <w:i/>
          <w:sz w:val="18"/>
          <w:szCs w:val="18"/>
          <w:lang w:val="fr-CA"/>
        </w:rPr>
        <w:t xml:space="preserve"> Society of Metropolitan Toronto</w:t>
      </w:r>
      <w:r w:rsidR="00865968" w:rsidRPr="00BD22C2">
        <w:rPr>
          <w:rFonts w:ascii="Arial" w:hAnsi="Arial" w:cs="Arial"/>
          <w:sz w:val="18"/>
          <w:szCs w:val="18"/>
          <w:lang w:val="fr-CA"/>
        </w:rPr>
        <w:t>, [1995] 1 R.C.S. 315</w:t>
      </w:r>
      <w:r w:rsidRPr="00BD22C2">
        <w:rPr>
          <w:rFonts w:ascii="Arial" w:hAnsi="Arial" w:cs="Arial"/>
          <w:sz w:val="18"/>
          <w:szCs w:val="18"/>
          <w:lang w:val="fr-CA"/>
        </w:rPr>
        <w:t xml:space="preserve">, </w:t>
      </w:r>
      <w:r w:rsidRPr="00BD22C2">
        <w:rPr>
          <w:rFonts w:ascii="Arial" w:hAnsi="Arial" w:cs="Arial"/>
          <w:i/>
          <w:sz w:val="18"/>
          <w:szCs w:val="18"/>
          <w:lang w:val="fr-CA"/>
        </w:rPr>
        <w:t>Centre hospitalier universitaire Sainte-Justine</w:t>
      </w:r>
      <w:r w:rsidRPr="00BD22C2">
        <w:rPr>
          <w:rFonts w:ascii="Arial" w:hAnsi="Arial" w:cs="Arial"/>
          <w:sz w:val="18"/>
          <w:szCs w:val="18"/>
          <w:lang w:val="fr-CA"/>
        </w:rPr>
        <w:t xml:space="preserve"> c. </w:t>
      </w:r>
      <w:r w:rsidRPr="00BD22C2">
        <w:rPr>
          <w:rFonts w:ascii="Arial" w:hAnsi="Arial" w:cs="Arial"/>
          <w:i/>
          <w:sz w:val="18"/>
          <w:szCs w:val="18"/>
          <w:lang w:val="fr-CA"/>
        </w:rPr>
        <w:t>M.C</w:t>
      </w:r>
      <w:r w:rsidRPr="00BD22C2">
        <w:rPr>
          <w:rFonts w:ascii="Arial" w:hAnsi="Arial" w:cs="Arial"/>
          <w:sz w:val="18"/>
          <w:szCs w:val="18"/>
          <w:lang w:val="fr-CA"/>
        </w:rPr>
        <w:t>., 2013 QCCS 2583, par. 15-17</w:t>
      </w:r>
      <w:r w:rsidR="00AE236E" w:rsidRPr="00BD22C2">
        <w:rPr>
          <w:rFonts w:ascii="Arial" w:hAnsi="Arial" w:cs="Arial"/>
          <w:sz w:val="18"/>
          <w:szCs w:val="18"/>
          <w:lang w:val="fr-CA"/>
        </w:rPr>
        <w:t xml:space="preserve">; </w:t>
      </w:r>
      <w:r w:rsidR="00312DFB" w:rsidRPr="00BD22C2">
        <w:rPr>
          <w:rFonts w:ascii="Arial" w:hAnsi="Arial" w:cs="Arial"/>
          <w:i/>
          <w:iCs/>
          <w:sz w:val="18"/>
          <w:szCs w:val="18"/>
          <w:lang w:val="fr-CA"/>
        </w:rPr>
        <w:t xml:space="preserve">CHU de Québec - Université Laval </w:t>
      </w:r>
      <w:r w:rsidR="00312DFB" w:rsidRPr="00A81771">
        <w:rPr>
          <w:rFonts w:ascii="Arial" w:hAnsi="Arial" w:cs="Arial"/>
          <w:sz w:val="18"/>
          <w:szCs w:val="18"/>
          <w:lang w:val="fr-CA"/>
        </w:rPr>
        <w:t>c.</w:t>
      </w:r>
      <w:r w:rsidR="00312DFB" w:rsidRPr="00BD22C2">
        <w:rPr>
          <w:rFonts w:ascii="Arial" w:hAnsi="Arial" w:cs="Arial"/>
          <w:i/>
          <w:iCs/>
          <w:sz w:val="18"/>
          <w:szCs w:val="18"/>
          <w:lang w:val="fr-CA"/>
        </w:rPr>
        <w:t xml:space="preserve"> J.T</w:t>
      </w:r>
      <w:r w:rsidR="00312DFB" w:rsidRPr="00BD22C2">
        <w:rPr>
          <w:rFonts w:ascii="Arial" w:hAnsi="Arial" w:cs="Arial"/>
          <w:sz w:val="18"/>
          <w:szCs w:val="18"/>
          <w:lang w:val="fr-CA"/>
        </w:rPr>
        <w:t>., 2023</w:t>
      </w:r>
      <w:r w:rsidR="00B32B61">
        <w:rPr>
          <w:rFonts w:ascii="Arial" w:hAnsi="Arial" w:cs="Arial"/>
          <w:sz w:val="18"/>
          <w:szCs w:val="18"/>
          <w:lang w:val="fr-CA"/>
        </w:rPr>
        <w:t> </w:t>
      </w:r>
      <w:r w:rsidR="00312DFB" w:rsidRPr="00BD22C2">
        <w:rPr>
          <w:rFonts w:ascii="Arial" w:hAnsi="Arial" w:cs="Arial"/>
          <w:sz w:val="18"/>
          <w:szCs w:val="18"/>
          <w:lang w:val="fr-CA"/>
        </w:rPr>
        <w:t>QCCS</w:t>
      </w:r>
      <w:r w:rsidR="00CE1914">
        <w:rPr>
          <w:rFonts w:ascii="Arial" w:hAnsi="Arial" w:cs="Arial"/>
          <w:sz w:val="18"/>
          <w:szCs w:val="18"/>
          <w:lang w:val="fr-CA"/>
        </w:rPr>
        <w:t> </w:t>
      </w:r>
      <w:r w:rsidR="00312DFB" w:rsidRPr="00BD22C2">
        <w:rPr>
          <w:rFonts w:ascii="Arial" w:hAnsi="Arial" w:cs="Arial"/>
          <w:sz w:val="18"/>
          <w:szCs w:val="18"/>
          <w:lang w:val="fr-CA"/>
        </w:rPr>
        <w:t>4103</w:t>
      </w:r>
      <w:r w:rsidR="0045600E" w:rsidRPr="00BD22C2">
        <w:rPr>
          <w:rFonts w:ascii="Arial" w:hAnsi="Arial" w:cs="Arial"/>
          <w:sz w:val="18"/>
          <w:szCs w:val="18"/>
          <w:lang w:val="fr-CA"/>
        </w:rPr>
        <w:t>, par. 24-26</w:t>
      </w:r>
      <w:r w:rsidR="00312DFB" w:rsidRPr="00BD22C2">
        <w:rPr>
          <w:rFonts w:ascii="Arial" w:hAnsi="Arial" w:cs="Arial"/>
          <w:sz w:val="18"/>
          <w:szCs w:val="18"/>
          <w:lang w:val="fr-CA"/>
        </w:rPr>
        <w:t xml:space="preserve">; </w:t>
      </w:r>
      <w:r w:rsidR="001A4B2F" w:rsidRPr="00BD22C2">
        <w:rPr>
          <w:rFonts w:ascii="Arial" w:hAnsi="Arial" w:cs="Arial"/>
          <w:i/>
          <w:iCs/>
          <w:sz w:val="18"/>
          <w:szCs w:val="18"/>
          <w:lang w:val="fr-CA"/>
        </w:rPr>
        <w:t>Protection de la jeunesse - 087</w:t>
      </w:r>
      <w:r w:rsidR="001A4B2F" w:rsidRPr="00BD22C2">
        <w:rPr>
          <w:rFonts w:ascii="Arial" w:hAnsi="Arial" w:cs="Arial"/>
          <w:sz w:val="18"/>
          <w:szCs w:val="18"/>
          <w:lang w:val="fr-CA"/>
        </w:rPr>
        <w:t>, 2008</w:t>
      </w:r>
      <w:r w:rsidR="00B32B61">
        <w:rPr>
          <w:rFonts w:ascii="Arial" w:hAnsi="Arial" w:cs="Arial"/>
          <w:sz w:val="18"/>
          <w:szCs w:val="18"/>
          <w:lang w:val="fr-CA"/>
        </w:rPr>
        <w:t> </w:t>
      </w:r>
      <w:r w:rsidR="001A4B2F" w:rsidRPr="00BD22C2">
        <w:rPr>
          <w:rFonts w:ascii="Arial" w:hAnsi="Arial" w:cs="Arial"/>
          <w:sz w:val="18"/>
          <w:szCs w:val="18"/>
          <w:lang w:val="fr-CA"/>
        </w:rPr>
        <w:t>QCCQ</w:t>
      </w:r>
      <w:r w:rsidR="00CE1914">
        <w:rPr>
          <w:rFonts w:ascii="Arial" w:hAnsi="Arial" w:cs="Arial"/>
          <w:sz w:val="18"/>
          <w:szCs w:val="18"/>
          <w:lang w:val="fr-CA"/>
        </w:rPr>
        <w:t> </w:t>
      </w:r>
      <w:r w:rsidR="001A4B2F" w:rsidRPr="00BD22C2">
        <w:rPr>
          <w:rFonts w:ascii="Arial" w:hAnsi="Arial" w:cs="Arial"/>
          <w:sz w:val="18"/>
          <w:szCs w:val="18"/>
          <w:lang w:val="fr-CA"/>
        </w:rPr>
        <w:t xml:space="preserve">1877, par. 16 et 21; </w:t>
      </w:r>
      <w:r w:rsidR="00BA5EF9" w:rsidRPr="00BD22C2">
        <w:rPr>
          <w:rFonts w:ascii="Arial" w:hAnsi="Arial" w:cs="Arial"/>
          <w:i/>
          <w:iCs/>
          <w:sz w:val="18"/>
          <w:szCs w:val="18"/>
          <w:lang w:val="fr-CA"/>
        </w:rPr>
        <w:t>Young</w:t>
      </w:r>
      <w:r w:rsidR="00BA5EF9" w:rsidRPr="00BD22C2">
        <w:rPr>
          <w:rFonts w:ascii="Arial" w:hAnsi="Arial" w:cs="Arial"/>
          <w:sz w:val="18"/>
          <w:szCs w:val="18"/>
          <w:lang w:val="fr-CA"/>
        </w:rPr>
        <w:t xml:space="preserve"> c. </w:t>
      </w:r>
      <w:r w:rsidR="00BA5EF9" w:rsidRPr="00BD22C2">
        <w:rPr>
          <w:rFonts w:ascii="Arial" w:hAnsi="Arial" w:cs="Arial"/>
          <w:i/>
          <w:iCs/>
          <w:sz w:val="18"/>
          <w:szCs w:val="18"/>
          <w:lang w:val="fr-CA"/>
        </w:rPr>
        <w:t>Young</w:t>
      </w:r>
      <w:r w:rsidR="00BA5EF9" w:rsidRPr="00BD22C2">
        <w:rPr>
          <w:rFonts w:ascii="Arial" w:hAnsi="Arial" w:cs="Arial"/>
          <w:sz w:val="18"/>
          <w:szCs w:val="18"/>
          <w:lang w:val="fr-CA"/>
        </w:rPr>
        <w:t>, préc., note</w:t>
      </w:r>
      <w:r w:rsidR="00CE1914">
        <w:rPr>
          <w:rFonts w:ascii="Arial" w:hAnsi="Arial" w:cs="Arial"/>
          <w:sz w:val="18"/>
          <w:szCs w:val="18"/>
          <w:lang w:val="fr-CA"/>
        </w:rPr>
        <w:t> </w:t>
      </w:r>
      <w:r w:rsidR="00BA5EF9" w:rsidRPr="00BD22C2">
        <w:rPr>
          <w:rFonts w:ascii="Arial" w:hAnsi="Arial" w:cs="Arial"/>
          <w:sz w:val="18"/>
          <w:szCs w:val="18"/>
          <w:lang w:val="fr-CA"/>
        </w:rPr>
        <w:t>254</w:t>
      </w:r>
      <w:r w:rsidR="00E353B2" w:rsidRPr="00BD22C2">
        <w:rPr>
          <w:rFonts w:ascii="Arial" w:hAnsi="Arial" w:cs="Arial"/>
          <w:sz w:val="18"/>
          <w:szCs w:val="18"/>
          <w:lang w:val="fr-CA"/>
        </w:rPr>
        <w:t xml:space="preserve"> </w:t>
      </w:r>
      <w:r w:rsidR="00BA5EF9" w:rsidRPr="00BD22C2">
        <w:rPr>
          <w:rFonts w:ascii="Arial" w:hAnsi="Arial" w:cs="Arial"/>
          <w:sz w:val="18"/>
          <w:szCs w:val="18"/>
          <w:lang w:val="fr-CA"/>
        </w:rPr>
        <w:t>;</w:t>
      </w:r>
      <w:r w:rsidR="00CE30A3" w:rsidRPr="00BD22C2">
        <w:rPr>
          <w:lang w:val="fr-CA"/>
        </w:rPr>
        <w:t xml:space="preserve"> </w:t>
      </w:r>
      <w:r w:rsidR="00CE30A3" w:rsidRPr="00BD22C2">
        <w:rPr>
          <w:rFonts w:ascii="Arial" w:hAnsi="Arial" w:cs="Arial"/>
          <w:i/>
          <w:iCs/>
          <w:sz w:val="18"/>
          <w:szCs w:val="18"/>
          <w:lang w:val="fr-CA"/>
        </w:rPr>
        <w:t>Catholic Children's Aid Society of Metropolitan Toronto</w:t>
      </w:r>
      <w:r w:rsidR="00CE30A3" w:rsidRPr="00BD22C2">
        <w:rPr>
          <w:rFonts w:ascii="Arial" w:hAnsi="Arial" w:cs="Arial"/>
          <w:sz w:val="18"/>
          <w:szCs w:val="18"/>
          <w:lang w:val="fr-CA"/>
        </w:rPr>
        <w:t xml:space="preserve"> c. </w:t>
      </w:r>
      <w:r w:rsidR="00CE30A3" w:rsidRPr="00BD22C2">
        <w:rPr>
          <w:rFonts w:ascii="Arial" w:hAnsi="Arial" w:cs="Arial"/>
          <w:i/>
          <w:iCs/>
          <w:sz w:val="18"/>
          <w:szCs w:val="18"/>
          <w:lang w:val="fr-CA"/>
        </w:rPr>
        <w:t>M. (C.)</w:t>
      </w:r>
      <w:r w:rsidR="00CE30A3" w:rsidRPr="00BD22C2">
        <w:rPr>
          <w:rFonts w:ascii="Arial" w:hAnsi="Arial" w:cs="Arial"/>
          <w:sz w:val="18"/>
          <w:szCs w:val="18"/>
          <w:lang w:val="fr-CA"/>
        </w:rPr>
        <w:t>, [1994] 2 RCS 165.</w:t>
      </w:r>
    </w:p>
  </w:endnote>
  <w:endnote w:id="301">
    <w:p w14:paraId="76FEBDCF" w14:textId="7E05F995"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L.p.j., art. 3</w:t>
      </w:r>
      <w:r w:rsidR="00087A2D" w:rsidRPr="00E16C03">
        <w:rPr>
          <w:rFonts w:ascii="Arial" w:hAnsi="Arial" w:cs="Arial"/>
          <w:sz w:val="18"/>
          <w:szCs w:val="18"/>
          <w:lang w:val="en-CA"/>
        </w:rPr>
        <w:t>;</w:t>
      </w:r>
      <w:r w:rsidRPr="00E16C03">
        <w:rPr>
          <w:rFonts w:ascii="Arial" w:hAnsi="Arial" w:cs="Arial"/>
          <w:sz w:val="18"/>
          <w:szCs w:val="18"/>
          <w:lang w:val="en-CA"/>
        </w:rPr>
        <w:t xml:space="preserve"> CRDE, art. 21.</w:t>
      </w:r>
      <w:r w:rsidR="001B072C" w:rsidRPr="00E16C03">
        <w:rPr>
          <w:rFonts w:ascii="Arial" w:hAnsi="Arial" w:cs="Arial"/>
          <w:sz w:val="18"/>
          <w:szCs w:val="18"/>
          <w:lang w:val="en-CA"/>
        </w:rPr>
        <w:t xml:space="preserve"> </w:t>
      </w:r>
      <w:r w:rsidR="002C393E" w:rsidRPr="00E16C03">
        <w:rPr>
          <w:rFonts w:ascii="Arial" w:hAnsi="Arial" w:cs="Arial"/>
          <w:i/>
          <w:sz w:val="18"/>
          <w:szCs w:val="18"/>
          <w:lang w:val="en-CA"/>
        </w:rPr>
        <w:t>P. (D.) c. S. (C.)</w:t>
      </w:r>
      <w:r w:rsidR="002C393E" w:rsidRPr="00E16C03">
        <w:rPr>
          <w:rFonts w:ascii="Arial" w:hAnsi="Arial" w:cs="Arial"/>
          <w:sz w:val="18"/>
          <w:szCs w:val="18"/>
          <w:lang w:val="en-CA"/>
        </w:rPr>
        <w:t>,</w:t>
      </w:r>
      <w:r w:rsidR="0017532F" w:rsidRPr="00E16C03">
        <w:rPr>
          <w:rFonts w:ascii="Arial" w:hAnsi="Arial" w:cs="Arial"/>
          <w:sz w:val="18"/>
          <w:szCs w:val="18"/>
          <w:lang w:val="en-CA"/>
        </w:rPr>
        <w:t xml:space="preserve"> [1993] 4</w:t>
      </w:r>
      <w:r w:rsidR="00B32B61">
        <w:rPr>
          <w:rFonts w:ascii="Arial" w:hAnsi="Arial" w:cs="Arial"/>
          <w:sz w:val="18"/>
          <w:szCs w:val="18"/>
          <w:lang w:val="en-CA"/>
        </w:rPr>
        <w:t> </w:t>
      </w:r>
      <w:r w:rsidR="0017532F" w:rsidRPr="00E16C03">
        <w:rPr>
          <w:rFonts w:ascii="Arial" w:hAnsi="Arial" w:cs="Arial"/>
          <w:sz w:val="18"/>
          <w:szCs w:val="18"/>
          <w:lang w:val="en-CA"/>
        </w:rPr>
        <w:t>RCS</w:t>
      </w:r>
      <w:r w:rsidR="00CE1914">
        <w:rPr>
          <w:rFonts w:ascii="Arial" w:hAnsi="Arial" w:cs="Arial"/>
          <w:sz w:val="18"/>
          <w:szCs w:val="18"/>
          <w:lang w:val="en-CA"/>
        </w:rPr>
        <w:t> </w:t>
      </w:r>
      <w:r w:rsidR="0017532F" w:rsidRPr="00E16C03">
        <w:rPr>
          <w:rFonts w:ascii="Arial" w:hAnsi="Arial" w:cs="Arial"/>
          <w:sz w:val="18"/>
          <w:szCs w:val="18"/>
          <w:lang w:val="en-CA"/>
        </w:rPr>
        <w:t>141,</w:t>
      </w:r>
      <w:r w:rsidR="002C393E" w:rsidRPr="00E16C03">
        <w:rPr>
          <w:rFonts w:ascii="Arial" w:hAnsi="Arial" w:cs="Arial"/>
          <w:sz w:val="18"/>
          <w:szCs w:val="18"/>
          <w:lang w:val="en-CA"/>
        </w:rPr>
        <w:t xml:space="preserve"> p</w:t>
      </w:r>
      <w:r w:rsidR="005B0AE6" w:rsidRPr="00E16C03">
        <w:rPr>
          <w:rFonts w:ascii="Arial" w:hAnsi="Arial" w:cs="Arial"/>
          <w:sz w:val="18"/>
          <w:szCs w:val="18"/>
          <w:lang w:val="en-CA"/>
        </w:rPr>
        <w:t>.</w:t>
      </w:r>
      <w:r w:rsidR="00CE1914">
        <w:rPr>
          <w:rFonts w:ascii="Arial" w:hAnsi="Arial" w:cs="Arial"/>
          <w:sz w:val="18"/>
          <w:szCs w:val="18"/>
          <w:lang w:val="en-CA"/>
        </w:rPr>
        <w:t> </w:t>
      </w:r>
      <w:r w:rsidR="002C393E" w:rsidRPr="00E16C03">
        <w:rPr>
          <w:rFonts w:ascii="Arial" w:hAnsi="Arial" w:cs="Arial"/>
          <w:sz w:val="18"/>
          <w:szCs w:val="18"/>
          <w:lang w:val="en-CA"/>
        </w:rPr>
        <w:t>189</w:t>
      </w:r>
      <w:r w:rsidR="002B4F8B" w:rsidRPr="00E16C03">
        <w:rPr>
          <w:rFonts w:ascii="Arial" w:hAnsi="Arial" w:cs="Arial"/>
          <w:sz w:val="18"/>
          <w:szCs w:val="18"/>
          <w:lang w:val="en-CA"/>
        </w:rPr>
        <w:t>;</w:t>
      </w:r>
      <w:r w:rsidR="001C4238" w:rsidRPr="00E16C03">
        <w:rPr>
          <w:rFonts w:ascii="Arial" w:hAnsi="Arial" w:cs="Arial"/>
          <w:sz w:val="18"/>
          <w:szCs w:val="18"/>
          <w:lang w:val="en-CA"/>
        </w:rPr>
        <w:t xml:space="preserve"> </w:t>
      </w:r>
      <w:r w:rsidR="001C4238" w:rsidRPr="00E16C03">
        <w:rPr>
          <w:rFonts w:ascii="Arial" w:hAnsi="Arial" w:cs="Arial"/>
          <w:i/>
          <w:sz w:val="18"/>
          <w:szCs w:val="18"/>
          <w:lang w:val="en-CA"/>
        </w:rPr>
        <w:t>King</w:t>
      </w:r>
      <w:r w:rsidR="001C4238" w:rsidRPr="00E16C03">
        <w:rPr>
          <w:rFonts w:ascii="Arial" w:hAnsi="Arial" w:cs="Arial"/>
          <w:sz w:val="18"/>
          <w:szCs w:val="18"/>
          <w:lang w:val="en-CA"/>
        </w:rPr>
        <w:t xml:space="preserve"> c. </w:t>
      </w:r>
      <w:r w:rsidR="001C4238" w:rsidRPr="00E16C03">
        <w:rPr>
          <w:rFonts w:ascii="Arial" w:hAnsi="Arial" w:cs="Arial"/>
          <w:i/>
          <w:sz w:val="18"/>
          <w:szCs w:val="18"/>
          <w:lang w:val="en-CA"/>
        </w:rPr>
        <w:t>Low</w:t>
      </w:r>
      <w:r w:rsidR="001C4238" w:rsidRPr="00E16C03">
        <w:rPr>
          <w:rFonts w:ascii="Arial" w:hAnsi="Arial" w:cs="Arial"/>
          <w:sz w:val="18"/>
          <w:szCs w:val="18"/>
          <w:lang w:val="en-CA"/>
        </w:rPr>
        <w:t xml:space="preserve">, </w:t>
      </w:r>
      <w:r w:rsidR="002B4F8B" w:rsidRPr="00E16C03">
        <w:rPr>
          <w:rFonts w:ascii="Arial" w:hAnsi="Arial" w:cs="Arial"/>
          <w:sz w:val="18"/>
          <w:szCs w:val="18"/>
          <w:lang w:val="en-CA"/>
        </w:rPr>
        <w:t>[1985] 1</w:t>
      </w:r>
      <w:r w:rsidR="00B32B61">
        <w:rPr>
          <w:rFonts w:ascii="Arial" w:hAnsi="Arial" w:cs="Arial"/>
          <w:sz w:val="18"/>
          <w:szCs w:val="18"/>
          <w:lang w:val="en-CA"/>
        </w:rPr>
        <w:t> </w:t>
      </w:r>
      <w:r w:rsidR="002B4F8B" w:rsidRPr="00E16C03">
        <w:rPr>
          <w:rFonts w:ascii="Arial" w:hAnsi="Arial" w:cs="Arial"/>
          <w:sz w:val="18"/>
          <w:szCs w:val="18"/>
          <w:lang w:val="en-CA"/>
        </w:rPr>
        <w:t>RCS</w:t>
      </w:r>
      <w:r w:rsidR="00CE1914">
        <w:rPr>
          <w:rFonts w:ascii="Arial" w:hAnsi="Arial" w:cs="Arial"/>
          <w:sz w:val="18"/>
          <w:szCs w:val="18"/>
          <w:lang w:val="en-CA"/>
        </w:rPr>
        <w:t> </w:t>
      </w:r>
      <w:r w:rsidR="002B4F8B" w:rsidRPr="00E16C03">
        <w:rPr>
          <w:rFonts w:ascii="Arial" w:hAnsi="Arial" w:cs="Arial"/>
          <w:sz w:val="18"/>
          <w:szCs w:val="18"/>
          <w:lang w:val="en-CA"/>
        </w:rPr>
        <w:t xml:space="preserve">87, </w:t>
      </w:r>
      <w:r w:rsidR="001C4238" w:rsidRPr="00E16C03">
        <w:rPr>
          <w:rFonts w:ascii="Arial" w:hAnsi="Arial" w:cs="Arial"/>
          <w:sz w:val="18"/>
          <w:szCs w:val="18"/>
          <w:lang w:val="en-CA"/>
        </w:rPr>
        <w:t>par.</w:t>
      </w:r>
      <w:r w:rsidR="00F932F5" w:rsidRPr="00E16C03">
        <w:rPr>
          <w:rFonts w:ascii="Arial" w:hAnsi="Arial" w:cs="Arial"/>
          <w:sz w:val="18"/>
          <w:szCs w:val="18"/>
          <w:lang w:val="en-CA"/>
        </w:rPr>
        <w:t xml:space="preserve"> 27.</w:t>
      </w:r>
    </w:p>
  </w:endnote>
  <w:endnote w:id="302">
    <w:p w14:paraId="05F330B4" w14:textId="5B8D6AA3"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Protection de la jeunesse — 217 042</w:t>
      </w:r>
      <w:r w:rsidRPr="00BD22C2">
        <w:rPr>
          <w:rFonts w:ascii="Arial" w:hAnsi="Arial" w:cs="Arial"/>
          <w:sz w:val="18"/>
          <w:szCs w:val="18"/>
          <w:lang w:val="fr-CA"/>
        </w:rPr>
        <w:t>, 2021</w:t>
      </w:r>
      <w:r w:rsidR="00B32B61">
        <w:rPr>
          <w:rFonts w:ascii="Arial" w:hAnsi="Arial" w:cs="Arial"/>
          <w:sz w:val="18"/>
          <w:szCs w:val="18"/>
          <w:lang w:val="fr-CA"/>
        </w:rPr>
        <w:t> </w:t>
      </w:r>
      <w:r w:rsidRPr="00BD22C2">
        <w:rPr>
          <w:rFonts w:ascii="Arial" w:hAnsi="Arial" w:cs="Arial"/>
          <w:sz w:val="18"/>
          <w:szCs w:val="18"/>
          <w:lang w:val="fr-CA"/>
        </w:rPr>
        <w:t xml:space="preserve">QCCQ 16877, </w:t>
      </w:r>
      <w:r w:rsidRPr="00BD22C2">
        <w:rPr>
          <w:rFonts w:ascii="Arial" w:hAnsi="Arial" w:cs="Arial"/>
          <w:i/>
          <w:sz w:val="18"/>
          <w:szCs w:val="18"/>
          <w:lang w:val="fr-CA"/>
        </w:rPr>
        <w:t>Protection de la jeunesse — 224 588</w:t>
      </w:r>
      <w:r w:rsidRPr="00BD22C2">
        <w:rPr>
          <w:rFonts w:ascii="Arial" w:hAnsi="Arial" w:cs="Arial"/>
          <w:sz w:val="18"/>
          <w:szCs w:val="18"/>
          <w:lang w:val="fr-CA"/>
        </w:rPr>
        <w:t>, 2022</w:t>
      </w:r>
      <w:r w:rsidR="00B32B61">
        <w:rPr>
          <w:rFonts w:ascii="Arial" w:hAnsi="Arial" w:cs="Arial"/>
          <w:sz w:val="18"/>
          <w:szCs w:val="18"/>
          <w:lang w:val="fr-CA"/>
        </w:rPr>
        <w:t> </w:t>
      </w:r>
      <w:r w:rsidRPr="00BD22C2">
        <w:rPr>
          <w:rFonts w:ascii="Arial" w:hAnsi="Arial" w:cs="Arial"/>
          <w:sz w:val="18"/>
          <w:szCs w:val="18"/>
          <w:lang w:val="fr-CA"/>
        </w:rPr>
        <w:t>QCCQ 6025</w:t>
      </w:r>
      <w:r w:rsidRPr="00BD22C2">
        <w:rPr>
          <w:rFonts w:ascii="Arial" w:hAnsi="Arial" w:cs="Arial"/>
          <w:i/>
          <w:sz w:val="18"/>
          <w:szCs w:val="18"/>
          <w:lang w:val="fr-CA"/>
        </w:rPr>
        <w:t>, Protection de la jeunesse — 19 621</w:t>
      </w:r>
      <w:r w:rsidRPr="00BD22C2">
        <w:rPr>
          <w:rFonts w:ascii="Arial" w:hAnsi="Arial" w:cs="Arial"/>
          <w:sz w:val="18"/>
          <w:szCs w:val="18"/>
          <w:lang w:val="fr-CA"/>
        </w:rPr>
        <w:t>, 2019</w:t>
      </w:r>
      <w:r w:rsidR="00B32B61">
        <w:rPr>
          <w:rFonts w:ascii="Arial" w:hAnsi="Arial" w:cs="Arial"/>
          <w:sz w:val="18"/>
          <w:szCs w:val="18"/>
          <w:lang w:val="fr-CA"/>
        </w:rPr>
        <w:t> </w:t>
      </w:r>
      <w:r w:rsidRPr="00BD22C2">
        <w:rPr>
          <w:rFonts w:ascii="Arial" w:hAnsi="Arial" w:cs="Arial"/>
          <w:sz w:val="18"/>
          <w:szCs w:val="18"/>
          <w:lang w:val="fr-CA"/>
        </w:rPr>
        <w:t>QCCQ 9659</w:t>
      </w:r>
      <w:r w:rsidRPr="00BD22C2">
        <w:rPr>
          <w:rFonts w:ascii="Arial" w:hAnsi="Arial" w:cs="Arial"/>
          <w:i/>
          <w:sz w:val="18"/>
          <w:szCs w:val="18"/>
          <w:lang w:val="fr-CA"/>
        </w:rPr>
        <w:t>, Protection de la jeunesse — 1 910 125</w:t>
      </w:r>
      <w:r w:rsidRPr="00BD22C2">
        <w:rPr>
          <w:rFonts w:ascii="Arial" w:hAnsi="Arial" w:cs="Arial"/>
          <w:sz w:val="18"/>
          <w:szCs w:val="18"/>
          <w:lang w:val="fr-CA"/>
        </w:rPr>
        <w:t>, 2019</w:t>
      </w:r>
      <w:r w:rsidR="00B32B61">
        <w:rPr>
          <w:rFonts w:ascii="Arial" w:hAnsi="Arial" w:cs="Arial"/>
          <w:sz w:val="18"/>
          <w:szCs w:val="18"/>
          <w:lang w:val="fr-CA"/>
        </w:rPr>
        <w:t> </w:t>
      </w:r>
      <w:r w:rsidRPr="00BD22C2">
        <w:rPr>
          <w:rFonts w:ascii="Arial" w:hAnsi="Arial" w:cs="Arial"/>
          <w:sz w:val="18"/>
          <w:szCs w:val="18"/>
          <w:lang w:val="fr-CA"/>
        </w:rPr>
        <w:t xml:space="preserve">QCCQ 12751, </w:t>
      </w:r>
      <w:r w:rsidRPr="00BD22C2">
        <w:rPr>
          <w:rFonts w:ascii="Arial" w:hAnsi="Arial" w:cs="Arial"/>
          <w:i/>
          <w:sz w:val="18"/>
          <w:szCs w:val="18"/>
          <w:lang w:val="fr-CA"/>
        </w:rPr>
        <w:t>Protection de la jeunesse — 179 704</w:t>
      </w:r>
      <w:r w:rsidRPr="00BD22C2">
        <w:rPr>
          <w:rFonts w:ascii="Arial" w:hAnsi="Arial" w:cs="Arial"/>
          <w:sz w:val="18"/>
          <w:szCs w:val="18"/>
          <w:lang w:val="fr-CA"/>
        </w:rPr>
        <w:t>, 2017</w:t>
      </w:r>
      <w:r w:rsidR="00B32B61">
        <w:rPr>
          <w:rFonts w:ascii="Arial" w:hAnsi="Arial" w:cs="Arial"/>
          <w:sz w:val="18"/>
          <w:szCs w:val="18"/>
          <w:lang w:val="fr-CA"/>
        </w:rPr>
        <w:t> </w:t>
      </w:r>
      <w:r w:rsidRPr="00BD22C2">
        <w:rPr>
          <w:rFonts w:ascii="Arial" w:hAnsi="Arial" w:cs="Arial"/>
          <w:sz w:val="18"/>
          <w:szCs w:val="18"/>
          <w:lang w:val="fr-CA"/>
        </w:rPr>
        <w:t xml:space="preserve">QCCQ 19055, </w:t>
      </w:r>
      <w:r w:rsidRPr="00BD22C2">
        <w:rPr>
          <w:rFonts w:ascii="Arial" w:hAnsi="Arial" w:cs="Arial"/>
          <w:i/>
          <w:sz w:val="18"/>
          <w:szCs w:val="18"/>
          <w:lang w:val="fr-CA"/>
        </w:rPr>
        <w:t>Protection de la jeunesse — 218 666</w:t>
      </w:r>
      <w:r w:rsidRPr="00BD22C2">
        <w:rPr>
          <w:rFonts w:ascii="Arial" w:hAnsi="Arial" w:cs="Arial"/>
          <w:sz w:val="18"/>
          <w:szCs w:val="18"/>
          <w:lang w:val="fr-CA"/>
        </w:rPr>
        <w:t>, 2021</w:t>
      </w:r>
      <w:r w:rsidR="00B32B61">
        <w:rPr>
          <w:rFonts w:ascii="Arial" w:hAnsi="Arial" w:cs="Arial"/>
          <w:sz w:val="18"/>
          <w:szCs w:val="18"/>
          <w:lang w:val="fr-CA"/>
        </w:rPr>
        <w:t> </w:t>
      </w:r>
      <w:r w:rsidRPr="00BD22C2">
        <w:rPr>
          <w:rFonts w:ascii="Arial" w:hAnsi="Arial" w:cs="Arial"/>
          <w:sz w:val="18"/>
          <w:szCs w:val="18"/>
          <w:lang w:val="fr-CA"/>
        </w:rPr>
        <w:t xml:space="preserve">QCCQ 14985, </w:t>
      </w:r>
      <w:r w:rsidRPr="00BD22C2">
        <w:rPr>
          <w:rFonts w:ascii="Arial" w:hAnsi="Arial" w:cs="Arial"/>
          <w:i/>
          <w:sz w:val="18"/>
          <w:szCs w:val="18"/>
          <w:lang w:val="fr-CA"/>
        </w:rPr>
        <w:t>Protection de la jeunesse — 22 380</w:t>
      </w:r>
      <w:r w:rsidRPr="00BD22C2">
        <w:rPr>
          <w:rFonts w:ascii="Arial" w:hAnsi="Arial" w:cs="Arial"/>
          <w:sz w:val="18"/>
          <w:szCs w:val="18"/>
          <w:lang w:val="fr-CA"/>
        </w:rPr>
        <w:t>, 2022</w:t>
      </w:r>
      <w:r w:rsidR="00B32B61">
        <w:rPr>
          <w:rFonts w:ascii="Arial" w:hAnsi="Arial" w:cs="Arial"/>
          <w:sz w:val="18"/>
          <w:szCs w:val="18"/>
          <w:lang w:val="fr-CA"/>
        </w:rPr>
        <w:t> </w:t>
      </w:r>
      <w:r w:rsidRPr="00BD22C2">
        <w:rPr>
          <w:rFonts w:ascii="Arial" w:hAnsi="Arial" w:cs="Arial"/>
          <w:sz w:val="18"/>
          <w:szCs w:val="18"/>
          <w:lang w:val="fr-CA"/>
        </w:rPr>
        <w:t xml:space="preserve">QCCQ 4198, </w:t>
      </w:r>
      <w:r w:rsidRPr="00BD22C2">
        <w:rPr>
          <w:rFonts w:ascii="Arial" w:hAnsi="Arial" w:cs="Arial"/>
          <w:i/>
          <w:sz w:val="18"/>
          <w:szCs w:val="18"/>
          <w:lang w:val="fr-CA"/>
        </w:rPr>
        <w:t>Protection de la jeunesse — 1 910 833</w:t>
      </w:r>
      <w:r w:rsidRPr="00BD22C2">
        <w:rPr>
          <w:rFonts w:ascii="Arial" w:hAnsi="Arial" w:cs="Arial"/>
          <w:sz w:val="18"/>
          <w:szCs w:val="18"/>
          <w:lang w:val="fr-CA"/>
        </w:rPr>
        <w:t>, 2019</w:t>
      </w:r>
      <w:r w:rsidR="00B32B61">
        <w:rPr>
          <w:rFonts w:ascii="Arial" w:hAnsi="Arial" w:cs="Arial"/>
          <w:sz w:val="18"/>
          <w:szCs w:val="18"/>
          <w:lang w:val="fr-CA"/>
        </w:rPr>
        <w:t> </w:t>
      </w:r>
      <w:r w:rsidRPr="00BD22C2">
        <w:rPr>
          <w:rFonts w:ascii="Arial" w:hAnsi="Arial" w:cs="Arial"/>
          <w:sz w:val="18"/>
          <w:szCs w:val="18"/>
          <w:lang w:val="fr-CA"/>
        </w:rPr>
        <w:t xml:space="preserve">QCCQ 16125, </w:t>
      </w:r>
      <w:r w:rsidRPr="00BD22C2">
        <w:rPr>
          <w:rFonts w:ascii="Arial" w:hAnsi="Arial" w:cs="Arial"/>
          <w:i/>
          <w:sz w:val="18"/>
          <w:szCs w:val="18"/>
          <w:lang w:val="fr-CA"/>
        </w:rPr>
        <w:t>Protection de la jeunesse — 227 309</w:t>
      </w:r>
      <w:r w:rsidRPr="00BD22C2">
        <w:rPr>
          <w:rFonts w:ascii="Arial" w:hAnsi="Arial" w:cs="Arial"/>
          <w:sz w:val="18"/>
          <w:szCs w:val="18"/>
          <w:lang w:val="fr-CA"/>
        </w:rPr>
        <w:t>, 2022</w:t>
      </w:r>
      <w:r w:rsidR="00B32B61">
        <w:rPr>
          <w:rFonts w:ascii="Arial" w:hAnsi="Arial" w:cs="Arial"/>
          <w:sz w:val="18"/>
          <w:szCs w:val="18"/>
          <w:lang w:val="fr-CA"/>
        </w:rPr>
        <w:t> </w:t>
      </w:r>
      <w:r w:rsidRPr="00BD22C2">
        <w:rPr>
          <w:rFonts w:ascii="Arial" w:hAnsi="Arial" w:cs="Arial"/>
          <w:sz w:val="18"/>
          <w:szCs w:val="18"/>
          <w:lang w:val="fr-CA"/>
        </w:rPr>
        <w:t>QCCQ 12545.</w:t>
      </w:r>
    </w:p>
  </w:endnote>
  <w:endnote w:id="303">
    <w:p w14:paraId="5DA01526" w14:textId="74EA5B58"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10753" w:rsidRPr="00BD22C2">
        <w:rPr>
          <w:rFonts w:ascii="Arial" w:hAnsi="Arial" w:cs="Arial"/>
          <w:i/>
          <w:sz w:val="18"/>
          <w:szCs w:val="18"/>
          <w:lang w:val="fr-CA"/>
        </w:rPr>
        <w:t>Protection de la jeunesse — 1 910 125</w:t>
      </w:r>
      <w:r w:rsidR="00510D59" w:rsidRPr="00BD22C2">
        <w:rPr>
          <w:rFonts w:ascii="Arial" w:hAnsi="Arial" w:cs="Arial"/>
          <w:i/>
          <w:sz w:val="18"/>
          <w:szCs w:val="18"/>
          <w:lang w:val="fr-CA"/>
        </w:rPr>
        <w:t xml:space="preserve">, </w:t>
      </w:r>
      <w:r w:rsidRPr="00BD22C2">
        <w:rPr>
          <w:rFonts w:ascii="Arial" w:hAnsi="Arial" w:cs="Arial"/>
          <w:i/>
          <w:sz w:val="18"/>
          <w:szCs w:val="18"/>
          <w:lang w:val="fr-CA"/>
        </w:rPr>
        <w:t>Id</w:t>
      </w:r>
      <w:r w:rsidRPr="00BD22C2">
        <w:rPr>
          <w:rFonts w:ascii="Arial" w:hAnsi="Arial" w:cs="Arial"/>
          <w:sz w:val="18"/>
          <w:szCs w:val="18"/>
          <w:lang w:val="fr-CA"/>
        </w:rPr>
        <w:t>.</w:t>
      </w:r>
    </w:p>
  </w:endnote>
  <w:endnote w:id="304">
    <w:p w14:paraId="61582FA4" w14:textId="47774CC0"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10D59" w:rsidRPr="00BD22C2">
        <w:rPr>
          <w:rFonts w:ascii="Arial" w:hAnsi="Arial" w:cs="Arial"/>
          <w:i/>
          <w:sz w:val="18"/>
          <w:szCs w:val="18"/>
          <w:lang w:val="fr-CA"/>
        </w:rPr>
        <w:t>Id.</w:t>
      </w:r>
      <w:r w:rsidRPr="00BD22C2">
        <w:rPr>
          <w:rFonts w:ascii="Arial" w:hAnsi="Arial" w:cs="Arial"/>
          <w:sz w:val="18"/>
          <w:szCs w:val="18"/>
          <w:lang w:val="fr-CA"/>
        </w:rPr>
        <w:t xml:space="preserve">, par. 18, 19 et 22. </w:t>
      </w:r>
    </w:p>
  </w:endnote>
  <w:endnote w:id="305">
    <w:p w14:paraId="0F288272" w14:textId="0C532DDA"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smallCaps/>
          <w:sz w:val="18"/>
          <w:szCs w:val="18"/>
          <w:lang w:val="fr-CA"/>
        </w:rPr>
        <w:t>Commissaire aux droits de l’</w:t>
      </w:r>
      <w:r w:rsidR="00EF0F90">
        <w:rPr>
          <w:rFonts w:ascii="Arial" w:hAnsi="Arial" w:cs="Arial"/>
          <w:smallCaps/>
          <w:sz w:val="18"/>
          <w:szCs w:val="18"/>
          <w:lang w:val="fr-CA"/>
        </w:rPr>
        <w:t>h</w:t>
      </w:r>
      <w:r w:rsidRPr="00BD22C2">
        <w:rPr>
          <w:rFonts w:ascii="Arial" w:hAnsi="Arial" w:cs="Arial"/>
          <w:smallCaps/>
          <w:sz w:val="18"/>
          <w:szCs w:val="18"/>
          <w:lang w:val="fr-CA"/>
        </w:rPr>
        <w:t>omme</w:t>
      </w:r>
      <w:r w:rsidR="003527FC" w:rsidRPr="00BD22C2">
        <w:rPr>
          <w:rFonts w:ascii="Arial" w:hAnsi="Arial" w:cs="Arial"/>
          <w:sz w:val="18"/>
          <w:szCs w:val="18"/>
          <w:lang w:val="fr-CA"/>
        </w:rPr>
        <w:t xml:space="preserve"> </w:t>
      </w:r>
      <w:r w:rsidR="0051216B"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smallCaps/>
          <w:sz w:val="18"/>
          <w:szCs w:val="18"/>
          <w:lang w:val="fr-CA"/>
        </w:rPr>
        <w:t>Conseil de l’Europe</w:t>
      </w:r>
      <w:r w:rsidRPr="00BD22C2">
        <w:rPr>
          <w:rFonts w:ascii="Arial" w:hAnsi="Arial" w:cs="Arial"/>
          <w:sz w:val="18"/>
          <w:szCs w:val="18"/>
          <w:lang w:val="fr-CA"/>
        </w:rPr>
        <w:t xml:space="preserve">, </w:t>
      </w:r>
      <w:r w:rsidR="00057FB4" w:rsidRPr="00835853">
        <w:rPr>
          <w:rFonts w:ascii="Arial" w:hAnsi="Arial" w:cs="Arial"/>
          <w:sz w:val="18"/>
          <w:szCs w:val="18"/>
          <w:lang w:val="fr-CA"/>
        </w:rPr>
        <w:t>2024</w:t>
      </w:r>
      <w:r w:rsidR="00057FB4" w:rsidRPr="00BD22C2">
        <w:rPr>
          <w:rFonts w:ascii="Arial" w:hAnsi="Arial" w:cs="Arial"/>
          <w:i/>
          <w:sz w:val="18"/>
          <w:szCs w:val="18"/>
          <w:lang w:val="fr-CA"/>
        </w:rPr>
        <w:t xml:space="preserve">, </w:t>
      </w:r>
      <w:r w:rsidR="00057FB4" w:rsidRPr="00BD22C2">
        <w:rPr>
          <w:rFonts w:ascii="Arial" w:hAnsi="Arial" w:cs="Arial"/>
          <w:iCs/>
          <w:sz w:val="18"/>
          <w:szCs w:val="18"/>
          <w:lang w:val="fr-CA"/>
        </w:rPr>
        <w:t>préc., note</w:t>
      </w:r>
      <w:r w:rsidR="00CE1914">
        <w:rPr>
          <w:rFonts w:ascii="Arial" w:hAnsi="Arial" w:cs="Arial"/>
          <w:sz w:val="18"/>
          <w:szCs w:val="18"/>
          <w:lang w:val="fr-CA"/>
        </w:rPr>
        <w:t> </w:t>
      </w:r>
      <w:r w:rsidR="003A24E5" w:rsidRPr="00BD22C2">
        <w:rPr>
          <w:rFonts w:ascii="Arial" w:hAnsi="Arial" w:cs="Arial"/>
          <w:sz w:val="18"/>
          <w:szCs w:val="18"/>
          <w:lang w:val="fr-CA"/>
        </w:rPr>
        <w:fldChar w:fldCharType="begin"/>
      </w:r>
      <w:r w:rsidR="003A24E5" w:rsidRPr="00BD22C2">
        <w:rPr>
          <w:rFonts w:ascii="Arial" w:hAnsi="Arial" w:cs="Arial"/>
          <w:sz w:val="18"/>
          <w:szCs w:val="18"/>
          <w:lang w:val="fr-CA"/>
        </w:rPr>
        <w:instrText xml:space="preserve"> NOTEREF _Ref167447962 \h </w:instrText>
      </w:r>
      <w:r w:rsidR="003A24E5" w:rsidRPr="00BD22C2">
        <w:rPr>
          <w:rFonts w:ascii="Arial" w:hAnsi="Arial" w:cs="Arial"/>
          <w:sz w:val="18"/>
          <w:szCs w:val="18"/>
          <w:lang w:val="fr-CA"/>
        </w:rPr>
      </w:r>
      <w:r w:rsidR="003A24E5" w:rsidRPr="00BD22C2">
        <w:rPr>
          <w:rFonts w:ascii="Arial" w:hAnsi="Arial" w:cs="Arial"/>
          <w:sz w:val="18"/>
          <w:szCs w:val="18"/>
          <w:lang w:val="fr-CA"/>
        </w:rPr>
        <w:fldChar w:fldCharType="separate"/>
      </w:r>
      <w:r w:rsidR="004B4881">
        <w:rPr>
          <w:rFonts w:ascii="Arial" w:hAnsi="Arial" w:cs="Arial"/>
          <w:sz w:val="18"/>
          <w:szCs w:val="18"/>
          <w:lang w:val="fr-CA"/>
        </w:rPr>
        <w:t>37</w:t>
      </w:r>
      <w:r w:rsidR="003A24E5" w:rsidRPr="00BD22C2">
        <w:rPr>
          <w:rFonts w:ascii="Arial" w:hAnsi="Arial" w:cs="Arial"/>
          <w:sz w:val="18"/>
          <w:szCs w:val="18"/>
          <w:lang w:val="fr-CA"/>
        </w:rPr>
        <w:fldChar w:fldCharType="end"/>
      </w:r>
      <w:r w:rsidR="00057FB4" w:rsidRPr="00BD22C2">
        <w:rPr>
          <w:rFonts w:ascii="Arial" w:hAnsi="Arial" w:cs="Arial"/>
          <w:sz w:val="18"/>
          <w:szCs w:val="18"/>
          <w:lang w:val="fr-CA"/>
        </w:rPr>
        <w:t xml:space="preserve"> </w:t>
      </w:r>
      <w:r w:rsidR="0001075C"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Council of Europe and U</w:t>
      </w:r>
      <w:r w:rsidR="0048541E">
        <w:rPr>
          <w:rFonts w:ascii="Arial" w:hAnsi="Arial" w:cs="Arial"/>
          <w:smallCaps/>
          <w:sz w:val="18"/>
          <w:szCs w:val="18"/>
          <w:lang w:val="fr-CA"/>
        </w:rPr>
        <w:t>nesco</w:t>
      </w:r>
      <w:r w:rsidRPr="00BD22C2">
        <w:rPr>
          <w:rFonts w:ascii="Arial" w:hAnsi="Arial" w:cs="Arial"/>
          <w:sz w:val="18"/>
          <w:szCs w:val="18"/>
          <w:lang w:val="fr-CA"/>
        </w:rPr>
        <w:t xml:space="preserve">, </w:t>
      </w:r>
      <w:r w:rsidRPr="00BD22C2">
        <w:rPr>
          <w:rFonts w:ascii="Arial" w:hAnsi="Arial" w:cs="Arial"/>
          <w:i/>
          <w:sz w:val="18"/>
          <w:szCs w:val="18"/>
          <w:lang w:val="fr-CA"/>
        </w:rPr>
        <w:t>Safe at school: Education sector responses to violence based on sexual orientation, gender identity/expression or sex characteristics in Europe</w:t>
      </w:r>
      <w:r w:rsidRPr="00BD22C2">
        <w:rPr>
          <w:rFonts w:ascii="Arial" w:hAnsi="Arial" w:cs="Arial"/>
          <w:sz w:val="18"/>
          <w:szCs w:val="18"/>
          <w:lang w:val="fr-CA"/>
        </w:rPr>
        <w:t>, 2018, p. 9.</w:t>
      </w:r>
    </w:p>
  </w:endnote>
  <w:endnote w:id="306">
    <w:p w14:paraId="64014698" w14:textId="4F2B5D62" w:rsidR="00BF20C2" w:rsidRPr="00BD22C2" w:rsidRDefault="00BF20C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B80BD7" w:rsidRPr="00BD22C2">
        <w:rPr>
          <w:rFonts w:ascii="Arial" w:hAnsi="Arial" w:cs="Arial"/>
          <w:smallCaps/>
          <w:sz w:val="18"/>
          <w:szCs w:val="18"/>
          <w:lang w:val="fr-CA"/>
        </w:rPr>
        <w:t>Société canadienne de pédiatrie</w:t>
      </w:r>
      <w:r w:rsidR="00B80BD7" w:rsidRPr="00BD22C2">
        <w:rPr>
          <w:rFonts w:ascii="Arial" w:hAnsi="Arial" w:cs="Arial"/>
          <w:sz w:val="18"/>
          <w:szCs w:val="18"/>
          <w:lang w:val="fr-CA"/>
        </w:rPr>
        <w:t xml:space="preserve"> (Ashley </w:t>
      </w:r>
      <w:r w:rsidR="00B80BD7" w:rsidRPr="00BD22C2">
        <w:rPr>
          <w:rFonts w:ascii="Arial" w:hAnsi="Arial" w:cs="Arial"/>
          <w:smallCaps/>
          <w:sz w:val="18"/>
          <w:szCs w:val="18"/>
          <w:lang w:val="fr-CA"/>
        </w:rPr>
        <w:t>Vandermorris</w:t>
      </w:r>
      <w:r w:rsidR="00B80BD7" w:rsidRPr="00BD22C2">
        <w:rPr>
          <w:rFonts w:ascii="Arial" w:hAnsi="Arial" w:cs="Arial"/>
          <w:sz w:val="18"/>
          <w:szCs w:val="18"/>
          <w:lang w:val="fr-CA"/>
        </w:rPr>
        <w:t xml:space="preserve"> et Daniel L. </w:t>
      </w:r>
      <w:r w:rsidR="00B80BD7" w:rsidRPr="00BD22C2">
        <w:rPr>
          <w:rFonts w:ascii="Arial" w:hAnsi="Arial" w:cs="Arial"/>
          <w:smallCaps/>
          <w:sz w:val="18"/>
          <w:szCs w:val="18"/>
          <w:lang w:val="fr-CA"/>
        </w:rPr>
        <w:t>Metzger</w:t>
      </w:r>
      <w:r w:rsidR="00B80BD7" w:rsidRPr="00BD22C2">
        <w:rPr>
          <w:rFonts w:ascii="Arial" w:hAnsi="Arial" w:cs="Arial"/>
          <w:sz w:val="18"/>
          <w:szCs w:val="18"/>
          <w:lang w:val="fr-CA"/>
        </w:rPr>
        <w:t>), préc., note 84</w:t>
      </w:r>
      <w:r w:rsidRPr="00BD22C2">
        <w:rPr>
          <w:rFonts w:ascii="Arial" w:hAnsi="Arial" w:cs="Arial"/>
          <w:sz w:val="18"/>
          <w:szCs w:val="18"/>
          <w:lang w:val="fr-CA"/>
        </w:rPr>
        <w:t>, p.</w:t>
      </w:r>
      <w:r w:rsidR="00CE1914">
        <w:rPr>
          <w:rFonts w:ascii="Arial" w:hAnsi="Arial" w:cs="Arial"/>
          <w:sz w:val="18"/>
          <w:szCs w:val="18"/>
          <w:lang w:val="fr-CA"/>
        </w:rPr>
        <w:t> </w:t>
      </w:r>
      <w:r w:rsidR="00B936A0" w:rsidRPr="00BD22C2">
        <w:rPr>
          <w:rFonts w:ascii="Arial" w:hAnsi="Arial" w:cs="Arial"/>
          <w:sz w:val="18"/>
          <w:szCs w:val="18"/>
          <w:lang w:val="fr-CA"/>
        </w:rPr>
        <w:t>449</w:t>
      </w:r>
      <w:r w:rsidR="00BD1C59">
        <w:rPr>
          <w:rFonts w:ascii="Arial" w:hAnsi="Arial" w:cs="Arial"/>
          <w:sz w:val="18"/>
          <w:szCs w:val="18"/>
          <w:lang w:val="fr-CA"/>
        </w:rPr>
        <w:t xml:space="preserve"> et </w:t>
      </w:r>
      <w:r w:rsidR="00B936A0" w:rsidRPr="00BD22C2">
        <w:rPr>
          <w:rFonts w:ascii="Arial" w:hAnsi="Arial" w:cs="Arial"/>
          <w:sz w:val="18"/>
          <w:szCs w:val="18"/>
          <w:lang w:val="fr-CA"/>
        </w:rPr>
        <w:t>45</w:t>
      </w:r>
      <w:r w:rsidR="00B80BD7" w:rsidRPr="00BD22C2">
        <w:rPr>
          <w:rFonts w:ascii="Arial" w:hAnsi="Arial" w:cs="Arial"/>
          <w:sz w:val="18"/>
          <w:szCs w:val="18"/>
          <w:lang w:val="fr-CA"/>
        </w:rPr>
        <w:t>.</w:t>
      </w:r>
    </w:p>
  </w:endnote>
  <w:endnote w:id="307">
    <w:p w14:paraId="57023522" w14:textId="2D08D529" w:rsidR="00BF20C2" w:rsidRPr="00BD22C2" w:rsidRDefault="00BF20C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w:t>
      </w:r>
    </w:p>
  </w:endnote>
  <w:endnote w:id="308">
    <w:p w14:paraId="7025375D" w14:textId="46E64FD9" w:rsidR="00BF20C2" w:rsidRPr="00BD22C2" w:rsidRDefault="00BF20C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w:t>
      </w:r>
    </w:p>
  </w:endnote>
  <w:endnote w:id="309">
    <w:p w14:paraId="749F1030" w14:textId="0C921C64" w:rsidR="00BF20C2" w:rsidRPr="00BD22C2" w:rsidRDefault="00BF20C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w:t>
      </w:r>
    </w:p>
  </w:endnote>
  <w:endnote w:id="310">
    <w:p w14:paraId="2020F70E" w14:textId="60144808" w:rsidR="00F7531E" w:rsidRPr="003D6F7B" w:rsidRDefault="00F7531E"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8165AD" w:rsidRPr="00BD22C2">
        <w:rPr>
          <w:rFonts w:ascii="Arial" w:hAnsi="Arial" w:cs="Arial"/>
          <w:sz w:val="18"/>
          <w:szCs w:val="18"/>
          <w:lang w:val="fr-CA"/>
        </w:rPr>
        <w:t xml:space="preserve">Annie </w:t>
      </w:r>
      <w:r w:rsidR="00564C08" w:rsidRPr="00BD22C2">
        <w:rPr>
          <w:rFonts w:ascii="Arial" w:hAnsi="Arial" w:cs="Arial"/>
          <w:smallCaps/>
          <w:sz w:val="18"/>
          <w:szCs w:val="18"/>
          <w:lang w:val="fr-CA"/>
        </w:rPr>
        <w:t>Pullen Sansfaçon</w:t>
      </w:r>
      <w:r w:rsidR="008165AD" w:rsidRPr="00BD22C2">
        <w:rPr>
          <w:rFonts w:ascii="Arial" w:hAnsi="Arial" w:cs="Arial"/>
          <w:sz w:val="18"/>
          <w:szCs w:val="18"/>
          <w:lang w:val="fr-CA"/>
        </w:rPr>
        <w:t xml:space="preserve">, Alexandre </w:t>
      </w:r>
      <w:r w:rsidR="00677C1F" w:rsidRPr="00BD22C2">
        <w:rPr>
          <w:rFonts w:ascii="Arial" w:hAnsi="Arial" w:cs="Arial"/>
          <w:smallCaps/>
          <w:sz w:val="18"/>
          <w:szCs w:val="18"/>
          <w:lang w:val="fr-CA"/>
        </w:rPr>
        <w:t>Blanchet</w:t>
      </w:r>
      <w:r w:rsidR="008165AD" w:rsidRPr="00BD22C2">
        <w:rPr>
          <w:rFonts w:ascii="Arial" w:hAnsi="Arial" w:cs="Arial"/>
          <w:sz w:val="18"/>
          <w:szCs w:val="18"/>
          <w:lang w:val="fr-CA"/>
        </w:rPr>
        <w:t xml:space="preserve">, Ré </w:t>
      </w:r>
      <w:r w:rsidR="002C642D" w:rsidRPr="00BD22C2">
        <w:rPr>
          <w:rFonts w:ascii="Arial" w:hAnsi="Arial" w:cs="Arial"/>
          <w:smallCaps/>
          <w:sz w:val="18"/>
          <w:szCs w:val="18"/>
          <w:lang w:val="fr-CA"/>
        </w:rPr>
        <w:t>Poulin Ladouceur</w:t>
      </w:r>
      <w:r w:rsidR="008165AD" w:rsidRPr="00BD22C2">
        <w:rPr>
          <w:rFonts w:ascii="Arial" w:hAnsi="Arial" w:cs="Arial"/>
          <w:sz w:val="18"/>
          <w:szCs w:val="18"/>
          <w:lang w:val="fr-CA"/>
        </w:rPr>
        <w:t xml:space="preserve">, Josianne </w:t>
      </w:r>
      <w:r w:rsidR="002C642D" w:rsidRPr="00BD22C2">
        <w:rPr>
          <w:rFonts w:ascii="Arial" w:hAnsi="Arial" w:cs="Arial"/>
          <w:smallCaps/>
          <w:sz w:val="18"/>
          <w:szCs w:val="18"/>
          <w:lang w:val="fr-CA"/>
        </w:rPr>
        <w:t>Picard</w:t>
      </w:r>
      <w:r w:rsidR="008165AD" w:rsidRPr="00BD22C2">
        <w:rPr>
          <w:rFonts w:ascii="Arial" w:hAnsi="Arial" w:cs="Arial"/>
          <w:sz w:val="18"/>
          <w:szCs w:val="18"/>
          <w:lang w:val="fr-CA"/>
        </w:rPr>
        <w:t xml:space="preserve"> et Martin </w:t>
      </w:r>
      <w:r w:rsidR="008165AD" w:rsidRPr="00BD22C2">
        <w:rPr>
          <w:rFonts w:ascii="Arial" w:hAnsi="Arial" w:cs="Arial"/>
          <w:smallCaps/>
          <w:sz w:val="18"/>
          <w:szCs w:val="18"/>
          <w:lang w:val="fr-CA"/>
        </w:rPr>
        <w:t>G</w:t>
      </w:r>
      <w:r w:rsidR="002C642D" w:rsidRPr="00BD22C2">
        <w:rPr>
          <w:rFonts w:ascii="Arial" w:hAnsi="Arial" w:cs="Arial"/>
          <w:smallCaps/>
          <w:sz w:val="18"/>
          <w:szCs w:val="18"/>
          <w:lang w:val="fr-CA"/>
        </w:rPr>
        <w:t>oyette</w:t>
      </w:r>
      <w:r w:rsidR="008165AD" w:rsidRPr="00BD22C2">
        <w:rPr>
          <w:rFonts w:ascii="Arial" w:hAnsi="Arial" w:cs="Arial"/>
          <w:sz w:val="18"/>
          <w:szCs w:val="18"/>
          <w:lang w:val="fr-CA"/>
        </w:rPr>
        <w:t>, «</w:t>
      </w:r>
      <w:r w:rsidR="0051216B" w:rsidRPr="00BD22C2">
        <w:rPr>
          <w:rFonts w:ascii="Arial" w:hAnsi="Arial" w:cs="Arial"/>
          <w:sz w:val="18"/>
          <w:szCs w:val="18"/>
          <w:lang w:val="fr-CA"/>
        </w:rPr>
        <w:t> </w:t>
      </w:r>
      <w:r w:rsidR="008165AD" w:rsidRPr="00BD22C2">
        <w:rPr>
          <w:rFonts w:ascii="Arial" w:hAnsi="Arial" w:cs="Arial"/>
          <w:sz w:val="18"/>
          <w:szCs w:val="18"/>
          <w:lang w:val="fr-CA"/>
        </w:rPr>
        <w:t>Jeunes trans et non</w:t>
      </w:r>
      <w:r w:rsidR="00F93A07" w:rsidRPr="00BD22C2">
        <w:rPr>
          <w:rFonts w:ascii="Arial" w:hAnsi="Arial" w:cs="Arial"/>
          <w:sz w:val="18"/>
          <w:szCs w:val="18"/>
          <w:lang w:val="fr-CA"/>
        </w:rPr>
        <w:t>-</w:t>
      </w:r>
      <w:r w:rsidR="008165AD" w:rsidRPr="00BD22C2">
        <w:rPr>
          <w:rFonts w:ascii="Arial" w:hAnsi="Arial" w:cs="Arial"/>
          <w:sz w:val="18"/>
          <w:szCs w:val="18"/>
          <w:lang w:val="fr-CA"/>
        </w:rPr>
        <w:t xml:space="preserve">binaires en protection de la jeunesse </w:t>
      </w:r>
      <w:r w:rsidR="0051216B" w:rsidRPr="00BD22C2">
        <w:rPr>
          <w:rFonts w:ascii="Arial" w:hAnsi="Arial" w:cs="Arial"/>
          <w:sz w:val="18"/>
          <w:szCs w:val="18"/>
          <w:lang w:val="fr-CA"/>
        </w:rPr>
        <w:t>—</w:t>
      </w:r>
      <w:r w:rsidR="008165AD" w:rsidRPr="00BD22C2">
        <w:rPr>
          <w:rFonts w:ascii="Arial" w:hAnsi="Arial" w:cs="Arial"/>
          <w:sz w:val="18"/>
          <w:szCs w:val="18"/>
          <w:lang w:val="fr-CA"/>
        </w:rPr>
        <w:t xml:space="preserve"> Portrait de la situation au Québec</w:t>
      </w:r>
      <w:r w:rsidR="0051216B" w:rsidRPr="00BD22C2">
        <w:rPr>
          <w:rFonts w:ascii="Arial" w:hAnsi="Arial" w:cs="Arial"/>
          <w:sz w:val="18"/>
          <w:szCs w:val="18"/>
          <w:lang w:val="fr-CA"/>
        </w:rPr>
        <w:t> </w:t>
      </w:r>
      <w:r w:rsidR="008165AD" w:rsidRPr="00BD22C2">
        <w:rPr>
          <w:rFonts w:ascii="Arial" w:hAnsi="Arial" w:cs="Arial"/>
          <w:sz w:val="18"/>
          <w:szCs w:val="18"/>
          <w:lang w:val="fr-CA"/>
        </w:rPr>
        <w:t xml:space="preserve">» (2023), </w:t>
      </w:r>
      <w:r w:rsidR="008165AD" w:rsidRPr="00835853">
        <w:rPr>
          <w:rFonts w:ascii="Arial" w:hAnsi="Arial" w:cs="Arial"/>
          <w:i/>
          <w:sz w:val="18"/>
          <w:szCs w:val="18"/>
          <w:lang w:val="fr-CA"/>
        </w:rPr>
        <w:t xml:space="preserve">Revue </w:t>
      </w:r>
      <w:r w:rsidR="00FF65DB" w:rsidRPr="00835853">
        <w:rPr>
          <w:rFonts w:ascii="Arial" w:hAnsi="Arial" w:cs="Arial"/>
          <w:i/>
          <w:sz w:val="18"/>
          <w:szCs w:val="18"/>
          <w:lang w:val="fr-CA"/>
        </w:rPr>
        <w:t>Criminologie</w:t>
      </w:r>
      <w:r w:rsidR="008165AD" w:rsidRPr="00BD22C2">
        <w:rPr>
          <w:rFonts w:ascii="Arial" w:hAnsi="Arial" w:cs="Arial"/>
          <w:sz w:val="18"/>
          <w:szCs w:val="18"/>
          <w:lang w:val="fr-CA"/>
        </w:rPr>
        <w:t>, 56</w:t>
      </w:r>
      <w:r w:rsidR="002E34D9">
        <w:rPr>
          <w:rFonts w:ascii="Arial" w:hAnsi="Arial" w:cs="Arial"/>
          <w:sz w:val="18"/>
          <w:szCs w:val="18"/>
          <w:lang w:val="fr-CA"/>
        </w:rPr>
        <w:t xml:space="preserve"> : </w:t>
      </w:r>
      <w:r w:rsidR="008165AD" w:rsidRPr="00BD22C2">
        <w:rPr>
          <w:rFonts w:ascii="Arial" w:hAnsi="Arial" w:cs="Arial"/>
          <w:sz w:val="18"/>
          <w:szCs w:val="18"/>
          <w:lang w:val="fr-CA"/>
        </w:rPr>
        <w:t>1, p.</w:t>
      </w:r>
      <w:r w:rsidR="00CE1914">
        <w:rPr>
          <w:rFonts w:ascii="Arial" w:hAnsi="Arial" w:cs="Arial"/>
          <w:sz w:val="18"/>
          <w:szCs w:val="18"/>
          <w:lang w:val="fr-CA"/>
        </w:rPr>
        <w:t> </w:t>
      </w:r>
      <w:r w:rsidR="008165AD" w:rsidRPr="00BD22C2">
        <w:rPr>
          <w:rFonts w:ascii="Arial" w:hAnsi="Arial" w:cs="Arial"/>
          <w:sz w:val="18"/>
          <w:szCs w:val="18"/>
          <w:lang w:val="fr-CA"/>
        </w:rPr>
        <w:t>335</w:t>
      </w:r>
      <w:r w:rsidR="004E6477">
        <w:rPr>
          <w:rFonts w:ascii="Arial" w:hAnsi="Arial" w:cs="Arial"/>
          <w:sz w:val="18"/>
          <w:szCs w:val="18"/>
          <w:lang w:val="fr-CA"/>
        </w:rPr>
        <w:t xml:space="preserve"> à </w:t>
      </w:r>
      <w:r w:rsidR="008165AD" w:rsidRPr="00BD22C2">
        <w:rPr>
          <w:rFonts w:ascii="Arial" w:hAnsi="Arial" w:cs="Arial"/>
          <w:sz w:val="18"/>
          <w:szCs w:val="18"/>
          <w:lang w:val="fr-CA"/>
        </w:rPr>
        <w:t xml:space="preserve">360, par. 5, </w:t>
      </w:r>
      <w:r w:rsidR="00835853">
        <w:rPr>
          <w:rFonts w:ascii="Arial" w:hAnsi="Arial" w:cs="Arial"/>
          <w:sz w:val="18"/>
          <w:szCs w:val="18"/>
          <w:lang w:val="fr-CA"/>
        </w:rPr>
        <w:t>[E</w:t>
      </w:r>
      <w:r w:rsidR="008165AD" w:rsidRPr="00BD22C2">
        <w:rPr>
          <w:rFonts w:ascii="Arial" w:hAnsi="Arial" w:cs="Arial"/>
          <w:sz w:val="18"/>
          <w:szCs w:val="18"/>
          <w:lang w:val="fr-CA"/>
        </w:rPr>
        <w:t>n ligne</w:t>
      </w:r>
      <w:r w:rsidR="00835853">
        <w:rPr>
          <w:rFonts w:ascii="Arial" w:hAnsi="Arial" w:cs="Arial"/>
          <w:sz w:val="18"/>
          <w:szCs w:val="18"/>
          <w:lang w:val="fr-CA"/>
        </w:rPr>
        <w:t>].</w:t>
      </w:r>
      <w:r w:rsidR="008165AD" w:rsidRPr="00BD22C2">
        <w:rPr>
          <w:rFonts w:ascii="Arial" w:hAnsi="Arial" w:cs="Arial"/>
          <w:sz w:val="18"/>
          <w:szCs w:val="18"/>
          <w:lang w:val="fr-CA"/>
        </w:rPr>
        <w:t xml:space="preserve"> </w:t>
      </w:r>
      <w:r w:rsidR="007138D6">
        <w:fldChar w:fldCharType="begin"/>
      </w:r>
      <w:r w:rsidR="007138D6" w:rsidRPr="003E3312">
        <w:rPr>
          <w:lang w:val="fr-CA"/>
        </w:rPr>
        <w:instrText>HYPERLINK "https://www.erudit.org/fr/revues/crimino/2023-v56-n1-crimino07959/1099016ar/"</w:instrText>
      </w:r>
      <w:r w:rsidR="007138D6">
        <w:fldChar w:fldCharType="separate"/>
      </w:r>
      <w:r w:rsidR="007138D6" w:rsidRPr="003D6F7B">
        <w:rPr>
          <w:rStyle w:val="Lienhypertexte"/>
          <w:rFonts w:ascii="Arial" w:hAnsi="Arial" w:cs="Arial"/>
          <w:sz w:val="18"/>
          <w:szCs w:val="18"/>
        </w:rPr>
        <w:t>https://www.erudit.org/fr/revues/crimino/2023-v56-n1-crimino07959/1099016ar/</w:t>
      </w:r>
      <w:r w:rsidR="007138D6">
        <w:rPr>
          <w:rStyle w:val="Lienhypertexte"/>
          <w:rFonts w:ascii="Arial" w:hAnsi="Arial" w:cs="Arial"/>
          <w:sz w:val="18"/>
          <w:szCs w:val="18"/>
        </w:rPr>
        <w:fldChar w:fldCharType="end"/>
      </w:r>
      <w:r w:rsidR="008165AD" w:rsidRPr="003D6F7B">
        <w:rPr>
          <w:rFonts w:ascii="Arial" w:hAnsi="Arial" w:cs="Arial"/>
          <w:sz w:val="18"/>
          <w:szCs w:val="18"/>
        </w:rPr>
        <w:t xml:space="preserve">. </w:t>
      </w:r>
    </w:p>
  </w:endnote>
  <w:endnote w:id="311">
    <w:p w14:paraId="2BB28AEF" w14:textId="2A702366"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5328F" w:rsidRPr="00BD22C2">
        <w:rPr>
          <w:rFonts w:ascii="Arial" w:hAnsi="Arial" w:cs="Arial"/>
          <w:sz w:val="18"/>
          <w:szCs w:val="18"/>
          <w:lang w:val="fr-CA"/>
        </w:rPr>
        <w:t xml:space="preserve">Eli </w:t>
      </w:r>
      <w:r w:rsidR="0045328F" w:rsidRPr="00BD22C2">
        <w:rPr>
          <w:rFonts w:ascii="Arial" w:hAnsi="Arial" w:cs="Arial"/>
          <w:smallCaps/>
          <w:sz w:val="18"/>
          <w:szCs w:val="18"/>
          <w:lang w:val="fr-CA"/>
        </w:rPr>
        <w:t xml:space="preserve">Coleman </w:t>
      </w:r>
      <w:r w:rsidR="0045328F" w:rsidRPr="00BD22C2">
        <w:rPr>
          <w:rFonts w:ascii="Arial" w:hAnsi="Arial" w:cs="Arial"/>
          <w:sz w:val="18"/>
          <w:szCs w:val="18"/>
          <w:lang w:val="fr-CA"/>
        </w:rPr>
        <w:t>et al</w:t>
      </w:r>
      <w:r w:rsidR="0045328F" w:rsidRPr="00BD22C2">
        <w:rPr>
          <w:rFonts w:ascii="Arial" w:hAnsi="Arial" w:cs="Arial"/>
          <w:smallCaps/>
          <w:sz w:val="18"/>
          <w:szCs w:val="18"/>
          <w:lang w:val="fr-CA"/>
        </w:rPr>
        <w:t xml:space="preserve">., </w:t>
      </w:r>
      <w:r w:rsidR="00F04B62" w:rsidRPr="00BD22C2">
        <w:rPr>
          <w:rFonts w:ascii="Arial" w:hAnsi="Arial" w:cs="Arial"/>
          <w:sz w:val="18"/>
          <w:szCs w:val="18"/>
          <w:lang w:val="fr-CA"/>
        </w:rPr>
        <w:t xml:space="preserve">préc., note </w:t>
      </w:r>
      <w:r w:rsidR="00F04B62" w:rsidRPr="00BD22C2">
        <w:rPr>
          <w:rFonts w:ascii="Arial" w:hAnsi="Arial" w:cs="Arial"/>
          <w:sz w:val="18"/>
          <w:szCs w:val="18"/>
          <w:lang w:val="fr-CA"/>
        </w:rPr>
        <w:fldChar w:fldCharType="begin"/>
      </w:r>
      <w:r w:rsidR="00F04B62" w:rsidRPr="00BD22C2">
        <w:rPr>
          <w:rFonts w:ascii="Arial" w:hAnsi="Arial" w:cs="Arial"/>
          <w:sz w:val="18"/>
          <w:szCs w:val="18"/>
          <w:lang w:val="fr-CA"/>
        </w:rPr>
        <w:instrText xml:space="preserve"> NOTEREF _Ref167356687 \h </w:instrText>
      </w:r>
      <w:r w:rsidR="00F04B62" w:rsidRPr="00BD22C2">
        <w:rPr>
          <w:rFonts w:ascii="Arial" w:hAnsi="Arial" w:cs="Arial"/>
          <w:sz w:val="18"/>
          <w:szCs w:val="18"/>
          <w:lang w:val="fr-CA"/>
        </w:rPr>
      </w:r>
      <w:r w:rsidR="00F04B62" w:rsidRPr="00BD22C2">
        <w:rPr>
          <w:rFonts w:ascii="Arial" w:hAnsi="Arial" w:cs="Arial"/>
          <w:sz w:val="18"/>
          <w:szCs w:val="18"/>
          <w:lang w:val="fr-CA"/>
        </w:rPr>
        <w:fldChar w:fldCharType="separate"/>
      </w:r>
      <w:r w:rsidR="004B4881">
        <w:rPr>
          <w:rFonts w:ascii="Arial" w:hAnsi="Arial" w:cs="Arial"/>
          <w:sz w:val="18"/>
          <w:szCs w:val="18"/>
          <w:lang w:val="fr-CA"/>
        </w:rPr>
        <w:t>43</w:t>
      </w:r>
      <w:r w:rsidR="00F04B62" w:rsidRPr="00BD22C2">
        <w:rPr>
          <w:rFonts w:ascii="Arial" w:hAnsi="Arial" w:cs="Arial"/>
          <w:sz w:val="18"/>
          <w:szCs w:val="18"/>
          <w:lang w:val="fr-CA"/>
        </w:rPr>
        <w:fldChar w:fldCharType="end"/>
      </w:r>
      <w:r w:rsidR="00F04B62" w:rsidRPr="00BD22C2">
        <w:rPr>
          <w:rFonts w:ascii="Arial" w:hAnsi="Arial" w:cs="Arial"/>
          <w:sz w:val="18"/>
          <w:szCs w:val="18"/>
          <w:lang w:val="fr-CA"/>
        </w:rPr>
        <w:t xml:space="preserve">, </w:t>
      </w:r>
      <w:r w:rsidR="0045328F" w:rsidRPr="00BD22C2">
        <w:rPr>
          <w:rFonts w:ascii="Arial" w:hAnsi="Arial" w:cs="Arial"/>
          <w:sz w:val="18"/>
          <w:szCs w:val="18"/>
          <w:lang w:val="fr-CA"/>
        </w:rPr>
        <w:t>p. S 52</w:t>
      </w:r>
      <w:r w:rsidRPr="00BD22C2">
        <w:rPr>
          <w:rFonts w:ascii="Arial" w:hAnsi="Arial" w:cs="Arial"/>
          <w:sz w:val="18"/>
          <w:szCs w:val="18"/>
          <w:lang w:val="fr-CA"/>
        </w:rPr>
        <w:t>.</w:t>
      </w:r>
    </w:p>
  </w:endnote>
  <w:endnote w:id="312">
    <w:p w14:paraId="763C4A87" w14:textId="58D4C931" w:rsidR="009B30A8" w:rsidRPr="00BD22C2" w:rsidRDefault="009B30A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Commissaire aux droits de l’homme</w:t>
      </w:r>
      <w:r w:rsidR="00A73050" w:rsidRPr="00BD22C2">
        <w:rPr>
          <w:rFonts w:ascii="Arial" w:hAnsi="Arial" w:cs="Arial"/>
          <w:smallCaps/>
          <w:sz w:val="18"/>
          <w:szCs w:val="18"/>
          <w:lang w:val="fr-CA"/>
        </w:rPr>
        <w:t xml:space="preserve"> </w:t>
      </w:r>
      <w:r w:rsidR="00A73050" w:rsidRPr="00BD22C2">
        <w:rPr>
          <w:rFonts w:ascii="Arial" w:hAnsi="Arial" w:cs="Arial"/>
          <w:sz w:val="18"/>
          <w:szCs w:val="18"/>
          <w:lang w:val="fr-CA"/>
        </w:rPr>
        <w:t xml:space="preserve">— </w:t>
      </w:r>
      <w:r w:rsidR="00A73050" w:rsidRPr="00BD22C2">
        <w:rPr>
          <w:rFonts w:ascii="Arial" w:hAnsi="Arial" w:cs="Arial"/>
          <w:smallCaps/>
          <w:sz w:val="18"/>
          <w:szCs w:val="18"/>
          <w:lang w:val="fr-CA"/>
        </w:rPr>
        <w:t>Conseil de l’Europe</w:t>
      </w:r>
      <w:r w:rsidRPr="00BD22C2">
        <w:rPr>
          <w:rFonts w:ascii="Arial" w:hAnsi="Arial" w:cs="Arial"/>
          <w:sz w:val="18"/>
          <w:szCs w:val="18"/>
          <w:lang w:val="fr-CA"/>
        </w:rPr>
        <w:t xml:space="preserve">, </w:t>
      </w:r>
      <w:r w:rsidR="00A73050" w:rsidRPr="00BD22C2">
        <w:rPr>
          <w:rFonts w:ascii="Arial" w:hAnsi="Arial" w:cs="Arial"/>
          <w:iCs/>
          <w:sz w:val="18"/>
          <w:szCs w:val="18"/>
          <w:lang w:val="fr-CA"/>
        </w:rPr>
        <w:t>préc., note</w:t>
      </w:r>
      <w:r w:rsidR="00CE1914">
        <w:rPr>
          <w:rFonts w:ascii="Arial" w:hAnsi="Arial" w:cs="Arial"/>
          <w:iCs/>
          <w:sz w:val="18"/>
          <w:szCs w:val="18"/>
          <w:lang w:val="fr-CA"/>
        </w:rPr>
        <w:t> </w:t>
      </w:r>
      <w:r w:rsidR="00A73050" w:rsidRPr="00BD22C2">
        <w:rPr>
          <w:rFonts w:ascii="Arial" w:hAnsi="Arial" w:cs="Arial"/>
          <w:iCs/>
          <w:sz w:val="18"/>
          <w:szCs w:val="18"/>
          <w:lang w:val="fr-CA"/>
        </w:rPr>
        <w:fldChar w:fldCharType="begin"/>
      </w:r>
      <w:r w:rsidR="00A73050" w:rsidRPr="00BD22C2">
        <w:rPr>
          <w:rFonts w:ascii="Arial" w:hAnsi="Arial" w:cs="Arial"/>
          <w:iCs/>
          <w:sz w:val="18"/>
          <w:szCs w:val="18"/>
          <w:lang w:val="fr-CA"/>
        </w:rPr>
        <w:instrText xml:space="preserve"> NOTEREF _Ref166751055 \h </w:instrText>
      </w:r>
      <w:r w:rsidR="00A73050" w:rsidRPr="00BD22C2">
        <w:rPr>
          <w:rFonts w:ascii="Arial" w:hAnsi="Arial" w:cs="Arial"/>
          <w:iCs/>
          <w:sz w:val="18"/>
          <w:szCs w:val="18"/>
          <w:lang w:val="fr-CA"/>
        </w:rPr>
      </w:r>
      <w:r w:rsidR="00A73050" w:rsidRPr="00BD22C2">
        <w:rPr>
          <w:rFonts w:ascii="Arial" w:hAnsi="Arial" w:cs="Arial"/>
          <w:iCs/>
          <w:sz w:val="18"/>
          <w:szCs w:val="18"/>
          <w:lang w:val="fr-CA"/>
        </w:rPr>
        <w:fldChar w:fldCharType="separate"/>
      </w:r>
      <w:r w:rsidR="004B4881">
        <w:rPr>
          <w:rFonts w:ascii="Arial" w:hAnsi="Arial" w:cs="Arial"/>
          <w:iCs/>
          <w:sz w:val="18"/>
          <w:szCs w:val="18"/>
          <w:lang w:val="fr-CA"/>
        </w:rPr>
        <w:t>304</w:t>
      </w:r>
      <w:r w:rsidR="00A73050" w:rsidRPr="00BD22C2">
        <w:rPr>
          <w:rFonts w:ascii="Arial" w:hAnsi="Arial" w:cs="Arial"/>
          <w:iCs/>
          <w:sz w:val="18"/>
          <w:szCs w:val="18"/>
          <w:lang w:val="fr-CA"/>
        </w:rPr>
        <w:fldChar w:fldCharType="end"/>
      </w:r>
      <w:r w:rsidRPr="00BD22C2">
        <w:rPr>
          <w:rFonts w:ascii="Arial" w:hAnsi="Arial" w:cs="Arial"/>
          <w:sz w:val="18"/>
          <w:szCs w:val="18"/>
          <w:lang w:val="fr-CA"/>
        </w:rPr>
        <w:t>, p.</w:t>
      </w:r>
      <w:r w:rsidR="00CE1914">
        <w:rPr>
          <w:rFonts w:ascii="Arial" w:hAnsi="Arial" w:cs="Arial"/>
          <w:sz w:val="18"/>
          <w:szCs w:val="18"/>
          <w:lang w:val="fr-CA"/>
        </w:rPr>
        <w:t> </w:t>
      </w:r>
      <w:r w:rsidRPr="00BD22C2">
        <w:rPr>
          <w:rFonts w:ascii="Arial" w:hAnsi="Arial" w:cs="Arial"/>
          <w:sz w:val="18"/>
          <w:szCs w:val="18"/>
          <w:lang w:val="fr-CA"/>
        </w:rPr>
        <w:t>65.</w:t>
      </w:r>
    </w:p>
  </w:endnote>
  <w:endnote w:id="313">
    <w:p w14:paraId="704509D7" w14:textId="416B69E7" w:rsidR="009B30A8" w:rsidRPr="00E16C03" w:rsidRDefault="009B30A8"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Mila </w:t>
      </w:r>
      <w:r w:rsidRPr="00E16C03">
        <w:rPr>
          <w:rFonts w:ascii="Arial" w:hAnsi="Arial" w:cs="Arial"/>
          <w:smallCaps/>
          <w:sz w:val="18"/>
          <w:szCs w:val="18"/>
          <w:lang w:val="en-CA"/>
        </w:rPr>
        <w:t>Kingsbury</w:t>
      </w:r>
      <w:r w:rsidRPr="00E16C03">
        <w:rPr>
          <w:rFonts w:ascii="Arial" w:hAnsi="Arial" w:cs="Arial"/>
          <w:sz w:val="18"/>
          <w:szCs w:val="18"/>
          <w:lang w:val="en-CA"/>
        </w:rPr>
        <w:t xml:space="preserve">, Nicole G. </w:t>
      </w:r>
      <w:r w:rsidRPr="00E16C03">
        <w:rPr>
          <w:rFonts w:ascii="Arial" w:hAnsi="Arial" w:cs="Arial"/>
          <w:smallCaps/>
          <w:sz w:val="18"/>
          <w:szCs w:val="18"/>
          <w:lang w:val="en-CA"/>
        </w:rPr>
        <w:t>Hammond</w:t>
      </w:r>
      <w:r w:rsidRPr="00E16C03">
        <w:rPr>
          <w:rFonts w:ascii="Arial" w:hAnsi="Arial" w:cs="Arial"/>
          <w:sz w:val="18"/>
          <w:szCs w:val="18"/>
          <w:lang w:val="en-CA"/>
        </w:rPr>
        <w:t xml:space="preserve">, Fae </w:t>
      </w:r>
      <w:r w:rsidRPr="00E16C03">
        <w:rPr>
          <w:rFonts w:ascii="Arial" w:hAnsi="Arial" w:cs="Arial"/>
          <w:smallCaps/>
          <w:sz w:val="18"/>
          <w:szCs w:val="18"/>
          <w:lang w:val="en-CA"/>
        </w:rPr>
        <w:t>Johnstone</w:t>
      </w:r>
      <w:r w:rsidRPr="00E16C03">
        <w:rPr>
          <w:rFonts w:ascii="Arial" w:hAnsi="Arial" w:cs="Arial"/>
          <w:sz w:val="18"/>
          <w:szCs w:val="18"/>
          <w:lang w:val="en-CA"/>
        </w:rPr>
        <w:t xml:space="preserve"> et Ian </w:t>
      </w:r>
      <w:r w:rsidRPr="00E16C03">
        <w:rPr>
          <w:rFonts w:ascii="Arial" w:hAnsi="Arial" w:cs="Arial"/>
          <w:smallCaps/>
          <w:sz w:val="18"/>
          <w:szCs w:val="18"/>
          <w:lang w:val="en-CA"/>
        </w:rPr>
        <w:t>Colman</w:t>
      </w:r>
      <w:r w:rsidRPr="00E16C03">
        <w:rPr>
          <w:rFonts w:ascii="Arial" w:hAnsi="Arial" w:cs="Arial"/>
          <w:sz w:val="18"/>
          <w:szCs w:val="18"/>
          <w:lang w:val="en-CA"/>
        </w:rPr>
        <w:t xml:space="preserve">, </w:t>
      </w:r>
      <w:r w:rsidR="00A55B14" w:rsidRPr="00E16C03">
        <w:rPr>
          <w:rFonts w:ascii="Arial" w:hAnsi="Arial" w:cs="Arial"/>
          <w:sz w:val="18"/>
          <w:szCs w:val="18"/>
          <w:lang w:val="en-CA"/>
        </w:rPr>
        <w:t>«</w:t>
      </w:r>
      <w:r w:rsidR="00595E85">
        <w:rPr>
          <w:rFonts w:ascii="Arial" w:hAnsi="Arial" w:cs="Arial"/>
          <w:sz w:val="18"/>
          <w:szCs w:val="18"/>
          <w:lang w:val="en-CA"/>
        </w:rPr>
        <w:t> </w:t>
      </w:r>
      <w:r w:rsidRPr="00E16C03">
        <w:rPr>
          <w:rFonts w:ascii="Arial" w:hAnsi="Arial" w:cs="Arial"/>
          <w:sz w:val="18"/>
          <w:szCs w:val="18"/>
          <w:lang w:val="en-CA"/>
        </w:rPr>
        <w:t>Suicidality among sexual minority and transgender adolescents: a nationally representative population-based study of youth in Canada</w:t>
      </w:r>
      <w:r w:rsidR="00595E85">
        <w:rPr>
          <w:rFonts w:ascii="Arial" w:hAnsi="Arial" w:cs="Arial"/>
          <w:sz w:val="18"/>
          <w:szCs w:val="18"/>
          <w:lang w:val="en-CA"/>
        </w:rPr>
        <w:t> </w:t>
      </w:r>
      <w:r w:rsidR="00A55B14" w:rsidRPr="00E16C03">
        <w:rPr>
          <w:rFonts w:ascii="Arial" w:hAnsi="Arial" w:cs="Arial"/>
          <w:sz w:val="18"/>
          <w:szCs w:val="18"/>
          <w:lang w:val="en-CA"/>
        </w:rPr>
        <w:t>»</w:t>
      </w:r>
      <w:r w:rsidRPr="00E16C03">
        <w:rPr>
          <w:rFonts w:ascii="Arial" w:hAnsi="Arial" w:cs="Arial"/>
          <w:sz w:val="18"/>
          <w:szCs w:val="18"/>
          <w:lang w:val="en-CA"/>
        </w:rPr>
        <w:t>, CMAJ</w:t>
      </w:r>
      <w:r w:rsidR="00D32FB5" w:rsidRPr="00E16C03">
        <w:rPr>
          <w:rFonts w:ascii="Arial" w:hAnsi="Arial" w:cs="Arial"/>
          <w:sz w:val="18"/>
          <w:szCs w:val="18"/>
          <w:lang w:val="en-CA"/>
        </w:rPr>
        <w:t>,</w:t>
      </w:r>
      <w:r w:rsidRPr="00E16C03">
        <w:rPr>
          <w:rFonts w:ascii="Arial" w:hAnsi="Arial" w:cs="Arial"/>
          <w:sz w:val="18"/>
          <w:szCs w:val="18"/>
          <w:lang w:val="en-CA"/>
        </w:rPr>
        <w:t xml:space="preserve"> </w:t>
      </w:r>
      <w:r w:rsidR="00D32FB5" w:rsidRPr="00E16C03">
        <w:rPr>
          <w:rFonts w:ascii="Arial" w:hAnsi="Arial" w:cs="Arial"/>
          <w:sz w:val="18"/>
          <w:szCs w:val="18"/>
          <w:lang w:val="en-CA"/>
        </w:rPr>
        <w:t>6</w:t>
      </w:r>
      <w:r w:rsidR="00762FE8">
        <w:rPr>
          <w:rFonts w:ascii="Arial" w:hAnsi="Arial" w:cs="Arial"/>
          <w:sz w:val="18"/>
          <w:szCs w:val="18"/>
          <w:lang w:val="en-CA"/>
        </w:rPr>
        <w:t> </w:t>
      </w:r>
      <w:r w:rsidR="00D32FB5" w:rsidRPr="00E16C03">
        <w:rPr>
          <w:rFonts w:ascii="Arial" w:hAnsi="Arial" w:cs="Arial"/>
          <w:sz w:val="18"/>
          <w:szCs w:val="18"/>
          <w:lang w:val="en-CA"/>
        </w:rPr>
        <w:t>juin</w:t>
      </w:r>
      <w:r w:rsidRPr="00E16C03">
        <w:rPr>
          <w:rFonts w:ascii="Arial" w:hAnsi="Arial" w:cs="Arial"/>
          <w:sz w:val="18"/>
          <w:szCs w:val="18"/>
          <w:lang w:val="en-CA"/>
        </w:rPr>
        <w:t xml:space="preserve"> 2022; 194:</w:t>
      </w:r>
      <w:r w:rsidR="00D32FB5" w:rsidRPr="00E16C03">
        <w:rPr>
          <w:rFonts w:ascii="Arial" w:hAnsi="Arial" w:cs="Arial"/>
          <w:sz w:val="18"/>
          <w:szCs w:val="18"/>
          <w:lang w:val="en-CA"/>
        </w:rPr>
        <w:t>22</w:t>
      </w:r>
      <w:r w:rsidRPr="00E16C03">
        <w:rPr>
          <w:rFonts w:ascii="Arial" w:hAnsi="Arial" w:cs="Arial"/>
          <w:sz w:val="18"/>
          <w:szCs w:val="18"/>
          <w:lang w:val="en-CA"/>
        </w:rPr>
        <w:t>. Voir aussi</w:t>
      </w:r>
      <w:r w:rsidR="0051216B" w:rsidRPr="00E16C03">
        <w:rPr>
          <w:rFonts w:ascii="Arial" w:hAnsi="Arial" w:cs="Arial"/>
          <w:sz w:val="18"/>
          <w:szCs w:val="18"/>
          <w:lang w:val="en-CA"/>
        </w:rPr>
        <w:t> </w:t>
      </w:r>
      <w:r w:rsidRPr="00E16C03">
        <w:rPr>
          <w:rFonts w:ascii="Arial" w:hAnsi="Arial" w:cs="Arial"/>
          <w:sz w:val="18"/>
          <w:szCs w:val="18"/>
          <w:lang w:val="en-CA"/>
        </w:rPr>
        <w:t xml:space="preserve">: Ashley B. </w:t>
      </w:r>
      <w:r w:rsidRPr="00E16C03">
        <w:rPr>
          <w:rFonts w:ascii="Arial" w:hAnsi="Arial" w:cs="Arial"/>
          <w:smallCaps/>
          <w:sz w:val="18"/>
          <w:szCs w:val="18"/>
          <w:lang w:val="en-CA"/>
        </w:rPr>
        <w:t>Taylor</w:t>
      </w:r>
      <w:r w:rsidRPr="00E16C03">
        <w:rPr>
          <w:rFonts w:ascii="Arial" w:hAnsi="Arial" w:cs="Arial"/>
          <w:sz w:val="18"/>
          <w:szCs w:val="18"/>
          <w:lang w:val="en-CA"/>
        </w:rPr>
        <w:t xml:space="preserve">, Ace </w:t>
      </w:r>
      <w:r w:rsidRPr="00E16C03">
        <w:rPr>
          <w:rFonts w:ascii="Arial" w:hAnsi="Arial" w:cs="Arial"/>
          <w:smallCaps/>
          <w:sz w:val="18"/>
          <w:szCs w:val="18"/>
          <w:lang w:val="en-CA"/>
        </w:rPr>
        <w:t>Chan</w:t>
      </w:r>
      <w:r w:rsidRPr="00E16C03">
        <w:rPr>
          <w:rFonts w:ascii="Arial" w:hAnsi="Arial" w:cs="Arial"/>
          <w:sz w:val="18"/>
          <w:szCs w:val="18"/>
          <w:lang w:val="en-CA"/>
        </w:rPr>
        <w:t xml:space="preserve">, Stephanie </w:t>
      </w:r>
      <w:r w:rsidRPr="00E16C03">
        <w:rPr>
          <w:rFonts w:ascii="Arial" w:hAnsi="Arial" w:cs="Arial"/>
          <w:smallCaps/>
          <w:sz w:val="18"/>
          <w:szCs w:val="18"/>
          <w:lang w:val="en-CA"/>
        </w:rPr>
        <w:t>Hall</w:t>
      </w:r>
      <w:r w:rsidRPr="00E16C03">
        <w:rPr>
          <w:rFonts w:ascii="Arial" w:hAnsi="Arial" w:cs="Arial"/>
          <w:sz w:val="18"/>
          <w:szCs w:val="18"/>
          <w:lang w:val="en-CA"/>
        </w:rPr>
        <w:t xml:space="preserve">, Elizabeth M. </w:t>
      </w:r>
      <w:r w:rsidRPr="00E16C03">
        <w:rPr>
          <w:rFonts w:ascii="Arial" w:hAnsi="Arial" w:cs="Arial"/>
          <w:smallCaps/>
          <w:sz w:val="18"/>
          <w:szCs w:val="18"/>
          <w:lang w:val="en-CA"/>
        </w:rPr>
        <w:t>Saewyc</w:t>
      </w:r>
      <w:r w:rsidRPr="00E16C03">
        <w:rPr>
          <w:rFonts w:ascii="Arial" w:hAnsi="Arial" w:cs="Arial"/>
          <w:sz w:val="18"/>
          <w:szCs w:val="18"/>
          <w:lang w:val="en-CA"/>
        </w:rPr>
        <w:t xml:space="preserve"> &amp; the </w:t>
      </w:r>
      <w:r w:rsidRPr="00E16C03">
        <w:rPr>
          <w:rFonts w:ascii="Arial" w:hAnsi="Arial" w:cs="Arial"/>
          <w:smallCaps/>
          <w:sz w:val="18"/>
          <w:szCs w:val="18"/>
          <w:lang w:val="en-CA"/>
        </w:rPr>
        <w:t>Canadian Trans &amp; Non-binary Youth Health Survey Research Group</w:t>
      </w:r>
      <w:r w:rsidRPr="00E16C03">
        <w:rPr>
          <w:rFonts w:ascii="Arial" w:hAnsi="Arial" w:cs="Arial"/>
          <w:sz w:val="18"/>
          <w:szCs w:val="18"/>
          <w:lang w:val="en-CA"/>
        </w:rPr>
        <w:t xml:space="preserve">, </w:t>
      </w:r>
      <w:r w:rsidRPr="00E16C03">
        <w:rPr>
          <w:rFonts w:ascii="Arial" w:hAnsi="Arial" w:cs="Arial"/>
          <w:i/>
          <w:sz w:val="18"/>
          <w:szCs w:val="18"/>
          <w:lang w:val="en-CA"/>
        </w:rPr>
        <w:t>Being Safe, Being Me 2019: Results of the Canadian Trans and Non-binary Youth Health Survey</w:t>
      </w:r>
      <w:r w:rsidR="003A41BA" w:rsidRPr="00E16C03">
        <w:rPr>
          <w:rFonts w:ascii="Arial" w:hAnsi="Arial" w:cs="Arial"/>
          <w:sz w:val="18"/>
          <w:szCs w:val="18"/>
          <w:lang w:val="en-CA"/>
        </w:rPr>
        <w:t xml:space="preserve">, </w:t>
      </w:r>
      <w:r w:rsidRPr="00E16C03">
        <w:rPr>
          <w:rFonts w:ascii="Arial" w:hAnsi="Arial" w:cs="Arial"/>
          <w:sz w:val="18"/>
          <w:szCs w:val="18"/>
          <w:lang w:val="en-CA"/>
        </w:rPr>
        <w:t>University of British Columbia, 2020</w:t>
      </w:r>
      <w:r w:rsidR="003A41BA" w:rsidRPr="00E16C03">
        <w:rPr>
          <w:rFonts w:ascii="Arial" w:hAnsi="Arial" w:cs="Arial"/>
          <w:sz w:val="18"/>
          <w:szCs w:val="18"/>
          <w:lang w:val="en-CA"/>
        </w:rPr>
        <w:t xml:space="preserve">, </w:t>
      </w:r>
      <w:r w:rsidR="001903E7">
        <w:rPr>
          <w:rFonts w:ascii="Arial" w:hAnsi="Arial" w:cs="Arial"/>
          <w:sz w:val="18"/>
          <w:szCs w:val="18"/>
          <w:lang w:val="en-CA"/>
        </w:rPr>
        <w:t>[E</w:t>
      </w:r>
      <w:r w:rsidR="003A41BA" w:rsidRPr="00E16C03">
        <w:rPr>
          <w:rFonts w:ascii="Arial" w:hAnsi="Arial" w:cs="Arial"/>
          <w:sz w:val="18"/>
          <w:szCs w:val="18"/>
          <w:lang w:val="en-CA"/>
        </w:rPr>
        <w:t>n ligne</w:t>
      </w:r>
      <w:r w:rsidR="001903E7">
        <w:rPr>
          <w:rFonts w:ascii="Arial" w:hAnsi="Arial" w:cs="Arial"/>
          <w:sz w:val="18"/>
          <w:szCs w:val="18"/>
          <w:lang w:val="en-CA"/>
        </w:rPr>
        <w:t>].</w:t>
      </w:r>
      <w:r w:rsidR="003A41BA" w:rsidRPr="00E16C03">
        <w:rPr>
          <w:rFonts w:ascii="Arial" w:hAnsi="Arial" w:cs="Arial"/>
          <w:sz w:val="18"/>
          <w:szCs w:val="18"/>
          <w:lang w:val="en-CA"/>
        </w:rPr>
        <w:t xml:space="preserve"> </w:t>
      </w:r>
      <w:hyperlink r:id="rId108" w:history="1">
        <w:r w:rsidR="001903E7" w:rsidRPr="00380AC5">
          <w:rPr>
            <w:rStyle w:val="Lienhypertexte"/>
            <w:rFonts w:ascii="Arial" w:hAnsi="Arial" w:cs="Arial"/>
            <w:sz w:val="18"/>
            <w:szCs w:val="18"/>
            <w:lang w:val="en-CA"/>
          </w:rPr>
          <w:t>https://www.saravyc.ubc.ca/ctyhs2019/</w:t>
        </w:r>
      </w:hyperlink>
      <w:r w:rsidR="001903E7">
        <w:rPr>
          <w:rFonts w:ascii="Arial" w:hAnsi="Arial" w:cs="Arial"/>
          <w:sz w:val="18"/>
          <w:szCs w:val="18"/>
          <w:lang w:val="en-CA"/>
        </w:rPr>
        <w:t xml:space="preserve"> </w:t>
      </w:r>
    </w:p>
  </w:endnote>
  <w:endnote w:id="314">
    <w:p w14:paraId="2397658F" w14:textId="5506F4FE" w:rsidR="009B30A8" w:rsidRPr="00E16C03" w:rsidRDefault="009B30A8"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Jaimie F. </w:t>
      </w:r>
      <w:r w:rsidRPr="00E16C03">
        <w:rPr>
          <w:rFonts w:ascii="Arial" w:hAnsi="Arial" w:cs="Arial"/>
          <w:smallCaps/>
          <w:sz w:val="18"/>
          <w:szCs w:val="18"/>
          <w:bdr w:val="none" w:sz="0" w:space="0" w:color="auto" w:frame="1"/>
          <w:lang w:val="en-CA"/>
        </w:rPr>
        <w:t>Veale</w:t>
      </w:r>
      <w:r w:rsidRPr="00E16C03">
        <w:rPr>
          <w:rFonts w:ascii="Arial" w:hAnsi="Arial" w:cs="Arial"/>
          <w:sz w:val="18"/>
          <w:szCs w:val="18"/>
          <w:lang w:val="en-CA"/>
        </w:rPr>
        <w:t xml:space="preserve">, Tracey </w:t>
      </w:r>
      <w:r w:rsidRPr="00E16C03">
        <w:rPr>
          <w:rFonts w:ascii="Arial" w:hAnsi="Arial" w:cs="Arial"/>
          <w:smallCaps/>
          <w:sz w:val="18"/>
          <w:szCs w:val="18"/>
          <w:bdr w:val="none" w:sz="0" w:space="0" w:color="auto" w:frame="1"/>
          <w:lang w:val="en-CA"/>
        </w:rPr>
        <w:t>Peter</w:t>
      </w:r>
      <w:r w:rsidRPr="00E16C03">
        <w:rPr>
          <w:rFonts w:ascii="Arial" w:hAnsi="Arial" w:cs="Arial"/>
          <w:sz w:val="18"/>
          <w:szCs w:val="18"/>
          <w:lang w:val="en-CA"/>
        </w:rPr>
        <w:t xml:space="preserve">, Robb </w:t>
      </w:r>
      <w:r w:rsidRPr="00E16C03">
        <w:rPr>
          <w:rFonts w:ascii="Arial" w:hAnsi="Arial" w:cs="Arial"/>
          <w:smallCaps/>
          <w:sz w:val="18"/>
          <w:szCs w:val="18"/>
          <w:bdr w:val="none" w:sz="0" w:space="0" w:color="auto" w:frame="1"/>
          <w:lang w:val="en-CA"/>
        </w:rPr>
        <w:t>Travers</w:t>
      </w:r>
      <w:r w:rsidRPr="00E16C03">
        <w:rPr>
          <w:rFonts w:ascii="Arial" w:hAnsi="Arial" w:cs="Arial"/>
          <w:sz w:val="18"/>
          <w:szCs w:val="18"/>
          <w:lang w:val="en-CA"/>
        </w:rPr>
        <w:t>, E</w:t>
      </w:r>
      <w:r w:rsidRPr="00E16C03">
        <w:rPr>
          <w:rFonts w:ascii="Arial" w:hAnsi="Arial" w:cs="Arial"/>
          <w:sz w:val="18"/>
          <w:szCs w:val="18"/>
          <w:bdr w:val="none" w:sz="0" w:space="0" w:color="auto" w:frame="1"/>
          <w:lang w:val="en-CA"/>
        </w:rPr>
        <w:t xml:space="preserve">lizabeth M. </w:t>
      </w:r>
      <w:r w:rsidRPr="00E16C03">
        <w:rPr>
          <w:rFonts w:ascii="Arial" w:hAnsi="Arial" w:cs="Arial"/>
          <w:smallCaps/>
          <w:sz w:val="18"/>
          <w:szCs w:val="18"/>
          <w:bdr w:val="none" w:sz="0" w:space="0" w:color="auto" w:frame="1"/>
          <w:lang w:val="en-CA"/>
        </w:rPr>
        <w:t>Saewyc</w:t>
      </w:r>
      <w:r w:rsidRPr="00E16C03">
        <w:rPr>
          <w:rFonts w:ascii="Arial" w:hAnsi="Arial" w:cs="Arial"/>
          <w:sz w:val="18"/>
          <w:szCs w:val="18"/>
          <w:bdr w:val="none" w:sz="0" w:space="0" w:color="auto" w:frame="1"/>
          <w:lang w:val="en-CA"/>
        </w:rPr>
        <w:t xml:space="preserve">, </w:t>
      </w:r>
      <w:r w:rsidR="003A41BA" w:rsidRPr="00E16C03">
        <w:rPr>
          <w:rFonts w:ascii="Arial" w:hAnsi="Arial" w:cs="Arial"/>
          <w:sz w:val="18"/>
          <w:szCs w:val="18"/>
          <w:bdr w:val="none" w:sz="0" w:space="0" w:color="auto" w:frame="1"/>
          <w:lang w:val="en-CA"/>
        </w:rPr>
        <w:t>«</w:t>
      </w:r>
      <w:r w:rsidR="00595E85">
        <w:rPr>
          <w:rFonts w:ascii="Arial" w:hAnsi="Arial" w:cs="Arial"/>
          <w:sz w:val="18"/>
          <w:szCs w:val="18"/>
          <w:bdr w:val="none" w:sz="0" w:space="0" w:color="auto" w:frame="1"/>
          <w:lang w:val="en-CA"/>
        </w:rPr>
        <w:t> </w:t>
      </w:r>
      <w:r w:rsidRPr="00E16C03">
        <w:rPr>
          <w:rFonts w:ascii="Arial" w:hAnsi="Arial" w:cs="Arial"/>
          <w:sz w:val="18"/>
          <w:szCs w:val="18"/>
          <w:bdr w:val="none" w:sz="0" w:space="0" w:color="auto" w:frame="1"/>
          <w:lang w:val="en-CA"/>
        </w:rPr>
        <w:t>Enacted stigma, mental health, and protective factors among transgender youth in Canada</w:t>
      </w:r>
      <w:r w:rsidR="00595E85">
        <w:rPr>
          <w:rFonts w:ascii="Arial" w:hAnsi="Arial" w:cs="Arial"/>
          <w:sz w:val="18"/>
          <w:szCs w:val="18"/>
          <w:bdr w:val="none" w:sz="0" w:space="0" w:color="auto" w:frame="1"/>
          <w:lang w:val="en-CA"/>
        </w:rPr>
        <w:t> </w:t>
      </w:r>
      <w:r w:rsidR="003A41BA" w:rsidRPr="00E16C03">
        <w:rPr>
          <w:rFonts w:ascii="Arial" w:hAnsi="Arial" w:cs="Arial"/>
          <w:sz w:val="18"/>
          <w:szCs w:val="18"/>
          <w:bdr w:val="none" w:sz="0" w:space="0" w:color="auto" w:frame="1"/>
          <w:lang w:val="en-CA"/>
        </w:rPr>
        <w:t xml:space="preserve">», </w:t>
      </w:r>
      <w:r w:rsidR="00962C0B" w:rsidRPr="00E16C03">
        <w:rPr>
          <w:rFonts w:ascii="Arial" w:hAnsi="Arial" w:cs="Arial"/>
          <w:sz w:val="18"/>
          <w:szCs w:val="18"/>
          <w:bdr w:val="none" w:sz="0" w:space="0" w:color="auto" w:frame="1"/>
          <w:lang w:val="en-CA"/>
        </w:rPr>
        <w:t xml:space="preserve">(2017) </w:t>
      </w:r>
      <w:r w:rsidR="008B7527" w:rsidRPr="00E16C03">
        <w:rPr>
          <w:rFonts w:ascii="Arial" w:hAnsi="Arial" w:cs="Arial"/>
          <w:sz w:val="18"/>
          <w:szCs w:val="18"/>
          <w:bdr w:val="none" w:sz="0" w:space="0" w:color="auto" w:frame="1"/>
          <w:lang w:val="en-CA"/>
        </w:rPr>
        <w:t>vol.</w:t>
      </w:r>
      <w:r w:rsidR="00CE1914">
        <w:rPr>
          <w:rFonts w:ascii="Arial" w:hAnsi="Arial" w:cs="Arial"/>
          <w:sz w:val="18"/>
          <w:szCs w:val="18"/>
          <w:bdr w:val="none" w:sz="0" w:space="0" w:color="auto" w:frame="1"/>
          <w:lang w:val="en-CA"/>
        </w:rPr>
        <w:t> </w:t>
      </w:r>
      <w:r w:rsidR="008B7527" w:rsidRPr="00E16C03">
        <w:rPr>
          <w:rFonts w:ascii="Arial" w:hAnsi="Arial" w:cs="Arial"/>
          <w:sz w:val="18"/>
          <w:szCs w:val="18"/>
          <w:bdr w:val="none" w:sz="0" w:space="0" w:color="auto" w:frame="1"/>
          <w:lang w:val="en-CA"/>
        </w:rPr>
        <w:t>1</w:t>
      </w:r>
      <w:r w:rsidR="0014406B" w:rsidRPr="00E16C03">
        <w:rPr>
          <w:rFonts w:ascii="Arial" w:hAnsi="Arial" w:cs="Arial"/>
          <w:sz w:val="18"/>
          <w:szCs w:val="18"/>
          <w:bdr w:val="none" w:sz="0" w:space="0" w:color="auto" w:frame="1"/>
          <w:lang w:val="en-CA"/>
        </w:rPr>
        <w:t xml:space="preserve"> no.</w:t>
      </w:r>
      <w:r w:rsidR="00CE1914">
        <w:rPr>
          <w:rFonts w:ascii="Arial" w:hAnsi="Arial" w:cs="Arial"/>
          <w:sz w:val="18"/>
          <w:szCs w:val="18"/>
          <w:bdr w:val="none" w:sz="0" w:space="0" w:color="auto" w:frame="1"/>
          <w:lang w:val="en-CA"/>
        </w:rPr>
        <w:t> </w:t>
      </w:r>
      <w:r w:rsidR="0014406B" w:rsidRPr="00E16C03">
        <w:rPr>
          <w:rFonts w:ascii="Arial" w:hAnsi="Arial" w:cs="Arial"/>
          <w:sz w:val="18"/>
          <w:szCs w:val="18"/>
          <w:bdr w:val="none" w:sz="0" w:space="0" w:color="auto" w:frame="1"/>
          <w:lang w:val="en-CA"/>
        </w:rPr>
        <w:t xml:space="preserve">1, </w:t>
      </w:r>
      <w:r w:rsidRPr="006B2703">
        <w:rPr>
          <w:rFonts w:ascii="Arial" w:hAnsi="Arial" w:cs="Arial"/>
          <w:i/>
          <w:sz w:val="18"/>
          <w:szCs w:val="18"/>
          <w:bdr w:val="none" w:sz="0" w:space="0" w:color="auto" w:frame="1"/>
          <w:lang w:val="en-CA"/>
        </w:rPr>
        <w:t>Transgend</w:t>
      </w:r>
      <w:r w:rsidR="006D0EB5" w:rsidRPr="006B2703">
        <w:rPr>
          <w:rFonts w:ascii="Arial" w:hAnsi="Arial" w:cs="Arial"/>
          <w:i/>
          <w:sz w:val="18"/>
          <w:szCs w:val="18"/>
          <w:bdr w:val="none" w:sz="0" w:space="0" w:color="auto" w:frame="1"/>
          <w:lang w:val="en-CA"/>
        </w:rPr>
        <w:t>er</w:t>
      </w:r>
      <w:r w:rsidRPr="006B2703">
        <w:rPr>
          <w:rFonts w:ascii="Arial" w:hAnsi="Arial" w:cs="Arial"/>
          <w:i/>
          <w:sz w:val="18"/>
          <w:szCs w:val="18"/>
          <w:bdr w:val="none" w:sz="0" w:space="0" w:color="auto" w:frame="1"/>
          <w:lang w:val="en-CA"/>
        </w:rPr>
        <w:t xml:space="preserve"> Health</w:t>
      </w:r>
      <w:r w:rsidR="006D0EB5" w:rsidRPr="00E16C03">
        <w:rPr>
          <w:rFonts w:ascii="Arial" w:hAnsi="Arial" w:cs="Arial"/>
          <w:sz w:val="18"/>
          <w:szCs w:val="18"/>
          <w:bdr w:val="none" w:sz="0" w:space="0" w:color="auto" w:frame="1"/>
          <w:lang w:val="en-CA"/>
        </w:rPr>
        <w:t xml:space="preserve">, </w:t>
      </w:r>
      <w:r w:rsidRPr="00E16C03">
        <w:rPr>
          <w:rFonts w:ascii="Arial" w:hAnsi="Arial" w:cs="Arial"/>
          <w:sz w:val="18"/>
          <w:szCs w:val="18"/>
          <w:bdr w:val="none" w:sz="0" w:space="0" w:color="auto" w:frame="1"/>
          <w:lang w:val="en-CA"/>
        </w:rPr>
        <w:t>207–</w:t>
      </w:r>
      <w:r w:rsidR="00595E85">
        <w:rPr>
          <w:rFonts w:ascii="Arial" w:hAnsi="Arial" w:cs="Arial"/>
          <w:sz w:val="18"/>
          <w:szCs w:val="18"/>
          <w:bdr w:val="none" w:sz="0" w:space="0" w:color="auto" w:frame="1"/>
          <w:lang w:val="en-CA"/>
        </w:rPr>
        <w:t xml:space="preserve"> </w:t>
      </w:r>
      <w:r w:rsidRPr="00E16C03">
        <w:rPr>
          <w:rFonts w:ascii="Arial" w:hAnsi="Arial" w:cs="Arial"/>
          <w:sz w:val="18"/>
          <w:szCs w:val="18"/>
          <w:bdr w:val="none" w:sz="0" w:space="0" w:color="auto" w:frame="1"/>
          <w:lang w:val="en-CA"/>
        </w:rPr>
        <w:t xml:space="preserve">16; Jaimie F </w:t>
      </w:r>
      <w:r w:rsidRPr="00E16C03">
        <w:rPr>
          <w:rFonts w:ascii="Arial" w:hAnsi="Arial" w:cs="Arial"/>
          <w:smallCaps/>
          <w:sz w:val="18"/>
          <w:szCs w:val="18"/>
          <w:bdr w:val="none" w:sz="0" w:space="0" w:color="auto" w:frame="1"/>
          <w:lang w:val="en-CA"/>
        </w:rPr>
        <w:t>Veale</w:t>
      </w:r>
      <w:r w:rsidRPr="00E16C03">
        <w:rPr>
          <w:rFonts w:ascii="Arial" w:hAnsi="Arial" w:cs="Arial"/>
          <w:sz w:val="18"/>
          <w:szCs w:val="18"/>
          <w:lang w:val="en-CA"/>
        </w:rPr>
        <w:t xml:space="preserve">, Ryan J, </w:t>
      </w:r>
      <w:r w:rsidRPr="00E16C03">
        <w:rPr>
          <w:rFonts w:ascii="Arial" w:hAnsi="Arial" w:cs="Arial"/>
          <w:smallCaps/>
          <w:sz w:val="18"/>
          <w:szCs w:val="18"/>
          <w:bdr w:val="none" w:sz="0" w:space="0" w:color="auto" w:frame="1"/>
          <w:lang w:val="en-CA"/>
        </w:rPr>
        <w:t>Watson</w:t>
      </w:r>
      <w:r w:rsidRPr="00E16C03">
        <w:rPr>
          <w:rFonts w:ascii="Arial" w:hAnsi="Arial" w:cs="Arial"/>
          <w:sz w:val="18"/>
          <w:szCs w:val="18"/>
          <w:lang w:val="en-CA"/>
        </w:rPr>
        <w:t xml:space="preserve">, Tracey </w:t>
      </w:r>
      <w:r w:rsidRPr="00E16C03">
        <w:rPr>
          <w:rFonts w:ascii="Arial" w:hAnsi="Arial" w:cs="Arial"/>
          <w:smallCaps/>
          <w:sz w:val="18"/>
          <w:szCs w:val="18"/>
          <w:bdr w:val="none" w:sz="0" w:space="0" w:color="auto" w:frame="1"/>
          <w:lang w:val="en-CA"/>
        </w:rPr>
        <w:t>Peter</w:t>
      </w:r>
      <w:r w:rsidRPr="00E16C03">
        <w:rPr>
          <w:rFonts w:ascii="Arial" w:hAnsi="Arial" w:cs="Arial"/>
          <w:sz w:val="18"/>
          <w:szCs w:val="18"/>
          <w:lang w:val="en-CA"/>
        </w:rPr>
        <w:t>, E</w:t>
      </w:r>
      <w:r w:rsidRPr="00E16C03">
        <w:rPr>
          <w:rFonts w:ascii="Arial" w:hAnsi="Arial" w:cs="Arial"/>
          <w:sz w:val="18"/>
          <w:szCs w:val="18"/>
          <w:bdr w:val="none" w:sz="0" w:space="0" w:color="auto" w:frame="1"/>
          <w:lang w:val="en-CA"/>
        </w:rPr>
        <w:t xml:space="preserve">lizabeth M. </w:t>
      </w:r>
      <w:r w:rsidRPr="00E16C03">
        <w:rPr>
          <w:rFonts w:ascii="Arial" w:hAnsi="Arial" w:cs="Arial"/>
          <w:smallCaps/>
          <w:sz w:val="18"/>
          <w:szCs w:val="18"/>
          <w:bdr w:val="none" w:sz="0" w:space="0" w:color="auto" w:frame="1"/>
          <w:lang w:val="en-CA"/>
        </w:rPr>
        <w:t>Saewyc</w:t>
      </w:r>
      <w:r w:rsidRPr="00E16C03">
        <w:rPr>
          <w:rFonts w:ascii="Arial" w:hAnsi="Arial" w:cs="Arial"/>
          <w:sz w:val="18"/>
          <w:szCs w:val="18"/>
          <w:lang w:val="en-CA"/>
        </w:rPr>
        <w:t xml:space="preserve">, </w:t>
      </w:r>
      <w:r w:rsidR="007A4E23" w:rsidRPr="00E16C03">
        <w:rPr>
          <w:rFonts w:ascii="Arial" w:hAnsi="Arial" w:cs="Arial"/>
          <w:sz w:val="18"/>
          <w:szCs w:val="18"/>
          <w:lang w:val="en-CA"/>
        </w:rPr>
        <w:t>«</w:t>
      </w:r>
      <w:r w:rsidR="00595E85">
        <w:rPr>
          <w:rFonts w:ascii="Arial" w:hAnsi="Arial" w:cs="Arial"/>
          <w:sz w:val="18"/>
          <w:szCs w:val="18"/>
          <w:lang w:val="en-CA"/>
        </w:rPr>
        <w:t> </w:t>
      </w:r>
      <w:r w:rsidRPr="00E16C03">
        <w:rPr>
          <w:rFonts w:ascii="Arial" w:hAnsi="Arial" w:cs="Arial"/>
          <w:sz w:val="18"/>
          <w:szCs w:val="18"/>
          <w:bdr w:val="none" w:sz="0" w:space="0" w:color="auto" w:frame="1"/>
          <w:lang w:val="en-CA"/>
        </w:rPr>
        <w:t>Mental health disparities among Canadian transgender youth</w:t>
      </w:r>
      <w:r w:rsidR="00595E85">
        <w:rPr>
          <w:rFonts w:ascii="Arial" w:hAnsi="Arial" w:cs="Arial"/>
          <w:sz w:val="18"/>
          <w:szCs w:val="18"/>
          <w:bdr w:val="none" w:sz="0" w:space="0" w:color="auto" w:frame="1"/>
          <w:lang w:val="en-CA"/>
        </w:rPr>
        <w:t> </w:t>
      </w:r>
      <w:r w:rsidR="007A4E23" w:rsidRPr="00E16C03">
        <w:rPr>
          <w:rFonts w:ascii="Arial" w:hAnsi="Arial" w:cs="Arial"/>
          <w:sz w:val="18"/>
          <w:szCs w:val="18"/>
          <w:bdr w:val="none" w:sz="0" w:space="0" w:color="auto" w:frame="1"/>
          <w:lang w:val="en-CA"/>
        </w:rPr>
        <w:t>»</w:t>
      </w:r>
      <w:r w:rsidR="00962C0B" w:rsidRPr="00E16C03">
        <w:rPr>
          <w:rFonts w:ascii="Arial" w:hAnsi="Arial" w:cs="Arial"/>
          <w:sz w:val="18"/>
          <w:szCs w:val="18"/>
          <w:bdr w:val="none" w:sz="0" w:space="0" w:color="auto" w:frame="1"/>
          <w:lang w:val="en-CA"/>
        </w:rPr>
        <w:t xml:space="preserve"> (2017)</w:t>
      </w:r>
      <w:r w:rsidR="00572439" w:rsidRPr="00E16C03">
        <w:rPr>
          <w:rFonts w:ascii="Arial" w:hAnsi="Arial" w:cs="Arial"/>
          <w:sz w:val="18"/>
          <w:szCs w:val="18"/>
          <w:bdr w:val="none" w:sz="0" w:space="0" w:color="auto" w:frame="1"/>
          <w:lang w:val="en-CA"/>
        </w:rPr>
        <w:t xml:space="preserve">, </w:t>
      </w:r>
      <w:r w:rsidR="00554DE2" w:rsidRPr="00E16C03">
        <w:rPr>
          <w:rFonts w:ascii="Arial" w:hAnsi="Arial" w:cs="Arial"/>
          <w:sz w:val="18"/>
          <w:szCs w:val="18"/>
          <w:bdr w:val="none" w:sz="0" w:space="0" w:color="auto" w:frame="1"/>
          <w:lang w:val="en-CA"/>
        </w:rPr>
        <w:t>vol.</w:t>
      </w:r>
      <w:r w:rsidR="00CE1914">
        <w:rPr>
          <w:rFonts w:ascii="Arial" w:hAnsi="Arial" w:cs="Arial"/>
          <w:sz w:val="18"/>
          <w:szCs w:val="18"/>
          <w:bdr w:val="none" w:sz="0" w:space="0" w:color="auto" w:frame="1"/>
          <w:lang w:val="en-CA"/>
        </w:rPr>
        <w:t> </w:t>
      </w:r>
      <w:r w:rsidR="00554DE2" w:rsidRPr="00E16C03">
        <w:rPr>
          <w:rFonts w:ascii="Arial" w:hAnsi="Arial" w:cs="Arial"/>
          <w:sz w:val="18"/>
          <w:szCs w:val="18"/>
          <w:bdr w:val="none" w:sz="0" w:space="0" w:color="auto" w:frame="1"/>
          <w:lang w:val="en-CA"/>
        </w:rPr>
        <w:t xml:space="preserve">60, no.1, </w:t>
      </w:r>
      <w:r w:rsidRPr="006B2703">
        <w:rPr>
          <w:rFonts w:ascii="Arial" w:hAnsi="Arial" w:cs="Arial"/>
          <w:i/>
          <w:sz w:val="18"/>
          <w:szCs w:val="18"/>
          <w:bdr w:val="none" w:sz="0" w:space="0" w:color="auto" w:frame="1"/>
          <w:lang w:val="en-CA"/>
        </w:rPr>
        <w:t>J Adolesc Health</w:t>
      </w:r>
      <w:r w:rsidR="00554DE2" w:rsidRPr="00E16C03">
        <w:rPr>
          <w:rFonts w:ascii="Arial" w:hAnsi="Arial" w:cs="Arial"/>
          <w:sz w:val="18"/>
          <w:szCs w:val="18"/>
          <w:bdr w:val="none" w:sz="0" w:space="0" w:color="auto" w:frame="1"/>
          <w:lang w:val="en-CA"/>
        </w:rPr>
        <w:t xml:space="preserve">, </w:t>
      </w:r>
      <w:r w:rsidRPr="00E16C03">
        <w:rPr>
          <w:rFonts w:ascii="Arial" w:hAnsi="Arial" w:cs="Arial"/>
          <w:sz w:val="18"/>
          <w:szCs w:val="18"/>
          <w:bdr w:val="none" w:sz="0" w:space="0" w:color="auto" w:frame="1"/>
          <w:lang w:val="en-CA"/>
        </w:rPr>
        <w:t>44</w:t>
      </w:r>
      <w:r w:rsidR="00595E85">
        <w:rPr>
          <w:rFonts w:ascii="Arial" w:hAnsi="Arial" w:cs="Arial"/>
          <w:sz w:val="18"/>
          <w:szCs w:val="18"/>
          <w:bdr w:val="none" w:sz="0" w:space="0" w:color="auto" w:frame="1"/>
          <w:lang w:val="en-CA"/>
        </w:rPr>
        <w:t xml:space="preserve"> </w:t>
      </w:r>
      <w:r w:rsidRPr="00E16C03">
        <w:rPr>
          <w:rFonts w:ascii="Arial" w:hAnsi="Arial" w:cs="Arial"/>
          <w:sz w:val="18"/>
          <w:szCs w:val="18"/>
          <w:bdr w:val="none" w:sz="0" w:space="0" w:color="auto" w:frame="1"/>
          <w:lang w:val="en-CA"/>
        </w:rPr>
        <w:t xml:space="preserve">–9; Stephen T. </w:t>
      </w:r>
      <w:r w:rsidRPr="00E16C03">
        <w:rPr>
          <w:rFonts w:ascii="Arial" w:hAnsi="Arial" w:cs="Arial"/>
          <w:smallCaps/>
          <w:sz w:val="18"/>
          <w:szCs w:val="18"/>
          <w:bdr w:val="none" w:sz="0" w:space="0" w:color="auto" w:frame="1"/>
          <w:lang w:val="en-CA"/>
        </w:rPr>
        <w:t>Russell</w:t>
      </w:r>
      <w:r w:rsidRPr="00E16C03">
        <w:rPr>
          <w:rFonts w:ascii="Arial" w:hAnsi="Arial" w:cs="Arial"/>
          <w:sz w:val="18"/>
          <w:szCs w:val="18"/>
          <w:lang w:val="en-CA"/>
        </w:rPr>
        <w:t xml:space="preserve"> et Jessica N. </w:t>
      </w:r>
      <w:r w:rsidRPr="00E16C03">
        <w:rPr>
          <w:rFonts w:ascii="Arial" w:hAnsi="Arial" w:cs="Arial"/>
          <w:smallCaps/>
          <w:sz w:val="18"/>
          <w:szCs w:val="18"/>
          <w:bdr w:val="none" w:sz="0" w:space="0" w:color="auto" w:frame="1"/>
          <w:lang w:val="en-CA"/>
        </w:rPr>
        <w:t>Fish</w:t>
      </w:r>
      <w:r w:rsidRPr="00E16C03">
        <w:rPr>
          <w:rFonts w:ascii="Arial" w:hAnsi="Arial" w:cs="Arial"/>
          <w:sz w:val="18"/>
          <w:szCs w:val="18"/>
          <w:bdr w:val="none" w:sz="0" w:space="0" w:color="auto" w:frame="1"/>
          <w:lang w:val="en-CA"/>
        </w:rPr>
        <w:t>, </w:t>
      </w:r>
      <w:r w:rsidR="00554DE2" w:rsidRPr="00E16C03">
        <w:rPr>
          <w:rFonts w:ascii="Arial" w:hAnsi="Arial" w:cs="Arial"/>
          <w:sz w:val="18"/>
          <w:szCs w:val="18"/>
          <w:bdr w:val="none" w:sz="0" w:space="0" w:color="auto" w:frame="1"/>
          <w:lang w:val="en-CA"/>
        </w:rPr>
        <w:t>«</w:t>
      </w:r>
      <w:r w:rsidR="00595E85">
        <w:rPr>
          <w:rFonts w:ascii="Arial" w:hAnsi="Arial" w:cs="Arial"/>
          <w:sz w:val="18"/>
          <w:szCs w:val="18"/>
          <w:bdr w:val="none" w:sz="0" w:space="0" w:color="auto" w:frame="1"/>
          <w:lang w:val="en-CA"/>
        </w:rPr>
        <w:t> </w:t>
      </w:r>
      <w:r w:rsidRPr="00E16C03">
        <w:rPr>
          <w:rFonts w:ascii="Arial" w:hAnsi="Arial" w:cs="Arial"/>
          <w:sz w:val="18"/>
          <w:szCs w:val="18"/>
          <w:bdr w:val="none" w:sz="0" w:space="0" w:color="auto" w:frame="1"/>
          <w:lang w:val="en-CA"/>
        </w:rPr>
        <w:t>Mental health in lesbian, gay, bisexual, and transgender (LGBT) youth</w:t>
      </w:r>
      <w:r w:rsidR="00595E85">
        <w:rPr>
          <w:rFonts w:ascii="Arial" w:hAnsi="Arial" w:cs="Arial"/>
          <w:sz w:val="18"/>
          <w:szCs w:val="18"/>
          <w:bdr w:val="none" w:sz="0" w:space="0" w:color="auto" w:frame="1"/>
          <w:lang w:val="en-CA"/>
        </w:rPr>
        <w:t> </w:t>
      </w:r>
      <w:r w:rsidR="00554DE2" w:rsidRPr="00E16C03">
        <w:rPr>
          <w:rFonts w:ascii="Arial" w:hAnsi="Arial" w:cs="Arial"/>
          <w:sz w:val="18"/>
          <w:szCs w:val="18"/>
          <w:bdr w:val="none" w:sz="0" w:space="0" w:color="auto" w:frame="1"/>
          <w:lang w:val="en-CA"/>
        </w:rPr>
        <w:t xml:space="preserve">», </w:t>
      </w:r>
      <w:r w:rsidR="008A073E" w:rsidRPr="00E16C03">
        <w:rPr>
          <w:rFonts w:ascii="Arial" w:hAnsi="Arial" w:cs="Arial"/>
          <w:sz w:val="18"/>
          <w:szCs w:val="18"/>
          <w:bdr w:val="none" w:sz="0" w:space="0" w:color="auto" w:frame="1"/>
          <w:lang w:val="en-CA"/>
        </w:rPr>
        <w:t>(2016) vol.</w:t>
      </w:r>
      <w:r w:rsidR="00CE1914">
        <w:rPr>
          <w:rFonts w:ascii="Arial" w:hAnsi="Arial" w:cs="Arial"/>
          <w:sz w:val="18"/>
          <w:szCs w:val="18"/>
          <w:bdr w:val="none" w:sz="0" w:space="0" w:color="auto" w:frame="1"/>
          <w:lang w:val="en-CA"/>
        </w:rPr>
        <w:t> </w:t>
      </w:r>
      <w:r w:rsidR="00863E47" w:rsidRPr="00E16C03">
        <w:rPr>
          <w:rFonts w:ascii="Arial" w:hAnsi="Arial" w:cs="Arial"/>
          <w:sz w:val="18"/>
          <w:szCs w:val="18"/>
          <w:bdr w:val="none" w:sz="0" w:space="0" w:color="auto" w:frame="1"/>
          <w:lang w:val="en-CA"/>
        </w:rPr>
        <w:t xml:space="preserve">12, </w:t>
      </w:r>
      <w:r w:rsidRPr="006B2703">
        <w:rPr>
          <w:rFonts w:ascii="Arial" w:hAnsi="Arial" w:cs="Arial"/>
          <w:i/>
          <w:sz w:val="18"/>
          <w:szCs w:val="18"/>
          <w:bdr w:val="none" w:sz="0" w:space="0" w:color="auto" w:frame="1"/>
          <w:lang w:val="en-CA"/>
        </w:rPr>
        <w:t>Annu Rev Clin Psychol</w:t>
      </w:r>
      <w:r w:rsidR="00863E47" w:rsidRPr="00E16C03">
        <w:rPr>
          <w:rFonts w:ascii="Arial" w:hAnsi="Arial" w:cs="Arial"/>
          <w:sz w:val="18"/>
          <w:szCs w:val="18"/>
          <w:bdr w:val="none" w:sz="0" w:space="0" w:color="auto" w:frame="1"/>
          <w:lang w:val="en-CA"/>
        </w:rPr>
        <w:t xml:space="preserve">, </w:t>
      </w:r>
      <w:r w:rsidRPr="00E16C03">
        <w:rPr>
          <w:rFonts w:ascii="Arial" w:hAnsi="Arial" w:cs="Arial"/>
          <w:sz w:val="18"/>
          <w:szCs w:val="18"/>
          <w:bdr w:val="none" w:sz="0" w:space="0" w:color="auto" w:frame="1"/>
          <w:lang w:val="en-CA"/>
        </w:rPr>
        <w:t xml:space="preserve">465–87; </w:t>
      </w:r>
      <w:r w:rsidR="004D7109" w:rsidRPr="00E16C03">
        <w:rPr>
          <w:rFonts w:ascii="Arial" w:hAnsi="Arial" w:cs="Arial"/>
          <w:sz w:val="18"/>
          <w:szCs w:val="18"/>
          <w:bdr w:val="none" w:sz="0" w:space="0" w:color="auto" w:frame="1"/>
          <w:lang w:val="en-CA"/>
        </w:rPr>
        <w:t>tous tirés de</w:t>
      </w:r>
      <w:r w:rsidRPr="00E16C03">
        <w:rPr>
          <w:rFonts w:ascii="Arial" w:hAnsi="Arial" w:cs="Arial"/>
          <w:sz w:val="18"/>
          <w:szCs w:val="18"/>
          <w:bdr w:val="none" w:sz="0" w:space="0" w:color="auto" w:frame="1"/>
          <w:lang w:val="en-CA"/>
        </w:rPr>
        <w:t xml:space="preserve"> Mila </w:t>
      </w:r>
      <w:r w:rsidR="004D7109" w:rsidRPr="00E16C03">
        <w:rPr>
          <w:rFonts w:ascii="Arial" w:hAnsi="Arial" w:cs="Arial"/>
          <w:sz w:val="18"/>
          <w:szCs w:val="18"/>
          <w:bdr w:val="none" w:sz="0" w:space="0" w:color="auto" w:frame="1"/>
          <w:lang w:val="en-CA"/>
        </w:rPr>
        <w:t>KINGSBURY</w:t>
      </w:r>
      <w:r w:rsidRPr="00E16C03">
        <w:rPr>
          <w:rFonts w:ascii="Arial" w:hAnsi="Arial" w:cs="Arial"/>
          <w:sz w:val="18"/>
          <w:szCs w:val="18"/>
          <w:bdr w:val="none" w:sz="0" w:space="0" w:color="auto" w:frame="1"/>
          <w:lang w:val="en-CA"/>
        </w:rPr>
        <w:t xml:space="preserve">, Nicole G. </w:t>
      </w:r>
      <w:r w:rsidR="004D7109" w:rsidRPr="00E16C03">
        <w:rPr>
          <w:rFonts w:ascii="Arial" w:hAnsi="Arial" w:cs="Arial"/>
          <w:sz w:val="18"/>
          <w:szCs w:val="18"/>
          <w:bdr w:val="none" w:sz="0" w:space="0" w:color="auto" w:frame="1"/>
          <w:lang w:val="en-CA"/>
        </w:rPr>
        <w:t>HAMMOND</w:t>
      </w:r>
      <w:r w:rsidRPr="00E16C03">
        <w:rPr>
          <w:rFonts w:ascii="Arial" w:hAnsi="Arial" w:cs="Arial"/>
          <w:sz w:val="18"/>
          <w:szCs w:val="18"/>
          <w:bdr w:val="none" w:sz="0" w:space="0" w:color="auto" w:frame="1"/>
          <w:lang w:val="en-CA"/>
        </w:rPr>
        <w:t xml:space="preserve">, Fae </w:t>
      </w:r>
      <w:r w:rsidR="004D7109" w:rsidRPr="00E16C03">
        <w:rPr>
          <w:rFonts w:ascii="Arial" w:hAnsi="Arial" w:cs="Arial"/>
          <w:sz w:val="18"/>
          <w:szCs w:val="18"/>
          <w:bdr w:val="none" w:sz="0" w:space="0" w:color="auto" w:frame="1"/>
          <w:lang w:val="en-CA"/>
        </w:rPr>
        <w:t>JOHNSTONE</w:t>
      </w:r>
      <w:r w:rsidRPr="00E16C03">
        <w:rPr>
          <w:rFonts w:ascii="Arial" w:hAnsi="Arial" w:cs="Arial"/>
          <w:sz w:val="18"/>
          <w:szCs w:val="18"/>
          <w:bdr w:val="none" w:sz="0" w:space="0" w:color="auto" w:frame="1"/>
          <w:lang w:val="en-CA"/>
        </w:rPr>
        <w:t xml:space="preserve"> et Ian </w:t>
      </w:r>
      <w:r w:rsidR="004D7109" w:rsidRPr="00E16C03">
        <w:rPr>
          <w:rFonts w:ascii="Arial" w:hAnsi="Arial" w:cs="Arial"/>
          <w:sz w:val="18"/>
          <w:szCs w:val="18"/>
          <w:bdr w:val="none" w:sz="0" w:space="0" w:color="auto" w:frame="1"/>
          <w:lang w:val="en-CA"/>
        </w:rPr>
        <w:t>COLMAN, «</w:t>
      </w:r>
      <w:r w:rsidR="00595E85">
        <w:rPr>
          <w:rFonts w:ascii="Arial" w:hAnsi="Arial" w:cs="Arial"/>
          <w:sz w:val="18"/>
          <w:szCs w:val="18"/>
          <w:bdr w:val="none" w:sz="0" w:space="0" w:color="auto" w:frame="1"/>
          <w:lang w:val="en-CA"/>
        </w:rPr>
        <w:t> </w:t>
      </w:r>
      <w:r w:rsidRPr="00E16C03">
        <w:rPr>
          <w:rFonts w:ascii="Arial" w:hAnsi="Arial" w:cs="Arial"/>
          <w:sz w:val="18"/>
          <w:szCs w:val="18"/>
          <w:bdr w:val="none" w:sz="0" w:space="0" w:color="auto" w:frame="1"/>
          <w:lang w:val="en-CA"/>
        </w:rPr>
        <w:t>Suicidality among sexual minority and transgender adolescents: a nationally representative population-based study of youth in Canada</w:t>
      </w:r>
      <w:r w:rsidR="00595E85">
        <w:rPr>
          <w:rFonts w:ascii="Arial" w:hAnsi="Arial" w:cs="Arial"/>
          <w:sz w:val="18"/>
          <w:szCs w:val="18"/>
          <w:bdr w:val="none" w:sz="0" w:space="0" w:color="auto" w:frame="1"/>
          <w:lang w:val="en-CA"/>
        </w:rPr>
        <w:t> </w:t>
      </w:r>
      <w:r w:rsidR="004D7109" w:rsidRPr="00E16C03">
        <w:rPr>
          <w:rFonts w:ascii="Arial" w:hAnsi="Arial" w:cs="Arial"/>
          <w:sz w:val="18"/>
          <w:szCs w:val="18"/>
          <w:bdr w:val="none" w:sz="0" w:space="0" w:color="auto" w:frame="1"/>
          <w:lang w:val="en-CA"/>
        </w:rPr>
        <w:t>»,</w:t>
      </w:r>
      <w:r w:rsidRPr="00E16C03">
        <w:rPr>
          <w:rFonts w:ascii="Arial" w:hAnsi="Arial" w:cs="Arial"/>
          <w:sz w:val="18"/>
          <w:szCs w:val="18"/>
          <w:bdr w:val="none" w:sz="0" w:space="0" w:color="auto" w:frame="1"/>
          <w:lang w:val="en-CA"/>
        </w:rPr>
        <w:t xml:space="preserve"> CMAJ</w:t>
      </w:r>
      <w:r w:rsidR="004D7109" w:rsidRPr="00E16C03">
        <w:rPr>
          <w:rFonts w:ascii="Arial" w:hAnsi="Arial" w:cs="Arial"/>
          <w:sz w:val="18"/>
          <w:szCs w:val="18"/>
          <w:bdr w:val="none" w:sz="0" w:space="0" w:color="auto" w:frame="1"/>
          <w:lang w:val="en-CA"/>
        </w:rPr>
        <w:t>,</w:t>
      </w:r>
      <w:r w:rsidRPr="00E16C03">
        <w:rPr>
          <w:rFonts w:ascii="Arial" w:hAnsi="Arial" w:cs="Arial"/>
          <w:sz w:val="18"/>
          <w:szCs w:val="18"/>
          <w:bdr w:val="none" w:sz="0" w:space="0" w:color="auto" w:frame="1"/>
          <w:lang w:val="en-CA"/>
        </w:rPr>
        <w:t xml:space="preserve"> 6</w:t>
      </w:r>
      <w:r w:rsidR="00762FE8">
        <w:rPr>
          <w:rFonts w:ascii="Arial" w:hAnsi="Arial" w:cs="Arial"/>
          <w:sz w:val="18"/>
          <w:szCs w:val="18"/>
          <w:bdr w:val="none" w:sz="0" w:space="0" w:color="auto" w:frame="1"/>
          <w:lang w:val="en-CA"/>
        </w:rPr>
        <w:t> </w:t>
      </w:r>
      <w:r w:rsidR="004D7109" w:rsidRPr="00E16C03">
        <w:rPr>
          <w:rFonts w:ascii="Arial" w:hAnsi="Arial" w:cs="Arial"/>
          <w:sz w:val="18"/>
          <w:szCs w:val="18"/>
          <w:bdr w:val="none" w:sz="0" w:space="0" w:color="auto" w:frame="1"/>
          <w:lang w:val="en-CA"/>
        </w:rPr>
        <w:t>juin 2022;</w:t>
      </w:r>
      <w:r w:rsidRPr="00E16C03">
        <w:rPr>
          <w:rFonts w:ascii="Arial" w:hAnsi="Arial" w:cs="Arial"/>
          <w:sz w:val="18"/>
          <w:szCs w:val="18"/>
          <w:bdr w:val="none" w:sz="0" w:space="0" w:color="auto" w:frame="1"/>
          <w:lang w:val="en-CA"/>
        </w:rPr>
        <w:t xml:space="preserve"> 194:</w:t>
      </w:r>
      <w:r w:rsidR="004D7109" w:rsidRPr="00E16C03">
        <w:rPr>
          <w:rFonts w:ascii="Arial" w:hAnsi="Arial" w:cs="Arial"/>
          <w:sz w:val="18"/>
          <w:szCs w:val="18"/>
          <w:bdr w:val="none" w:sz="0" w:space="0" w:color="auto" w:frame="1"/>
          <w:lang w:val="en-CA"/>
        </w:rPr>
        <w:t>22</w:t>
      </w:r>
      <w:r w:rsidRPr="00E16C03">
        <w:rPr>
          <w:rFonts w:ascii="Arial" w:hAnsi="Arial" w:cs="Arial"/>
          <w:sz w:val="18"/>
          <w:szCs w:val="18"/>
          <w:bdr w:val="none" w:sz="0" w:space="0" w:color="auto" w:frame="1"/>
          <w:lang w:val="en-CA"/>
        </w:rPr>
        <w:t>.</w:t>
      </w:r>
    </w:p>
  </w:endnote>
  <w:endnote w:id="315">
    <w:p w14:paraId="021FF173" w14:textId="16F5D4E7" w:rsidR="009B30A8" w:rsidRPr="00BD22C2" w:rsidRDefault="009B30A8" w:rsidP="00B36D7C">
      <w:pPr>
        <w:pStyle w:val="Notedefin"/>
        <w:tabs>
          <w:tab w:val="left" w:pos="709"/>
        </w:tabs>
        <w:spacing w:after="120" w:line="240" w:lineRule="auto"/>
        <w:ind w:left="709" w:hanging="709"/>
        <w:rPr>
          <w:rFonts w:ascii="Arial" w:hAnsi="Arial" w:cs="Arial"/>
          <w:color w:val="215E9F"/>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IGLYO</w:t>
      </w:r>
      <w:r w:rsidRPr="00BD22C2">
        <w:rPr>
          <w:rFonts w:ascii="Arial" w:hAnsi="Arial" w:cs="Arial"/>
          <w:i/>
          <w:sz w:val="18"/>
          <w:szCs w:val="18"/>
          <w:lang w:val="fr-CA"/>
        </w:rPr>
        <w:t>, LGBTQI inclusive education report</w:t>
      </w:r>
      <w:r w:rsidRPr="00BD22C2">
        <w:rPr>
          <w:rFonts w:ascii="Arial" w:hAnsi="Arial" w:cs="Arial"/>
          <w:sz w:val="18"/>
          <w:szCs w:val="18"/>
          <w:lang w:val="fr-CA"/>
        </w:rPr>
        <w:t xml:space="preserve">, </w:t>
      </w:r>
      <w:r w:rsidR="00507EED" w:rsidRPr="00BD22C2">
        <w:rPr>
          <w:rFonts w:ascii="Arial" w:hAnsi="Arial" w:cs="Arial"/>
          <w:sz w:val="18"/>
          <w:szCs w:val="18"/>
          <w:lang w:val="fr-CA"/>
        </w:rPr>
        <w:t>2022</w:t>
      </w:r>
      <w:r w:rsidRPr="00BD22C2">
        <w:rPr>
          <w:rFonts w:ascii="Arial" w:hAnsi="Arial" w:cs="Arial"/>
          <w:sz w:val="18"/>
          <w:szCs w:val="18"/>
          <w:lang w:val="fr-CA"/>
        </w:rPr>
        <w:t>, p. 70, 80</w:t>
      </w:r>
      <w:r w:rsidR="009E4ECF" w:rsidRPr="00BD22C2">
        <w:rPr>
          <w:rFonts w:ascii="Arial" w:hAnsi="Arial" w:cs="Arial"/>
          <w:sz w:val="18"/>
          <w:szCs w:val="18"/>
          <w:lang w:val="fr-CA"/>
        </w:rPr>
        <w:t xml:space="preserve">, </w:t>
      </w:r>
      <w:r w:rsidR="002A2E6F">
        <w:rPr>
          <w:rFonts w:ascii="Arial" w:hAnsi="Arial" w:cs="Arial"/>
          <w:sz w:val="18"/>
          <w:szCs w:val="18"/>
          <w:lang w:val="fr-CA"/>
        </w:rPr>
        <w:t>[E</w:t>
      </w:r>
      <w:r w:rsidR="009E4ECF" w:rsidRPr="00BD22C2">
        <w:rPr>
          <w:rFonts w:ascii="Arial" w:hAnsi="Arial" w:cs="Arial"/>
          <w:sz w:val="18"/>
          <w:szCs w:val="18"/>
          <w:lang w:val="fr-CA"/>
        </w:rPr>
        <w:t>n ligne</w:t>
      </w:r>
      <w:r w:rsidR="002A2E6F">
        <w:rPr>
          <w:rFonts w:ascii="Arial" w:hAnsi="Arial" w:cs="Arial"/>
          <w:sz w:val="18"/>
          <w:szCs w:val="18"/>
          <w:lang w:val="fr-CA"/>
        </w:rPr>
        <w:t>].</w:t>
      </w:r>
      <w:r w:rsidR="009E4ECF" w:rsidRPr="00BD22C2">
        <w:rPr>
          <w:lang w:val="fr-CA"/>
        </w:rPr>
        <w:t xml:space="preserve"> </w:t>
      </w:r>
      <w:r w:rsidR="002A2E6F">
        <w:fldChar w:fldCharType="begin"/>
      </w:r>
      <w:r w:rsidR="002A2E6F" w:rsidRPr="003E3312">
        <w:rPr>
          <w:lang w:val="fr-CA"/>
        </w:rPr>
        <w:instrText>HYPERLINK "https://www.education-index.org/wp-content/uploads/2022/05/IGLYO-LGBTQI-Inclusive-Education-Report-2022.pdf"</w:instrText>
      </w:r>
      <w:r w:rsidR="002A2E6F">
        <w:fldChar w:fldCharType="separate"/>
      </w:r>
      <w:r w:rsidR="002A2E6F" w:rsidRPr="00380AC5">
        <w:rPr>
          <w:rStyle w:val="Lienhypertexte"/>
          <w:rFonts w:ascii="Arial" w:hAnsi="Arial" w:cs="Arial"/>
          <w:sz w:val="18"/>
          <w:szCs w:val="18"/>
          <w:lang w:val="fr-CA"/>
        </w:rPr>
        <w:t>https://www.education-index.org/wp-content/uploads/2022/05/IGLYO-LGBTQI-Inclusive-Education-Report-2022.pdf</w:t>
      </w:r>
      <w:r w:rsidR="002A2E6F">
        <w:rPr>
          <w:rStyle w:val="Lienhypertexte"/>
          <w:rFonts w:ascii="Arial" w:hAnsi="Arial" w:cs="Arial"/>
          <w:sz w:val="18"/>
          <w:szCs w:val="18"/>
          <w:lang w:val="fr-CA"/>
        </w:rPr>
        <w:fldChar w:fldCharType="end"/>
      </w:r>
      <w:r w:rsidR="002A2E6F">
        <w:rPr>
          <w:rFonts w:ascii="Arial" w:hAnsi="Arial" w:cs="Arial"/>
          <w:sz w:val="18"/>
          <w:szCs w:val="18"/>
          <w:lang w:val="fr-CA"/>
        </w:rPr>
        <w:t xml:space="preserve"> </w:t>
      </w:r>
      <w:r w:rsidRPr="00BD22C2">
        <w:rPr>
          <w:rFonts w:ascii="Arial" w:hAnsi="Arial" w:cs="Arial"/>
          <w:sz w:val="18"/>
          <w:szCs w:val="18"/>
          <w:lang w:val="fr-CA"/>
        </w:rPr>
        <w:t xml:space="preserve">; </w:t>
      </w:r>
      <w:r w:rsidRPr="00BD22C2">
        <w:rPr>
          <w:rFonts w:ascii="Arial" w:hAnsi="Arial" w:cs="Arial"/>
          <w:smallCaps/>
          <w:sz w:val="18"/>
          <w:szCs w:val="18"/>
          <w:lang w:val="fr-CA"/>
        </w:rPr>
        <w:t>Inter-LGBT</w:t>
      </w:r>
      <w:r w:rsidRPr="00BD22C2">
        <w:rPr>
          <w:rFonts w:ascii="Arial" w:hAnsi="Arial" w:cs="Arial"/>
          <w:i/>
          <w:sz w:val="18"/>
          <w:szCs w:val="18"/>
          <w:lang w:val="fr-CA"/>
        </w:rPr>
        <w:t xml:space="preserve">, La transphobie tue et l’institution éducative est </w:t>
      </w:r>
      <w:r w:rsidR="009402A0" w:rsidRPr="00BD22C2">
        <w:rPr>
          <w:rFonts w:ascii="Arial" w:hAnsi="Arial" w:cs="Arial"/>
          <w:i/>
          <w:sz w:val="18"/>
          <w:szCs w:val="18"/>
          <w:lang w:val="fr-CA"/>
        </w:rPr>
        <w:t>complice</w:t>
      </w:r>
      <w:r w:rsidR="00FF6945">
        <w:rPr>
          <w:rFonts w:ascii="Arial" w:hAnsi="Arial" w:cs="Arial"/>
          <w:i/>
          <w:sz w:val="18"/>
          <w:szCs w:val="18"/>
          <w:lang w:val="fr-CA"/>
        </w:rPr>
        <w:t> </w:t>
      </w:r>
      <w:r w:rsidR="009402A0" w:rsidRPr="00BD22C2">
        <w:rPr>
          <w:rFonts w:ascii="Arial" w:hAnsi="Arial" w:cs="Arial"/>
          <w:i/>
          <w:sz w:val="18"/>
          <w:szCs w:val="18"/>
          <w:lang w:val="fr-CA"/>
        </w:rPr>
        <w:t>!</w:t>
      </w:r>
      <w:r w:rsidRPr="00BD22C2">
        <w:rPr>
          <w:rFonts w:ascii="Arial" w:hAnsi="Arial" w:cs="Arial"/>
          <w:sz w:val="18"/>
          <w:szCs w:val="18"/>
          <w:lang w:val="fr-CA"/>
        </w:rPr>
        <w:t xml:space="preserve"> 2020, cité dans </w:t>
      </w:r>
      <w:r w:rsidRPr="00BD22C2">
        <w:rPr>
          <w:rFonts w:ascii="Arial" w:hAnsi="Arial" w:cs="Arial"/>
          <w:smallCaps/>
          <w:sz w:val="18"/>
          <w:szCs w:val="18"/>
          <w:lang w:val="fr-CA"/>
        </w:rPr>
        <w:t>Commissaire aux droits de l’homme</w:t>
      </w:r>
      <w:r w:rsidR="00A73050" w:rsidRPr="00BD22C2">
        <w:rPr>
          <w:rFonts w:ascii="Arial" w:hAnsi="Arial" w:cs="Arial"/>
          <w:smallCaps/>
          <w:sz w:val="18"/>
          <w:szCs w:val="18"/>
          <w:lang w:val="fr-CA"/>
        </w:rPr>
        <w:t xml:space="preserve"> </w:t>
      </w:r>
      <w:r w:rsidR="00A73050" w:rsidRPr="00BD22C2">
        <w:rPr>
          <w:rFonts w:ascii="Arial" w:hAnsi="Arial" w:cs="Arial"/>
          <w:sz w:val="18"/>
          <w:szCs w:val="18"/>
          <w:lang w:val="fr-CA"/>
        </w:rPr>
        <w:t xml:space="preserve">— </w:t>
      </w:r>
      <w:r w:rsidR="00A73050" w:rsidRPr="00BD22C2">
        <w:rPr>
          <w:rFonts w:ascii="Arial" w:hAnsi="Arial" w:cs="Arial"/>
          <w:smallCaps/>
          <w:sz w:val="18"/>
          <w:szCs w:val="18"/>
          <w:lang w:val="fr-CA"/>
        </w:rPr>
        <w:t>Conseil de l’Europe</w:t>
      </w:r>
      <w:r w:rsidRPr="00BD22C2">
        <w:rPr>
          <w:rFonts w:ascii="Arial" w:hAnsi="Arial" w:cs="Arial"/>
          <w:sz w:val="18"/>
          <w:szCs w:val="18"/>
          <w:lang w:val="fr-CA"/>
        </w:rPr>
        <w:t>,</w:t>
      </w:r>
      <w:r w:rsidR="00A73050" w:rsidRPr="00BD22C2">
        <w:rPr>
          <w:rFonts w:ascii="Arial" w:hAnsi="Arial" w:cs="Arial"/>
          <w:sz w:val="18"/>
          <w:szCs w:val="18"/>
          <w:lang w:val="fr-CA"/>
        </w:rPr>
        <w:t xml:space="preserve"> </w:t>
      </w:r>
      <w:r w:rsidR="00563491" w:rsidRPr="00BD22C2">
        <w:rPr>
          <w:rFonts w:ascii="Arial" w:hAnsi="Arial" w:cs="Arial"/>
          <w:sz w:val="18"/>
          <w:szCs w:val="18"/>
          <w:lang w:val="fr-CA"/>
        </w:rPr>
        <w:t>préc., note</w:t>
      </w:r>
      <w:r w:rsidR="00CE1914">
        <w:rPr>
          <w:rFonts w:ascii="Arial" w:hAnsi="Arial" w:cs="Arial"/>
          <w:sz w:val="18"/>
          <w:szCs w:val="18"/>
          <w:lang w:val="fr-CA"/>
        </w:rPr>
        <w:t> </w:t>
      </w:r>
      <w:r w:rsidR="00563491" w:rsidRPr="00BD22C2">
        <w:rPr>
          <w:rFonts w:ascii="Arial" w:hAnsi="Arial" w:cs="Arial"/>
          <w:sz w:val="18"/>
          <w:szCs w:val="18"/>
          <w:lang w:val="fr-CA"/>
        </w:rPr>
        <w:fldChar w:fldCharType="begin"/>
      </w:r>
      <w:r w:rsidR="00563491" w:rsidRPr="00BD22C2">
        <w:rPr>
          <w:rFonts w:ascii="Arial" w:hAnsi="Arial" w:cs="Arial"/>
          <w:sz w:val="18"/>
          <w:szCs w:val="18"/>
          <w:lang w:val="fr-CA"/>
        </w:rPr>
        <w:instrText xml:space="preserve"> NOTEREF _Ref166751055 \h </w:instrText>
      </w:r>
      <w:r w:rsidR="00563491" w:rsidRPr="00BD22C2">
        <w:rPr>
          <w:rFonts w:ascii="Arial" w:hAnsi="Arial" w:cs="Arial"/>
          <w:sz w:val="18"/>
          <w:szCs w:val="18"/>
          <w:lang w:val="fr-CA"/>
        </w:rPr>
      </w:r>
      <w:r w:rsidR="00563491" w:rsidRPr="00BD22C2">
        <w:rPr>
          <w:rFonts w:ascii="Arial" w:hAnsi="Arial" w:cs="Arial"/>
          <w:sz w:val="18"/>
          <w:szCs w:val="18"/>
          <w:lang w:val="fr-CA"/>
        </w:rPr>
        <w:fldChar w:fldCharType="separate"/>
      </w:r>
      <w:r w:rsidR="004B4881">
        <w:rPr>
          <w:rFonts w:ascii="Arial" w:hAnsi="Arial" w:cs="Arial"/>
          <w:sz w:val="18"/>
          <w:szCs w:val="18"/>
          <w:lang w:val="fr-CA"/>
        </w:rPr>
        <w:t>304</w:t>
      </w:r>
      <w:r w:rsidR="00563491" w:rsidRPr="00BD22C2">
        <w:rPr>
          <w:rFonts w:ascii="Arial" w:hAnsi="Arial" w:cs="Arial"/>
          <w:sz w:val="18"/>
          <w:szCs w:val="18"/>
          <w:lang w:val="fr-CA"/>
        </w:rPr>
        <w:fldChar w:fldCharType="end"/>
      </w:r>
      <w:r w:rsidRPr="00BD22C2">
        <w:rPr>
          <w:rFonts w:ascii="Arial" w:hAnsi="Arial" w:cs="Arial"/>
          <w:sz w:val="18"/>
          <w:szCs w:val="18"/>
          <w:lang w:val="fr-CA"/>
        </w:rPr>
        <w:t>.</w:t>
      </w:r>
    </w:p>
  </w:endnote>
  <w:endnote w:id="316">
    <w:p w14:paraId="7B88CB29" w14:textId="35212F9A"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004C5FC7" w:rsidRPr="00E16C03">
        <w:rPr>
          <w:rFonts w:ascii="Arial" w:hAnsi="Arial" w:cs="Arial"/>
          <w:sz w:val="18"/>
          <w:szCs w:val="18"/>
          <w:lang w:val="en-CA"/>
        </w:rPr>
        <w:t xml:space="preserve"> </w:t>
      </w:r>
      <w:r w:rsidR="00025CB6" w:rsidRPr="00E16C03">
        <w:rPr>
          <w:rFonts w:ascii="Arial" w:hAnsi="Arial" w:cs="Arial"/>
          <w:sz w:val="18"/>
          <w:szCs w:val="18"/>
          <w:lang w:val="en-CA"/>
        </w:rPr>
        <w:tab/>
      </w:r>
      <w:r w:rsidR="002D4D56" w:rsidRPr="00E16C03">
        <w:rPr>
          <w:rFonts w:ascii="Arial" w:hAnsi="Arial" w:cs="Arial"/>
          <w:sz w:val="18"/>
          <w:szCs w:val="18"/>
          <w:lang w:val="en-CA"/>
        </w:rPr>
        <w:t xml:space="preserve">Annie </w:t>
      </w:r>
      <w:r w:rsidR="002D4D56" w:rsidRPr="00E16C03">
        <w:rPr>
          <w:rFonts w:ascii="Arial" w:hAnsi="Arial" w:cs="Arial"/>
          <w:smallCaps/>
          <w:sz w:val="18"/>
          <w:szCs w:val="18"/>
          <w:lang w:val="en-CA"/>
        </w:rPr>
        <w:t>Pullen Sansfaçon</w:t>
      </w:r>
      <w:r w:rsidR="002D4D56" w:rsidRPr="00E16C03">
        <w:rPr>
          <w:rFonts w:ascii="Arial" w:hAnsi="Arial" w:cs="Arial"/>
          <w:sz w:val="18"/>
          <w:szCs w:val="18"/>
          <w:lang w:val="en-CA"/>
        </w:rPr>
        <w:t xml:space="preserve">, Alexandre </w:t>
      </w:r>
      <w:r w:rsidR="002D4D56" w:rsidRPr="00E16C03">
        <w:rPr>
          <w:rFonts w:ascii="Arial" w:hAnsi="Arial" w:cs="Arial"/>
          <w:smallCaps/>
          <w:sz w:val="18"/>
          <w:szCs w:val="18"/>
          <w:lang w:val="en-CA"/>
        </w:rPr>
        <w:t>Blanchet</w:t>
      </w:r>
      <w:r w:rsidR="002D4D56" w:rsidRPr="00E16C03">
        <w:rPr>
          <w:rFonts w:ascii="Arial" w:hAnsi="Arial" w:cs="Arial"/>
          <w:sz w:val="18"/>
          <w:szCs w:val="18"/>
          <w:lang w:val="en-CA"/>
        </w:rPr>
        <w:t xml:space="preserve">, Ré </w:t>
      </w:r>
      <w:r w:rsidR="002D4D56" w:rsidRPr="00E16C03">
        <w:rPr>
          <w:rFonts w:ascii="Arial" w:hAnsi="Arial" w:cs="Arial"/>
          <w:smallCaps/>
          <w:sz w:val="18"/>
          <w:szCs w:val="18"/>
          <w:lang w:val="en-CA"/>
        </w:rPr>
        <w:t>Poulin Ladouceur</w:t>
      </w:r>
      <w:r w:rsidR="002D4D56" w:rsidRPr="00E16C03">
        <w:rPr>
          <w:rFonts w:ascii="Arial" w:hAnsi="Arial" w:cs="Arial"/>
          <w:sz w:val="18"/>
          <w:szCs w:val="18"/>
          <w:lang w:val="en-CA"/>
        </w:rPr>
        <w:t xml:space="preserve">, Josianne </w:t>
      </w:r>
      <w:r w:rsidR="002D4D56" w:rsidRPr="00E16C03">
        <w:rPr>
          <w:rFonts w:ascii="Arial" w:hAnsi="Arial" w:cs="Arial"/>
          <w:smallCaps/>
          <w:sz w:val="18"/>
          <w:szCs w:val="18"/>
          <w:lang w:val="en-CA"/>
        </w:rPr>
        <w:t>Picard</w:t>
      </w:r>
      <w:r w:rsidR="002D4D56" w:rsidRPr="00E16C03">
        <w:rPr>
          <w:rFonts w:ascii="Arial" w:hAnsi="Arial" w:cs="Arial"/>
          <w:sz w:val="18"/>
          <w:szCs w:val="18"/>
          <w:lang w:val="en-CA"/>
        </w:rPr>
        <w:t xml:space="preserve"> et Martin </w:t>
      </w:r>
      <w:r w:rsidR="002D4D56" w:rsidRPr="00E16C03">
        <w:rPr>
          <w:rFonts w:ascii="Arial" w:hAnsi="Arial" w:cs="Arial"/>
          <w:smallCaps/>
          <w:sz w:val="18"/>
          <w:szCs w:val="18"/>
          <w:lang w:val="en-CA"/>
        </w:rPr>
        <w:t>Goyette</w:t>
      </w:r>
      <w:r w:rsidR="005E75D2" w:rsidRPr="00E16C03">
        <w:rPr>
          <w:rFonts w:ascii="Arial" w:hAnsi="Arial" w:cs="Arial"/>
          <w:smallCaps/>
          <w:sz w:val="18"/>
          <w:szCs w:val="18"/>
          <w:lang w:val="en-CA"/>
        </w:rPr>
        <w:t>,</w:t>
      </w:r>
      <w:r w:rsidR="002D4D56" w:rsidRPr="00E16C03">
        <w:rPr>
          <w:rFonts w:ascii="Arial" w:hAnsi="Arial" w:cs="Arial"/>
          <w:smallCaps/>
          <w:sz w:val="18"/>
          <w:szCs w:val="18"/>
          <w:lang w:val="en-CA"/>
        </w:rPr>
        <w:t xml:space="preserve"> </w:t>
      </w:r>
      <w:r w:rsidR="00E05384" w:rsidRPr="00E16C03">
        <w:rPr>
          <w:rFonts w:ascii="Arial" w:hAnsi="Arial" w:cs="Arial"/>
          <w:sz w:val="18"/>
          <w:szCs w:val="18"/>
          <w:lang w:val="en-CA"/>
        </w:rPr>
        <w:t>préc., note</w:t>
      </w:r>
      <w:r w:rsidR="00EE397D" w:rsidRPr="00E16C03">
        <w:rPr>
          <w:rFonts w:ascii="Arial" w:hAnsi="Arial" w:cs="Arial"/>
          <w:sz w:val="18"/>
          <w:szCs w:val="18"/>
          <w:lang w:val="en-CA"/>
        </w:rPr>
        <w:t xml:space="preserve"> </w:t>
      </w:r>
      <w:r w:rsidR="00EE397D" w:rsidRPr="00BD22C2">
        <w:rPr>
          <w:rFonts w:ascii="Arial" w:hAnsi="Arial" w:cs="Arial"/>
          <w:sz w:val="18"/>
          <w:szCs w:val="18"/>
          <w:lang w:val="fr-CA"/>
        </w:rPr>
        <w:fldChar w:fldCharType="begin"/>
      </w:r>
      <w:r w:rsidR="00EE397D" w:rsidRPr="00E16C03">
        <w:rPr>
          <w:rFonts w:ascii="Arial" w:hAnsi="Arial" w:cs="Arial"/>
          <w:sz w:val="18"/>
          <w:szCs w:val="18"/>
          <w:lang w:val="en-CA"/>
        </w:rPr>
        <w:instrText xml:space="preserve"> NOTEREF _Ref167448445 \h </w:instrText>
      </w:r>
      <w:r w:rsidR="00EE397D" w:rsidRPr="00BD22C2">
        <w:rPr>
          <w:rFonts w:ascii="Arial" w:hAnsi="Arial" w:cs="Arial"/>
          <w:sz w:val="18"/>
          <w:szCs w:val="18"/>
          <w:lang w:val="fr-CA"/>
        </w:rPr>
      </w:r>
      <w:r w:rsidR="00EE397D" w:rsidRPr="00BD22C2">
        <w:rPr>
          <w:rFonts w:ascii="Arial" w:hAnsi="Arial" w:cs="Arial"/>
          <w:sz w:val="18"/>
          <w:szCs w:val="18"/>
          <w:lang w:val="fr-CA"/>
        </w:rPr>
        <w:fldChar w:fldCharType="separate"/>
      </w:r>
      <w:r w:rsidR="004B4881">
        <w:rPr>
          <w:rFonts w:ascii="Arial" w:hAnsi="Arial" w:cs="Arial"/>
          <w:sz w:val="18"/>
          <w:szCs w:val="18"/>
          <w:lang w:val="en-CA"/>
        </w:rPr>
        <w:t>309</w:t>
      </w:r>
      <w:r w:rsidR="00EE397D" w:rsidRPr="00BD22C2">
        <w:rPr>
          <w:rFonts w:ascii="Arial" w:hAnsi="Arial" w:cs="Arial"/>
          <w:sz w:val="18"/>
          <w:szCs w:val="18"/>
          <w:lang w:val="fr-CA"/>
        </w:rPr>
        <w:fldChar w:fldCharType="end"/>
      </w:r>
      <w:r w:rsidR="00EE397D" w:rsidRPr="00E16C03">
        <w:rPr>
          <w:rFonts w:ascii="Arial" w:hAnsi="Arial" w:cs="Arial"/>
          <w:sz w:val="18"/>
          <w:szCs w:val="18"/>
          <w:lang w:val="en-CA"/>
        </w:rPr>
        <w:t>,</w:t>
      </w:r>
      <w:r w:rsidR="000966CE" w:rsidRPr="00E16C03">
        <w:rPr>
          <w:rFonts w:ascii="Arial" w:hAnsi="Arial" w:cs="Arial"/>
          <w:sz w:val="18"/>
          <w:szCs w:val="18"/>
          <w:lang w:val="en-CA"/>
        </w:rPr>
        <w:t xml:space="preserve"> par. 5</w:t>
      </w:r>
      <w:r w:rsidR="00867F32" w:rsidRPr="00E16C03">
        <w:rPr>
          <w:rFonts w:ascii="Arial" w:hAnsi="Arial" w:cs="Arial"/>
          <w:sz w:val="18"/>
          <w:szCs w:val="18"/>
          <w:lang w:val="en-CA"/>
        </w:rPr>
        <w:t xml:space="preserve">, </w:t>
      </w:r>
      <w:r w:rsidR="009D3D4B" w:rsidRPr="00E16C03">
        <w:rPr>
          <w:rFonts w:ascii="Arial" w:hAnsi="Arial" w:cs="Arial"/>
          <w:sz w:val="18"/>
          <w:szCs w:val="18"/>
          <w:lang w:val="en-CA"/>
        </w:rPr>
        <w:t xml:space="preserve">citant </w:t>
      </w:r>
      <w:r w:rsidR="009C60DB" w:rsidRPr="00E16C03">
        <w:rPr>
          <w:rFonts w:ascii="Arial" w:hAnsi="Arial" w:cs="Arial"/>
          <w:sz w:val="18"/>
          <w:szCs w:val="18"/>
          <w:lang w:val="en-CA"/>
        </w:rPr>
        <w:t xml:space="preserve">Margaret </w:t>
      </w:r>
      <w:r w:rsidRPr="00E16C03">
        <w:rPr>
          <w:rFonts w:ascii="Arial" w:hAnsi="Arial" w:cs="Arial"/>
          <w:smallCaps/>
          <w:sz w:val="18"/>
          <w:szCs w:val="18"/>
          <w:lang w:val="en-CA"/>
        </w:rPr>
        <w:t>Rosario</w:t>
      </w:r>
      <w:r w:rsidRPr="00E16C03">
        <w:rPr>
          <w:rFonts w:ascii="Arial" w:hAnsi="Arial" w:cs="Arial"/>
          <w:sz w:val="18"/>
          <w:szCs w:val="18"/>
          <w:lang w:val="en-CA"/>
        </w:rPr>
        <w:t xml:space="preserve">, </w:t>
      </w:r>
      <w:r w:rsidR="009C60DB" w:rsidRPr="00E16C03">
        <w:rPr>
          <w:rFonts w:ascii="Arial" w:hAnsi="Arial" w:cs="Arial"/>
          <w:sz w:val="18"/>
          <w:szCs w:val="18"/>
          <w:lang w:val="en-CA"/>
        </w:rPr>
        <w:t xml:space="preserve">Heather </w:t>
      </w:r>
      <w:r w:rsidR="009C60DB" w:rsidRPr="00E16C03">
        <w:rPr>
          <w:rFonts w:ascii="Arial" w:hAnsi="Arial" w:cs="Arial"/>
          <w:smallCaps/>
          <w:sz w:val="18"/>
          <w:szCs w:val="18"/>
          <w:lang w:val="en-CA"/>
        </w:rPr>
        <w:t xml:space="preserve">L. </w:t>
      </w:r>
      <w:r w:rsidRPr="00E16C03">
        <w:rPr>
          <w:rFonts w:ascii="Arial" w:hAnsi="Arial" w:cs="Arial"/>
          <w:smallCaps/>
          <w:sz w:val="18"/>
          <w:szCs w:val="18"/>
          <w:lang w:val="en-CA"/>
        </w:rPr>
        <w:t>Corliss</w:t>
      </w:r>
      <w:r w:rsidRPr="00E16C03">
        <w:rPr>
          <w:rFonts w:ascii="Arial" w:hAnsi="Arial" w:cs="Arial"/>
          <w:sz w:val="18"/>
          <w:szCs w:val="18"/>
          <w:lang w:val="en-CA"/>
        </w:rPr>
        <w:t xml:space="preserve">, </w:t>
      </w:r>
      <w:r w:rsidR="009C60DB" w:rsidRPr="00E16C03">
        <w:rPr>
          <w:rFonts w:ascii="Arial" w:hAnsi="Arial" w:cs="Arial"/>
          <w:sz w:val="18"/>
          <w:szCs w:val="18"/>
          <w:lang w:val="en-CA"/>
        </w:rPr>
        <w:t xml:space="preserve">Karestan </w:t>
      </w:r>
      <w:r w:rsidR="009C60DB" w:rsidRPr="00E16C03">
        <w:rPr>
          <w:rFonts w:ascii="Arial" w:hAnsi="Arial" w:cs="Arial"/>
          <w:smallCaps/>
          <w:sz w:val="18"/>
          <w:szCs w:val="18"/>
          <w:lang w:val="en-CA"/>
        </w:rPr>
        <w:t xml:space="preserve">C. </w:t>
      </w:r>
      <w:r w:rsidRPr="00E16C03">
        <w:rPr>
          <w:rFonts w:ascii="Arial" w:hAnsi="Arial" w:cs="Arial"/>
          <w:smallCaps/>
          <w:sz w:val="18"/>
          <w:szCs w:val="18"/>
          <w:lang w:val="en-CA"/>
        </w:rPr>
        <w:t>Koenen</w:t>
      </w:r>
      <w:r w:rsidR="009C60DB" w:rsidRPr="00E16C03">
        <w:rPr>
          <w:rFonts w:ascii="Arial" w:hAnsi="Arial" w:cs="Arial"/>
          <w:sz w:val="18"/>
          <w:szCs w:val="18"/>
          <w:lang w:val="en-CA"/>
        </w:rPr>
        <w:t>, S. Bryn</w:t>
      </w:r>
      <w:r w:rsidRPr="00E16C03">
        <w:rPr>
          <w:rFonts w:ascii="Arial" w:hAnsi="Arial" w:cs="Arial"/>
          <w:smallCaps/>
          <w:sz w:val="18"/>
          <w:szCs w:val="18"/>
          <w:lang w:val="en-CA"/>
        </w:rPr>
        <w:t xml:space="preserve"> Austin</w:t>
      </w:r>
      <w:r w:rsidRPr="00E16C03">
        <w:rPr>
          <w:rFonts w:ascii="Arial" w:hAnsi="Arial" w:cs="Arial"/>
          <w:sz w:val="18"/>
          <w:szCs w:val="18"/>
          <w:lang w:val="en-CA"/>
        </w:rPr>
        <w:t xml:space="preserve">, </w:t>
      </w:r>
      <w:r w:rsidR="00791217" w:rsidRPr="00E16C03">
        <w:rPr>
          <w:rFonts w:ascii="Arial" w:hAnsi="Arial" w:cs="Arial"/>
          <w:sz w:val="18"/>
          <w:szCs w:val="18"/>
          <w:lang w:val="en-CA"/>
        </w:rPr>
        <w:t xml:space="preserve">Alexandra L. </w:t>
      </w:r>
      <w:r w:rsidR="009D3D4B" w:rsidRPr="00E16C03">
        <w:rPr>
          <w:rFonts w:ascii="Arial" w:hAnsi="Arial" w:cs="Arial"/>
          <w:smallCaps/>
          <w:sz w:val="18"/>
          <w:szCs w:val="18"/>
          <w:lang w:val="en-CA"/>
        </w:rPr>
        <w:t>Roberts</w:t>
      </w:r>
      <w:r w:rsidR="009D3D4B" w:rsidRPr="00E16C03">
        <w:rPr>
          <w:rFonts w:ascii="Arial" w:hAnsi="Arial" w:cs="Arial"/>
          <w:sz w:val="18"/>
          <w:szCs w:val="18"/>
          <w:lang w:val="en-CA"/>
        </w:rPr>
        <w:t xml:space="preserve">, </w:t>
      </w:r>
      <w:r w:rsidR="002144D6" w:rsidRPr="00E16C03">
        <w:rPr>
          <w:rFonts w:ascii="Arial" w:hAnsi="Arial" w:cs="Arial"/>
          <w:sz w:val="18"/>
          <w:szCs w:val="18"/>
          <w:lang w:val="en-CA"/>
        </w:rPr>
        <w:t>«</w:t>
      </w:r>
      <w:r w:rsidR="0051216B" w:rsidRPr="00E16C03">
        <w:rPr>
          <w:rFonts w:ascii="Arial" w:hAnsi="Arial" w:cs="Arial"/>
          <w:sz w:val="18"/>
          <w:szCs w:val="18"/>
          <w:lang w:val="en-CA"/>
        </w:rPr>
        <w:t> </w:t>
      </w:r>
      <w:r w:rsidR="009D3D4B" w:rsidRPr="00E16C03">
        <w:rPr>
          <w:rFonts w:ascii="Arial" w:hAnsi="Arial" w:cs="Arial"/>
          <w:sz w:val="18"/>
          <w:szCs w:val="18"/>
          <w:lang w:val="en-CA"/>
        </w:rPr>
        <w:t>Childhood gender nonconformity: a risk indicator for childhood abuse and posttraumatic stress in youth</w:t>
      </w:r>
      <w:r w:rsidR="0051216B" w:rsidRPr="00E16C03">
        <w:rPr>
          <w:rFonts w:ascii="Arial" w:hAnsi="Arial" w:cs="Arial"/>
          <w:sz w:val="18"/>
          <w:szCs w:val="18"/>
          <w:lang w:val="en-CA"/>
        </w:rPr>
        <w:t> </w:t>
      </w:r>
      <w:r w:rsidR="002144D6" w:rsidRPr="00E16C03">
        <w:rPr>
          <w:rFonts w:ascii="Arial" w:hAnsi="Arial" w:cs="Arial"/>
          <w:sz w:val="18"/>
          <w:szCs w:val="18"/>
          <w:lang w:val="en-CA"/>
        </w:rPr>
        <w:t>», (</w:t>
      </w:r>
      <w:r w:rsidRPr="00E16C03">
        <w:rPr>
          <w:rFonts w:ascii="Arial" w:hAnsi="Arial" w:cs="Arial"/>
          <w:sz w:val="18"/>
          <w:szCs w:val="18"/>
          <w:lang w:val="en-CA"/>
        </w:rPr>
        <w:t>2012</w:t>
      </w:r>
      <w:r w:rsidR="002144D6" w:rsidRPr="00E16C03">
        <w:rPr>
          <w:rFonts w:ascii="Arial" w:hAnsi="Arial" w:cs="Arial"/>
          <w:sz w:val="18"/>
          <w:szCs w:val="18"/>
          <w:lang w:val="en-CA"/>
        </w:rPr>
        <w:t xml:space="preserve">), </w:t>
      </w:r>
      <w:r w:rsidR="009D3D4B" w:rsidRPr="00E30A69">
        <w:rPr>
          <w:rFonts w:ascii="Arial" w:hAnsi="Arial" w:cs="Arial"/>
          <w:i/>
          <w:sz w:val="18"/>
          <w:szCs w:val="18"/>
          <w:lang w:val="en-CA"/>
        </w:rPr>
        <w:t>Pediatrics</w:t>
      </w:r>
      <w:r w:rsidR="009D3D4B" w:rsidRPr="00E16C03">
        <w:rPr>
          <w:rFonts w:ascii="Arial" w:hAnsi="Arial" w:cs="Arial"/>
          <w:sz w:val="18"/>
          <w:szCs w:val="18"/>
          <w:lang w:val="en-CA"/>
        </w:rPr>
        <w:t>, 129(3), 410-417</w:t>
      </w:r>
      <w:r w:rsidR="002144D6" w:rsidRPr="00E16C03">
        <w:rPr>
          <w:rFonts w:ascii="Arial" w:hAnsi="Arial" w:cs="Arial"/>
          <w:sz w:val="18"/>
          <w:szCs w:val="18"/>
          <w:lang w:val="en-CA"/>
        </w:rPr>
        <w:t xml:space="preserve"> et </w:t>
      </w:r>
      <w:r w:rsidR="00BF72FB" w:rsidRPr="00E16C03">
        <w:rPr>
          <w:rFonts w:ascii="Arial" w:hAnsi="Arial" w:cs="Arial"/>
          <w:sz w:val="18"/>
          <w:szCs w:val="18"/>
          <w:lang w:val="en-CA"/>
        </w:rPr>
        <w:t>Brian C.</w:t>
      </w:r>
      <w:r w:rsidR="006305FE">
        <w:rPr>
          <w:rFonts w:ascii="Arial" w:hAnsi="Arial" w:cs="Arial"/>
          <w:sz w:val="18"/>
          <w:szCs w:val="18"/>
          <w:lang w:val="en-CA"/>
        </w:rPr>
        <w:t> </w:t>
      </w:r>
      <w:r w:rsidRPr="00E16C03">
        <w:rPr>
          <w:rFonts w:ascii="Arial" w:hAnsi="Arial" w:cs="Arial"/>
          <w:smallCaps/>
          <w:sz w:val="18"/>
          <w:szCs w:val="18"/>
          <w:lang w:val="en-CA"/>
        </w:rPr>
        <w:t>Thoma</w:t>
      </w:r>
      <w:r w:rsidRPr="00E16C03">
        <w:rPr>
          <w:rFonts w:ascii="Arial" w:hAnsi="Arial" w:cs="Arial"/>
          <w:sz w:val="18"/>
          <w:szCs w:val="18"/>
          <w:lang w:val="en-CA"/>
        </w:rPr>
        <w:t xml:space="preserve">, </w:t>
      </w:r>
      <w:r w:rsidR="00E717B1" w:rsidRPr="00E16C03">
        <w:rPr>
          <w:rFonts w:ascii="Arial" w:hAnsi="Arial" w:cs="Arial"/>
          <w:sz w:val="18"/>
          <w:szCs w:val="18"/>
          <w:lang w:val="en-CA"/>
        </w:rPr>
        <w:t xml:space="preserve">Taylor </w:t>
      </w:r>
      <w:r w:rsidRPr="00E16C03">
        <w:rPr>
          <w:rFonts w:ascii="Arial" w:hAnsi="Arial" w:cs="Arial"/>
          <w:smallCaps/>
          <w:sz w:val="18"/>
          <w:szCs w:val="18"/>
          <w:lang w:val="en-CA"/>
        </w:rPr>
        <w:t>Rezeppa</w:t>
      </w:r>
      <w:r w:rsidRPr="00E16C03">
        <w:rPr>
          <w:rFonts w:ascii="Arial" w:hAnsi="Arial" w:cs="Arial"/>
          <w:sz w:val="18"/>
          <w:szCs w:val="18"/>
          <w:lang w:val="en-CA"/>
        </w:rPr>
        <w:t xml:space="preserve">, </w:t>
      </w:r>
      <w:r w:rsidR="005040A2" w:rsidRPr="00E16C03">
        <w:rPr>
          <w:rFonts w:ascii="Arial" w:hAnsi="Arial" w:cs="Arial"/>
          <w:sz w:val="18"/>
          <w:szCs w:val="18"/>
          <w:lang w:val="en-CA"/>
        </w:rPr>
        <w:t xml:space="preserve">Sophia </w:t>
      </w:r>
      <w:r w:rsidRPr="00E16C03">
        <w:rPr>
          <w:rFonts w:ascii="Arial" w:hAnsi="Arial" w:cs="Arial"/>
          <w:smallCaps/>
          <w:sz w:val="18"/>
          <w:szCs w:val="18"/>
          <w:lang w:val="en-CA"/>
        </w:rPr>
        <w:t>Choukas-Bradley</w:t>
      </w:r>
      <w:r w:rsidRPr="00E16C03">
        <w:rPr>
          <w:rFonts w:ascii="Arial" w:hAnsi="Arial" w:cs="Arial"/>
          <w:sz w:val="18"/>
          <w:szCs w:val="18"/>
          <w:lang w:val="en-CA"/>
        </w:rPr>
        <w:t xml:space="preserve">, </w:t>
      </w:r>
      <w:r w:rsidR="00E717B1" w:rsidRPr="00E16C03">
        <w:rPr>
          <w:rFonts w:ascii="Arial" w:hAnsi="Arial" w:cs="Arial"/>
          <w:sz w:val="18"/>
          <w:szCs w:val="18"/>
          <w:lang w:val="en-CA"/>
        </w:rPr>
        <w:t xml:space="preserve">Rachel </w:t>
      </w:r>
      <w:r w:rsidRPr="00E16C03">
        <w:rPr>
          <w:rFonts w:ascii="Arial" w:hAnsi="Arial" w:cs="Arial"/>
          <w:smallCaps/>
          <w:sz w:val="18"/>
          <w:szCs w:val="18"/>
          <w:lang w:val="en-CA"/>
        </w:rPr>
        <w:t>Salk</w:t>
      </w:r>
      <w:r w:rsidRPr="00E16C03">
        <w:rPr>
          <w:rFonts w:ascii="Arial" w:hAnsi="Arial" w:cs="Arial"/>
          <w:sz w:val="18"/>
          <w:szCs w:val="18"/>
          <w:lang w:val="en-CA"/>
        </w:rPr>
        <w:t xml:space="preserve"> et </w:t>
      </w:r>
      <w:r w:rsidR="00E717B1" w:rsidRPr="00E16C03">
        <w:rPr>
          <w:rFonts w:ascii="Arial" w:hAnsi="Arial" w:cs="Arial"/>
          <w:sz w:val="18"/>
          <w:szCs w:val="18"/>
          <w:lang w:val="en-CA"/>
        </w:rPr>
        <w:t xml:space="preserve">Michael P. </w:t>
      </w:r>
      <w:r w:rsidRPr="00E16C03">
        <w:rPr>
          <w:rFonts w:ascii="Arial" w:hAnsi="Arial" w:cs="Arial"/>
          <w:smallCaps/>
          <w:sz w:val="18"/>
          <w:szCs w:val="18"/>
          <w:lang w:val="en-CA"/>
        </w:rPr>
        <w:t>Marshal</w:t>
      </w:r>
      <w:r w:rsidRPr="00E16C03">
        <w:rPr>
          <w:rFonts w:ascii="Arial" w:hAnsi="Arial" w:cs="Arial"/>
          <w:sz w:val="18"/>
          <w:szCs w:val="18"/>
          <w:lang w:val="en-CA"/>
        </w:rPr>
        <w:t xml:space="preserve">, </w:t>
      </w:r>
      <w:r w:rsidR="00F256ED" w:rsidRPr="00E16C03">
        <w:rPr>
          <w:rFonts w:ascii="Arial" w:hAnsi="Arial" w:cs="Arial"/>
          <w:sz w:val="18"/>
          <w:szCs w:val="18"/>
          <w:lang w:val="en-CA"/>
        </w:rPr>
        <w:t>«</w:t>
      </w:r>
      <w:r w:rsidR="0051216B" w:rsidRPr="00E16C03">
        <w:rPr>
          <w:rFonts w:ascii="Arial" w:hAnsi="Arial" w:cs="Arial"/>
          <w:sz w:val="18"/>
          <w:szCs w:val="18"/>
          <w:lang w:val="en-CA"/>
        </w:rPr>
        <w:t> </w:t>
      </w:r>
      <w:r w:rsidR="00F256ED" w:rsidRPr="00E16C03">
        <w:rPr>
          <w:rFonts w:ascii="Arial" w:hAnsi="Arial" w:cs="Arial"/>
          <w:sz w:val="18"/>
          <w:szCs w:val="18"/>
          <w:lang w:val="en-CA"/>
        </w:rPr>
        <w:t>Disparities in childhood abuse between transgender and cisgender adolescents</w:t>
      </w:r>
      <w:r w:rsidR="0051216B" w:rsidRPr="00E16C03">
        <w:rPr>
          <w:rFonts w:ascii="Arial" w:hAnsi="Arial" w:cs="Arial"/>
          <w:sz w:val="18"/>
          <w:szCs w:val="18"/>
          <w:lang w:val="en-CA"/>
        </w:rPr>
        <w:t> </w:t>
      </w:r>
      <w:r w:rsidR="00F256ED" w:rsidRPr="00E16C03">
        <w:rPr>
          <w:rFonts w:ascii="Arial" w:hAnsi="Arial" w:cs="Arial"/>
          <w:sz w:val="18"/>
          <w:szCs w:val="18"/>
          <w:lang w:val="en-CA"/>
        </w:rPr>
        <w:t>» (</w:t>
      </w:r>
      <w:r w:rsidRPr="00E16C03">
        <w:rPr>
          <w:rFonts w:ascii="Arial" w:hAnsi="Arial" w:cs="Arial"/>
          <w:sz w:val="18"/>
          <w:szCs w:val="18"/>
          <w:lang w:val="en-CA"/>
        </w:rPr>
        <w:t>2021</w:t>
      </w:r>
      <w:r w:rsidR="00F256ED" w:rsidRPr="00E16C03">
        <w:rPr>
          <w:rFonts w:ascii="Arial" w:hAnsi="Arial" w:cs="Arial"/>
          <w:sz w:val="18"/>
          <w:szCs w:val="18"/>
          <w:lang w:val="en-CA"/>
        </w:rPr>
        <w:t xml:space="preserve">), </w:t>
      </w:r>
      <w:r w:rsidR="00F256ED" w:rsidRPr="00200B05">
        <w:rPr>
          <w:rFonts w:ascii="Arial" w:hAnsi="Arial" w:cs="Arial"/>
          <w:i/>
          <w:sz w:val="18"/>
          <w:szCs w:val="18"/>
          <w:lang w:val="en-CA"/>
        </w:rPr>
        <w:t>Pediatrics</w:t>
      </w:r>
      <w:r w:rsidR="00F256ED" w:rsidRPr="00E16C03">
        <w:rPr>
          <w:rFonts w:ascii="Arial" w:hAnsi="Arial" w:cs="Arial"/>
          <w:sz w:val="18"/>
          <w:szCs w:val="18"/>
          <w:lang w:val="en-CA"/>
        </w:rPr>
        <w:t>, 148(2</w:t>
      </w:r>
      <w:r w:rsidRPr="00E16C03">
        <w:rPr>
          <w:rFonts w:ascii="Arial" w:hAnsi="Arial" w:cs="Arial"/>
          <w:sz w:val="18"/>
          <w:szCs w:val="18"/>
          <w:lang w:val="en-CA"/>
        </w:rPr>
        <w:t>).</w:t>
      </w:r>
    </w:p>
  </w:endnote>
  <w:endnote w:id="317">
    <w:p w14:paraId="49E6EA04" w14:textId="0AE197B2"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F519A6" w:rsidRPr="00BD22C2">
        <w:rPr>
          <w:rFonts w:ascii="Arial" w:hAnsi="Arial" w:cs="Arial"/>
          <w:sz w:val="18"/>
          <w:szCs w:val="18"/>
          <w:lang w:val="fr-CA"/>
        </w:rPr>
        <w:t xml:space="preserve">Voir par exemple </w:t>
      </w:r>
      <w:r w:rsidR="00DC68BD" w:rsidRPr="00BD22C2">
        <w:rPr>
          <w:rFonts w:ascii="Arial" w:hAnsi="Arial" w:cs="Arial"/>
          <w:i/>
          <w:sz w:val="18"/>
          <w:szCs w:val="18"/>
          <w:lang w:val="fr-CA"/>
        </w:rPr>
        <w:t>Protection de la jeunesse — 224588</w:t>
      </w:r>
      <w:r w:rsidR="00DC68BD" w:rsidRPr="00BD22C2">
        <w:rPr>
          <w:rFonts w:ascii="Arial" w:hAnsi="Arial" w:cs="Arial"/>
          <w:sz w:val="18"/>
          <w:szCs w:val="18"/>
          <w:lang w:val="fr-CA"/>
        </w:rPr>
        <w:t xml:space="preserve">, </w:t>
      </w:r>
      <w:r w:rsidR="006F0331" w:rsidRPr="00BD22C2">
        <w:rPr>
          <w:rFonts w:ascii="Arial" w:hAnsi="Arial" w:cs="Arial"/>
          <w:sz w:val="18"/>
          <w:szCs w:val="18"/>
          <w:lang w:val="fr-CA"/>
        </w:rPr>
        <w:t>préc., note 300</w:t>
      </w:r>
      <w:r w:rsidR="00DC68BD" w:rsidRPr="00BD22C2">
        <w:rPr>
          <w:rFonts w:ascii="Arial" w:hAnsi="Arial" w:cs="Arial"/>
          <w:i/>
          <w:sz w:val="18"/>
          <w:szCs w:val="18"/>
          <w:lang w:val="fr-CA"/>
        </w:rPr>
        <w:t>, Protection de la jeunesse — 1 910 125</w:t>
      </w:r>
      <w:r w:rsidR="00DC68BD" w:rsidRPr="00BD22C2">
        <w:rPr>
          <w:rFonts w:ascii="Arial" w:hAnsi="Arial" w:cs="Arial"/>
          <w:sz w:val="18"/>
          <w:szCs w:val="18"/>
          <w:lang w:val="fr-CA"/>
        </w:rPr>
        <w:t xml:space="preserve">, </w:t>
      </w:r>
      <w:r w:rsidR="00F519A6" w:rsidRPr="00BD22C2">
        <w:rPr>
          <w:rFonts w:ascii="Arial" w:hAnsi="Arial" w:cs="Arial"/>
          <w:sz w:val="18"/>
          <w:szCs w:val="18"/>
          <w:lang w:val="fr-CA"/>
        </w:rPr>
        <w:t>préc, note 300</w:t>
      </w:r>
      <w:r w:rsidR="00DC68BD" w:rsidRPr="00BD22C2">
        <w:rPr>
          <w:rFonts w:ascii="Arial" w:hAnsi="Arial" w:cs="Arial"/>
          <w:sz w:val="18"/>
          <w:szCs w:val="18"/>
          <w:lang w:val="fr-CA"/>
        </w:rPr>
        <w:t xml:space="preserve">, </w:t>
      </w:r>
      <w:r w:rsidR="00DC68BD" w:rsidRPr="00BD22C2">
        <w:rPr>
          <w:rFonts w:ascii="Arial" w:hAnsi="Arial" w:cs="Arial"/>
          <w:i/>
          <w:sz w:val="18"/>
          <w:szCs w:val="18"/>
          <w:lang w:val="fr-CA"/>
        </w:rPr>
        <w:t>Protection de la jeunesse — 179 704</w:t>
      </w:r>
      <w:r w:rsidR="00DC68BD" w:rsidRPr="00BD22C2">
        <w:rPr>
          <w:rFonts w:ascii="Arial" w:hAnsi="Arial" w:cs="Arial"/>
          <w:sz w:val="18"/>
          <w:szCs w:val="18"/>
          <w:lang w:val="fr-CA"/>
        </w:rPr>
        <w:t xml:space="preserve">, </w:t>
      </w:r>
      <w:r w:rsidR="00F519A6" w:rsidRPr="00BD22C2">
        <w:rPr>
          <w:rFonts w:ascii="Arial" w:hAnsi="Arial" w:cs="Arial"/>
          <w:sz w:val="18"/>
          <w:szCs w:val="18"/>
          <w:lang w:val="fr-CA"/>
        </w:rPr>
        <w:t>préc, note 300</w:t>
      </w:r>
      <w:r w:rsidR="00DC68BD" w:rsidRPr="00BD22C2">
        <w:rPr>
          <w:rFonts w:ascii="Arial" w:hAnsi="Arial" w:cs="Arial"/>
          <w:sz w:val="18"/>
          <w:szCs w:val="18"/>
          <w:lang w:val="fr-CA"/>
        </w:rPr>
        <w:t xml:space="preserve">, </w:t>
      </w:r>
      <w:r w:rsidR="00DC68BD" w:rsidRPr="00BD22C2">
        <w:rPr>
          <w:rFonts w:ascii="Arial" w:hAnsi="Arial" w:cs="Arial"/>
          <w:i/>
          <w:sz w:val="18"/>
          <w:szCs w:val="18"/>
          <w:lang w:val="fr-CA"/>
        </w:rPr>
        <w:t>Protection de la jeunesse — 218 666</w:t>
      </w:r>
      <w:r w:rsidR="00DC68BD" w:rsidRPr="00BD22C2">
        <w:rPr>
          <w:rFonts w:ascii="Arial" w:hAnsi="Arial" w:cs="Arial"/>
          <w:sz w:val="18"/>
          <w:szCs w:val="18"/>
          <w:lang w:val="fr-CA"/>
        </w:rPr>
        <w:t xml:space="preserve">, </w:t>
      </w:r>
      <w:r w:rsidR="00F519A6" w:rsidRPr="00BD22C2">
        <w:rPr>
          <w:rFonts w:ascii="Arial" w:hAnsi="Arial" w:cs="Arial"/>
          <w:sz w:val="18"/>
          <w:szCs w:val="18"/>
          <w:lang w:val="fr-CA"/>
        </w:rPr>
        <w:t>préc, note 300</w:t>
      </w:r>
      <w:r w:rsidR="00DC68BD" w:rsidRPr="00BD22C2">
        <w:rPr>
          <w:rFonts w:ascii="Arial" w:hAnsi="Arial" w:cs="Arial"/>
          <w:sz w:val="18"/>
          <w:szCs w:val="18"/>
          <w:lang w:val="fr-CA"/>
        </w:rPr>
        <w:t xml:space="preserve">, </w:t>
      </w:r>
      <w:r w:rsidR="00DC68BD" w:rsidRPr="00BD22C2">
        <w:rPr>
          <w:rFonts w:ascii="Arial" w:hAnsi="Arial" w:cs="Arial"/>
          <w:i/>
          <w:sz w:val="18"/>
          <w:szCs w:val="18"/>
          <w:lang w:val="fr-CA"/>
        </w:rPr>
        <w:t>Protection de la jeunesse — 1 910 833</w:t>
      </w:r>
      <w:r w:rsidR="00DC68BD" w:rsidRPr="00BD22C2">
        <w:rPr>
          <w:rFonts w:ascii="Arial" w:hAnsi="Arial" w:cs="Arial"/>
          <w:sz w:val="18"/>
          <w:szCs w:val="18"/>
          <w:lang w:val="fr-CA"/>
        </w:rPr>
        <w:t xml:space="preserve">, </w:t>
      </w:r>
      <w:r w:rsidR="00F519A6" w:rsidRPr="00BD22C2">
        <w:rPr>
          <w:rFonts w:ascii="Arial" w:hAnsi="Arial" w:cs="Arial"/>
          <w:sz w:val="18"/>
          <w:szCs w:val="18"/>
          <w:lang w:val="fr-CA"/>
        </w:rPr>
        <w:t>préc, note 300</w:t>
      </w:r>
      <w:r w:rsidR="00DC68BD" w:rsidRPr="00BD22C2">
        <w:rPr>
          <w:rFonts w:ascii="Arial" w:hAnsi="Arial" w:cs="Arial"/>
          <w:i/>
          <w:sz w:val="18"/>
          <w:szCs w:val="18"/>
          <w:lang w:val="fr-CA"/>
        </w:rPr>
        <w:t>, Protection de la jeunesse — 227 309</w:t>
      </w:r>
      <w:r w:rsidR="00DC68BD" w:rsidRPr="00BD22C2">
        <w:rPr>
          <w:rFonts w:ascii="Arial" w:hAnsi="Arial" w:cs="Arial"/>
          <w:sz w:val="18"/>
          <w:szCs w:val="18"/>
          <w:lang w:val="fr-CA"/>
        </w:rPr>
        <w:t xml:space="preserve">, </w:t>
      </w:r>
      <w:r w:rsidR="00F519A6" w:rsidRPr="00BD22C2">
        <w:rPr>
          <w:rFonts w:ascii="Arial" w:hAnsi="Arial" w:cs="Arial"/>
          <w:sz w:val="18"/>
          <w:szCs w:val="18"/>
          <w:lang w:val="fr-CA"/>
        </w:rPr>
        <w:t>préc, note</w:t>
      </w:r>
      <w:r w:rsidR="00CE1914">
        <w:rPr>
          <w:rFonts w:ascii="Arial" w:hAnsi="Arial" w:cs="Arial"/>
          <w:sz w:val="18"/>
          <w:szCs w:val="18"/>
          <w:lang w:val="fr-CA"/>
        </w:rPr>
        <w:t> </w:t>
      </w:r>
      <w:r w:rsidR="00F519A6" w:rsidRPr="00BD22C2">
        <w:rPr>
          <w:rFonts w:ascii="Arial" w:hAnsi="Arial" w:cs="Arial"/>
          <w:sz w:val="18"/>
          <w:szCs w:val="18"/>
          <w:lang w:val="fr-CA"/>
        </w:rPr>
        <w:t>300</w:t>
      </w:r>
      <w:r w:rsidR="00DC68BD" w:rsidRPr="00BD22C2">
        <w:rPr>
          <w:rFonts w:ascii="Arial" w:hAnsi="Arial" w:cs="Arial"/>
          <w:sz w:val="18"/>
          <w:szCs w:val="18"/>
          <w:lang w:val="fr-CA"/>
        </w:rPr>
        <w:t>.</w:t>
      </w:r>
    </w:p>
  </w:endnote>
  <w:endnote w:id="318">
    <w:p w14:paraId="69F54B85" w14:textId="11FF0986" w:rsidR="00D041C3" w:rsidRPr="00BD22C2" w:rsidRDefault="00D041C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092FE1" w:rsidRPr="00BD22C2">
        <w:rPr>
          <w:rFonts w:ascii="Arial" w:hAnsi="Arial" w:cs="Arial"/>
          <w:sz w:val="18"/>
          <w:szCs w:val="18"/>
          <w:lang w:val="fr-CA"/>
        </w:rPr>
        <w:t>Valeria</w:t>
      </w:r>
      <w:r w:rsidRPr="00BD22C2">
        <w:rPr>
          <w:rFonts w:ascii="Arial" w:hAnsi="Arial" w:cs="Arial"/>
          <w:sz w:val="18"/>
          <w:szCs w:val="18"/>
          <w:lang w:val="fr-CA"/>
        </w:rPr>
        <w:t xml:space="preserve"> </w:t>
      </w:r>
      <w:r w:rsidRPr="00BD22C2">
        <w:rPr>
          <w:rFonts w:ascii="Arial" w:hAnsi="Arial" w:cs="Arial"/>
          <w:smallCaps/>
          <w:sz w:val="18"/>
          <w:szCs w:val="18"/>
          <w:lang w:val="fr-CA"/>
        </w:rPr>
        <w:t>Kirichenko</w:t>
      </w:r>
      <w:r w:rsidRPr="00BD22C2">
        <w:rPr>
          <w:rFonts w:ascii="Arial" w:hAnsi="Arial" w:cs="Arial"/>
          <w:sz w:val="18"/>
          <w:szCs w:val="18"/>
          <w:lang w:val="fr-CA"/>
        </w:rPr>
        <w:t xml:space="preserve">, V. et </w:t>
      </w:r>
      <w:r w:rsidR="00583554" w:rsidRPr="00BD22C2">
        <w:rPr>
          <w:rFonts w:ascii="Arial" w:hAnsi="Arial" w:cs="Arial"/>
          <w:sz w:val="18"/>
          <w:szCs w:val="18"/>
          <w:lang w:val="fr-CA"/>
        </w:rPr>
        <w:t xml:space="preserve">Annie </w:t>
      </w:r>
      <w:r w:rsidRPr="00BD22C2">
        <w:rPr>
          <w:rFonts w:ascii="Arial" w:hAnsi="Arial" w:cs="Arial"/>
          <w:smallCaps/>
          <w:sz w:val="18"/>
          <w:szCs w:val="18"/>
          <w:lang w:val="fr-CA"/>
        </w:rPr>
        <w:t>Pullen Sansfaçon</w:t>
      </w:r>
      <w:r w:rsidRPr="00BD22C2">
        <w:rPr>
          <w:rFonts w:ascii="Arial" w:hAnsi="Arial" w:cs="Arial"/>
          <w:sz w:val="18"/>
          <w:szCs w:val="18"/>
          <w:lang w:val="fr-CA"/>
        </w:rPr>
        <w:t>, «</w:t>
      </w:r>
      <w:r w:rsidR="0051216B" w:rsidRPr="00BD22C2">
        <w:rPr>
          <w:rFonts w:ascii="Arial" w:hAnsi="Arial" w:cs="Arial"/>
          <w:sz w:val="18"/>
          <w:szCs w:val="18"/>
          <w:lang w:val="fr-CA"/>
        </w:rPr>
        <w:t> </w:t>
      </w:r>
      <w:r w:rsidRPr="00BD22C2">
        <w:rPr>
          <w:rFonts w:ascii="Arial" w:hAnsi="Arial" w:cs="Arial"/>
          <w:sz w:val="18"/>
          <w:szCs w:val="18"/>
          <w:lang w:val="fr-CA"/>
        </w:rPr>
        <w:t>Je ne m’identifie pas comme fille, je suis une fille</w:t>
      </w:r>
      <w:r w:rsidR="0051216B" w:rsidRPr="00BD22C2">
        <w:rPr>
          <w:rFonts w:ascii="Arial" w:hAnsi="Arial" w:cs="Arial"/>
          <w:sz w:val="18"/>
          <w:szCs w:val="18"/>
          <w:lang w:val="fr-CA"/>
        </w:rPr>
        <w:t> </w:t>
      </w:r>
      <w:r w:rsidRPr="00BD22C2">
        <w:rPr>
          <w:rFonts w:ascii="Arial" w:hAnsi="Arial" w:cs="Arial"/>
          <w:sz w:val="18"/>
          <w:szCs w:val="18"/>
          <w:lang w:val="fr-CA"/>
        </w:rPr>
        <w:t>»</w:t>
      </w:r>
      <w:r w:rsidR="007138D6" w:rsidRPr="00BD22C2">
        <w:rPr>
          <w:rFonts w:ascii="Arial" w:hAnsi="Arial" w:cs="Arial"/>
          <w:sz w:val="18"/>
          <w:szCs w:val="18"/>
          <w:lang w:val="fr-CA"/>
        </w:rPr>
        <w:t> </w:t>
      </w:r>
      <w:r w:rsidRPr="00BD22C2">
        <w:rPr>
          <w:rFonts w:ascii="Arial" w:hAnsi="Arial" w:cs="Arial"/>
          <w:sz w:val="18"/>
          <w:szCs w:val="18"/>
          <w:lang w:val="fr-CA"/>
        </w:rPr>
        <w:t>: être jeune, trans et placé.e à la DPJ</w:t>
      </w:r>
      <w:r w:rsidR="0051216B" w:rsidRPr="00BD22C2">
        <w:rPr>
          <w:rFonts w:ascii="Arial" w:hAnsi="Arial" w:cs="Arial"/>
          <w:sz w:val="18"/>
          <w:szCs w:val="18"/>
          <w:lang w:val="fr-CA"/>
        </w:rPr>
        <w:t> </w:t>
      </w:r>
      <w:r w:rsidR="007274F0" w:rsidRPr="00BD22C2">
        <w:rPr>
          <w:rFonts w:ascii="Arial" w:hAnsi="Arial" w:cs="Arial"/>
          <w:sz w:val="18"/>
          <w:szCs w:val="18"/>
          <w:lang w:val="fr-CA"/>
        </w:rPr>
        <w:t>»,</w:t>
      </w:r>
      <w:r w:rsidRPr="00BD22C2">
        <w:rPr>
          <w:rFonts w:ascii="Arial" w:hAnsi="Arial" w:cs="Arial"/>
          <w:sz w:val="18"/>
          <w:szCs w:val="18"/>
          <w:lang w:val="fr-CA"/>
        </w:rPr>
        <w:t xml:space="preserve"> </w:t>
      </w:r>
      <w:r w:rsidRPr="00200B05">
        <w:rPr>
          <w:rFonts w:ascii="Arial" w:hAnsi="Arial" w:cs="Arial"/>
          <w:i/>
          <w:sz w:val="18"/>
          <w:szCs w:val="18"/>
          <w:lang w:val="fr-CA"/>
        </w:rPr>
        <w:t>Intervention</w:t>
      </w:r>
      <w:r w:rsidRPr="00BD22C2">
        <w:rPr>
          <w:rFonts w:ascii="Arial" w:hAnsi="Arial" w:cs="Arial"/>
          <w:sz w:val="18"/>
          <w:szCs w:val="18"/>
          <w:lang w:val="fr-CA"/>
        </w:rPr>
        <w:t xml:space="preserve">, 148, 29-40. Annie </w:t>
      </w:r>
      <w:r w:rsidRPr="00BD22C2">
        <w:rPr>
          <w:rFonts w:ascii="Arial" w:hAnsi="Arial" w:cs="Arial"/>
          <w:smallCaps/>
          <w:sz w:val="18"/>
          <w:szCs w:val="18"/>
          <w:lang w:val="fr-CA"/>
        </w:rPr>
        <w:t>Pullen Sansfaçon</w:t>
      </w:r>
      <w:r w:rsidR="007274F0" w:rsidRPr="00BD22C2">
        <w:rPr>
          <w:rFonts w:ascii="Arial" w:hAnsi="Arial" w:cs="Arial"/>
          <w:sz w:val="18"/>
          <w:szCs w:val="18"/>
          <w:lang w:val="fr-CA"/>
        </w:rPr>
        <w:t>,</w:t>
      </w:r>
      <w:r w:rsidRPr="00BD22C2">
        <w:rPr>
          <w:rFonts w:ascii="Arial" w:hAnsi="Arial" w:cs="Arial"/>
          <w:sz w:val="18"/>
          <w:szCs w:val="18"/>
          <w:lang w:val="fr-CA"/>
        </w:rPr>
        <w:t xml:space="preserve"> Alexandre </w:t>
      </w:r>
      <w:r w:rsidRPr="00BD22C2">
        <w:rPr>
          <w:rFonts w:ascii="Arial" w:hAnsi="Arial" w:cs="Arial"/>
          <w:smallCaps/>
          <w:sz w:val="18"/>
          <w:szCs w:val="18"/>
          <w:lang w:val="fr-CA"/>
        </w:rPr>
        <w:t>Blanchet</w:t>
      </w:r>
      <w:r w:rsidRPr="00BD22C2">
        <w:rPr>
          <w:rFonts w:ascii="Arial" w:hAnsi="Arial" w:cs="Arial"/>
          <w:sz w:val="18"/>
          <w:szCs w:val="18"/>
          <w:lang w:val="fr-CA"/>
        </w:rPr>
        <w:t xml:space="preserve">, Ré </w:t>
      </w:r>
      <w:r w:rsidRPr="00BD22C2">
        <w:rPr>
          <w:rFonts w:ascii="Arial" w:hAnsi="Arial" w:cs="Arial"/>
          <w:smallCaps/>
          <w:sz w:val="18"/>
          <w:szCs w:val="18"/>
          <w:lang w:val="fr-CA"/>
        </w:rPr>
        <w:t>Poulin Ladouceur</w:t>
      </w:r>
      <w:r w:rsidRPr="00BD22C2">
        <w:rPr>
          <w:rFonts w:ascii="Arial" w:hAnsi="Arial" w:cs="Arial"/>
          <w:sz w:val="18"/>
          <w:szCs w:val="18"/>
          <w:lang w:val="fr-CA"/>
        </w:rPr>
        <w:t xml:space="preserve">, Josianne </w:t>
      </w:r>
      <w:r w:rsidRPr="00BD22C2">
        <w:rPr>
          <w:rFonts w:ascii="Arial" w:hAnsi="Arial" w:cs="Arial"/>
          <w:smallCaps/>
          <w:sz w:val="18"/>
          <w:szCs w:val="18"/>
          <w:lang w:val="fr-CA"/>
        </w:rPr>
        <w:t>Picard</w:t>
      </w:r>
      <w:r w:rsidRPr="00BD22C2">
        <w:rPr>
          <w:rFonts w:ascii="Arial" w:hAnsi="Arial" w:cs="Arial"/>
          <w:sz w:val="18"/>
          <w:szCs w:val="18"/>
          <w:lang w:val="fr-CA"/>
        </w:rPr>
        <w:t xml:space="preserve"> et Martin </w:t>
      </w:r>
      <w:r w:rsidRPr="00BD22C2">
        <w:rPr>
          <w:rFonts w:ascii="Arial" w:hAnsi="Arial" w:cs="Arial"/>
          <w:smallCaps/>
          <w:sz w:val="18"/>
          <w:szCs w:val="18"/>
          <w:lang w:val="fr-CA"/>
        </w:rPr>
        <w:t xml:space="preserve">Goyette, </w:t>
      </w:r>
      <w:r w:rsidR="00C5794B" w:rsidRPr="00BD22C2">
        <w:rPr>
          <w:rFonts w:ascii="Arial" w:hAnsi="Arial" w:cs="Arial"/>
          <w:sz w:val="18"/>
          <w:szCs w:val="18"/>
          <w:lang w:val="fr-CA"/>
        </w:rPr>
        <w:t xml:space="preserve">préc., note </w:t>
      </w:r>
      <w:r w:rsidR="00C5794B" w:rsidRPr="00BD22C2">
        <w:rPr>
          <w:rFonts w:ascii="Arial" w:hAnsi="Arial" w:cs="Arial"/>
          <w:sz w:val="18"/>
          <w:szCs w:val="18"/>
          <w:lang w:val="fr-CA"/>
        </w:rPr>
        <w:fldChar w:fldCharType="begin"/>
      </w:r>
      <w:r w:rsidR="00C5794B" w:rsidRPr="00BD22C2">
        <w:rPr>
          <w:rFonts w:ascii="Arial" w:hAnsi="Arial" w:cs="Arial"/>
          <w:sz w:val="18"/>
          <w:szCs w:val="18"/>
          <w:lang w:val="fr-CA"/>
        </w:rPr>
        <w:instrText xml:space="preserve"> NOTEREF _Ref167448445 \h </w:instrText>
      </w:r>
      <w:r w:rsidR="00C5794B" w:rsidRPr="00BD22C2">
        <w:rPr>
          <w:rFonts w:ascii="Arial" w:hAnsi="Arial" w:cs="Arial"/>
          <w:sz w:val="18"/>
          <w:szCs w:val="18"/>
          <w:lang w:val="fr-CA"/>
        </w:rPr>
      </w:r>
      <w:r w:rsidR="00C5794B" w:rsidRPr="00BD22C2">
        <w:rPr>
          <w:rFonts w:ascii="Arial" w:hAnsi="Arial" w:cs="Arial"/>
          <w:sz w:val="18"/>
          <w:szCs w:val="18"/>
          <w:lang w:val="fr-CA"/>
        </w:rPr>
        <w:fldChar w:fldCharType="separate"/>
      </w:r>
      <w:r w:rsidR="004B4881">
        <w:rPr>
          <w:rFonts w:ascii="Arial" w:hAnsi="Arial" w:cs="Arial"/>
          <w:sz w:val="18"/>
          <w:szCs w:val="18"/>
          <w:lang w:val="fr-CA"/>
        </w:rPr>
        <w:t>309</w:t>
      </w:r>
      <w:r w:rsidR="00C5794B" w:rsidRPr="00BD22C2">
        <w:rPr>
          <w:rFonts w:ascii="Arial" w:hAnsi="Arial" w:cs="Arial"/>
          <w:sz w:val="18"/>
          <w:szCs w:val="18"/>
          <w:lang w:val="fr-CA"/>
        </w:rPr>
        <w:fldChar w:fldCharType="end"/>
      </w:r>
      <w:r w:rsidR="00C5794B" w:rsidRPr="00BD22C2">
        <w:rPr>
          <w:rFonts w:ascii="Arial" w:hAnsi="Arial" w:cs="Arial"/>
          <w:sz w:val="18"/>
          <w:szCs w:val="18"/>
          <w:lang w:val="fr-CA"/>
        </w:rPr>
        <w:t>, par. 5</w:t>
      </w:r>
      <w:r w:rsidRPr="00BD22C2">
        <w:rPr>
          <w:rFonts w:ascii="Arial" w:hAnsi="Arial" w:cs="Arial"/>
          <w:sz w:val="18"/>
          <w:szCs w:val="18"/>
          <w:lang w:val="fr-CA"/>
        </w:rPr>
        <w:t>.</w:t>
      </w:r>
    </w:p>
  </w:endnote>
  <w:endnote w:id="319">
    <w:p w14:paraId="025F2EDF" w14:textId="7328B45E" w:rsidR="00D041C3" w:rsidRPr="00BD22C2" w:rsidRDefault="00D041C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C20AEF" w:rsidRPr="00BD22C2">
        <w:rPr>
          <w:rFonts w:ascii="Arial" w:hAnsi="Arial" w:cs="Arial"/>
          <w:sz w:val="18"/>
          <w:szCs w:val="18"/>
          <w:lang w:val="fr-CA"/>
        </w:rPr>
        <w:t xml:space="preserve">Annie </w:t>
      </w:r>
      <w:r w:rsidR="00C20AEF" w:rsidRPr="00BD22C2">
        <w:rPr>
          <w:rFonts w:ascii="Arial" w:hAnsi="Arial" w:cs="Arial"/>
          <w:smallCaps/>
          <w:sz w:val="18"/>
          <w:szCs w:val="18"/>
          <w:lang w:val="fr-CA"/>
        </w:rPr>
        <w:t>Pullen Sansfaçon</w:t>
      </w:r>
      <w:r w:rsidR="00C20AEF" w:rsidRPr="00BD22C2">
        <w:rPr>
          <w:rFonts w:ascii="Arial" w:hAnsi="Arial" w:cs="Arial"/>
          <w:sz w:val="18"/>
          <w:szCs w:val="18"/>
          <w:lang w:val="fr-CA"/>
        </w:rPr>
        <w:t xml:space="preserve">, Alexandre </w:t>
      </w:r>
      <w:r w:rsidR="00C20AEF" w:rsidRPr="00BD22C2">
        <w:rPr>
          <w:rFonts w:ascii="Arial" w:hAnsi="Arial" w:cs="Arial"/>
          <w:smallCaps/>
          <w:sz w:val="18"/>
          <w:szCs w:val="18"/>
          <w:lang w:val="fr-CA"/>
        </w:rPr>
        <w:t>Blanchet</w:t>
      </w:r>
      <w:r w:rsidR="00C20AEF" w:rsidRPr="00BD22C2">
        <w:rPr>
          <w:rFonts w:ascii="Arial" w:hAnsi="Arial" w:cs="Arial"/>
          <w:sz w:val="18"/>
          <w:szCs w:val="18"/>
          <w:lang w:val="fr-CA"/>
        </w:rPr>
        <w:t xml:space="preserve">, Ré </w:t>
      </w:r>
      <w:r w:rsidR="00C20AEF" w:rsidRPr="00BD22C2">
        <w:rPr>
          <w:rFonts w:ascii="Arial" w:hAnsi="Arial" w:cs="Arial"/>
          <w:smallCaps/>
          <w:sz w:val="18"/>
          <w:szCs w:val="18"/>
          <w:lang w:val="fr-CA"/>
        </w:rPr>
        <w:t>Poulin Ladouceur</w:t>
      </w:r>
      <w:r w:rsidR="00C20AEF" w:rsidRPr="00BD22C2">
        <w:rPr>
          <w:rFonts w:ascii="Arial" w:hAnsi="Arial" w:cs="Arial"/>
          <w:sz w:val="18"/>
          <w:szCs w:val="18"/>
          <w:lang w:val="fr-CA"/>
        </w:rPr>
        <w:t xml:space="preserve">, Josianne </w:t>
      </w:r>
      <w:r w:rsidR="00C20AEF" w:rsidRPr="00BD22C2">
        <w:rPr>
          <w:rFonts w:ascii="Arial" w:hAnsi="Arial" w:cs="Arial"/>
          <w:smallCaps/>
          <w:sz w:val="18"/>
          <w:szCs w:val="18"/>
          <w:lang w:val="fr-CA"/>
        </w:rPr>
        <w:t>Picard</w:t>
      </w:r>
      <w:r w:rsidR="00C20AEF" w:rsidRPr="00BD22C2">
        <w:rPr>
          <w:rFonts w:ascii="Arial" w:hAnsi="Arial" w:cs="Arial"/>
          <w:sz w:val="18"/>
          <w:szCs w:val="18"/>
          <w:lang w:val="fr-CA"/>
        </w:rPr>
        <w:t xml:space="preserve"> et Martin </w:t>
      </w:r>
      <w:r w:rsidR="00C20AEF" w:rsidRPr="00BD22C2">
        <w:rPr>
          <w:rFonts w:ascii="Arial" w:hAnsi="Arial" w:cs="Arial"/>
          <w:smallCaps/>
          <w:sz w:val="18"/>
          <w:szCs w:val="18"/>
          <w:lang w:val="fr-CA"/>
        </w:rPr>
        <w:t xml:space="preserve">Goyette, </w:t>
      </w:r>
      <w:r w:rsidR="00C5794B" w:rsidRPr="00BD22C2">
        <w:rPr>
          <w:rFonts w:ascii="Arial" w:hAnsi="Arial" w:cs="Arial"/>
          <w:i/>
          <w:iCs/>
          <w:sz w:val="18"/>
          <w:szCs w:val="18"/>
          <w:lang w:val="fr-CA"/>
        </w:rPr>
        <w:t>Id.,</w:t>
      </w:r>
      <w:r w:rsidR="00C20AEF" w:rsidRPr="00BD22C2">
        <w:rPr>
          <w:rFonts w:ascii="Arial" w:hAnsi="Arial" w:cs="Arial"/>
          <w:sz w:val="18"/>
          <w:szCs w:val="18"/>
          <w:lang w:val="fr-CA"/>
        </w:rPr>
        <w:t xml:space="preserve"> par. </w:t>
      </w:r>
      <w:r w:rsidRPr="00BD22C2">
        <w:rPr>
          <w:rFonts w:ascii="Arial" w:hAnsi="Arial" w:cs="Arial"/>
          <w:sz w:val="18"/>
          <w:szCs w:val="18"/>
          <w:lang w:val="fr-CA"/>
        </w:rPr>
        <w:t xml:space="preserve">28. </w:t>
      </w:r>
    </w:p>
  </w:endnote>
  <w:endnote w:id="320">
    <w:p w14:paraId="3AAC7AB0" w14:textId="7915209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bookmarkStart w:id="149" w:name="_Hlk165614575"/>
      <w:r w:rsidR="008C651F" w:rsidRPr="00BD22C2">
        <w:rPr>
          <w:rFonts w:ascii="Arial" w:hAnsi="Arial" w:cs="Arial"/>
          <w:sz w:val="18"/>
          <w:szCs w:val="18"/>
          <w:lang w:val="fr-CA"/>
        </w:rPr>
        <w:t>E</w:t>
      </w:r>
      <w:r w:rsidR="00F7267E" w:rsidRPr="00BD22C2">
        <w:rPr>
          <w:rFonts w:ascii="Arial" w:hAnsi="Arial" w:cs="Arial"/>
          <w:sz w:val="18"/>
          <w:szCs w:val="18"/>
          <w:lang w:val="fr-CA"/>
        </w:rPr>
        <w:t>li</w:t>
      </w:r>
      <w:r w:rsidR="008C651F" w:rsidRPr="00BD22C2">
        <w:rPr>
          <w:rFonts w:ascii="Arial" w:hAnsi="Arial" w:cs="Arial"/>
          <w:sz w:val="18"/>
          <w:szCs w:val="18"/>
          <w:lang w:val="fr-CA"/>
        </w:rPr>
        <w:t xml:space="preserve"> </w:t>
      </w:r>
      <w:r w:rsidR="008C651F" w:rsidRPr="00BD22C2">
        <w:rPr>
          <w:rFonts w:ascii="Arial" w:hAnsi="Arial" w:cs="Arial"/>
          <w:smallCaps/>
          <w:sz w:val="18"/>
          <w:szCs w:val="18"/>
          <w:lang w:val="fr-CA"/>
        </w:rPr>
        <w:t>Coleman</w:t>
      </w:r>
      <w:r w:rsidR="00F7267E" w:rsidRPr="00BD22C2">
        <w:rPr>
          <w:rFonts w:ascii="Arial" w:hAnsi="Arial" w:cs="Arial"/>
          <w:smallCaps/>
          <w:sz w:val="18"/>
          <w:szCs w:val="18"/>
          <w:lang w:val="fr-CA"/>
        </w:rPr>
        <w:t xml:space="preserve"> </w:t>
      </w:r>
      <w:r w:rsidR="00F7267E" w:rsidRPr="00BD22C2">
        <w:rPr>
          <w:rFonts w:ascii="Arial" w:hAnsi="Arial" w:cs="Arial"/>
          <w:sz w:val="18"/>
          <w:szCs w:val="18"/>
          <w:lang w:val="fr-CA"/>
        </w:rPr>
        <w:t>et al</w:t>
      </w:r>
      <w:r w:rsidR="00F7267E" w:rsidRPr="00BD22C2">
        <w:rPr>
          <w:rFonts w:ascii="Arial" w:hAnsi="Arial" w:cs="Arial"/>
          <w:smallCaps/>
          <w:sz w:val="18"/>
          <w:szCs w:val="18"/>
          <w:lang w:val="fr-CA"/>
        </w:rPr>
        <w:t xml:space="preserve">., </w:t>
      </w:r>
      <w:r w:rsidR="00F04B62" w:rsidRPr="00BD22C2">
        <w:rPr>
          <w:rFonts w:ascii="Arial" w:hAnsi="Arial" w:cs="Arial"/>
          <w:sz w:val="18"/>
          <w:szCs w:val="18"/>
          <w:lang w:val="fr-CA"/>
        </w:rPr>
        <w:t xml:space="preserve">préc., note </w:t>
      </w:r>
      <w:r w:rsidR="00F04B62" w:rsidRPr="00BD22C2">
        <w:rPr>
          <w:rFonts w:ascii="Arial" w:hAnsi="Arial" w:cs="Arial"/>
          <w:sz w:val="18"/>
          <w:szCs w:val="18"/>
          <w:lang w:val="fr-CA"/>
        </w:rPr>
        <w:fldChar w:fldCharType="begin"/>
      </w:r>
      <w:r w:rsidR="00F04B62" w:rsidRPr="00BD22C2">
        <w:rPr>
          <w:rFonts w:ascii="Arial" w:hAnsi="Arial" w:cs="Arial"/>
          <w:sz w:val="18"/>
          <w:szCs w:val="18"/>
          <w:lang w:val="fr-CA"/>
        </w:rPr>
        <w:instrText xml:space="preserve"> NOTEREF _Ref167356687 \h </w:instrText>
      </w:r>
      <w:r w:rsidR="00F04B62" w:rsidRPr="00BD22C2">
        <w:rPr>
          <w:rFonts w:ascii="Arial" w:hAnsi="Arial" w:cs="Arial"/>
          <w:sz w:val="18"/>
          <w:szCs w:val="18"/>
          <w:lang w:val="fr-CA"/>
        </w:rPr>
      </w:r>
      <w:r w:rsidR="00F04B62" w:rsidRPr="00BD22C2">
        <w:rPr>
          <w:rFonts w:ascii="Arial" w:hAnsi="Arial" w:cs="Arial"/>
          <w:sz w:val="18"/>
          <w:szCs w:val="18"/>
          <w:lang w:val="fr-CA"/>
        </w:rPr>
        <w:fldChar w:fldCharType="separate"/>
      </w:r>
      <w:r w:rsidR="004B4881">
        <w:rPr>
          <w:rFonts w:ascii="Arial" w:hAnsi="Arial" w:cs="Arial"/>
          <w:sz w:val="18"/>
          <w:szCs w:val="18"/>
          <w:lang w:val="fr-CA"/>
        </w:rPr>
        <w:t>43</w:t>
      </w:r>
      <w:r w:rsidR="00F04B62" w:rsidRPr="00BD22C2">
        <w:rPr>
          <w:rFonts w:ascii="Arial" w:hAnsi="Arial" w:cs="Arial"/>
          <w:sz w:val="18"/>
          <w:szCs w:val="18"/>
          <w:lang w:val="fr-CA"/>
        </w:rPr>
        <w:fldChar w:fldCharType="end"/>
      </w:r>
      <w:r w:rsidR="001E6DC3" w:rsidRPr="00BD22C2">
        <w:rPr>
          <w:rFonts w:ascii="Arial" w:hAnsi="Arial" w:cs="Arial"/>
          <w:sz w:val="18"/>
          <w:szCs w:val="18"/>
          <w:lang w:val="fr-CA"/>
        </w:rPr>
        <w:t xml:space="preserve">, </w:t>
      </w:r>
      <w:r w:rsidRPr="00BD22C2">
        <w:rPr>
          <w:rFonts w:ascii="Arial" w:hAnsi="Arial" w:cs="Arial"/>
          <w:sz w:val="18"/>
          <w:szCs w:val="18"/>
          <w:lang w:val="fr-CA"/>
        </w:rPr>
        <w:t>p. S 52</w:t>
      </w:r>
      <w:bookmarkEnd w:id="149"/>
      <w:r w:rsidR="001E6DC3" w:rsidRPr="00BD22C2">
        <w:rPr>
          <w:rFonts w:ascii="Arial" w:hAnsi="Arial" w:cs="Arial"/>
          <w:sz w:val="18"/>
          <w:szCs w:val="18"/>
          <w:lang w:val="fr-CA"/>
        </w:rPr>
        <w:t>.</w:t>
      </w:r>
    </w:p>
  </w:endnote>
  <w:endnote w:id="321">
    <w:p w14:paraId="05EB869C" w14:textId="0238AB3D"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5A40A8" w:rsidRPr="00E16C03">
        <w:rPr>
          <w:rFonts w:ascii="Arial" w:hAnsi="Arial" w:cs="Arial"/>
          <w:i/>
          <w:sz w:val="18"/>
          <w:szCs w:val="18"/>
          <w:lang w:val="en-CA"/>
        </w:rPr>
        <w:t>I</w:t>
      </w:r>
      <w:r w:rsidR="003D513E" w:rsidRPr="00E16C03">
        <w:rPr>
          <w:rFonts w:ascii="Arial" w:hAnsi="Arial" w:cs="Arial"/>
          <w:i/>
          <w:sz w:val="18"/>
          <w:szCs w:val="18"/>
          <w:lang w:val="en-CA"/>
        </w:rPr>
        <w:t>d</w:t>
      </w:r>
      <w:r w:rsidR="003D513E" w:rsidRPr="00E16C03">
        <w:rPr>
          <w:rFonts w:ascii="Arial" w:hAnsi="Arial" w:cs="Arial"/>
          <w:sz w:val="18"/>
          <w:szCs w:val="18"/>
          <w:lang w:val="en-CA"/>
        </w:rPr>
        <w:t>.</w:t>
      </w:r>
      <w:r w:rsidRPr="00E16C03">
        <w:rPr>
          <w:rFonts w:ascii="Arial" w:hAnsi="Arial" w:cs="Arial"/>
          <w:sz w:val="18"/>
          <w:szCs w:val="18"/>
          <w:lang w:val="en-CA"/>
        </w:rPr>
        <w:t>, p. S 53</w:t>
      </w:r>
      <w:r w:rsidR="00A353CB" w:rsidRPr="00E16C03">
        <w:rPr>
          <w:rFonts w:ascii="Arial" w:hAnsi="Arial" w:cs="Arial"/>
          <w:sz w:val="18"/>
          <w:szCs w:val="18"/>
          <w:lang w:val="en-CA"/>
        </w:rPr>
        <w:t>.</w:t>
      </w:r>
    </w:p>
  </w:endnote>
  <w:endnote w:id="322">
    <w:p w14:paraId="3797CBE4" w14:textId="579E688E" w:rsidR="00F7531E" w:rsidRPr="00F36528"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3D513E" w:rsidRPr="00E16C03">
        <w:rPr>
          <w:rFonts w:ascii="Arial" w:hAnsi="Arial" w:cs="Arial"/>
          <w:i/>
          <w:sz w:val="18"/>
          <w:szCs w:val="18"/>
          <w:lang w:val="en-CA"/>
        </w:rPr>
        <w:t>Id</w:t>
      </w:r>
      <w:r w:rsidR="003D513E" w:rsidRPr="00E16C03">
        <w:rPr>
          <w:rFonts w:ascii="Arial" w:hAnsi="Arial" w:cs="Arial"/>
          <w:sz w:val="18"/>
          <w:szCs w:val="18"/>
          <w:lang w:val="en-CA"/>
        </w:rPr>
        <w:t>.</w:t>
      </w:r>
      <w:r w:rsidR="00F04B62" w:rsidRPr="00E16C03">
        <w:rPr>
          <w:rFonts w:ascii="Arial" w:hAnsi="Arial" w:cs="Arial"/>
          <w:sz w:val="18"/>
          <w:szCs w:val="18"/>
          <w:lang w:val="en-CA"/>
        </w:rPr>
        <w:t xml:space="preserve"> V</w:t>
      </w:r>
      <w:r w:rsidR="003D513E" w:rsidRPr="00E16C03">
        <w:rPr>
          <w:rFonts w:ascii="Arial" w:hAnsi="Arial" w:cs="Arial"/>
          <w:sz w:val="18"/>
          <w:szCs w:val="18"/>
          <w:lang w:val="en-CA"/>
        </w:rPr>
        <w:t xml:space="preserve">oir aussi </w:t>
      </w:r>
      <w:r w:rsidR="00711D07" w:rsidRPr="00E16C03">
        <w:rPr>
          <w:rFonts w:ascii="Arial" w:hAnsi="Arial" w:cs="Arial"/>
          <w:sz w:val="18"/>
          <w:szCs w:val="18"/>
          <w:lang w:val="en-CA"/>
        </w:rPr>
        <w:t xml:space="preserve">Stephen T </w:t>
      </w:r>
      <w:r w:rsidR="00711D07" w:rsidRPr="00E16C03">
        <w:rPr>
          <w:rFonts w:ascii="Arial" w:hAnsi="Arial" w:cs="Arial"/>
          <w:smallCaps/>
          <w:sz w:val="18"/>
          <w:szCs w:val="18"/>
          <w:lang w:val="en-CA"/>
        </w:rPr>
        <w:t>Russell</w:t>
      </w:r>
      <w:r w:rsidR="00711D07" w:rsidRPr="00E16C03">
        <w:rPr>
          <w:rFonts w:ascii="Arial" w:hAnsi="Arial" w:cs="Arial"/>
          <w:sz w:val="18"/>
          <w:szCs w:val="18"/>
          <w:lang w:val="en-CA"/>
        </w:rPr>
        <w:t xml:space="preserve">, Amanda M </w:t>
      </w:r>
      <w:r w:rsidR="00711D07" w:rsidRPr="00E16C03">
        <w:rPr>
          <w:rFonts w:ascii="Arial" w:hAnsi="Arial" w:cs="Arial"/>
          <w:smallCaps/>
          <w:sz w:val="18"/>
          <w:szCs w:val="18"/>
          <w:lang w:val="en-CA"/>
        </w:rPr>
        <w:t>Pollitt</w:t>
      </w:r>
      <w:r w:rsidR="00711D07" w:rsidRPr="00E16C03">
        <w:rPr>
          <w:rFonts w:ascii="Arial" w:hAnsi="Arial" w:cs="Arial"/>
          <w:sz w:val="18"/>
          <w:szCs w:val="18"/>
          <w:lang w:val="en-CA"/>
        </w:rPr>
        <w:t xml:space="preserve">, Gu </w:t>
      </w:r>
      <w:r w:rsidR="00711D07" w:rsidRPr="00E16C03">
        <w:rPr>
          <w:rFonts w:ascii="Arial" w:hAnsi="Arial" w:cs="Arial"/>
          <w:smallCaps/>
          <w:sz w:val="18"/>
          <w:szCs w:val="18"/>
          <w:lang w:val="en-CA"/>
        </w:rPr>
        <w:t>Li</w:t>
      </w:r>
      <w:r w:rsidR="00711D07" w:rsidRPr="00E16C03">
        <w:rPr>
          <w:rFonts w:ascii="Arial" w:hAnsi="Arial" w:cs="Arial"/>
          <w:sz w:val="18"/>
          <w:szCs w:val="18"/>
          <w:lang w:val="en-CA"/>
        </w:rPr>
        <w:t xml:space="preserve">, Arnold H </w:t>
      </w:r>
      <w:r w:rsidR="00711D07" w:rsidRPr="00E16C03">
        <w:rPr>
          <w:rFonts w:ascii="Arial" w:hAnsi="Arial" w:cs="Arial"/>
          <w:smallCaps/>
          <w:sz w:val="18"/>
          <w:szCs w:val="18"/>
          <w:lang w:val="en-CA"/>
        </w:rPr>
        <w:t>Grossman</w:t>
      </w:r>
      <w:r w:rsidR="008C735A" w:rsidRPr="00E16C03">
        <w:rPr>
          <w:rFonts w:ascii="Arial" w:hAnsi="Arial" w:cs="Arial"/>
          <w:smallCaps/>
          <w:sz w:val="18"/>
          <w:szCs w:val="18"/>
          <w:lang w:val="en-CA"/>
        </w:rPr>
        <w:t>,</w:t>
      </w:r>
      <w:r w:rsidR="00711D07" w:rsidRPr="00E16C03">
        <w:rPr>
          <w:rFonts w:ascii="Arial" w:hAnsi="Arial" w:cs="Arial"/>
          <w:sz w:val="18"/>
          <w:szCs w:val="18"/>
          <w:lang w:val="en-CA"/>
        </w:rPr>
        <w:t xml:space="preserve"> «</w:t>
      </w:r>
      <w:r w:rsidR="0051216B" w:rsidRPr="00E16C03">
        <w:rPr>
          <w:rFonts w:ascii="Arial" w:hAnsi="Arial" w:cs="Arial"/>
          <w:sz w:val="18"/>
          <w:szCs w:val="18"/>
          <w:lang w:val="en-CA"/>
        </w:rPr>
        <w:t> </w:t>
      </w:r>
      <w:r w:rsidR="00D15F5A" w:rsidRPr="00E16C03">
        <w:rPr>
          <w:rFonts w:ascii="Arial" w:hAnsi="Arial" w:cs="Arial"/>
          <w:sz w:val="18"/>
          <w:szCs w:val="18"/>
          <w:lang w:val="en-CA"/>
        </w:rPr>
        <w:t>Chosen name use is linked to reduced depressive symptoms, suicidal ideation, and suicidal behavior among transgender youth</w:t>
      </w:r>
      <w:r w:rsidR="0051216B" w:rsidRPr="00E16C03">
        <w:rPr>
          <w:rFonts w:ascii="Arial" w:hAnsi="Arial" w:cs="Arial"/>
          <w:sz w:val="18"/>
          <w:szCs w:val="18"/>
          <w:lang w:val="en-CA"/>
        </w:rPr>
        <w:t> </w:t>
      </w:r>
      <w:r w:rsidR="007A156D" w:rsidRPr="00E16C03">
        <w:rPr>
          <w:rFonts w:ascii="Arial" w:hAnsi="Arial" w:cs="Arial"/>
          <w:sz w:val="18"/>
          <w:szCs w:val="18"/>
          <w:lang w:val="en-CA"/>
        </w:rPr>
        <w:t>», (2018)</w:t>
      </w:r>
      <w:r w:rsidR="00D15F5A" w:rsidRPr="00E16C03">
        <w:rPr>
          <w:rFonts w:ascii="Arial" w:hAnsi="Arial" w:cs="Arial"/>
          <w:sz w:val="18"/>
          <w:szCs w:val="18"/>
          <w:lang w:val="en-CA"/>
        </w:rPr>
        <w:t xml:space="preserve"> </w:t>
      </w:r>
      <w:r w:rsidR="00D15F5A" w:rsidRPr="003212E6">
        <w:rPr>
          <w:rFonts w:ascii="Arial" w:hAnsi="Arial" w:cs="Arial"/>
          <w:i/>
          <w:sz w:val="18"/>
          <w:szCs w:val="18"/>
          <w:lang w:val="en-CA"/>
        </w:rPr>
        <w:t>Journal of Adolescent Health</w:t>
      </w:r>
      <w:r w:rsidR="00D15F5A" w:rsidRPr="00E16C03">
        <w:rPr>
          <w:rFonts w:ascii="Arial" w:hAnsi="Arial" w:cs="Arial"/>
          <w:sz w:val="18"/>
          <w:szCs w:val="18"/>
          <w:lang w:val="en-CA"/>
        </w:rPr>
        <w:t>, 6 3 (4), 503</w:t>
      </w:r>
      <w:r w:rsidR="00C36F1A">
        <w:rPr>
          <w:rFonts w:ascii="Arial" w:hAnsi="Arial" w:cs="Arial"/>
          <w:sz w:val="18"/>
          <w:szCs w:val="18"/>
          <w:lang w:val="en-CA"/>
        </w:rPr>
        <w:t xml:space="preserve"> à </w:t>
      </w:r>
      <w:r w:rsidR="00D15F5A" w:rsidRPr="00E16C03">
        <w:rPr>
          <w:rFonts w:ascii="Arial" w:hAnsi="Arial" w:cs="Arial"/>
          <w:sz w:val="18"/>
          <w:szCs w:val="18"/>
          <w:lang w:val="en-CA"/>
        </w:rPr>
        <w:t>505</w:t>
      </w:r>
      <w:r w:rsidR="007A156D" w:rsidRPr="00E16C03">
        <w:rPr>
          <w:rFonts w:ascii="Arial" w:hAnsi="Arial" w:cs="Arial"/>
          <w:sz w:val="18"/>
          <w:szCs w:val="18"/>
          <w:lang w:val="en-CA"/>
        </w:rPr>
        <w:t xml:space="preserve">, </w:t>
      </w:r>
      <w:r w:rsidR="003212E6">
        <w:rPr>
          <w:rFonts w:ascii="Arial" w:hAnsi="Arial" w:cs="Arial"/>
          <w:sz w:val="18"/>
          <w:szCs w:val="18"/>
          <w:lang w:val="en-CA"/>
        </w:rPr>
        <w:t>[E</w:t>
      </w:r>
      <w:r w:rsidR="007A156D" w:rsidRPr="00E16C03">
        <w:rPr>
          <w:rFonts w:ascii="Arial" w:hAnsi="Arial" w:cs="Arial"/>
          <w:sz w:val="18"/>
          <w:szCs w:val="18"/>
          <w:lang w:val="en-CA"/>
        </w:rPr>
        <w:t>n ligne</w:t>
      </w:r>
      <w:r w:rsidR="003212E6">
        <w:rPr>
          <w:rFonts w:ascii="Arial" w:hAnsi="Arial" w:cs="Arial"/>
          <w:sz w:val="18"/>
          <w:szCs w:val="18"/>
          <w:lang w:val="en-CA"/>
        </w:rPr>
        <w:t>].</w:t>
      </w:r>
      <w:r w:rsidR="007A156D" w:rsidRPr="00E16C03">
        <w:rPr>
          <w:rFonts w:ascii="Arial" w:hAnsi="Arial" w:cs="Arial"/>
          <w:sz w:val="18"/>
          <w:szCs w:val="18"/>
          <w:lang w:val="en-CA"/>
        </w:rPr>
        <w:t xml:space="preserve"> </w:t>
      </w:r>
      <w:hyperlink r:id="rId109" w:history="1">
        <w:r w:rsidR="002829F7" w:rsidRPr="00E16C03">
          <w:rPr>
            <w:rStyle w:val="Lienhypertexte"/>
            <w:rFonts w:ascii="Arial" w:hAnsi="Arial" w:cs="Arial"/>
            <w:sz w:val="18"/>
            <w:szCs w:val="18"/>
            <w:lang w:val="en-CA"/>
          </w:rPr>
          <w:t>https://pubmed.ncbi.nlm.nih.gov/29609917/</w:t>
        </w:r>
      </w:hyperlink>
      <w:r w:rsidR="003212E6">
        <w:rPr>
          <w:rFonts w:ascii="Arial" w:hAnsi="Arial" w:cs="Arial"/>
          <w:sz w:val="18"/>
          <w:szCs w:val="18"/>
          <w:lang w:val="en-CA"/>
        </w:rPr>
        <w:t xml:space="preserve"> </w:t>
      </w:r>
      <w:r w:rsidR="00912073" w:rsidRPr="00E16C03">
        <w:rPr>
          <w:rFonts w:ascii="Arial" w:hAnsi="Arial" w:cs="Arial"/>
          <w:sz w:val="18"/>
          <w:szCs w:val="18"/>
          <w:lang w:val="en-CA"/>
        </w:rPr>
        <w:t xml:space="preserve">; </w:t>
      </w:r>
      <w:r w:rsidR="00F1548C" w:rsidRPr="00E16C03">
        <w:rPr>
          <w:rFonts w:ascii="Arial" w:hAnsi="Arial" w:cs="Arial"/>
          <w:sz w:val="18"/>
          <w:szCs w:val="18"/>
          <w:lang w:val="en-CA"/>
        </w:rPr>
        <w:t xml:space="preserve">Caitlyn </w:t>
      </w:r>
      <w:r w:rsidR="00912073" w:rsidRPr="00E16C03">
        <w:rPr>
          <w:rFonts w:ascii="Arial" w:hAnsi="Arial" w:cs="Arial"/>
          <w:smallCaps/>
          <w:sz w:val="18"/>
          <w:szCs w:val="18"/>
          <w:lang w:val="en-CA"/>
        </w:rPr>
        <w:t>Ryan</w:t>
      </w:r>
      <w:r w:rsidR="00912073" w:rsidRPr="00E16C03">
        <w:rPr>
          <w:rFonts w:ascii="Arial" w:hAnsi="Arial" w:cs="Arial"/>
          <w:sz w:val="18"/>
          <w:szCs w:val="18"/>
          <w:lang w:val="en-CA"/>
        </w:rPr>
        <w:t>,</w:t>
      </w:r>
      <w:r w:rsidR="00D9375C" w:rsidRPr="00E16C03">
        <w:rPr>
          <w:rFonts w:ascii="Arial" w:hAnsi="Arial" w:cs="Arial"/>
          <w:sz w:val="18"/>
          <w:szCs w:val="18"/>
          <w:lang w:val="en-CA"/>
        </w:rPr>
        <w:t> «</w:t>
      </w:r>
      <w:r w:rsidR="0051216B" w:rsidRPr="00E16C03">
        <w:rPr>
          <w:rFonts w:ascii="Arial" w:hAnsi="Arial" w:cs="Arial"/>
          <w:sz w:val="18"/>
          <w:szCs w:val="18"/>
          <w:lang w:val="en-CA"/>
        </w:rPr>
        <w:t> </w:t>
      </w:r>
      <w:r w:rsidR="00912073" w:rsidRPr="00E16C03">
        <w:rPr>
          <w:rFonts w:ascii="Arial" w:hAnsi="Arial" w:cs="Arial"/>
          <w:sz w:val="18"/>
          <w:szCs w:val="18"/>
          <w:lang w:val="en-CA"/>
        </w:rPr>
        <w:t>Supportive families, healthy children: Helping families with lesbian, gay, bisexual &amp; transgender (LGBT) children</w:t>
      </w:r>
      <w:r w:rsidR="0051216B" w:rsidRPr="00E16C03">
        <w:rPr>
          <w:rFonts w:ascii="Arial" w:hAnsi="Arial" w:cs="Arial"/>
          <w:sz w:val="18"/>
          <w:szCs w:val="18"/>
          <w:lang w:val="en-CA"/>
        </w:rPr>
        <w:t> </w:t>
      </w:r>
      <w:r w:rsidR="00D9375C" w:rsidRPr="00E16C03">
        <w:rPr>
          <w:rFonts w:ascii="Arial" w:hAnsi="Arial" w:cs="Arial"/>
          <w:sz w:val="18"/>
          <w:szCs w:val="18"/>
          <w:lang w:val="en-CA"/>
        </w:rPr>
        <w:t xml:space="preserve">», (2009), </w:t>
      </w:r>
      <w:r w:rsidR="00F36528">
        <w:rPr>
          <w:rFonts w:ascii="Arial" w:hAnsi="Arial" w:cs="Arial"/>
          <w:sz w:val="18"/>
          <w:szCs w:val="18"/>
          <w:lang w:val="en-CA"/>
        </w:rPr>
        <w:t>[E</w:t>
      </w:r>
      <w:r w:rsidR="00201D16" w:rsidRPr="00E16C03">
        <w:rPr>
          <w:rFonts w:ascii="Arial" w:hAnsi="Arial" w:cs="Arial"/>
          <w:sz w:val="18"/>
          <w:szCs w:val="18"/>
          <w:lang w:val="en-CA"/>
        </w:rPr>
        <w:t>n ligne</w:t>
      </w:r>
      <w:r w:rsidR="00F36528">
        <w:rPr>
          <w:rFonts w:ascii="Arial" w:hAnsi="Arial" w:cs="Arial"/>
          <w:sz w:val="18"/>
          <w:szCs w:val="18"/>
          <w:lang w:val="en-CA"/>
        </w:rPr>
        <w:t>].</w:t>
      </w:r>
      <w:r w:rsidR="00201D16" w:rsidRPr="00E16C03">
        <w:rPr>
          <w:rFonts w:ascii="Arial" w:hAnsi="Arial" w:cs="Arial"/>
          <w:sz w:val="18"/>
          <w:szCs w:val="18"/>
          <w:lang w:val="en-CA"/>
        </w:rPr>
        <w:t xml:space="preserve"> </w:t>
      </w:r>
      <w:hyperlink r:id="rId110" w:history="1">
        <w:r w:rsidR="00DD2066" w:rsidRPr="00F36528">
          <w:rPr>
            <w:rStyle w:val="Lienhypertexte"/>
            <w:rFonts w:ascii="Arial" w:hAnsi="Arial" w:cs="Arial"/>
            <w:sz w:val="18"/>
            <w:szCs w:val="18"/>
            <w:lang w:val="fr-CA"/>
          </w:rPr>
          <w:t>https://familyproject.sfsu.edu/sites/default/files/documents/FAP_English%20Booklet_pst.pdf</w:t>
        </w:r>
      </w:hyperlink>
      <w:r w:rsidR="00DD0A6E" w:rsidRPr="00F36528">
        <w:rPr>
          <w:rFonts w:ascii="Arial" w:hAnsi="Arial" w:cs="Arial"/>
          <w:sz w:val="18"/>
          <w:szCs w:val="18"/>
          <w:lang w:val="fr-CA"/>
        </w:rPr>
        <w:t xml:space="preserve"> </w:t>
      </w:r>
      <w:r w:rsidR="00F36528" w:rsidRPr="00F36528">
        <w:rPr>
          <w:rFonts w:ascii="Arial" w:hAnsi="Arial" w:cs="Arial"/>
          <w:smallCaps/>
          <w:sz w:val="18"/>
          <w:szCs w:val="18"/>
          <w:lang w:val="fr-CA"/>
        </w:rPr>
        <w:t xml:space="preserve">; </w:t>
      </w:r>
      <w:r w:rsidR="00F36528">
        <w:rPr>
          <w:rFonts w:ascii="Arial" w:hAnsi="Arial" w:cs="Arial"/>
          <w:smallCaps/>
          <w:sz w:val="18"/>
          <w:szCs w:val="18"/>
          <w:lang w:val="fr-CA"/>
        </w:rPr>
        <w:t>S</w:t>
      </w:r>
      <w:r w:rsidR="00F36528" w:rsidRPr="00F36528">
        <w:rPr>
          <w:rFonts w:ascii="Arial" w:hAnsi="Arial" w:cs="Arial"/>
          <w:smallCaps/>
          <w:sz w:val="18"/>
          <w:szCs w:val="18"/>
          <w:lang w:val="fr-CA"/>
        </w:rPr>
        <w:t xml:space="preserve">ociété canadienne de pédiatrie </w:t>
      </w:r>
      <w:r w:rsidR="00F36528">
        <w:rPr>
          <w:rFonts w:ascii="Arial" w:hAnsi="Arial" w:cs="Arial"/>
          <w:smallCaps/>
          <w:sz w:val="18"/>
          <w:szCs w:val="18"/>
          <w:lang w:val="fr-CA"/>
        </w:rPr>
        <w:t>(A</w:t>
      </w:r>
      <w:r w:rsidR="00F36528" w:rsidRPr="00F36528">
        <w:rPr>
          <w:rFonts w:ascii="Arial" w:hAnsi="Arial" w:cs="Arial"/>
          <w:smallCaps/>
          <w:sz w:val="18"/>
          <w:szCs w:val="18"/>
          <w:lang w:val="fr-CA"/>
        </w:rPr>
        <w:t xml:space="preserve">shley </w:t>
      </w:r>
      <w:r w:rsidR="00F36528">
        <w:rPr>
          <w:rFonts w:ascii="Arial" w:hAnsi="Arial" w:cs="Arial"/>
          <w:smallCaps/>
          <w:sz w:val="18"/>
          <w:szCs w:val="18"/>
          <w:lang w:val="fr-CA"/>
        </w:rPr>
        <w:t>V</w:t>
      </w:r>
      <w:r w:rsidR="00F36528" w:rsidRPr="00F36528">
        <w:rPr>
          <w:rFonts w:ascii="Arial" w:hAnsi="Arial" w:cs="Arial"/>
          <w:smallCaps/>
          <w:sz w:val="18"/>
          <w:szCs w:val="18"/>
          <w:lang w:val="fr-CA"/>
        </w:rPr>
        <w:t xml:space="preserve">andermorris et </w:t>
      </w:r>
      <w:r w:rsidR="00F36528">
        <w:rPr>
          <w:rFonts w:ascii="Arial" w:hAnsi="Arial" w:cs="Arial"/>
          <w:smallCaps/>
          <w:sz w:val="18"/>
          <w:szCs w:val="18"/>
          <w:lang w:val="fr-CA"/>
        </w:rPr>
        <w:t>D</w:t>
      </w:r>
      <w:r w:rsidR="00F36528" w:rsidRPr="00F36528">
        <w:rPr>
          <w:rFonts w:ascii="Arial" w:hAnsi="Arial" w:cs="Arial"/>
          <w:smallCaps/>
          <w:sz w:val="18"/>
          <w:szCs w:val="18"/>
          <w:lang w:val="fr-CA"/>
        </w:rPr>
        <w:t xml:space="preserve">aniel </w:t>
      </w:r>
      <w:r w:rsidR="00F36528">
        <w:rPr>
          <w:rFonts w:ascii="Arial" w:hAnsi="Arial" w:cs="Arial"/>
          <w:smallCaps/>
          <w:sz w:val="18"/>
          <w:szCs w:val="18"/>
          <w:lang w:val="fr-CA"/>
        </w:rPr>
        <w:t>L.</w:t>
      </w:r>
      <w:r w:rsidR="00F36528" w:rsidRPr="00F36528">
        <w:rPr>
          <w:rFonts w:ascii="Arial" w:hAnsi="Arial" w:cs="Arial"/>
          <w:smallCaps/>
          <w:sz w:val="18"/>
          <w:szCs w:val="18"/>
          <w:lang w:val="fr-CA"/>
        </w:rPr>
        <w:t xml:space="preserve"> </w:t>
      </w:r>
      <w:r w:rsidR="00F36528">
        <w:rPr>
          <w:rFonts w:ascii="Arial" w:hAnsi="Arial" w:cs="Arial"/>
          <w:smallCaps/>
          <w:sz w:val="18"/>
          <w:szCs w:val="18"/>
          <w:lang w:val="fr-CA"/>
        </w:rPr>
        <w:t>M</w:t>
      </w:r>
      <w:r w:rsidR="00F36528" w:rsidRPr="00F36528">
        <w:rPr>
          <w:rFonts w:ascii="Arial" w:hAnsi="Arial" w:cs="Arial"/>
          <w:smallCaps/>
          <w:sz w:val="18"/>
          <w:szCs w:val="18"/>
          <w:lang w:val="fr-CA"/>
        </w:rPr>
        <w:t>etzger</w:t>
      </w:r>
      <w:r w:rsidR="00DE72A9" w:rsidRPr="00F36528">
        <w:rPr>
          <w:rFonts w:ascii="Arial" w:hAnsi="Arial" w:cs="Arial"/>
          <w:smallCaps/>
          <w:sz w:val="18"/>
          <w:szCs w:val="18"/>
          <w:lang w:val="fr-CA"/>
        </w:rPr>
        <w:t>)</w:t>
      </w:r>
      <w:r w:rsidR="00DE72A9" w:rsidRPr="00F36528">
        <w:rPr>
          <w:rFonts w:ascii="Arial" w:hAnsi="Arial" w:cs="Arial"/>
          <w:sz w:val="18"/>
          <w:szCs w:val="18"/>
          <w:lang w:val="fr-CA"/>
        </w:rPr>
        <w:t>, préc., note</w:t>
      </w:r>
      <w:r w:rsidR="00CE1914">
        <w:rPr>
          <w:rFonts w:ascii="Arial" w:hAnsi="Arial" w:cs="Arial"/>
          <w:sz w:val="18"/>
          <w:szCs w:val="18"/>
          <w:lang w:val="fr-CA"/>
        </w:rPr>
        <w:t> </w:t>
      </w:r>
      <w:r w:rsidR="00DE72A9" w:rsidRPr="00F36528">
        <w:rPr>
          <w:rFonts w:ascii="Arial" w:hAnsi="Arial" w:cs="Arial"/>
          <w:sz w:val="18"/>
          <w:szCs w:val="18"/>
          <w:lang w:val="fr-CA"/>
        </w:rPr>
        <w:t>84</w:t>
      </w:r>
      <w:r w:rsidR="00F36528">
        <w:rPr>
          <w:rFonts w:ascii="Arial" w:hAnsi="Arial" w:cs="Arial"/>
          <w:sz w:val="18"/>
          <w:szCs w:val="18"/>
          <w:lang w:val="fr-CA"/>
        </w:rPr>
        <w:t>.</w:t>
      </w:r>
    </w:p>
  </w:endnote>
  <w:endnote w:id="323">
    <w:p w14:paraId="5575ACAA" w14:textId="5FDE11C2"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05051" w:rsidRPr="00BD22C2">
        <w:rPr>
          <w:rFonts w:ascii="Arial" w:hAnsi="Arial" w:cs="Arial"/>
          <w:sz w:val="18"/>
          <w:szCs w:val="18"/>
          <w:lang w:val="fr-CA"/>
        </w:rPr>
        <w:t xml:space="preserve">Eli </w:t>
      </w:r>
      <w:r w:rsidR="00505051" w:rsidRPr="00BD22C2">
        <w:rPr>
          <w:rFonts w:ascii="Arial" w:hAnsi="Arial" w:cs="Arial"/>
          <w:smallCaps/>
          <w:sz w:val="18"/>
          <w:szCs w:val="18"/>
          <w:lang w:val="fr-CA"/>
        </w:rPr>
        <w:t>Coleman</w:t>
      </w:r>
      <w:r w:rsidR="008E3CC1" w:rsidRPr="00BD22C2">
        <w:rPr>
          <w:rFonts w:ascii="Arial" w:hAnsi="Arial" w:cs="Arial"/>
          <w:smallCaps/>
          <w:sz w:val="18"/>
          <w:szCs w:val="18"/>
          <w:lang w:val="fr-CA"/>
        </w:rPr>
        <w:t xml:space="preserve"> </w:t>
      </w:r>
      <w:r w:rsidR="008E3CC1" w:rsidRPr="00BD22C2">
        <w:rPr>
          <w:rFonts w:ascii="Arial" w:hAnsi="Arial" w:cs="Arial"/>
          <w:sz w:val="18"/>
          <w:szCs w:val="18"/>
          <w:lang w:val="fr-CA"/>
        </w:rPr>
        <w:t>et al</w:t>
      </w:r>
      <w:r w:rsidR="008E3CC1" w:rsidRPr="00BD22C2">
        <w:rPr>
          <w:rFonts w:ascii="Arial" w:hAnsi="Arial" w:cs="Arial"/>
          <w:smallCaps/>
          <w:sz w:val="18"/>
          <w:szCs w:val="18"/>
          <w:lang w:val="fr-CA"/>
        </w:rPr>
        <w:t>.,</w:t>
      </w:r>
      <w:r w:rsidR="009456FD" w:rsidRPr="00BD22C2">
        <w:rPr>
          <w:rFonts w:ascii="Arial" w:hAnsi="Arial" w:cs="Arial"/>
          <w:smallCaps/>
          <w:sz w:val="18"/>
          <w:szCs w:val="18"/>
          <w:lang w:val="fr-CA"/>
        </w:rPr>
        <w:t xml:space="preserve"> </w:t>
      </w:r>
      <w:r w:rsidR="009456FD" w:rsidRPr="00BD22C2">
        <w:rPr>
          <w:rFonts w:ascii="Arial" w:hAnsi="Arial" w:cs="Arial"/>
          <w:sz w:val="18"/>
          <w:szCs w:val="18"/>
          <w:lang w:val="fr-CA"/>
        </w:rPr>
        <w:t xml:space="preserve">préc., note </w:t>
      </w:r>
      <w:r w:rsidR="009456FD" w:rsidRPr="00BD22C2">
        <w:rPr>
          <w:rFonts w:ascii="Arial" w:hAnsi="Arial" w:cs="Arial"/>
          <w:sz w:val="18"/>
          <w:szCs w:val="18"/>
          <w:lang w:val="fr-CA"/>
        </w:rPr>
        <w:fldChar w:fldCharType="begin"/>
      </w:r>
      <w:r w:rsidR="009456FD" w:rsidRPr="00BD22C2">
        <w:rPr>
          <w:rFonts w:ascii="Arial" w:hAnsi="Arial" w:cs="Arial"/>
          <w:sz w:val="18"/>
          <w:szCs w:val="18"/>
          <w:lang w:val="fr-CA"/>
        </w:rPr>
        <w:instrText xml:space="preserve"> NOTEREF _Ref167356687 \h </w:instrText>
      </w:r>
      <w:r w:rsidR="009456FD" w:rsidRPr="00BD22C2">
        <w:rPr>
          <w:rFonts w:ascii="Arial" w:hAnsi="Arial" w:cs="Arial"/>
          <w:sz w:val="18"/>
          <w:szCs w:val="18"/>
          <w:lang w:val="fr-CA"/>
        </w:rPr>
      </w:r>
      <w:r w:rsidR="009456FD" w:rsidRPr="00BD22C2">
        <w:rPr>
          <w:rFonts w:ascii="Arial" w:hAnsi="Arial" w:cs="Arial"/>
          <w:sz w:val="18"/>
          <w:szCs w:val="18"/>
          <w:lang w:val="fr-CA"/>
        </w:rPr>
        <w:fldChar w:fldCharType="separate"/>
      </w:r>
      <w:r w:rsidR="004B4881">
        <w:rPr>
          <w:rFonts w:ascii="Arial" w:hAnsi="Arial" w:cs="Arial"/>
          <w:sz w:val="18"/>
          <w:szCs w:val="18"/>
          <w:lang w:val="fr-CA"/>
        </w:rPr>
        <w:t>43</w:t>
      </w:r>
      <w:r w:rsidR="009456FD" w:rsidRPr="00BD22C2">
        <w:rPr>
          <w:rFonts w:ascii="Arial" w:hAnsi="Arial" w:cs="Arial"/>
          <w:sz w:val="18"/>
          <w:szCs w:val="18"/>
          <w:lang w:val="fr-CA"/>
        </w:rPr>
        <w:fldChar w:fldCharType="end"/>
      </w:r>
      <w:r w:rsidR="008E3CC1" w:rsidRPr="00BD22C2">
        <w:rPr>
          <w:rFonts w:ascii="Arial" w:hAnsi="Arial" w:cs="Arial"/>
          <w:sz w:val="18"/>
          <w:szCs w:val="18"/>
          <w:lang w:val="fr-CA"/>
        </w:rPr>
        <w:t xml:space="preserve">, p. </w:t>
      </w:r>
      <w:r w:rsidR="006E2B0D" w:rsidRPr="00BD22C2">
        <w:rPr>
          <w:rFonts w:ascii="Arial" w:hAnsi="Arial" w:cs="Arial"/>
          <w:sz w:val="18"/>
          <w:szCs w:val="18"/>
          <w:lang w:val="fr-CA"/>
        </w:rPr>
        <w:t>S</w:t>
      </w:r>
      <w:r w:rsidR="008E3CC1" w:rsidRPr="00BD22C2">
        <w:rPr>
          <w:rFonts w:ascii="Arial" w:hAnsi="Arial" w:cs="Arial"/>
          <w:sz w:val="18"/>
          <w:szCs w:val="18"/>
          <w:lang w:val="fr-CA"/>
        </w:rPr>
        <w:t> </w:t>
      </w:r>
      <w:r w:rsidR="006E2B0D" w:rsidRPr="00BD22C2">
        <w:rPr>
          <w:rFonts w:ascii="Arial" w:hAnsi="Arial" w:cs="Arial"/>
          <w:sz w:val="18"/>
          <w:szCs w:val="18"/>
          <w:lang w:val="fr-CA"/>
        </w:rPr>
        <w:t>51</w:t>
      </w:r>
      <w:r w:rsidR="008C735A" w:rsidRPr="00BD22C2">
        <w:rPr>
          <w:rFonts w:ascii="Arial" w:hAnsi="Arial" w:cs="Arial"/>
          <w:sz w:val="18"/>
          <w:szCs w:val="18"/>
          <w:lang w:val="fr-CA"/>
        </w:rPr>
        <w:t>.</w:t>
      </w:r>
    </w:p>
  </w:endnote>
  <w:endnote w:id="324">
    <w:p w14:paraId="1D1FC026" w14:textId="19160C2B" w:rsidR="009A2A07" w:rsidRPr="00F11979" w:rsidRDefault="009A2A07" w:rsidP="00F11979">
      <w:pPr>
        <w:pStyle w:val="Notedebasdepage"/>
        <w:rPr>
          <w:lang w:val="en-CA"/>
        </w:rPr>
      </w:pPr>
      <w:r w:rsidRPr="00F11979">
        <w:rPr>
          <w:rStyle w:val="Appeldenotedefin"/>
          <w:lang w:val="fr-CA"/>
        </w:rPr>
        <w:endnoteRef/>
      </w:r>
      <w:r w:rsidRPr="00F11979">
        <w:rPr>
          <w:lang w:val="en-CA"/>
        </w:rPr>
        <w:t xml:space="preserve"> </w:t>
      </w:r>
      <w:r w:rsidR="006C5995" w:rsidRPr="00F11979">
        <w:rPr>
          <w:lang w:val="en-CA"/>
        </w:rPr>
        <w:tab/>
      </w:r>
      <w:r w:rsidR="00DF5E03" w:rsidRPr="00E16C03">
        <w:rPr>
          <w:rFonts w:cs="Arial"/>
          <w:smallCaps/>
          <w:szCs w:val="18"/>
          <w:lang w:val="en-CA"/>
        </w:rPr>
        <w:t>Independent review of gender identity services for children and young people</w:t>
      </w:r>
      <w:r w:rsidR="00DF5E03" w:rsidRPr="00E16C03">
        <w:rPr>
          <w:rFonts w:cs="Arial"/>
          <w:szCs w:val="18"/>
          <w:lang w:val="en-CA"/>
        </w:rPr>
        <w:t xml:space="preserve">, préc., note </w:t>
      </w:r>
      <w:r w:rsidR="00DF5E03" w:rsidRPr="00F11979">
        <w:rPr>
          <w:rFonts w:cs="Arial"/>
          <w:szCs w:val="18"/>
          <w:lang w:val="fr-CA"/>
        </w:rPr>
        <w:fldChar w:fldCharType="begin"/>
      </w:r>
      <w:r w:rsidR="00DF5E03" w:rsidRPr="00E16C03">
        <w:rPr>
          <w:rFonts w:cs="Arial"/>
          <w:szCs w:val="18"/>
          <w:lang w:val="en-CA"/>
        </w:rPr>
        <w:instrText xml:space="preserve"> NOTEREF _Ref167352469 \h  \* MERGEFORMAT </w:instrText>
      </w:r>
      <w:r w:rsidR="00DF5E03" w:rsidRPr="00F11979">
        <w:rPr>
          <w:rFonts w:cs="Arial"/>
          <w:szCs w:val="18"/>
          <w:lang w:val="fr-CA"/>
        </w:rPr>
      </w:r>
      <w:r w:rsidR="00DF5E03" w:rsidRPr="00F11979">
        <w:rPr>
          <w:rFonts w:cs="Arial"/>
          <w:szCs w:val="18"/>
          <w:lang w:val="fr-CA"/>
        </w:rPr>
        <w:fldChar w:fldCharType="separate"/>
      </w:r>
      <w:r w:rsidR="004B4881">
        <w:rPr>
          <w:rFonts w:cs="Arial"/>
          <w:szCs w:val="18"/>
          <w:lang w:val="en-CA"/>
        </w:rPr>
        <w:t>89</w:t>
      </w:r>
      <w:r w:rsidR="00DF5E03" w:rsidRPr="00F11979">
        <w:rPr>
          <w:rFonts w:cs="Arial"/>
          <w:szCs w:val="18"/>
          <w:lang w:val="fr-CA"/>
        </w:rPr>
        <w:fldChar w:fldCharType="end"/>
      </w:r>
      <w:r w:rsidR="00DF5E03" w:rsidRPr="00E16C03">
        <w:rPr>
          <w:rFonts w:cs="Arial"/>
          <w:szCs w:val="18"/>
          <w:lang w:val="en-CA"/>
        </w:rPr>
        <w:t xml:space="preserve">, p. </w:t>
      </w:r>
      <w:r w:rsidR="00187D6E" w:rsidRPr="00E16C03">
        <w:rPr>
          <w:rFonts w:cs="Arial"/>
          <w:szCs w:val="18"/>
          <w:lang w:val="en-CA"/>
        </w:rPr>
        <w:t>158</w:t>
      </w:r>
      <w:r w:rsidR="00C36F1A">
        <w:rPr>
          <w:rFonts w:cs="Arial"/>
          <w:szCs w:val="18"/>
          <w:lang w:val="en-CA"/>
        </w:rPr>
        <w:t xml:space="preserve"> à </w:t>
      </w:r>
      <w:r w:rsidR="00187D6E" w:rsidRPr="00E16C03">
        <w:rPr>
          <w:rFonts w:cs="Arial"/>
          <w:szCs w:val="18"/>
          <w:lang w:val="en-CA"/>
        </w:rPr>
        <w:t>16</w:t>
      </w:r>
      <w:r w:rsidR="006903EE" w:rsidRPr="00E16C03">
        <w:rPr>
          <w:rFonts w:cs="Arial"/>
          <w:szCs w:val="18"/>
          <w:lang w:val="en-CA"/>
        </w:rPr>
        <w:t>5</w:t>
      </w:r>
      <w:r w:rsidR="00187D6E" w:rsidRPr="00E16C03">
        <w:rPr>
          <w:rFonts w:cs="Arial"/>
          <w:szCs w:val="18"/>
          <w:lang w:val="en-CA"/>
        </w:rPr>
        <w:t>.</w:t>
      </w:r>
    </w:p>
  </w:endnote>
  <w:endnote w:id="325">
    <w:p w14:paraId="1E6DD080" w14:textId="15E0B27E"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B872B5" w:rsidRPr="00BD22C2">
        <w:rPr>
          <w:rFonts w:ascii="Arial" w:hAnsi="Arial" w:cs="Arial"/>
          <w:sz w:val="18"/>
          <w:szCs w:val="18"/>
          <w:lang w:val="fr-CA"/>
        </w:rPr>
        <w:t xml:space="preserve">Eli </w:t>
      </w:r>
      <w:r w:rsidR="00B872B5" w:rsidRPr="00BD22C2">
        <w:rPr>
          <w:rFonts w:ascii="Arial" w:hAnsi="Arial" w:cs="Arial"/>
          <w:smallCaps/>
          <w:sz w:val="18"/>
          <w:szCs w:val="18"/>
          <w:lang w:val="fr-CA"/>
        </w:rPr>
        <w:t>Coleman</w:t>
      </w:r>
      <w:r w:rsidR="008E3CC1" w:rsidRPr="00BD22C2">
        <w:rPr>
          <w:rFonts w:ascii="Arial" w:hAnsi="Arial" w:cs="Arial"/>
          <w:smallCaps/>
          <w:sz w:val="18"/>
          <w:szCs w:val="18"/>
          <w:lang w:val="fr-CA"/>
        </w:rPr>
        <w:t xml:space="preserve"> </w:t>
      </w:r>
      <w:r w:rsidR="008E3CC1" w:rsidRPr="00BD22C2">
        <w:rPr>
          <w:rFonts w:ascii="Arial" w:hAnsi="Arial" w:cs="Arial"/>
          <w:sz w:val="18"/>
          <w:szCs w:val="18"/>
          <w:lang w:val="fr-CA"/>
        </w:rPr>
        <w:t>et al</w:t>
      </w:r>
      <w:r w:rsidR="008E3CC1" w:rsidRPr="00BD22C2">
        <w:rPr>
          <w:rFonts w:ascii="Arial" w:hAnsi="Arial" w:cs="Arial"/>
          <w:smallCaps/>
          <w:sz w:val="18"/>
          <w:szCs w:val="18"/>
          <w:lang w:val="fr-CA"/>
        </w:rPr>
        <w:t xml:space="preserve">., </w:t>
      </w:r>
      <w:r w:rsidR="009456FD" w:rsidRPr="00BD22C2">
        <w:rPr>
          <w:rFonts w:ascii="Arial" w:hAnsi="Arial" w:cs="Arial"/>
          <w:sz w:val="18"/>
          <w:szCs w:val="18"/>
          <w:lang w:val="fr-CA"/>
        </w:rPr>
        <w:t xml:space="preserve">préc., note </w:t>
      </w:r>
      <w:r w:rsidR="009456FD" w:rsidRPr="00BD22C2">
        <w:rPr>
          <w:rFonts w:ascii="Arial" w:hAnsi="Arial" w:cs="Arial"/>
          <w:sz w:val="18"/>
          <w:szCs w:val="18"/>
          <w:lang w:val="fr-CA"/>
        </w:rPr>
        <w:fldChar w:fldCharType="begin"/>
      </w:r>
      <w:r w:rsidR="009456FD" w:rsidRPr="00BD22C2">
        <w:rPr>
          <w:rFonts w:ascii="Arial" w:hAnsi="Arial" w:cs="Arial"/>
          <w:sz w:val="18"/>
          <w:szCs w:val="18"/>
          <w:lang w:val="fr-CA"/>
        </w:rPr>
        <w:instrText xml:space="preserve"> NOTEREF _Ref167356687 \h </w:instrText>
      </w:r>
      <w:r w:rsidR="009456FD" w:rsidRPr="00BD22C2">
        <w:rPr>
          <w:rFonts w:ascii="Arial" w:hAnsi="Arial" w:cs="Arial"/>
          <w:sz w:val="18"/>
          <w:szCs w:val="18"/>
          <w:lang w:val="fr-CA"/>
        </w:rPr>
      </w:r>
      <w:r w:rsidR="009456FD" w:rsidRPr="00BD22C2">
        <w:rPr>
          <w:rFonts w:ascii="Arial" w:hAnsi="Arial" w:cs="Arial"/>
          <w:sz w:val="18"/>
          <w:szCs w:val="18"/>
          <w:lang w:val="fr-CA"/>
        </w:rPr>
        <w:fldChar w:fldCharType="separate"/>
      </w:r>
      <w:r w:rsidR="004B4881">
        <w:rPr>
          <w:rFonts w:ascii="Arial" w:hAnsi="Arial" w:cs="Arial"/>
          <w:sz w:val="18"/>
          <w:szCs w:val="18"/>
          <w:lang w:val="fr-CA"/>
        </w:rPr>
        <w:t>43</w:t>
      </w:r>
      <w:r w:rsidR="009456FD" w:rsidRPr="00BD22C2">
        <w:rPr>
          <w:rFonts w:ascii="Arial" w:hAnsi="Arial" w:cs="Arial"/>
          <w:sz w:val="18"/>
          <w:szCs w:val="18"/>
          <w:lang w:val="fr-CA"/>
        </w:rPr>
        <w:fldChar w:fldCharType="end"/>
      </w:r>
      <w:r w:rsidR="008E3CC1" w:rsidRPr="00BD22C2">
        <w:rPr>
          <w:rFonts w:ascii="Arial" w:hAnsi="Arial" w:cs="Arial"/>
          <w:sz w:val="18"/>
          <w:szCs w:val="18"/>
          <w:lang w:val="fr-CA"/>
        </w:rPr>
        <w:t xml:space="preserve">, p. </w:t>
      </w:r>
      <w:r w:rsidR="00B872B5" w:rsidRPr="00BD22C2">
        <w:rPr>
          <w:rFonts w:ascii="Arial" w:hAnsi="Arial" w:cs="Arial"/>
          <w:sz w:val="18"/>
          <w:szCs w:val="18"/>
          <w:lang w:val="fr-CA"/>
        </w:rPr>
        <w:t>S</w:t>
      </w:r>
      <w:r w:rsidR="008E3CC1" w:rsidRPr="00BD22C2">
        <w:rPr>
          <w:rFonts w:ascii="Arial" w:hAnsi="Arial" w:cs="Arial"/>
          <w:sz w:val="18"/>
          <w:szCs w:val="18"/>
          <w:lang w:val="fr-CA"/>
        </w:rPr>
        <w:t> </w:t>
      </w:r>
      <w:r w:rsidR="00B872B5" w:rsidRPr="00BD22C2">
        <w:rPr>
          <w:rFonts w:ascii="Arial" w:hAnsi="Arial" w:cs="Arial"/>
          <w:sz w:val="18"/>
          <w:szCs w:val="18"/>
          <w:lang w:val="fr-CA"/>
        </w:rPr>
        <w:t>52</w:t>
      </w:r>
      <w:r w:rsidR="008E3CC1" w:rsidRPr="00BD22C2">
        <w:rPr>
          <w:rFonts w:ascii="Arial" w:hAnsi="Arial" w:cs="Arial"/>
          <w:sz w:val="18"/>
          <w:szCs w:val="18"/>
          <w:lang w:val="fr-CA"/>
        </w:rPr>
        <w:t>;</w:t>
      </w:r>
      <w:r w:rsidR="008945FA" w:rsidRPr="00BD22C2">
        <w:rPr>
          <w:rFonts w:ascii="Arial" w:hAnsi="Arial" w:cs="Arial"/>
          <w:sz w:val="18"/>
          <w:szCs w:val="18"/>
          <w:lang w:val="fr-CA"/>
        </w:rPr>
        <w:t xml:space="preserve"> Annie </w:t>
      </w:r>
      <w:r w:rsidR="008945FA" w:rsidRPr="00BD22C2">
        <w:rPr>
          <w:rFonts w:ascii="Arial" w:hAnsi="Arial" w:cs="Arial"/>
          <w:smallCaps/>
          <w:sz w:val="18"/>
          <w:szCs w:val="18"/>
          <w:lang w:val="fr-CA"/>
        </w:rPr>
        <w:t>Pullen Sansfaçon</w:t>
      </w:r>
      <w:r w:rsidR="008945FA" w:rsidRPr="00BD22C2">
        <w:rPr>
          <w:rFonts w:ascii="Arial" w:hAnsi="Arial" w:cs="Arial"/>
          <w:sz w:val="18"/>
          <w:szCs w:val="18"/>
          <w:lang w:val="fr-CA"/>
        </w:rPr>
        <w:t xml:space="preserve">, Alexandre </w:t>
      </w:r>
      <w:r w:rsidR="008945FA" w:rsidRPr="00BD22C2">
        <w:rPr>
          <w:rFonts w:ascii="Arial" w:hAnsi="Arial" w:cs="Arial"/>
          <w:smallCaps/>
          <w:sz w:val="18"/>
          <w:szCs w:val="18"/>
          <w:lang w:val="fr-CA"/>
        </w:rPr>
        <w:t>Blanchet</w:t>
      </w:r>
      <w:r w:rsidR="008945FA" w:rsidRPr="00BD22C2">
        <w:rPr>
          <w:rFonts w:ascii="Arial" w:hAnsi="Arial" w:cs="Arial"/>
          <w:sz w:val="18"/>
          <w:szCs w:val="18"/>
          <w:lang w:val="fr-CA"/>
        </w:rPr>
        <w:t xml:space="preserve">, Ré </w:t>
      </w:r>
      <w:r w:rsidR="008945FA" w:rsidRPr="00BD22C2">
        <w:rPr>
          <w:rFonts w:ascii="Arial" w:hAnsi="Arial" w:cs="Arial"/>
          <w:smallCaps/>
          <w:sz w:val="18"/>
          <w:szCs w:val="18"/>
          <w:lang w:val="fr-CA"/>
        </w:rPr>
        <w:t>Poulin Ladouceur</w:t>
      </w:r>
      <w:r w:rsidR="008945FA" w:rsidRPr="00BD22C2">
        <w:rPr>
          <w:rFonts w:ascii="Arial" w:hAnsi="Arial" w:cs="Arial"/>
          <w:sz w:val="18"/>
          <w:szCs w:val="18"/>
          <w:lang w:val="fr-CA"/>
        </w:rPr>
        <w:t xml:space="preserve">, Josianne </w:t>
      </w:r>
      <w:r w:rsidR="008945FA" w:rsidRPr="00BD22C2">
        <w:rPr>
          <w:rFonts w:ascii="Arial" w:hAnsi="Arial" w:cs="Arial"/>
          <w:smallCaps/>
          <w:sz w:val="18"/>
          <w:szCs w:val="18"/>
          <w:lang w:val="fr-CA"/>
        </w:rPr>
        <w:t>Picard</w:t>
      </w:r>
      <w:r w:rsidR="008945FA" w:rsidRPr="00BD22C2">
        <w:rPr>
          <w:rFonts w:ascii="Arial" w:hAnsi="Arial" w:cs="Arial"/>
          <w:sz w:val="18"/>
          <w:szCs w:val="18"/>
          <w:lang w:val="fr-CA"/>
        </w:rPr>
        <w:t xml:space="preserve"> et Martin </w:t>
      </w:r>
      <w:r w:rsidR="008945FA" w:rsidRPr="00BD22C2">
        <w:rPr>
          <w:rFonts w:ascii="Arial" w:hAnsi="Arial" w:cs="Arial"/>
          <w:smallCaps/>
          <w:sz w:val="18"/>
          <w:szCs w:val="18"/>
          <w:lang w:val="fr-CA"/>
        </w:rPr>
        <w:t xml:space="preserve">Goyette, </w:t>
      </w:r>
      <w:r w:rsidR="00C5794B" w:rsidRPr="00BD22C2">
        <w:rPr>
          <w:rFonts w:ascii="Arial" w:hAnsi="Arial" w:cs="Arial"/>
          <w:sz w:val="18"/>
          <w:szCs w:val="18"/>
          <w:lang w:val="fr-CA"/>
        </w:rPr>
        <w:t xml:space="preserve">préc., note </w:t>
      </w:r>
      <w:r w:rsidR="00C5794B" w:rsidRPr="00BD22C2">
        <w:rPr>
          <w:rFonts w:ascii="Arial" w:hAnsi="Arial" w:cs="Arial"/>
          <w:sz w:val="18"/>
          <w:szCs w:val="18"/>
          <w:lang w:val="fr-CA"/>
        </w:rPr>
        <w:fldChar w:fldCharType="begin"/>
      </w:r>
      <w:r w:rsidR="00C5794B" w:rsidRPr="00BD22C2">
        <w:rPr>
          <w:rFonts w:ascii="Arial" w:hAnsi="Arial" w:cs="Arial"/>
          <w:sz w:val="18"/>
          <w:szCs w:val="18"/>
          <w:lang w:val="fr-CA"/>
        </w:rPr>
        <w:instrText xml:space="preserve"> NOTEREF _Ref167448445 \h </w:instrText>
      </w:r>
      <w:r w:rsidR="00C5794B" w:rsidRPr="00BD22C2">
        <w:rPr>
          <w:rFonts w:ascii="Arial" w:hAnsi="Arial" w:cs="Arial"/>
          <w:sz w:val="18"/>
          <w:szCs w:val="18"/>
          <w:lang w:val="fr-CA"/>
        </w:rPr>
      </w:r>
      <w:r w:rsidR="00C5794B" w:rsidRPr="00BD22C2">
        <w:rPr>
          <w:rFonts w:ascii="Arial" w:hAnsi="Arial" w:cs="Arial"/>
          <w:sz w:val="18"/>
          <w:szCs w:val="18"/>
          <w:lang w:val="fr-CA"/>
        </w:rPr>
        <w:fldChar w:fldCharType="separate"/>
      </w:r>
      <w:r w:rsidR="004B4881">
        <w:rPr>
          <w:rFonts w:ascii="Arial" w:hAnsi="Arial" w:cs="Arial"/>
          <w:sz w:val="18"/>
          <w:szCs w:val="18"/>
          <w:lang w:val="fr-CA"/>
        </w:rPr>
        <w:t>309</w:t>
      </w:r>
      <w:r w:rsidR="00C5794B" w:rsidRPr="00BD22C2">
        <w:rPr>
          <w:rFonts w:ascii="Arial" w:hAnsi="Arial" w:cs="Arial"/>
          <w:sz w:val="18"/>
          <w:szCs w:val="18"/>
          <w:lang w:val="fr-CA"/>
        </w:rPr>
        <w:fldChar w:fldCharType="end"/>
      </w:r>
      <w:r w:rsidR="00C5794B" w:rsidRPr="00BD22C2">
        <w:rPr>
          <w:rFonts w:ascii="Arial" w:hAnsi="Arial" w:cs="Arial"/>
          <w:sz w:val="18"/>
          <w:szCs w:val="18"/>
          <w:lang w:val="fr-CA"/>
        </w:rPr>
        <w:t xml:space="preserve">, par. 5. </w:t>
      </w:r>
    </w:p>
  </w:endnote>
  <w:endnote w:id="326">
    <w:p w14:paraId="1A7E132D" w14:textId="06D93107" w:rsidR="006B45E0" w:rsidRPr="00BD22C2" w:rsidRDefault="006B45E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Commissaire aux droits de l’homme</w:t>
      </w:r>
      <w:r w:rsidR="00563491" w:rsidRPr="00BD22C2">
        <w:rPr>
          <w:rFonts w:ascii="Arial" w:hAnsi="Arial" w:cs="Arial"/>
          <w:smallCaps/>
          <w:sz w:val="18"/>
          <w:szCs w:val="18"/>
          <w:lang w:val="fr-CA"/>
        </w:rPr>
        <w:t xml:space="preserve"> </w:t>
      </w:r>
      <w:r w:rsidR="00563491" w:rsidRPr="00BD22C2">
        <w:rPr>
          <w:rFonts w:ascii="Arial" w:hAnsi="Arial" w:cs="Arial"/>
          <w:sz w:val="18"/>
          <w:szCs w:val="18"/>
          <w:lang w:val="fr-CA"/>
        </w:rPr>
        <w:t xml:space="preserve">— </w:t>
      </w:r>
      <w:r w:rsidR="00563491" w:rsidRPr="00BD22C2">
        <w:rPr>
          <w:rFonts w:ascii="Arial" w:hAnsi="Arial" w:cs="Arial"/>
          <w:smallCaps/>
          <w:sz w:val="18"/>
          <w:szCs w:val="18"/>
          <w:lang w:val="fr-CA"/>
        </w:rPr>
        <w:t>Conseil de l’Europe</w:t>
      </w:r>
      <w:r w:rsidRPr="00BD22C2">
        <w:rPr>
          <w:rFonts w:ascii="Arial" w:hAnsi="Arial" w:cs="Arial"/>
          <w:sz w:val="18"/>
          <w:szCs w:val="18"/>
          <w:lang w:val="fr-CA"/>
        </w:rPr>
        <w:t xml:space="preserve">, </w:t>
      </w:r>
      <w:r w:rsidR="00563491" w:rsidRPr="00BD22C2">
        <w:rPr>
          <w:rFonts w:ascii="Arial" w:hAnsi="Arial" w:cs="Arial"/>
          <w:iCs/>
          <w:sz w:val="18"/>
          <w:szCs w:val="18"/>
          <w:lang w:val="fr-CA"/>
        </w:rPr>
        <w:t>préc., note</w:t>
      </w:r>
      <w:r w:rsidR="00CE1914">
        <w:rPr>
          <w:rFonts w:ascii="Arial" w:hAnsi="Arial" w:cs="Arial"/>
          <w:iCs/>
          <w:sz w:val="18"/>
          <w:szCs w:val="18"/>
          <w:lang w:val="fr-CA"/>
        </w:rPr>
        <w:t> </w:t>
      </w:r>
      <w:r w:rsidR="00876B4F" w:rsidRPr="00BD22C2">
        <w:rPr>
          <w:rFonts w:ascii="Arial" w:hAnsi="Arial" w:cs="Arial"/>
          <w:iCs/>
          <w:sz w:val="18"/>
          <w:szCs w:val="18"/>
          <w:lang w:val="fr-CA"/>
        </w:rPr>
        <w:fldChar w:fldCharType="begin"/>
      </w:r>
      <w:r w:rsidR="00876B4F" w:rsidRPr="00BD22C2">
        <w:rPr>
          <w:rFonts w:ascii="Arial" w:hAnsi="Arial" w:cs="Arial"/>
          <w:iCs/>
          <w:sz w:val="18"/>
          <w:szCs w:val="18"/>
          <w:lang w:val="fr-CA"/>
        </w:rPr>
        <w:instrText xml:space="preserve"> NOTEREF _Ref167447962 \h </w:instrText>
      </w:r>
      <w:r w:rsidR="00876B4F" w:rsidRPr="00BD22C2">
        <w:rPr>
          <w:rFonts w:ascii="Arial" w:hAnsi="Arial" w:cs="Arial"/>
          <w:iCs/>
          <w:sz w:val="18"/>
          <w:szCs w:val="18"/>
          <w:lang w:val="fr-CA"/>
        </w:rPr>
      </w:r>
      <w:r w:rsidR="00876B4F" w:rsidRPr="00BD22C2">
        <w:rPr>
          <w:rFonts w:ascii="Arial" w:hAnsi="Arial" w:cs="Arial"/>
          <w:iCs/>
          <w:sz w:val="18"/>
          <w:szCs w:val="18"/>
          <w:lang w:val="fr-CA"/>
        </w:rPr>
        <w:fldChar w:fldCharType="separate"/>
      </w:r>
      <w:r w:rsidR="004B4881">
        <w:rPr>
          <w:rFonts w:ascii="Arial" w:hAnsi="Arial" w:cs="Arial"/>
          <w:iCs/>
          <w:sz w:val="18"/>
          <w:szCs w:val="18"/>
          <w:lang w:val="fr-CA"/>
        </w:rPr>
        <w:t>37</w:t>
      </w:r>
      <w:r w:rsidR="00876B4F" w:rsidRPr="00BD22C2">
        <w:rPr>
          <w:rFonts w:ascii="Arial" w:hAnsi="Arial" w:cs="Arial"/>
          <w:iCs/>
          <w:sz w:val="18"/>
          <w:szCs w:val="18"/>
          <w:lang w:val="fr-CA"/>
        </w:rPr>
        <w:fldChar w:fldCharType="end"/>
      </w:r>
      <w:r w:rsidRPr="00BD22C2">
        <w:rPr>
          <w:rFonts w:ascii="Arial" w:hAnsi="Arial" w:cs="Arial"/>
          <w:sz w:val="18"/>
          <w:szCs w:val="18"/>
          <w:lang w:val="fr-CA"/>
        </w:rPr>
        <w:t>, p.</w:t>
      </w:r>
      <w:r w:rsidR="00CE1914">
        <w:rPr>
          <w:rFonts w:ascii="Arial" w:hAnsi="Arial" w:cs="Arial"/>
          <w:sz w:val="18"/>
          <w:szCs w:val="18"/>
          <w:lang w:val="fr-CA"/>
        </w:rPr>
        <w:t> </w:t>
      </w:r>
      <w:r w:rsidRPr="00BD22C2">
        <w:rPr>
          <w:rFonts w:ascii="Arial" w:hAnsi="Arial" w:cs="Arial"/>
          <w:sz w:val="18"/>
          <w:szCs w:val="18"/>
          <w:lang w:val="fr-CA"/>
        </w:rPr>
        <w:t>65.</w:t>
      </w:r>
    </w:p>
  </w:endnote>
  <w:endnote w:id="327">
    <w:p w14:paraId="48977F57" w14:textId="4035A207" w:rsidR="005C12EE" w:rsidRPr="0085310E" w:rsidRDefault="005C12E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5F6FB8" w:rsidRPr="00BD22C2">
        <w:rPr>
          <w:rFonts w:ascii="Arial" w:hAnsi="Arial" w:cs="Arial"/>
          <w:sz w:val="18"/>
          <w:szCs w:val="18"/>
          <w:lang w:val="fr-CA"/>
        </w:rPr>
        <w:tab/>
      </w:r>
      <w:r w:rsidR="00E62E2F" w:rsidRPr="00BD22C2">
        <w:rPr>
          <w:rFonts w:ascii="Arial" w:hAnsi="Arial" w:cs="Arial"/>
          <w:smallCaps/>
          <w:sz w:val="18"/>
          <w:szCs w:val="18"/>
          <w:lang w:val="fr-CA"/>
        </w:rPr>
        <w:t>Gouvernement du Québec, Ministère de la Santé et des Services sociaux</w:t>
      </w:r>
      <w:r w:rsidR="00905A47" w:rsidRPr="00BD22C2">
        <w:rPr>
          <w:rFonts w:ascii="Arial" w:hAnsi="Arial" w:cs="Arial"/>
          <w:sz w:val="18"/>
          <w:szCs w:val="18"/>
          <w:lang w:val="fr-CA"/>
        </w:rPr>
        <w:t xml:space="preserve">, </w:t>
      </w:r>
      <w:r w:rsidR="007A6E6C" w:rsidRPr="00BD22C2">
        <w:rPr>
          <w:rFonts w:ascii="Arial" w:hAnsi="Arial" w:cs="Arial"/>
          <w:i/>
          <w:sz w:val="18"/>
          <w:szCs w:val="18"/>
          <w:lang w:val="fr-CA"/>
        </w:rPr>
        <w:t xml:space="preserve">Santé et bien-être des personnes de la diversité sexuelle et de la pluralité de genre </w:t>
      </w:r>
      <w:r w:rsidR="0051216B" w:rsidRPr="00BD22C2">
        <w:rPr>
          <w:rFonts w:ascii="Arial" w:hAnsi="Arial" w:cs="Arial"/>
          <w:i/>
          <w:sz w:val="18"/>
          <w:szCs w:val="18"/>
          <w:lang w:val="fr-CA"/>
        </w:rPr>
        <w:t>—</w:t>
      </w:r>
      <w:r w:rsidRPr="00BD22C2">
        <w:rPr>
          <w:rFonts w:ascii="Arial" w:hAnsi="Arial" w:cs="Arial"/>
          <w:i/>
          <w:sz w:val="18"/>
          <w:szCs w:val="18"/>
          <w:lang w:val="fr-CA"/>
        </w:rPr>
        <w:t xml:space="preserve"> lignes directrices</w:t>
      </w:r>
      <w:r w:rsidRPr="00BD22C2">
        <w:rPr>
          <w:rFonts w:ascii="Arial" w:hAnsi="Arial" w:cs="Arial"/>
          <w:sz w:val="18"/>
          <w:szCs w:val="18"/>
          <w:lang w:val="fr-CA"/>
        </w:rPr>
        <w:t xml:space="preserve">, </w:t>
      </w:r>
      <w:r w:rsidR="007A6E6C" w:rsidRPr="00BD22C2">
        <w:rPr>
          <w:rFonts w:ascii="Arial" w:hAnsi="Arial" w:cs="Arial"/>
          <w:sz w:val="18"/>
          <w:szCs w:val="18"/>
          <w:lang w:val="fr-CA"/>
        </w:rPr>
        <w:t xml:space="preserve">2023, </w:t>
      </w:r>
      <w:r w:rsidRPr="00BD22C2">
        <w:rPr>
          <w:rFonts w:ascii="Arial" w:hAnsi="Arial" w:cs="Arial"/>
          <w:sz w:val="18"/>
          <w:szCs w:val="18"/>
          <w:lang w:val="fr-CA"/>
        </w:rPr>
        <w:t>p.</w:t>
      </w:r>
      <w:r w:rsidR="00CE1914">
        <w:rPr>
          <w:rFonts w:ascii="Arial" w:hAnsi="Arial" w:cs="Arial"/>
          <w:sz w:val="18"/>
          <w:szCs w:val="18"/>
          <w:lang w:val="fr-CA"/>
        </w:rPr>
        <w:t> </w:t>
      </w:r>
      <w:r w:rsidR="00E62E2F" w:rsidRPr="00BD22C2">
        <w:rPr>
          <w:rFonts w:ascii="Arial" w:hAnsi="Arial" w:cs="Arial"/>
          <w:sz w:val="18"/>
          <w:szCs w:val="18"/>
          <w:lang w:val="fr-CA"/>
        </w:rPr>
        <w:t xml:space="preserve">14, [En ligne]. </w:t>
      </w:r>
      <w:r w:rsidR="00E62E2F">
        <w:fldChar w:fldCharType="begin"/>
      </w:r>
      <w:r w:rsidR="00E62E2F" w:rsidRPr="003E3312">
        <w:rPr>
          <w:lang w:val="fr-CA"/>
        </w:rPr>
        <w:instrText>HYPERLINK "https://publications.msss.gouv.qc.ca/msss/fichiers/2023/23-302-01W.pdf"</w:instrText>
      </w:r>
      <w:r w:rsidR="00E62E2F">
        <w:fldChar w:fldCharType="separate"/>
      </w:r>
      <w:r w:rsidR="00E62E2F" w:rsidRPr="0085310E">
        <w:rPr>
          <w:rStyle w:val="Lienhypertexte"/>
          <w:rFonts w:ascii="Arial" w:hAnsi="Arial" w:cs="Arial"/>
          <w:sz w:val="18"/>
          <w:szCs w:val="18"/>
          <w:lang w:val="en-CA"/>
        </w:rPr>
        <w:t>https://publications.msss.gouv.qc.ca/msss/fichiers/2023/23-302-01W.pdf</w:t>
      </w:r>
      <w:r w:rsidR="00E62E2F">
        <w:rPr>
          <w:rStyle w:val="Lienhypertexte"/>
          <w:rFonts w:ascii="Arial" w:hAnsi="Arial" w:cs="Arial"/>
          <w:sz w:val="18"/>
          <w:szCs w:val="18"/>
          <w:lang w:val="en-CA"/>
        </w:rPr>
        <w:fldChar w:fldCharType="end"/>
      </w:r>
      <w:r w:rsidR="00E62E2F" w:rsidRPr="0085310E">
        <w:rPr>
          <w:rFonts w:ascii="Arial" w:hAnsi="Arial" w:cs="Arial"/>
          <w:sz w:val="18"/>
          <w:szCs w:val="18"/>
          <w:lang w:val="en-CA"/>
        </w:rPr>
        <w:t xml:space="preserve"> </w:t>
      </w:r>
    </w:p>
  </w:endnote>
  <w:endnote w:id="328">
    <w:p w14:paraId="75E470B3" w14:textId="756BB823" w:rsidR="00F7531E" w:rsidRPr="00E47755"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47755">
        <w:rPr>
          <w:rFonts w:ascii="Arial" w:hAnsi="Arial" w:cs="Arial"/>
          <w:sz w:val="18"/>
          <w:szCs w:val="18"/>
          <w:lang w:val="en-CA"/>
        </w:rPr>
        <w:t xml:space="preserve"> </w:t>
      </w:r>
      <w:r w:rsidR="001E26FD" w:rsidRPr="00E47755">
        <w:rPr>
          <w:rFonts w:ascii="Arial" w:hAnsi="Arial" w:cs="Arial"/>
          <w:sz w:val="18"/>
          <w:szCs w:val="18"/>
          <w:lang w:val="en-CA"/>
        </w:rPr>
        <w:tab/>
      </w:r>
      <w:r w:rsidR="00F32D04" w:rsidRPr="00E47755">
        <w:rPr>
          <w:rFonts w:ascii="Arial" w:hAnsi="Arial" w:cs="Arial"/>
          <w:i/>
          <w:sz w:val="18"/>
          <w:szCs w:val="18"/>
          <w:lang w:val="en-CA"/>
        </w:rPr>
        <w:t>Id.</w:t>
      </w:r>
      <w:r w:rsidRPr="00E47755">
        <w:rPr>
          <w:rFonts w:ascii="Arial" w:hAnsi="Arial" w:cs="Arial"/>
          <w:sz w:val="18"/>
          <w:szCs w:val="18"/>
          <w:lang w:val="en-CA"/>
        </w:rPr>
        <w:t>, p.</w:t>
      </w:r>
      <w:r w:rsidR="00CE1914" w:rsidRPr="00E47755">
        <w:rPr>
          <w:rFonts w:ascii="Arial" w:hAnsi="Arial" w:cs="Arial"/>
          <w:sz w:val="18"/>
          <w:szCs w:val="18"/>
          <w:lang w:val="en-CA"/>
        </w:rPr>
        <w:t> </w:t>
      </w:r>
      <w:r w:rsidRPr="00E47755">
        <w:rPr>
          <w:rFonts w:ascii="Arial" w:hAnsi="Arial" w:cs="Arial"/>
          <w:sz w:val="18"/>
          <w:szCs w:val="18"/>
          <w:lang w:val="en-CA"/>
        </w:rPr>
        <w:t xml:space="preserve">19. </w:t>
      </w:r>
    </w:p>
  </w:endnote>
  <w:endnote w:id="329">
    <w:p w14:paraId="57C477B1" w14:textId="5D5BDFCB"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1C3517" w:rsidRPr="00BD22C2">
        <w:rPr>
          <w:rFonts w:ascii="Arial" w:hAnsi="Arial" w:cs="Arial"/>
          <w:sz w:val="18"/>
          <w:szCs w:val="18"/>
          <w:lang w:val="fr-CA"/>
        </w:rPr>
        <w:t>Gouvernement du Québec</w:t>
      </w:r>
      <w:r w:rsidR="001C3517" w:rsidRPr="00BD22C2">
        <w:rPr>
          <w:rFonts w:ascii="Arial" w:hAnsi="Arial" w:cs="Arial"/>
          <w:i/>
          <w:sz w:val="18"/>
          <w:szCs w:val="18"/>
          <w:lang w:val="fr-CA"/>
        </w:rPr>
        <w:t xml:space="preserve">, </w:t>
      </w:r>
      <w:r w:rsidR="0061009F" w:rsidRPr="00BD22C2">
        <w:rPr>
          <w:rFonts w:ascii="Arial" w:hAnsi="Arial" w:cs="Arial"/>
          <w:iCs/>
          <w:sz w:val="18"/>
          <w:szCs w:val="18"/>
          <w:lang w:val="fr-CA"/>
        </w:rPr>
        <w:t>préc., note</w:t>
      </w:r>
      <w:r w:rsidR="00CE1914">
        <w:rPr>
          <w:rFonts w:ascii="Arial" w:hAnsi="Arial" w:cs="Arial"/>
          <w:iCs/>
          <w:sz w:val="18"/>
          <w:szCs w:val="18"/>
          <w:lang w:val="fr-CA"/>
        </w:rPr>
        <w:t> </w:t>
      </w:r>
      <w:r w:rsidR="0061009F" w:rsidRPr="00BD22C2">
        <w:rPr>
          <w:rFonts w:ascii="Arial" w:hAnsi="Arial" w:cs="Arial"/>
          <w:iCs/>
          <w:sz w:val="18"/>
          <w:szCs w:val="18"/>
          <w:lang w:val="fr-CA"/>
        </w:rPr>
        <w:fldChar w:fldCharType="begin"/>
      </w:r>
      <w:r w:rsidR="0061009F" w:rsidRPr="00BD22C2">
        <w:rPr>
          <w:rFonts w:ascii="Arial" w:hAnsi="Arial" w:cs="Arial"/>
          <w:iCs/>
          <w:sz w:val="18"/>
          <w:szCs w:val="18"/>
          <w:lang w:val="fr-CA"/>
        </w:rPr>
        <w:instrText xml:space="preserve"> NOTEREF _Ref166750289 \h </w:instrText>
      </w:r>
      <w:r w:rsidR="0061009F" w:rsidRPr="00BD22C2">
        <w:rPr>
          <w:rFonts w:ascii="Arial" w:hAnsi="Arial" w:cs="Arial"/>
          <w:iCs/>
          <w:sz w:val="18"/>
          <w:szCs w:val="18"/>
          <w:lang w:val="fr-CA"/>
        </w:rPr>
      </w:r>
      <w:r w:rsidR="0061009F" w:rsidRPr="00BD22C2">
        <w:rPr>
          <w:rFonts w:ascii="Arial" w:hAnsi="Arial" w:cs="Arial"/>
          <w:iCs/>
          <w:sz w:val="18"/>
          <w:szCs w:val="18"/>
          <w:lang w:val="fr-CA"/>
        </w:rPr>
        <w:fldChar w:fldCharType="separate"/>
      </w:r>
      <w:r w:rsidR="004B4881">
        <w:rPr>
          <w:rFonts w:ascii="Arial" w:hAnsi="Arial" w:cs="Arial"/>
          <w:iCs/>
          <w:sz w:val="18"/>
          <w:szCs w:val="18"/>
          <w:lang w:val="fr-CA"/>
        </w:rPr>
        <w:t>24</w:t>
      </w:r>
      <w:r w:rsidR="0061009F" w:rsidRPr="00BD22C2">
        <w:rPr>
          <w:rFonts w:ascii="Arial" w:hAnsi="Arial" w:cs="Arial"/>
          <w:iCs/>
          <w:sz w:val="18"/>
          <w:szCs w:val="18"/>
          <w:lang w:val="fr-CA"/>
        </w:rPr>
        <w:fldChar w:fldCharType="end"/>
      </w:r>
      <w:r w:rsidR="00573CA7" w:rsidRPr="00BD22C2">
        <w:rPr>
          <w:rFonts w:ascii="Arial" w:hAnsi="Arial" w:cs="Arial"/>
          <w:iCs/>
          <w:sz w:val="18"/>
          <w:szCs w:val="18"/>
          <w:lang w:val="fr-CA"/>
        </w:rPr>
        <w:t>.</w:t>
      </w:r>
      <w:r w:rsidR="0061009F" w:rsidRPr="00BD22C2">
        <w:rPr>
          <w:rFonts w:ascii="Arial" w:hAnsi="Arial" w:cs="Arial"/>
          <w:i/>
          <w:sz w:val="18"/>
          <w:szCs w:val="18"/>
          <w:lang w:val="fr-CA"/>
        </w:rPr>
        <w:t xml:space="preserve"> </w:t>
      </w:r>
    </w:p>
  </w:endnote>
  <w:endnote w:id="330">
    <w:p w14:paraId="27309419" w14:textId="62C22CCC"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61009F" w:rsidRPr="00BD22C2">
        <w:rPr>
          <w:rFonts w:ascii="Arial" w:hAnsi="Arial" w:cs="Arial"/>
          <w:i/>
          <w:iCs/>
          <w:sz w:val="18"/>
          <w:szCs w:val="18"/>
          <w:lang w:val="fr-CA"/>
        </w:rPr>
        <w:t>Id</w:t>
      </w:r>
      <w:r w:rsidR="0061009F" w:rsidRPr="00BD22C2">
        <w:rPr>
          <w:rFonts w:ascii="Arial" w:hAnsi="Arial" w:cs="Arial"/>
          <w:sz w:val="18"/>
          <w:szCs w:val="18"/>
          <w:lang w:val="fr-CA"/>
        </w:rPr>
        <w:t>.,</w:t>
      </w:r>
      <w:r w:rsidRPr="00BD22C2">
        <w:rPr>
          <w:rFonts w:ascii="Arial" w:hAnsi="Arial" w:cs="Arial"/>
          <w:sz w:val="18"/>
          <w:szCs w:val="18"/>
          <w:lang w:val="fr-CA"/>
        </w:rPr>
        <w:t xml:space="preserve"> mesure</w:t>
      </w:r>
      <w:r w:rsidR="00CE1914">
        <w:rPr>
          <w:rFonts w:ascii="Arial" w:hAnsi="Arial" w:cs="Arial"/>
          <w:sz w:val="18"/>
          <w:szCs w:val="18"/>
          <w:lang w:val="fr-CA"/>
        </w:rPr>
        <w:t> </w:t>
      </w:r>
      <w:r w:rsidRPr="00BD22C2">
        <w:rPr>
          <w:rFonts w:ascii="Arial" w:hAnsi="Arial" w:cs="Arial"/>
          <w:sz w:val="18"/>
          <w:szCs w:val="18"/>
          <w:lang w:val="fr-CA"/>
        </w:rPr>
        <w:t xml:space="preserve">6. </w:t>
      </w:r>
    </w:p>
  </w:endnote>
  <w:endnote w:id="331">
    <w:p w14:paraId="0DAE51E9" w14:textId="28531E3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mesure</w:t>
      </w:r>
      <w:r w:rsidR="00CE1914">
        <w:rPr>
          <w:rFonts w:ascii="Arial" w:hAnsi="Arial" w:cs="Arial"/>
          <w:sz w:val="18"/>
          <w:szCs w:val="18"/>
          <w:lang w:val="fr-CA"/>
        </w:rPr>
        <w:t> </w:t>
      </w:r>
      <w:r w:rsidRPr="00BD22C2">
        <w:rPr>
          <w:rFonts w:ascii="Arial" w:hAnsi="Arial" w:cs="Arial"/>
          <w:sz w:val="18"/>
          <w:szCs w:val="18"/>
          <w:lang w:val="fr-CA"/>
        </w:rPr>
        <w:t xml:space="preserve">29. </w:t>
      </w:r>
    </w:p>
  </w:endnote>
  <w:endnote w:id="332">
    <w:p w14:paraId="73890E6A" w14:textId="76C5CB3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mesure</w:t>
      </w:r>
      <w:r w:rsidR="00CE1914">
        <w:rPr>
          <w:rFonts w:ascii="Arial" w:hAnsi="Arial" w:cs="Arial"/>
          <w:sz w:val="18"/>
          <w:szCs w:val="18"/>
          <w:lang w:val="fr-CA"/>
        </w:rPr>
        <w:t> </w:t>
      </w:r>
      <w:r w:rsidRPr="00BD22C2">
        <w:rPr>
          <w:rFonts w:ascii="Arial" w:hAnsi="Arial" w:cs="Arial"/>
          <w:sz w:val="18"/>
          <w:szCs w:val="18"/>
          <w:lang w:val="fr-CA"/>
        </w:rPr>
        <w:t>35.</w:t>
      </w:r>
    </w:p>
  </w:endnote>
  <w:endnote w:id="333">
    <w:p w14:paraId="0B011C53" w14:textId="69D29DA9" w:rsidR="00F7531E" w:rsidRPr="00E16C03" w:rsidRDefault="00F7531E"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00F51A2F" w:rsidRPr="00E16C03">
        <w:rPr>
          <w:rFonts w:ascii="Arial" w:hAnsi="Arial" w:cs="Arial"/>
          <w:sz w:val="18"/>
          <w:szCs w:val="18"/>
          <w:lang w:val="en-CA"/>
        </w:rPr>
        <w:t xml:space="preserve"> </w:t>
      </w:r>
      <w:r w:rsidR="00F51A2F" w:rsidRPr="00E16C03">
        <w:rPr>
          <w:rFonts w:ascii="Arial" w:hAnsi="Arial" w:cs="Arial"/>
          <w:sz w:val="18"/>
          <w:szCs w:val="18"/>
          <w:lang w:val="en-CA"/>
        </w:rPr>
        <w:tab/>
      </w:r>
      <w:r w:rsidR="00F51A2F" w:rsidRPr="00E16C03">
        <w:rPr>
          <w:rFonts w:ascii="Arial" w:hAnsi="Arial" w:cs="Arial"/>
          <w:smallCaps/>
          <w:sz w:val="18"/>
          <w:szCs w:val="18"/>
          <w:lang w:val="en-CA"/>
        </w:rPr>
        <w:t>Independent review of gender identity services for children and young people</w:t>
      </w:r>
      <w:r w:rsidR="00F51A2F" w:rsidRPr="00E16C03">
        <w:rPr>
          <w:rFonts w:ascii="Arial" w:hAnsi="Arial" w:cs="Arial"/>
          <w:sz w:val="18"/>
          <w:szCs w:val="18"/>
          <w:lang w:val="en-CA"/>
        </w:rPr>
        <w:t xml:space="preserve">, </w:t>
      </w:r>
      <w:r w:rsidR="00334C56" w:rsidRPr="00E16C03">
        <w:rPr>
          <w:rFonts w:ascii="Arial" w:hAnsi="Arial" w:cs="Arial"/>
          <w:sz w:val="18"/>
          <w:szCs w:val="18"/>
          <w:lang w:val="en-CA"/>
        </w:rPr>
        <w:t xml:space="preserve">préc., note </w:t>
      </w:r>
      <w:r w:rsidR="00334C56" w:rsidRPr="00BD22C2">
        <w:rPr>
          <w:rFonts w:ascii="Arial" w:hAnsi="Arial" w:cs="Arial"/>
          <w:sz w:val="18"/>
          <w:szCs w:val="18"/>
          <w:lang w:val="fr-CA"/>
        </w:rPr>
        <w:fldChar w:fldCharType="begin"/>
      </w:r>
      <w:r w:rsidR="00334C56" w:rsidRPr="00E16C03">
        <w:rPr>
          <w:rFonts w:ascii="Arial" w:hAnsi="Arial" w:cs="Arial"/>
          <w:sz w:val="18"/>
          <w:szCs w:val="18"/>
          <w:lang w:val="en-CA"/>
        </w:rPr>
        <w:instrText xml:space="preserve"> NOTEREF _Ref166839427 \f \h  \* MERGEFORMAT </w:instrText>
      </w:r>
      <w:r w:rsidR="00334C56" w:rsidRPr="00BD22C2">
        <w:rPr>
          <w:rFonts w:ascii="Arial" w:hAnsi="Arial" w:cs="Arial"/>
          <w:sz w:val="18"/>
          <w:szCs w:val="18"/>
          <w:lang w:val="fr-CA"/>
        </w:rPr>
      </w:r>
      <w:r w:rsidR="00334C56" w:rsidRPr="00BD22C2">
        <w:rPr>
          <w:rFonts w:ascii="Arial" w:hAnsi="Arial" w:cs="Arial"/>
          <w:sz w:val="18"/>
          <w:szCs w:val="18"/>
          <w:lang w:val="fr-CA"/>
        </w:rPr>
        <w:fldChar w:fldCharType="separate"/>
      </w:r>
      <w:r w:rsidR="004B4881" w:rsidRPr="004B4881">
        <w:rPr>
          <w:rStyle w:val="Appeldenotedefin"/>
          <w:vertAlign w:val="baseline"/>
          <w:lang w:val="en-CA"/>
        </w:rPr>
        <w:t>41</w:t>
      </w:r>
      <w:r w:rsidR="00334C56" w:rsidRPr="00BD22C2">
        <w:rPr>
          <w:rFonts w:ascii="Arial" w:hAnsi="Arial" w:cs="Arial"/>
          <w:sz w:val="18"/>
          <w:szCs w:val="18"/>
          <w:lang w:val="fr-CA"/>
        </w:rPr>
        <w:fldChar w:fldCharType="end"/>
      </w:r>
      <w:r w:rsidR="00334C56" w:rsidRPr="00E16C03">
        <w:rPr>
          <w:rFonts w:ascii="Arial" w:hAnsi="Arial" w:cs="Arial"/>
          <w:sz w:val="18"/>
          <w:szCs w:val="18"/>
          <w:lang w:val="en-CA"/>
        </w:rPr>
        <w:t>.</w:t>
      </w:r>
    </w:p>
  </w:endnote>
  <w:endnote w:id="334">
    <w:p w14:paraId="331CA581" w14:textId="5B9D59CF" w:rsidR="00B37A8A" w:rsidRPr="0085310E" w:rsidRDefault="00B37A8A"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24154B" w:rsidRPr="00E16C03">
        <w:rPr>
          <w:rFonts w:ascii="Arial" w:hAnsi="Arial" w:cs="Arial"/>
          <w:smallCaps/>
          <w:sz w:val="18"/>
          <w:szCs w:val="18"/>
          <w:lang w:val="en-CA"/>
        </w:rPr>
        <w:t>Independent review of gender identity services for children and young people</w:t>
      </w:r>
      <w:r w:rsidR="0024154B" w:rsidRPr="00E16C03">
        <w:rPr>
          <w:rFonts w:ascii="Arial" w:hAnsi="Arial" w:cs="Arial"/>
          <w:sz w:val="18"/>
          <w:szCs w:val="18"/>
          <w:lang w:val="en-CA"/>
        </w:rPr>
        <w:t xml:space="preserve">, </w:t>
      </w:r>
      <w:r w:rsidR="0024154B" w:rsidRPr="00E16C03">
        <w:rPr>
          <w:rFonts w:ascii="Arial" w:hAnsi="Arial" w:cs="Arial"/>
          <w:i/>
          <w:sz w:val="18"/>
          <w:szCs w:val="18"/>
          <w:lang w:val="en-CA"/>
        </w:rPr>
        <w:t>Interim Report</w:t>
      </w:r>
      <w:r w:rsidR="0024154B" w:rsidRPr="00E16C03">
        <w:rPr>
          <w:rFonts w:ascii="Arial" w:hAnsi="Arial" w:cs="Arial"/>
          <w:sz w:val="18"/>
          <w:szCs w:val="18"/>
          <w:lang w:val="en-CA"/>
        </w:rPr>
        <w:t xml:space="preserve">, 2022, [En ligne]. </w:t>
      </w:r>
      <w:hyperlink r:id="rId111" w:history="1">
        <w:r w:rsidR="00B6076C" w:rsidRPr="0085310E">
          <w:rPr>
            <w:rStyle w:val="Lienhypertexte"/>
            <w:rFonts w:ascii="Arial" w:hAnsi="Arial" w:cs="Arial"/>
            <w:sz w:val="18"/>
            <w:szCs w:val="18"/>
          </w:rPr>
          <w:t>https://cass.independent-review.uk/wp-content/uploads/2022/03/Cass-Review-Interim-Report-Final-Web-Accessible.pdf</w:t>
        </w:r>
      </w:hyperlink>
      <w:r w:rsidR="00B6076C" w:rsidRPr="0085310E">
        <w:rPr>
          <w:rFonts w:ascii="Arial" w:hAnsi="Arial" w:cs="Arial"/>
          <w:sz w:val="18"/>
          <w:szCs w:val="18"/>
        </w:rPr>
        <w:t xml:space="preserve"> </w:t>
      </w:r>
    </w:p>
  </w:endnote>
  <w:endnote w:id="335">
    <w:p w14:paraId="44A84045" w14:textId="4C603AB3" w:rsidR="00F7531E" w:rsidRPr="0085310E" w:rsidRDefault="00F7531E"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bookmarkStart w:id="153" w:name="_Hlk165578112"/>
      <w:r w:rsidR="00F11924" w:rsidRPr="00E16C03">
        <w:rPr>
          <w:rFonts w:ascii="Arial" w:hAnsi="Arial" w:cs="Arial"/>
          <w:sz w:val="18"/>
          <w:szCs w:val="18"/>
          <w:lang w:val="en-CA"/>
        </w:rPr>
        <w:t xml:space="preserve">NHS </w:t>
      </w:r>
      <w:r w:rsidR="00F11924" w:rsidRPr="00E16C03">
        <w:rPr>
          <w:rFonts w:ascii="Arial" w:hAnsi="Arial" w:cs="Arial"/>
          <w:smallCaps/>
          <w:sz w:val="18"/>
          <w:szCs w:val="18"/>
          <w:lang w:val="en-CA"/>
        </w:rPr>
        <w:t>England</w:t>
      </w:r>
      <w:r w:rsidR="00F11924" w:rsidRPr="00E16C03">
        <w:rPr>
          <w:rFonts w:ascii="Arial" w:hAnsi="Arial" w:cs="Arial"/>
          <w:sz w:val="18"/>
          <w:szCs w:val="18"/>
          <w:lang w:val="en-CA"/>
        </w:rPr>
        <w:t xml:space="preserve">, </w:t>
      </w:r>
      <w:r w:rsidR="00FB10BF" w:rsidRPr="00E16C03">
        <w:rPr>
          <w:rFonts w:ascii="Arial" w:hAnsi="Arial" w:cs="Arial"/>
          <w:sz w:val="18"/>
          <w:szCs w:val="18"/>
          <w:lang w:val="en-CA"/>
        </w:rPr>
        <w:t xml:space="preserve">« Implementing advice from the Cass Review », </w:t>
      </w:r>
      <w:r w:rsidR="002357FA" w:rsidRPr="00E16C03">
        <w:rPr>
          <w:rFonts w:ascii="Arial" w:hAnsi="Arial" w:cs="Arial"/>
          <w:sz w:val="18"/>
          <w:szCs w:val="18"/>
          <w:lang w:val="en-CA"/>
        </w:rPr>
        <w:t xml:space="preserve">[En ligne]. </w:t>
      </w:r>
      <w:hyperlink r:id="rId112" w:history="1">
        <w:r w:rsidR="002357FA" w:rsidRPr="00E16C03">
          <w:rPr>
            <w:rStyle w:val="Lienhypertexte"/>
            <w:rFonts w:ascii="Arial" w:hAnsi="Arial" w:cs="Arial"/>
            <w:sz w:val="18"/>
            <w:szCs w:val="18"/>
            <w:lang w:val="en-CA"/>
          </w:rPr>
          <w:t>https://www.england.nhs.uk/commissioning/spec-services/npc-crg/gender-dysphoria-clinical-programme/implementing-advice-from-the-cass-review/</w:t>
        </w:r>
      </w:hyperlink>
      <w:r w:rsidR="00544A20" w:rsidRPr="00E16C03">
        <w:rPr>
          <w:rFonts w:ascii="Arial" w:hAnsi="Arial" w:cs="Arial"/>
          <w:sz w:val="18"/>
          <w:szCs w:val="18"/>
          <w:lang w:val="en-CA"/>
        </w:rPr>
        <w:t xml:space="preserve">; </w:t>
      </w:r>
      <w:bookmarkEnd w:id="153"/>
      <w:r w:rsidR="00E24104" w:rsidRPr="00E16C03">
        <w:rPr>
          <w:rFonts w:ascii="Arial" w:hAnsi="Arial" w:cs="Arial"/>
          <w:sz w:val="18"/>
          <w:szCs w:val="18"/>
          <w:lang w:val="en-CA"/>
        </w:rPr>
        <w:t>Letter from Dr Hilary Cass</w:t>
      </w:r>
      <w:r w:rsidR="00644797" w:rsidRPr="00E16C03">
        <w:rPr>
          <w:rFonts w:ascii="Arial" w:hAnsi="Arial" w:cs="Arial"/>
          <w:sz w:val="18"/>
          <w:szCs w:val="18"/>
          <w:lang w:val="en-CA"/>
        </w:rPr>
        <w:t xml:space="preserve"> to NHS England</w:t>
      </w:r>
      <w:r w:rsidR="006E3DF3" w:rsidRPr="00E16C03">
        <w:rPr>
          <w:rFonts w:ascii="Arial" w:hAnsi="Arial" w:cs="Arial"/>
          <w:sz w:val="18"/>
          <w:szCs w:val="18"/>
          <w:lang w:val="en-CA"/>
        </w:rPr>
        <w:t>, “</w:t>
      </w:r>
      <w:r w:rsidR="004244FA" w:rsidRPr="00E16C03">
        <w:rPr>
          <w:rFonts w:ascii="Arial" w:hAnsi="Arial" w:cs="Arial"/>
          <w:sz w:val="18"/>
          <w:szCs w:val="18"/>
          <w:lang w:val="en-CA"/>
        </w:rPr>
        <w:t>Independent review of gender identity services for children and young people</w:t>
      </w:r>
      <w:r w:rsidR="00B41D67" w:rsidRPr="00E16C03">
        <w:rPr>
          <w:rFonts w:ascii="Arial" w:hAnsi="Arial" w:cs="Arial"/>
          <w:sz w:val="18"/>
          <w:szCs w:val="18"/>
          <w:lang w:val="en-CA"/>
        </w:rPr>
        <w:t xml:space="preserve"> – </w:t>
      </w:r>
      <w:r w:rsidR="004244FA" w:rsidRPr="00E16C03">
        <w:rPr>
          <w:rFonts w:ascii="Arial" w:hAnsi="Arial" w:cs="Arial"/>
          <w:sz w:val="18"/>
          <w:szCs w:val="18"/>
          <w:lang w:val="en-CA"/>
        </w:rPr>
        <w:t>further advice</w:t>
      </w:r>
      <w:r w:rsidR="000F40F2" w:rsidRPr="00E16C03">
        <w:rPr>
          <w:rFonts w:ascii="Arial" w:hAnsi="Arial" w:cs="Arial"/>
          <w:sz w:val="18"/>
          <w:szCs w:val="18"/>
          <w:lang w:val="en-CA"/>
        </w:rPr>
        <w:t xml:space="preserve">”, </w:t>
      </w:r>
      <w:r w:rsidR="003D2B32" w:rsidRPr="00E16C03">
        <w:rPr>
          <w:rFonts w:ascii="Arial" w:hAnsi="Arial" w:cs="Arial"/>
          <w:sz w:val="18"/>
          <w:szCs w:val="18"/>
          <w:lang w:val="en-CA"/>
        </w:rPr>
        <w:t>19</w:t>
      </w:r>
      <w:r w:rsidR="00762FE8">
        <w:rPr>
          <w:rFonts w:ascii="Arial" w:hAnsi="Arial" w:cs="Arial"/>
          <w:sz w:val="18"/>
          <w:szCs w:val="18"/>
          <w:lang w:val="en-CA"/>
        </w:rPr>
        <w:t> </w:t>
      </w:r>
      <w:r w:rsidR="003D2B32" w:rsidRPr="00E16C03">
        <w:rPr>
          <w:rFonts w:ascii="Arial" w:hAnsi="Arial" w:cs="Arial"/>
          <w:sz w:val="18"/>
          <w:szCs w:val="18"/>
          <w:lang w:val="en-CA"/>
        </w:rPr>
        <w:t>juillet 2022, [En ligne].</w:t>
      </w:r>
      <w:r w:rsidR="009228C6" w:rsidRPr="00E16C03">
        <w:rPr>
          <w:rFonts w:ascii="Arial" w:hAnsi="Arial" w:cs="Arial"/>
          <w:sz w:val="18"/>
          <w:szCs w:val="18"/>
          <w:lang w:val="en-CA"/>
        </w:rPr>
        <w:t xml:space="preserve"> </w:t>
      </w:r>
      <w:hyperlink r:id="rId113" w:history="1">
        <w:r w:rsidR="003D2B32" w:rsidRPr="0085310E">
          <w:rPr>
            <w:rStyle w:val="Lienhypertexte"/>
            <w:rFonts w:ascii="Arial" w:hAnsi="Arial" w:cs="Arial"/>
            <w:sz w:val="18"/>
            <w:szCs w:val="18"/>
          </w:rPr>
          <w:t>https://cass.independent-review.uk/wp-content/uploads/2022/07/Cass-Review-Letter-to-NHSE_19-July-2022.pdf</w:t>
        </w:r>
      </w:hyperlink>
      <w:r w:rsidR="003D2B32" w:rsidRPr="0085310E">
        <w:rPr>
          <w:rFonts w:ascii="Arial" w:hAnsi="Arial" w:cs="Arial"/>
          <w:sz w:val="18"/>
          <w:szCs w:val="18"/>
        </w:rPr>
        <w:t xml:space="preserve"> </w:t>
      </w:r>
    </w:p>
  </w:endnote>
  <w:endnote w:id="336">
    <w:p w14:paraId="517E6D0C" w14:textId="2E011021" w:rsidR="00E3474D" w:rsidRPr="00F11979" w:rsidRDefault="00E3474D"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1E26FD" w:rsidRPr="00E16C03">
        <w:rPr>
          <w:rFonts w:ascii="Arial" w:hAnsi="Arial" w:cs="Arial"/>
          <w:sz w:val="18"/>
          <w:szCs w:val="18"/>
          <w:lang w:val="en-CA"/>
        </w:rPr>
        <w:tab/>
      </w:r>
      <w:r w:rsidR="007A5878" w:rsidRPr="00E16C03">
        <w:rPr>
          <w:rFonts w:ascii="Arial" w:hAnsi="Arial" w:cs="Arial"/>
          <w:sz w:val="18"/>
          <w:szCs w:val="18"/>
          <w:lang w:val="en-CA"/>
        </w:rPr>
        <w:t xml:space="preserve">NHS </w:t>
      </w:r>
      <w:r w:rsidR="007A5878" w:rsidRPr="00E16C03">
        <w:rPr>
          <w:rFonts w:ascii="Arial" w:hAnsi="Arial" w:cs="Arial"/>
          <w:smallCaps/>
          <w:sz w:val="18"/>
          <w:szCs w:val="18"/>
          <w:lang w:val="en-CA"/>
        </w:rPr>
        <w:t>England</w:t>
      </w:r>
      <w:r w:rsidR="007A5878" w:rsidRPr="00E16C03">
        <w:rPr>
          <w:rFonts w:ascii="Arial" w:hAnsi="Arial" w:cs="Arial"/>
          <w:sz w:val="18"/>
          <w:szCs w:val="18"/>
          <w:lang w:val="en-CA"/>
        </w:rPr>
        <w:t>,</w:t>
      </w:r>
      <w:r w:rsidR="00016356" w:rsidRPr="00E16C03">
        <w:rPr>
          <w:rFonts w:ascii="Arial" w:hAnsi="Arial" w:cs="Arial"/>
          <w:sz w:val="18"/>
          <w:szCs w:val="18"/>
          <w:lang w:val="en-CA"/>
        </w:rPr>
        <w:t xml:space="preserve"> </w:t>
      </w:r>
      <w:r w:rsidR="00016356" w:rsidRPr="00E16C03">
        <w:rPr>
          <w:rFonts w:ascii="Arial" w:hAnsi="Arial" w:cs="Arial"/>
          <w:i/>
          <w:sz w:val="18"/>
          <w:szCs w:val="18"/>
          <w:lang w:val="en-CA"/>
        </w:rPr>
        <w:t>id</w:t>
      </w:r>
      <w:r w:rsidR="00016356" w:rsidRPr="00F11979">
        <w:rPr>
          <w:rFonts w:ascii="Arial" w:hAnsi="Arial" w:cs="Arial"/>
          <w:sz w:val="18"/>
          <w:szCs w:val="18"/>
          <w:lang w:val="en-CA"/>
        </w:rPr>
        <w:t>.</w:t>
      </w:r>
    </w:p>
  </w:endnote>
  <w:endnote w:id="337">
    <w:p w14:paraId="1CD03A8C" w14:textId="25C10DD6" w:rsidR="008249C0" w:rsidRPr="00E16C03" w:rsidRDefault="008249C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1E26FD" w:rsidRPr="00E16C03">
        <w:rPr>
          <w:rFonts w:ascii="Arial" w:hAnsi="Arial" w:cs="Arial"/>
          <w:sz w:val="18"/>
          <w:szCs w:val="18"/>
          <w:lang w:val="en-CA"/>
        </w:rPr>
        <w:tab/>
      </w:r>
      <w:r w:rsidR="00827F1B" w:rsidRPr="00E16C03">
        <w:rPr>
          <w:rFonts w:ascii="Arial" w:hAnsi="Arial" w:cs="Arial"/>
          <w:smallCaps/>
          <w:sz w:val="18"/>
          <w:szCs w:val="18"/>
          <w:lang w:val="en-CA"/>
        </w:rPr>
        <w:t>Independent review of gender identity services for children and young people</w:t>
      </w:r>
      <w:r w:rsidR="00827F1B" w:rsidRPr="00E16C03">
        <w:rPr>
          <w:rFonts w:ascii="Arial" w:hAnsi="Arial" w:cs="Arial"/>
          <w:sz w:val="18"/>
          <w:szCs w:val="18"/>
          <w:lang w:val="en-CA"/>
        </w:rPr>
        <w:t xml:space="preserve">, </w:t>
      </w:r>
      <w:r w:rsidR="004C4714" w:rsidRPr="00E16C03">
        <w:rPr>
          <w:rFonts w:ascii="Arial" w:hAnsi="Arial" w:cs="Arial"/>
          <w:sz w:val="18"/>
          <w:szCs w:val="18"/>
          <w:lang w:val="en-CA"/>
        </w:rPr>
        <w:t xml:space="preserve">préc., note </w:t>
      </w:r>
      <w:r w:rsidR="004C4714" w:rsidRPr="00F11979">
        <w:rPr>
          <w:rFonts w:ascii="Arial" w:hAnsi="Arial" w:cs="Arial"/>
          <w:sz w:val="18"/>
          <w:szCs w:val="18"/>
          <w:lang w:val="fr-CA"/>
        </w:rPr>
        <w:fldChar w:fldCharType="begin"/>
      </w:r>
      <w:r w:rsidR="004C4714" w:rsidRPr="00E16C03">
        <w:rPr>
          <w:rFonts w:ascii="Arial" w:hAnsi="Arial" w:cs="Arial"/>
          <w:sz w:val="18"/>
          <w:szCs w:val="18"/>
          <w:lang w:val="en-CA"/>
        </w:rPr>
        <w:instrText xml:space="preserve"> NOTEREF _Ref167352469 \h </w:instrText>
      </w:r>
      <w:r w:rsidR="004C4714" w:rsidRPr="00F11979">
        <w:rPr>
          <w:rFonts w:ascii="Arial" w:hAnsi="Arial" w:cs="Arial"/>
          <w:sz w:val="18"/>
          <w:szCs w:val="18"/>
          <w:lang w:val="fr-CA"/>
        </w:rPr>
      </w:r>
      <w:r w:rsidR="004C4714" w:rsidRPr="00F11979">
        <w:rPr>
          <w:rFonts w:ascii="Arial" w:hAnsi="Arial" w:cs="Arial"/>
          <w:sz w:val="18"/>
          <w:szCs w:val="18"/>
          <w:lang w:val="fr-CA"/>
        </w:rPr>
        <w:fldChar w:fldCharType="separate"/>
      </w:r>
      <w:r w:rsidR="004B4881">
        <w:rPr>
          <w:rFonts w:ascii="Arial" w:hAnsi="Arial" w:cs="Arial"/>
          <w:sz w:val="18"/>
          <w:szCs w:val="18"/>
          <w:lang w:val="en-CA"/>
        </w:rPr>
        <w:t>89</w:t>
      </w:r>
      <w:r w:rsidR="004C4714" w:rsidRPr="00F11979">
        <w:rPr>
          <w:rFonts w:ascii="Arial" w:hAnsi="Arial" w:cs="Arial"/>
          <w:sz w:val="18"/>
          <w:szCs w:val="18"/>
          <w:lang w:val="fr-CA"/>
        </w:rPr>
        <w:fldChar w:fldCharType="end"/>
      </w:r>
      <w:r w:rsidR="004C4714" w:rsidRPr="00E16C03">
        <w:rPr>
          <w:rFonts w:ascii="Arial" w:hAnsi="Arial" w:cs="Arial"/>
          <w:sz w:val="18"/>
          <w:szCs w:val="18"/>
          <w:lang w:val="en-CA"/>
        </w:rPr>
        <w:t>.</w:t>
      </w:r>
    </w:p>
  </w:endnote>
  <w:endnote w:id="338">
    <w:p w14:paraId="05B65FAD" w14:textId="5489F8A6"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E72F3" w:rsidRPr="00BD22C2">
        <w:rPr>
          <w:rFonts w:ascii="Arial" w:hAnsi="Arial" w:cs="Arial"/>
          <w:sz w:val="18"/>
          <w:szCs w:val="18"/>
          <w:lang w:val="fr-CA"/>
        </w:rPr>
        <w:tab/>
      </w:r>
      <w:r w:rsidR="005E073E" w:rsidRPr="00BD22C2">
        <w:rPr>
          <w:rFonts w:ascii="Arial" w:hAnsi="Arial" w:cs="Arial"/>
          <w:i/>
          <w:sz w:val="18"/>
          <w:szCs w:val="18"/>
          <w:lang w:val="fr-CA"/>
        </w:rPr>
        <w:t>Id.</w:t>
      </w:r>
      <w:r w:rsidR="00FD4FF8" w:rsidRPr="00BD22C2">
        <w:rPr>
          <w:rFonts w:ascii="Arial" w:hAnsi="Arial" w:cs="Arial"/>
          <w:sz w:val="18"/>
          <w:szCs w:val="18"/>
          <w:lang w:val="fr-CA"/>
        </w:rPr>
        <w:t xml:space="preserve">, </w:t>
      </w:r>
      <w:r w:rsidR="003E72F3" w:rsidRPr="00BD22C2">
        <w:rPr>
          <w:rFonts w:ascii="Arial" w:hAnsi="Arial" w:cs="Arial"/>
          <w:sz w:val="18"/>
          <w:szCs w:val="18"/>
          <w:lang w:val="fr-CA"/>
        </w:rPr>
        <w:t>p</w:t>
      </w:r>
      <w:r w:rsidR="008E302A" w:rsidRPr="00BD22C2">
        <w:rPr>
          <w:rFonts w:ascii="Arial" w:hAnsi="Arial" w:cs="Arial"/>
          <w:sz w:val="18"/>
          <w:szCs w:val="18"/>
          <w:lang w:val="fr-CA"/>
        </w:rPr>
        <w:t>.</w:t>
      </w:r>
      <w:r w:rsidR="00CE1914">
        <w:rPr>
          <w:rFonts w:ascii="Arial" w:hAnsi="Arial" w:cs="Arial"/>
          <w:sz w:val="18"/>
          <w:szCs w:val="18"/>
          <w:lang w:val="fr-CA"/>
        </w:rPr>
        <w:t> </w:t>
      </w:r>
      <w:r w:rsidR="008E302A" w:rsidRPr="00BD22C2">
        <w:rPr>
          <w:rFonts w:ascii="Arial" w:hAnsi="Arial" w:cs="Arial"/>
          <w:sz w:val="18"/>
          <w:szCs w:val="18"/>
          <w:lang w:val="fr-CA"/>
        </w:rPr>
        <w:t>206</w:t>
      </w:r>
      <w:r w:rsidR="00616CD0">
        <w:rPr>
          <w:rFonts w:ascii="Arial" w:hAnsi="Arial" w:cs="Arial"/>
          <w:sz w:val="18"/>
          <w:szCs w:val="18"/>
          <w:lang w:val="fr-CA"/>
        </w:rPr>
        <w:t xml:space="preserve"> à </w:t>
      </w:r>
      <w:r w:rsidR="008E302A" w:rsidRPr="00BD22C2">
        <w:rPr>
          <w:rFonts w:ascii="Arial" w:hAnsi="Arial" w:cs="Arial"/>
          <w:sz w:val="18"/>
          <w:szCs w:val="18"/>
          <w:lang w:val="fr-CA"/>
        </w:rPr>
        <w:t>231</w:t>
      </w:r>
      <w:r w:rsidR="00FD4FF8" w:rsidRPr="00BD22C2">
        <w:rPr>
          <w:rFonts w:ascii="Arial" w:hAnsi="Arial" w:cs="Arial"/>
          <w:sz w:val="18"/>
          <w:szCs w:val="18"/>
          <w:lang w:val="fr-CA"/>
        </w:rPr>
        <w:t>.</w:t>
      </w:r>
    </w:p>
  </w:endnote>
  <w:endnote w:id="339">
    <w:p w14:paraId="3543582E" w14:textId="03437CA6"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223AE5" w:rsidRPr="00BD22C2">
        <w:rPr>
          <w:rFonts w:ascii="Arial" w:hAnsi="Arial" w:cs="Arial"/>
          <w:sz w:val="18"/>
          <w:szCs w:val="18"/>
          <w:lang w:val="fr-CA"/>
        </w:rPr>
        <w:t xml:space="preserve">Eli </w:t>
      </w:r>
      <w:r w:rsidR="00223AE5" w:rsidRPr="00BD22C2">
        <w:rPr>
          <w:rFonts w:ascii="Arial" w:hAnsi="Arial" w:cs="Arial"/>
          <w:smallCaps/>
          <w:sz w:val="18"/>
          <w:szCs w:val="18"/>
          <w:lang w:val="fr-CA"/>
        </w:rPr>
        <w:t xml:space="preserve">Coleman </w:t>
      </w:r>
      <w:r w:rsidR="00223AE5" w:rsidRPr="00BD22C2">
        <w:rPr>
          <w:rFonts w:ascii="Arial" w:hAnsi="Arial" w:cs="Arial"/>
          <w:sz w:val="18"/>
          <w:szCs w:val="18"/>
          <w:lang w:val="fr-CA"/>
        </w:rPr>
        <w:t>et al</w:t>
      </w:r>
      <w:r w:rsidR="00223AE5" w:rsidRPr="00BD22C2">
        <w:rPr>
          <w:rFonts w:ascii="Arial" w:hAnsi="Arial" w:cs="Arial"/>
          <w:smallCaps/>
          <w:sz w:val="18"/>
          <w:szCs w:val="18"/>
          <w:lang w:val="fr-CA"/>
        </w:rPr>
        <w:t xml:space="preserve">., </w:t>
      </w:r>
      <w:r w:rsidR="0030655A" w:rsidRPr="00BD22C2">
        <w:rPr>
          <w:rFonts w:ascii="Arial" w:hAnsi="Arial" w:cs="Arial"/>
          <w:sz w:val="18"/>
          <w:szCs w:val="18"/>
          <w:lang w:val="fr-CA"/>
        </w:rPr>
        <w:t xml:space="preserve">préc., note </w:t>
      </w:r>
      <w:r w:rsidR="0030655A" w:rsidRPr="00BD22C2">
        <w:rPr>
          <w:rFonts w:ascii="Arial" w:hAnsi="Arial" w:cs="Arial"/>
          <w:sz w:val="18"/>
          <w:szCs w:val="18"/>
          <w:lang w:val="fr-CA"/>
        </w:rPr>
        <w:fldChar w:fldCharType="begin"/>
      </w:r>
      <w:r w:rsidR="0030655A" w:rsidRPr="00BD22C2">
        <w:rPr>
          <w:rFonts w:ascii="Arial" w:hAnsi="Arial" w:cs="Arial"/>
          <w:sz w:val="18"/>
          <w:szCs w:val="18"/>
          <w:lang w:val="fr-CA"/>
        </w:rPr>
        <w:instrText xml:space="preserve"> NOTEREF _Ref167356687 \h </w:instrText>
      </w:r>
      <w:r w:rsidR="0030655A" w:rsidRPr="00BD22C2">
        <w:rPr>
          <w:rFonts w:ascii="Arial" w:hAnsi="Arial" w:cs="Arial"/>
          <w:sz w:val="18"/>
          <w:szCs w:val="18"/>
          <w:lang w:val="fr-CA"/>
        </w:rPr>
      </w:r>
      <w:r w:rsidR="0030655A" w:rsidRPr="00BD22C2">
        <w:rPr>
          <w:rFonts w:ascii="Arial" w:hAnsi="Arial" w:cs="Arial"/>
          <w:sz w:val="18"/>
          <w:szCs w:val="18"/>
          <w:lang w:val="fr-CA"/>
        </w:rPr>
        <w:fldChar w:fldCharType="separate"/>
      </w:r>
      <w:r w:rsidR="004B4881">
        <w:rPr>
          <w:rFonts w:ascii="Arial" w:hAnsi="Arial" w:cs="Arial"/>
          <w:sz w:val="18"/>
          <w:szCs w:val="18"/>
          <w:lang w:val="fr-CA"/>
        </w:rPr>
        <w:t>43</w:t>
      </w:r>
      <w:r w:rsidR="0030655A" w:rsidRPr="00BD22C2">
        <w:rPr>
          <w:rFonts w:ascii="Arial" w:hAnsi="Arial" w:cs="Arial"/>
          <w:sz w:val="18"/>
          <w:szCs w:val="18"/>
          <w:lang w:val="fr-CA"/>
        </w:rPr>
        <w:fldChar w:fldCharType="end"/>
      </w:r>
      <w:r w:rsidR="0030655A" w:rsidRPr="00BD22C2">
        <w:rPr>
          <w:rFonts w:ascii="Arial" w:hAnsi="Arial" w:cs="Arial"/>
          <w:sz w:val="18"/>
          <w:szCs w:val="18"/>
          <w:lang w:val="fr-CA"/>
        </w:rPr>
        <w:t>.</w:t>
      </w:r>
    </w:p>
  </w:endnote>
  <w:endnote w:id="340">
    <w:p w14:paraId="49208C11" w14:textId="7430F60D" w:rsidR="008437AC" w:rsidRPr="00BD22C2" w:rsidRDefault="008437A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1C01A9" w:rsidRPr="00BD22C2">
        <w:rPr>
          <w:rFonts w:ascii="Arial" w:hAnsi="Arial" w:cs="Arial"/>
          <w:smallCaps/>
          <w:sz w:val="18"/>
          <w:szCs w:val="18"/>
          <w:lang w:val="fr-CA"/>
        </w:rPr>
        <w:t>Gouvernement du Québec, Ministère de la Santé et des Services sociaux</w:t>
      </w:r>
      <w:r w:rsidRPr="00BD22C2">
        <w:rPr>
          <w:rFonts w:ascii="Arial" w:hAnsi="Arial" w:cs="Arial"/>
          <w:sz w:val="18"/>
          <w:szCs w:val="18"/>
          <w:lang w:val="fr-CA"/>
        </w:rPr>
        <w:t xml:space="preserve">, </w:t>
      </w:r>
      <w:r w:rsidR="00E62E2F" w:rsidRPr="00BD22C2">
        <w:rPr>
          <w:rFonts w:ascii="Arial" w:hAnsi="Arial" w:cs="Arial"/>
          <w:sz w:val="18"/>
          <w:szCs w:val="18"/>
          <w:lang w:val="fr-CA"/>
        </w:rPr>
        <w:t>préc., note</w:t>
      </w:r>
      <w:r w:rsidR="00CE1914">
        <w:rPr>
          <w:rFonts w:ascii="Arial" w:hAnsi="Arial" w:cs="Arial"/>
          <w:sz w:val="18"/>
          <w:szCs w:val="18"/>
          <w:lang w:val="fr-CA"/>
        </w:rPr>
        <w:t> </w:t>
      </w:r>
      <w:r w:rsidR="00A040B2" w:rsidRPr="00BD22C2">
        <w:rPr>
          <w:rFonts w:ascii="Arial" w:hAnsi="Arial" w:cs="Arial"/>
          <w:sz w:val="18"/>
          <w:szCs w:val="18"/>
          <w:lang w:val="fr-CA"/>
        </w:rPr>
        <w:fldChar w:fldCharType="begin"/>
      </w:r>
      <w:r w:rsidR="00A040B2" w:rsidRPr="00BD22C2">
        <w:rPr>
          <w:rFonts w:ascii="Arial" w:hAnsi="Arial" w:cs="Arial"/>
          <w:sz w:val="18"/>
          <w:szCs w:val="18"/>
          <w:lang w:val="fr-CA"/>
        </w:rPr>
        <w:instrText xml:space="preserve"> NOTEREF _Ref167367810 \h </w:instrText>
      </w:r>
      <w:r w:rsidR="00A040B2" w:rsidRPr="00BD22C2">
        <w:rPr>
          <w:rFonts w:ascii="Arial" w:hAnsi="Arial" w:cs="Arial"/>
          <w:sz w:val="18"/>
          <w:szCs w:val="18"/>
          <w:lang w:val="fr-CA"/>
        </w:rPr>
      </w:r>
      <w:r w:rsidR="00A040B2" w:rsidRPr="00BD22C2">
        <w:rPr>
          <w:rFonts w:ascii="Arial" w:hAnsi="Arial" w:cs="Arial"/>
          <w:sz w:val="18"/>
          <w:szCs w:val="18"/>
          <w:lang w:val="fr-CA"/>
        </w:rPr>
        <w:fldChar w:fldCharType="separate"/>
      </w:r>
      <w:r w:rsidR="004B4881">
        <w:rPr>
          <w:rFonts w:ascii="Arial" w:hAnsi="Arial" w:cs="Arial"/>
          <w:sz w:val="18"/>
          <w:szCs w:val="18"/>
          <w:lang w:val="fr-CA"/>
        </w:rPr>
        <w:t>326</w:t>
      </w:r>
      <w:r w:rsidR="00A040B2" w:rsidRPr="00BD22C2">
        <w:rPr>
          <w:rFonts w:ascii="Arial" w:hAnsi="Arial" w:cs="Arial"/>
          <w:sz w:val="18"/>
          <w:szCs w:val="18"/>
          <w:lang w:val="fr-CA"/>
        </w:rPr>
        <w:fldChar w:fldCharType="end"/>
      </w:r>
      <w:r w:rsidRPr="00BD22C2">
        <w:rPr>
          <w:rFonts w:ascii="Arial" w:hAnsi="Arial" w:cs="Arial"/>
          <w:sz w:val="18"/>
          <w:szCs w:val="18"/>
          <w:lang w:val="fr-CA"/>
        </w:rPr>
        <w:t>, p.</w:t>
      </w:r>
      <w:r w:rsidR="00CE1914">
        <w:rPr>
          <w:rFonts w:ascii="Arial" w:hAnsi="Arial" w:cs="Arial"/>
          <w:sz w:val="18"/>
          <w:szCs w:val="18"/>
          <w:lang w:val="fr-CA"/>
        </w:rPr>
        <w:t> </w:t>
      </w:r>
      <w:r w:rsidRPr="00BD22C2">
        <w:rPr>
          <w:rFonts w:ascii="Arial" w:hAnsi="Arial" w:cs="Arial"/>
          <w:sz w:val="18"/>
          <w:szCs w:val="18"/>
          <w:lang w:val="fr-CA"/>
        </w:rPr>
        <w:t>14</w:t>
      </w:r>
      <w:r w:rsidR="00A040B2" w:rsidRPr="00BD22C2">
        <w:rPr>
          <w:rFonts w:ascii="Arial" w:hAnsi="Arial" w:cs="Arial"/>
          <w:sz w:val="18"/>
          <w:szCs w:val="18"/>
          <w:lang w:val="fr-CA"/>
        </w:rPr>
        <w:t>.</w:t>
      </w:r>
    </w:p>
  </w:endnote>
  <w:endnote w:id="341">
    <w:p w14:paraId="712C34F8" w14:textId="0D4C774E"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A84D04" w:rsidRPr="00BD22C2">
        <w:rPr>
          <w:rFonts w:ascii="Arial" w:hAnsi="Arial" w:cs="Arial"/>
          <w:sz w:val="18"/>
          <w:szCs w:val="18"/>
          <w:lang w:val="fr-CA"/>
        </w:rPr>
        <w:t>Outre le cas précité de l’Alberta, plusieurs États américains ont adopté ou proposé des restrictions liées à l’âge pour l’accès aux soins d’affirmation de genre</w:t>
      </w:r>
      <w:r w:rsidR="00365C96" w:rsidRPr="00BD22C2">
        <w:rPr>
          <w:rFonts w:ascii="Arial" w:hAnsi="Arial" w:cs="Arial"/>
          <w:sz w:val="18"/>
          <w:szCs w:val="18"/>
          <w:lang w:val="fr-CA"/>
        </w:rPr>
        <w:t xml:space="preserve">. Voir </w:t>
      </w:r>
      <w:r w:rsidR="003961E1" w:rsidRPr="00BD22C2">
        <w:rPr>
          <w:rFonts w:ascii="Arial" w:hAnsi="Arial" w:cs="Arial"/>
          <w:smallCaps/>
          <w:sz w:val="18"/>
          <w:szCs w:val="18"/>
          <w:lang w:val="fr-CA"/>
        </w:rPr>
        <w:t>American Civil Liberties Union</w:t>
      </w:r>
      <w:r w:rsidR="003961E1" w:rsidRPr="00BD22C2">
        <w:rPr>
          <w:rFonts w:ascii="Arial" w:hAnsi="Arial" w:cs="Arial"/>
          <w:sz w:val="18"/>
          <w:szCs w:val="18"/>
          <w:lang w:val="fr-CA"/>
        </w:rPr>
        <w:t xml:space="preserve">, </w:t>
      </w:r>
      <w:r w:rsidR="0001300D" w:rsidRPr="00BD22C2">
        <w:rPr>
          <w:rFonts w:ascii="Arial" w:hAnsi="Arial" w:cs="Arial"/>
          <w:sz w:val="18"/>
          <w:szCs w:val="18"/>
          <w:lang w:val="fr-CA"/>
        </w:rPr>
        <w:t xml:space="preserve">préc., note </w:t>
      </w:r>
      <w:r w:rsidR="0001300D" w:rsidRPr="00BD22C2">
        <w:rPr>
          <w:rFonts w:ascii="Arial" w:hAnsi="Arial" w:cs="Arial"/>
          <w:sz w:val="18"/>
          <w:szCs w:val="18"/>
          <w:lang w:val="fr-CA"/>
        </w:rPr>
        <w:fldChar w:fldCharType="begin"/>
      </w:r>
      <w:r w:rsidR="0001300D" w:rsidRPr="00BD22C2">
        <w:rPr>
          <w:rFonts w:ascii="Arial" w:hAnsi="Arial" w:cs="Arial"/>
          <w:sz w:val="18"/>
          <w:szCs w:val="18"/>
          <w:lang w:val="fr-CA"/>
        </w:rPr>
        <w:instrText xml:space="preserve"> NOTEREF _Ref166838942 \f \h  \* MERGEFORMAT </w:instrText>
      </w:r>
      <w:r w:rsidR="0001300D" w:rsidRPr="00BD22C2">
        <w:rPr>
          <w:rFonts w:ascii="Arial" w:hAnsi="Arial" w:cs="Arial"/>
          <w:sz w:val="18"/>
          <w:szCs w:val="18"/>
          <w:lang w:val="fr-CA"/>
        </w:rPr>
      </w:r>
      <w:r w:rsidR="0001300D" w:rsidRPr="00BD22C2">
        <w:rPr>
          <w:rFonts w:ascii="Arial" w:hAnsi="Arial" w:cs="Arial"/>
          <w:sz w:val="18"/>
          <w:szCs w:val="18"/>
          <w:lang w:val="fr-CA"/>
        </w:rPr>
        <w:fldChar w:fldCharType="separate"/>
      </w:r>
      <w:r w:rsidR="004B4881" w:rsidRPr="004B4881">
        <w:rPr>
          <w:rStyle w:val="Appeldenotedefin"/>
          <w:rFonts w:ascii="Arial" w:hAnsi="Arial" w:cs="Arial"/>
          <w:sz w:val="18"/>
          <w:szCs w:val="18"/>
          <w:vertAlign w:val="baseline"/>
          <w:lang w:val="fr-CA"/>
        </w:rPr>
        <w:t>36</w:t>
      </w:r>
      <w:r w:rsidR="0001300D" w:rsidRPr="00BD22C2">
        <w:rPr>
          <w:rFonts w:ascii="Arial" w:hAnsi="Arial" w:cs="Arial"/>
          <w:sz w:val="18"/>
          <w:szCs w:val="18"/>
          <w:lang w:val="fr-CA"/>
        </w:rPr>
        <w:fldChar w:fldCharType="end"/>
      </w:r>
      <w:r w:rsidR="00F53A31" w:rsidRPr="00BD22C2">
        <w:rPr>
          <w:rFonts w:ascii="Arial" w:hAnsi="Arial" w:cs="Arial"/>
          <w:sz w:val="18"/>
          <w:szCs w:val="18"/>
          <w:lang w:val="fr-CA"/>
        </w:rPr>
        <w:t>.</w:t>
      </w:r>
    </w:p>
  </w:endnote>
  <w:endnote w:id="342">
    <w:p w14:paraId="16157E2F" w14:textId="405EFA92" w:rsidR="00C92543" w:rsidRPr="00F11979" w:rsidRDefault="00C92543" w:rsidP="00707395">
      <w:pPr>
        <w:pStyle w:val="Notedebasdepage"/>
        <w:rPr>
          <w:lang w:val="fr-CA"/>
        </w:rPr>
      </w:pPr>
      <w:r w:rsidRPr="00F11979">
        <w:rPr>
          <w:rStyle w:val="Appeldenotedefin"/>
          <w:lang w:val="fr-CA"/>
        </w:rPr>
        <w:endnoteRef/>
      </w:r>
      <w:r w:rsidRPr="00F11979">
        <w:rPr>
          <w:lang w:val="fr-CA"/>
        </w:rPr>
        <w:t xml:space="preserve"> </w:t>
      </w:r>
      <w:r w:rsidR="00196FB7" w:rsidRPr="00F11979">
        <w:rPr>
          <w:lang w:val="fr-CA"/>
        </w:rPr>
        <w:tab/>
        <w:t>Voir préc., note</w:t>
      </w:r>
      <w:r w:rsidR="00CE1914">
        <w:rPr>
          <w:lang w:val="fr-CA"/>
        </w:rPr>
        <w:t> </w:t>
      </w:r>
      <w:r w:rsidR="00D43B57" w:rsidRPr="00F11979">
        <w:rPr>
          <w:lang w:val="fr-CA"/>
        </w:rPr>
        <w:fldChar w:fldCharType="begin"/>
      </w:r>
      <w:r w:rsidR="00D43B57" w:rsidRPr="00F11979">
        <w:rPr>
          <w:lang w:val="fr-CA"/>
        </w:rPr>
        <w:instrText xml:space="preserve"> NOTEREF _Ref167189725 \h </w:instrText>
      </w:r>
      <w:r w:rsidR="005C259E" w:rsidRPr="00F11979">
        <w:rPr>
          <w:lang w:val="fr-CA"/>
        </w:rPr>
        <w:instrText xml:space="preserve"> \* MERGEFORMAT </w:instrText>
      </w:r>
      <w:r w:rsidR="00D43B57" w:rsidRPr="00F11979">
        <w:rPr>
          <w:lang w:val="fr-CA"/>
        </w:rPr>
      </w:r>
      <w:r w:rsidR="00D43B57" w:rsidRPr="00F11979">
        <w:rPr>
          <w:lang w:val="fr-CA"/>
        </w:rPr>
        <w:fldChar w:fldCharType="separate"/>
      </w:r>
      <w:r w:rsidR="004B4881">
        <w:rPr>
          <w:lang w:val="fr-CA"/>
        </w:rPr>
        <w:t>207</w:t>
      </w:r>
      <w:r w:rsidR="00D43B57" w:rsidRPr="00F11979">
        <w:rPr>
          <w:lang w:val="fr-CA"/>
        </w:rPr>
        <w:fldChar w:fldCharType="end"/>
      </w:r>
      <w:r w:rsidR="00196FB7" w:rsidRPr="00F11979">
        <w:rPr>
          <w:lang w:val="fr-CA"/>
        </w:rPr>
        <w:t>.</w:t>
      </w:r>
    </w:p>
  </w:endnote>
  <w:endnote w:id="343">
    <w:p w14:paraId="0E32553D" w14:textId="4C58D33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F633A8" w:rsidRPr="00BD22C2">
        <w:rPr>
          <w:rFonts w:ascii="Arial" w:hAnsi="Arial" w:cs="Arial"/>
          <w:smallCaps/>
          <w:sz w:val="18"/>
          <w:szCs w:val="18"/>
          <w:lang w:val="fr-CA"/>
        </w:rPr>
        <w:t>Comité des droits de l’enfant</w:t>
      </w:r>
      <w:r w:rsidR="00F633A8" w:rsidRPr="00BD22C2">
        <w:rPr>
          <w:rFonts w:ascii="Arial" w:hAnsi="Arial" w:cs="Arial"/>
          <w:sz w:val="18"/>
          <w:szCs w:val="18"/>
          <w:lang w:val="fr-CA"/>
        </w:rPr>
        <w:t>,</w:t>
      </w:r>
      <w:r w:rsidR="00FC021E" w:rsidRPr="00BD22C2">
        <w:rPr>
          <w:rFonts w:ascii="Arial" w:hAnsi="Arial" w:cs="Arial"/>
          <w:sz w:val="18"/>
          <w:szCs w:val="18"/>
          <w:lang w:val="fr-CA"/>
        </w:rPr>
        <w:t xml:space="preserve"> </w:t>
      </w:r>
      <w:r w:rsidR="00FC021E" w:rsidRPr="00BD22C2">
        <w:rPr>
          <w:rFonts w:ascii="Arial" w:hAnsi="Arial" w:cs="Arial"/>
          <w:i/>
          <w:sz w:val="18"/>
          <w:szCs w:val="18"/>
          <w:lang w:val="fr-CA"/>
        </w:rPr>
        <w:t>Observation générale no</w:t>
      </w:r>
      <w:r w:rsidR="00CE1914">
        <w:rPr>
          <w:rFonts w:ascii="Arial" w:hAnsi="Arial" w:cs="Arial"/>
          <w:i/>
          <w:sz w:val="18"/>
          <w:szCs w:val="18"/>
          <w:lang w:val="fr-CA"/>
        </w:rPr>
        <w:t> </w:t>
      </w:r>
      <w:r w:rsidR="00FC021E" w:rsidRPr="00BD22C2">
        <w:rPr>
          <w:rFonts w:ascii="Arial" w:hAnsi="Arial" w:cs="Arial"/>
          <w:i/>
          <w:sz w:val="18"/>
          <w:szCs w:val="18"/>
          <w:lang w:val="fr-CA"/>
        </w:rPr>
        <w:t>20</w:t>
      </w:r>
      <w:r w:rsidR="00770950" w:rsidRPr="00BD22C2">
        <w:rPr>
          <w:rFonts w:ascii="Arial" w:hAnsi="Arial" w:cs="Arial"/>
          <w:i/>
          <w:sz w:val="18"/>
          <w:szCs w:val="18"/>
          <w:lang w:val="fr-CA"/>
        </w:rPr>
        <w:t xml:space="preserve">, </w:t>
      </w:r>
      <w:r w:rsidR="00770950" w:rsidRPr="00BD22C2">
        <w:rPr>
          <w:rFonts w:ascii="Arial" w:hAnsi="Arial" w:cs="Arial"/>
          <w:iCs/>
          <w:sz w:val="18"/>
          <w:szCs w:val="18"/>
          <w:lang w:val="fr-CA"/>
        </w:rPr>
        <w:t>préc., note</w:t>
      </w:r>
      <w:r w:rsidR="00CE1914">
        <w:rPr>
          <w:rFonts w:ascii="Arial" w:hAnsi="Arial" w:cs="Arial"/>
          <w:iCs/>
          <w:sz w:val="18"/>
          <w:szCs w:val="18"/>
          <w:lang w:val="fr-CA"/>
        </w:rPr>
        <w:t> </w:t>
      </w:r>
      <w:r w:rsidR="003B3C80" w:rsidRPr="00BD22C2">
        <w:rPr>
          <w:rFonts w:ascii="Arial" w:hAnsi="Arial" w:cs="Arial"/>
          <w:iCs/>
          <w:sz w:val="18"/>
          <w:szCs w:val="18"/>
          <w:lang w:val="fr-CA"/>
        </w:rPr>
        <w:fldChar w:fldCharType="begin"/>
      </w:r>
      <w:r w:rsidR="003B3C80" w:rsidRPr="00BD22C2">
        <w:rPr>
          <w:rFonts w:ascii="Arial" w:hAnsi="Arial" w:cs="Arial"/>
          <w:iCs/>
          <w:sz w:val="18"/>
          <w:szCs w:val="18"/>
          <w:lang w:val="fr-CA"/>
        </w:rPr>
        <w:instrText xml:space="preserve"> NOTEREF _Ref167455332 \h </w:instrText>
      </w:r>
      <w:r w:rsidR="003B3C80" w:rsidRPr="00BD22C2">
        <w:rPr>
          <w:rFonts w:ascii="Arial" w:hAnsi="Arial" w:cs="Arial"/>
          <w:iCs/>
          <w:sz w:val="18"/>
          <w:szCs w:val="18"/>
          <w:lang w:val="fr-CA"/>
        </w:rPr>
      </w:r>
      <w:r w:rsidR="003B3C80" w:rsidRPr="00BD22C2">
        <w:rPr>
          <w:rFonts w:ascii="Arial" w:hAnsi="Arial" w:cs="Arial"/>
          <w:iCs/>
          <w:sz w:val="18"/>
          <w:szCs w:val="18"/>
          <w:lang w:val="fr-CA"/>
        </w:rPr>
        <w:fldChar w:fldCharType="separate"/>
      </w:r>
      <w:r w:rsidR="004B4881">
        <w:rPr>
          <w:rFonts w:ascii="Arial" w:hAnsi="Arial" w:cs="Arial"/>
          <w:iCs/>
          <w:sz w:val="18"/>
          <w:szCs w:val="18"/>
          <w:lang w:val="fr-CA"/>
        </w:rPr>
        <w:t>264</w:t>
      </w:r>
      <w:r w:rsidR="003B3C80" w:rsidRPr="00BD22C2">
        <w:rPr>
          <w:rFonts w:ascii="Arial" w:hAnsi="Arial" w:cs="Arial"/>
          <w:iCs/>
          <w:sz w:val="18"/>
          <w:szCs w:val="18"/>
          <w:lang w:val="fr-CA"/>
        </w:rPr>
        <w:fldChar w:fldCharType="end"/>
      </w:r>
      <w:r w:rsidR="003B3C80" w:rsidRPr="00BD22C2">
        <w:rPr>
          <w:rFonts w:ascii="Arial" w:hAnsi="Arial" w:cs="Arial"/>
          <w:iCs/>
          <w:sz w:val="18"/>
          <w:szCs w:val="18"/>
          <w:lang w:val="fr-CA"/>
        </w:rPr>
        <w:t xml:space="preserve">, </w:t>
      </w:r>
      <w:r w:rsidR="00F633A8" w:rsidRPr="00BD22C2">
        <w:rPr>
          <w:rFonts w:ascii="Arial" w:hAnsi="Arial" w:cs="Arial"/>
          <w:sz w:val="18"/>
          <w:szCs w:val="18"/>
          <w:lang w:val="fr-CA"/>
        </w:rPr>
        <w:t>par. 34.</w:t>
      </w:r>
    </w:p>
  </w:endnote>
  <w:endnote w:id="344">
    <w:p w14:paraId="3BFCBF61" w14:textId="7E2DBF74"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CRDE, art. 24</w:t>
      </w:r>
      <w:r w:rsidR="00B41D67" w:rsidRPr="00BD22C2">
        <w:rPr>
          <w:rFonts w:ascii="Arial" w:hAnsi="Arial" w:cs="Arial"/>
          <w:sz w:val="18"/>
          <w:szCs w:val="18"/>
          <w:lang w:val="fr-CA"/>
        </w:rPr>
        <w:t> </w:t>
      </w:r>
      <w:r w:rsidR="00BB3A50" w:rsidRPr="00BD22C2">
        <w:rPr>
          <w:rFonts w:ascii="Arial" w:hAnsi="Arial" w:cs="Arial"/>
          <w:sz w:val="18"/>
          <w:szCs w:val="18"/>
          <w:lang w:val="fr-CA"/>
        </w:rPr>
        <w:t>;</w:t>
      </w:r>
      <w:r w:rsidRPr="00BD22C2">
        <w:rPr>
          <w:rFonts w:ascii="Arial" w:hAnsi="Arial" w:cs="Arial"/>
          <w:sz w:val="18"/>
          <w:szCs w:val="18"/>
          <w:lang w:val="fr-CA"/>
        </w:rPr>
        <w:t xml:space="preserve"> </w:t>
      </w:r>
      <w:r w:rsidR="007138D6" w:rsidRPr="00BD22C2">
        <w:rPr>
          <w:rFonts w:ascii="Arial" w:hAnsi="Arial" w:cs="Arial"/>
          <w:smallCaps/>
          <w:sz w:val="18"/>
          <w:szCs w:val="18"/>
          <w:lang w:val="fr-CA"/>
        </w:rPr>
        <w:t>Comité des droits de l’enfant</w:t>
      </w:r>
      <w:r w:rsidR="007138D6" w:rsidRPr="00BD22C2">
        <w:rPr>
          <w:rFonts w:ascii="Arial" w:hAnsi="Arial" w:cs="Arial"/>
          <w:sz w:val="18"/>
          <w:szCs w:val="18"/>
          <w:lang w:val="fr-CA"/>
        </w:rPr>
        <w:t xml:space="preserve">, </w:t>
      </w:r>
      <w:r w:rsidR="007138D6" w:rsidRPr="00BD22C2">
        <w:rPr>
          <w:rFonts w:ascii="Arial" w:hAnsi="Arial" w:cs="Arial"/>
          <w:i/>
          <w:sz w:val="18"/>
          <w:szCs w:val="18"/>
          <w:lang w:val="fr-CA"/>
        </w:rPr>
        <w:t>Observation générale n</w:t>
      </w:r>
      <w:r w:rsidR="007138D6" w:rsidRPr="00BD22C2">
        <w:rPr>
          <w:rFonts w:ascii="Arial" w:hAnsi="Arial" w:cs="Arial"/>
          <w:i/>
          <w:sz w:val="18"/>
          <w:szCs w:val="18"/>
          <w:vertAlign w:val="superscript"/>
          <w:lang w:val="fr-CA"/>
        </w:rPr>
        <w:t>o</w:t>
      </w:r>
      <w:r w:rsidR="007138D6" w:rsidRPr="00BD22C2">
        <w:rPr>
          <w:rFonts w:ascii="Arial" w:hAnsi="Arial" w:cs="Arial"/>
          <w:i/>
          <w:sz w:val="18"/>
          <w:szCs w:val="18"/>
          <w:lang w:val="fr-CA"/>
        </w:rPr>
        <w:t> 14 (2013) sur le droit de l’enfant à ce que son intérêt supérieur soit une considération primordiale (art. 3, par. 1)</w:t>
      </w:r>
      <w:r w:rsidR="007138D6" w:rsidRPr="00BD22C2">
        <w:rPr>
          <w:rFonts w:ascii="Arial" w:hAnsi="Arial" w:cs="Arial"/>
          <w:sz w:val="18"/>
          <w:szCs w:val="18"/>
          <w:lang w:val="fr-CA"/>
        </w:rPr>
        <w:t>, Doc. N.</w:t>
      </w:r>
      <w:r w:rsidR="004F1219">
        <w:rPr>
          <w:rFonts w:ascii="Arial" w:hAnsi="Arial" w:cs="Arial"/>
          <w:sz w:val="18"/>
          <w:szCs w:val="18"/>
          <w:lang w:val="fr-CA"/>
        </w:rPr>
        <w:t> </w:t>
      </w:r>
      <w:r w:rsidR="007138D6" w:rsidRPr="00BD22C2">
        <w:rPr>
          <w:rFonts w:ascii="Arial" w:hAnsi="Arial" w:cs="Arial"/>
          <w:sz w:val="18"/>
          <w:szCs w:val="18"/>
          <w:lang w:val="fr-CA"/>
        </w:rPr>
        <w:t>U.</w:t>
      </w:r>
      <w:r w:rsidR="008B4522">
        <w:rPr>
          <w:rFonts w:ascii="Arial" w:hAnsi="Arial" w:cs="Arial"/>
          <w:sz w:val="18"/>
          <w:szCs w:val="18"/>
          <w:lang w:val="fr-CA"/>
        </w:rPr>
        <w:t> </w:t>
      </w:r>
      <w:r w:rsidR="007138D6" w:rsidRPr="00BD22C2">
        <w:rPr>
          <w:rFonts w:ascii="Arial" w:hAnsi="Arial" w:cs="Arial"/>
          <w:sz w:val="18"/>
          <w:szCs w:val="18"/>
          <w:lang w:val="fr-CA"/>
        </w:rPr>
        <w:t xml:space="preserve">CRC/C/GC/14, par 77. </w:t>
      </w:r>
      <w:r w:rsidRPr="00BD22C2">
        <w:rPr>
          <w:rFonts w:ascii="Arial" w:hAnsi="Arial" w:cs="Arial"/>
          <w:sz w:val="18"/>
          <w:szCs w:val="18"/>
          <w:lang w:val="fr-CA"/>
        </w:rPr>
        <w:t xml:space="preserve">Sur le droit à la santé, voir également PIDESC, </w:t>
      </w:r>
      <w:r w:rsidR="002304E3" w:rsidRPr="00BD22C2">
        <w:rPr>
          <w:rFonts w:ascii="Arial" w:hAnsi="Arial" w:cs="Arial"/>
          <w:sz w:val="18"/>
          <w:szCs w:val="18"/>
          <w:lang w:val="fr-CA"/>
        </w:rPr>
        <w:t>art.</w:t>
      </w:r>
      <w:r w:rsidR="00CE1914">
        <w:rPr>
          <w:rFonts w:ascii="Arial" w:hAnsi="Arial" w:cs="Arial"/>
          <w:sz w:val="18"/>
          <w:szCs w:val="18"/>
          <w:lang w:val="fr-CA"/>
        </w:rPr>
        <w:t> </w:t>
      </w:r>
      <w:r w:rsidR="002304E3" w:rsidRPr="00BD22C2">
        <w:rPr>
          <w:rFonts w:ascii="Arial" w:hAnsi="Arial" w:cs="Arial"/>
          <w:sz w:val="18"/>
          <w:szCs w:val="18"/>
          <w:lang w:val="fr-CA"/>
        </w:rPr>
        <w:t>12</w:t>
      </w:r>
      <w:r w:rsidRPr="00BD22C2">
        <w:rPr>
          <w:rFonts w:ascii="Arial" w:hAnsi="Arial" w:cs="Arial"/>
          <w:sz w:val="18"/>
          <w:szCs w:val="18"/>
          <w:lang w:val="fr-CA"/>
        </w:rPr>
        <w:t xml:space="preserve">. </w:t>
      </w:r>
    </w:p>
  </w:endnote>
  <w:endnote w:id="345">
    <w:p w14:paraId="6A46CB3F" w14:textId="36883E4D"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2304E3" w:rsidRPr="00BD22C2">
        <w:rPr>
          <w:rFonts w:ascii="Arial" w:hAnsi="Arial" w:cs="Arial"/>
          <w:smallCaps/>
          <w:sz w:val="18"/>
          <w:szCs w:val="18"/>
          <w:lang w:val="fr-CA"/>
        </w:rPr>
        <w:t>Comité des droits de l’enfant</w:t>
      </w:r>
      <w:r w:rsidR="002304E3" w:rsidRPr="00BD22C2">
        <w:rPr>
          <w:rFonts w:ascii="Arial" w:hAnsi="Arial" w:cs="Arial"/>
          <w:sz w:val="18"/>
          <w:szCs w:val="18"/>
          <w:lang w:val="fr-CA"/>
        </w:rPr>
        <w:t xml:space="preserve">, </w:t>
      </w:r>
      <w:r w:rsidR="002304E3" w:rsidRPr="00BD22C2">
        <w:rPr>
          <w:rFonts w:ascii="Arial" w:hAnsi="Arial" w:cs="Arial"/>
          <w:i/>
          <w:sz w:val="18"/>
          <w:szCs w:val="18"/>
          <w:lang w:val="fr-CA"/>
        </w:rPr>
        <w:t>Observation générale n</w:t>
      </w:r>
      <w:r w:rsidR="002304E3" w:rsidRPr="00BD22C2">
        <w:rPr>
          <w:rFonts w:ascii="Arial" w:hAnsi="Arial" w:cs="Arial"/>
          <w:i/>
          <w:sz w:val="18"/>
          <w:szCs w:val="18"/>
          <w:vertAlign w:val="superscript"/>
          <w:lang w:val="fr-CA"/>
        </w:rPr>
        <w:t>o</w:t>
      </w:r>
      <w:r w:rsidR="002304E3" w:rsidRPr="00BD22C2">
        <w:rPr>
          <w:rFonts w:ascii="Arial" w:hAnsi="Arial" w:cs="Arial"/>
          <w:i/>
          <w:sz w:val="18"/>
          <w:szCs w:val="18"/>
          <w:lang w:val="fr-CA"/>
        </w:rPr>
        <w:t> 14</w:t>
      </w:r>
      <w:r w:rsidR="009F0EBD" w:rsidRPr="00BD22C2">
        <w:rPr>
          <w:rFonts w:ascii="Arial" w:hAnsi="Arial" w:cs="Arial"/>
          <w:i/>
          <w:sz w:val="18"/>
          <w:szCs w:val="18"/>
          <w:lang w:val="fr-CA"/>
        </w:rPr>
        <w:t xml:space="preserve">, </w:t>
      </w:r>
      <w:r w:rsidR="009F0EBD" w:rsidRPr="00BD22C2">
        <w:rPr>
          <w:rFonts w:ascii="Arial" w:hAnsi="Arial" w:cs="Arial"/>
          <w:iCs/>
          <w:sz w:val="18"/>
          <w:szCs w:val="18"/>
          <w:lang w:val="fr-CA"/>
        </w:rPr>
        <w:t>préc., note</w:t>
      </w:r>
      <w:r w:rsidR="00CE1914">
        <w:rPr>
          <w:rFonts w:ascii="Arial" w:hAnsi="Arial" w:cs="Arial"/>
          <w:iCs/>
          <w:sz w:val="18"/>
          <w:szCs w:val="18"/>
          <w:lang w:val="fr-CA"/>
        </w:rPr>
        <w:t> </w:t>
      </w:r>
      <w:r w:rsidR="009F0EBD" w:rsidRPr="00BD22C2">
        <w:rPr>
          <w:rFonts w:ascii="Arial" w:hAnsi="Arial" w:cs="Arial"/>
          <w:iCs/>
          <w:sz w:val="18"/>
          <w:szCs w:val="18"/>
          <w:lang w:val="fr-CA"/>
        </w:rPr>
        <w:fldChar w:fldCharType="begin"/>
      </w:r>
      <w:r w:rsidR="009F0EBD" w:rsidRPr="00BD22C2">
        <w:rPr>
          <w:rFonts w:ascii="Arial" w:hAnsi="Arial" w:cs="Arial"/>
          <w:iCs/>
          <w:sz w:val="18"/>
          <w:szCs w:val="18"/>
          <w:lang w:val="fr-CA"/>
        </w:rPr>
        <w:instrText xml:space="preserve"> NOTEREF _Ref167441453 \h </w:instrText>
      </w:r>
      <w:r w:rsidR="009F0EBD" w:rsidRPr="00BD22C2">
        <w:rPr>
          <w:rFonts w:ascii="Arial" w:hAnsi="Arial" w:cs="Arial"/>
          <w:iCs/>
          <w:sz w:val="18"/>
          <w:szCs w:val="18"/>
          <w:lang w:val="fr-CA"/>
        </w:rPr>
      </w:r>
      <w:r w:rsidR="009F0EBD" w:rsidRPr="00BD22C2">
        <w:rPr>
          <w:rFonts w:ascii="Arial" w:hAnsi="Arial" w:cs="Arial"/>
          <w:iCs/>
          <w:sz w:val="18"/>
          <w:szCs w:val="18"/>
          <w:lang w:val="fr-CA"/>
        </w:rPr>
        <w:fldChar w:fldCharType="separate"/>
      </w:r>
      <w:r w:rsidR="004B4881">
        <w:rPr>
          <w:rFonts w:ascii="Arial" w:hAnsi="Arial" w:cs="Arial"/>
          <w:iCs/>
          <w:sz w:val="18"/>
          <w:szCs w:val="18"/>
          <w:lang w:val="fr-CA"/>
        </w:rPr>
        <w:t>245</w:t>
      </w:r>
      <w:r w:rsidR="009F0EBD" w:rsidRPr="00BD22C2">
        <w:rPr>
          <w:rFonts w:ascii="Arial" w:hAnsi="Arial" w:cs="Arial"/>
          <w:iCs/>
          <w:sz w:val="18"/>
          <w:szCs w:val="18"/>
          <w:lang w:val="fr-CA"/>
        </w:rPr>
        <w:fldChar w:fldCharType="end"/>
      </w:r>
      <w:r w:rsidR="002304E3" w:rsidRPr="00BD22C2">
        <w:rPr>
          <w:rFonts w:ascii="Arial" w:hAnsi="Arial" w:cs="Arial"/>
          <w:sz w:val="18"/>
          <w:szCs w:val="18"/>
          <w:lang w:val="fr-CA"/>
        </w:rPr>
        <w:t xml:space="preserve">, </w:t>
      </w:r>
      <w:r w:rsidRPr="00BD22C2">
        <w:rPr>
          <w:rFonts w:ascii="Arial" w:hAnsi="Arial" w:cs="Arial"/>
          <w:sz w:val="18"/>
          <w:szCs w:val="18"/>
          <w:lang w:val="fr-CA"/>
        </w:rPr>
        <w:t>par 77.</w:t>
      </w:r>
    </w:p>
  </w:endnote>
  <w:endnote w:id="346">
    <w:p w14:paraId="6D896108" w14:textId="3756A651"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776349" w:rsidRPr="00BD22C2">
        <w:rPr>
          <w:rFonts w:ascii="Arial" w:hAnsi="Arial" w:cs="Arial"/>
          <w:sz w:val="18"/>
          <w:szCs w:val="18"/>
          <w:lang w:val="fr-CA"/>
        </w:rPr>
        <w:tab/>
      </w:r>
      <w:r w:rsidR="00BB6B81" w:rsidRPr="00BD22C2">
        <w:rPr>
          <w:rFonts w:ascii="Arial" w:hAnsi="Arial" w:cs="Arial"/>
          <w:smallCaps/>
          <w:sz w:val="18"/>
          <w:szCs w:val="18"/>
          <w:lang w:val="fr-CA"/>
        </w:rPr>
        <w:t>Conseil des droits de l’homme</w:t>
      </w:r>
      <w:r w:rsidR="00BB6B81" w:rsidRPr="00BD22C2">
        <w:rPr>
          <w:rFonts w:ascii="Arial" w:hAnsi="Arial" w:cs="Arial"/>
          <w:sz w:val="18"/>
          <w:szCs w:val="18"/>
          <w:lang w:val="fr-CA"/>
        </w:rPr>
        <w:t xml:space="preserve">, </w:t>
      </w:r>
      <w:r w:rsidR="00BB6B81" w:rsidRPr="00BD22C2">
        <w:rPr>
          <w:rFonts w:ascii="Arial" w:hAnsi="Arial" w:cs="Arial"/>
          <w:i/>
          <w:sz w:val="18"/>
          <w:szCs w:val="18"/>
          <w:lang w:val="fr-CA"/>
        </w:rPr>
        <w:t>Intelligence artificielle et respect de la vie privée, et respect de la vie privée des enfants</w:t>
      </w:r>
      <w:r w:rsidR="00F378AA" w:rsidRPr="00BD22C2">
        <w:rPr>
          <w:rFonts w:ascii="Arial" w:hAnsi="Arial" w:cs="Arial"/>
          <w:i/>
          <w:sz w:val="18"/>
          <w:szCs w:val="18"/>
          <w:lang w:val="fr-CA"/>
        </w:rPr>
        <w:t>,</w:t>
      </w:r>
      <w:r w:rsidR="00BB6B81" w:rsidRPr="00BD22C2">
        <w:rPr>
          <w:rFonts w:ascii="Arial" w:hAnsi="Arial" w:cs="Arial"/>
          <w:i/>
          <w:sz w:val="18"/>
          <w:szCs w:val="18"/>
          <w:lang w:val="fr-CA"/>
        </w:rPr>
        <w:t xml:space="preserve"> </w:t>
      </w:r>
      <w:r w:rsidR="00F378AA" w:rsidRPr="00BD22C2">
        <w:rPr>
          <w:rFonts w:ascii="Arial" w:hAnsi="Arial" w:cs="Arial"/>
          <w:iCs/>
          <w:sz w:val="18"/>
          <w:szCs w:val="18"/>
          <w:lang w:val="fr-CA"/>
        </w:rPr>
        <w:t>préc., note</w:t>
      </w:r>
      <w:r w:rsidR="00CE1914">
        <w:rPr>
          <w:rFonts w:ascii="Arial" w:hAnsi="Arial" w:cs="Arial"/>
          <w:iCs/>
          <w:sz w:val="18"/>
          <w:szCs w:val="18"/>
          <w:lang w:val="fr-CA"/>
        </w:rPr>
        <w:t> </w:t>
      </w:r>
      <w:r w:rsidR="00F378AA" w:rsidRPr="00BD22C2">
        <w:rPr>
          <w:rFonts w:ascii="Arial" w:hAnsi="Arial" w:cs="Arial"/>
          <w:iCs/>
          <w:sz w:val="18"/>
          <w:szCs w:val="18"/>
          <w:lang w:val="fr-CA"/>
        </w:rPr>
        <w:fldChar w:fldCharType="begin"/>
      </w:r>
      <w:r w:rsidR="00F378AA" w:rsidRPr="00BD22C2">
        <w:rPr>
          <w:rFonts w:ascii="Arial" w:hAnsi="Arial" w:cs="Arial"/>
          <w:iCs/>
          <w:sz w:val="18"/>
          <w:szCs w:val="18"/>
          <w:lang w:val="fr-CA"/>
        </w:rPr>
        <w:instrText xml:space="preserve"> NOTEREF _Ref167455436 \h </w:instrText>
      </w:r>
      <w:r w:rsidR="00F378AA" w:rsidRPr="00BD22C2">
        <w:rPr>
          <w:rFonts w:ascii="Arial" w:hAnsi="Arial" w:cs="Arial"/>
          <w:iCs/>
          <w:sz w:val="18"/>
          <w:szCs w:val="18"/>
          <w:lang w:val="fr-CA"/>
        </w:rPr>
      </w:r>
      <w:r w:rsidR="00F378AA" w:rsidRPr="00BD22C2">
        <w:rPr>
          <w:rFonts w:ascii="Arial" w:hAnsi="Arial" w:cs="Arial"/>
          <w:iCs/>
          <w:sz w:val="18"/>
          <w:szCs w:val="18"/>
          <w:lang w:val="fr-CA"/>
        </w:rPr>
        <w:fldChar w:fldCharType="separate"/>
      </w:r>
      <w:r w:rsidR="004B4881">
        <w:rPr>
          <w:rFonts w:ascii="Arial" w:hAnsi="Arial" w:cs="Arial"/>
          <w:iCs/>
          <w:sz w:val="18"/>
          <w:szCs w:val="18"/>
          <w:lang w:val="fr-CA"/>
        </w:rPr>
        <w:t>289</w:t>
      </w:r>
      <w:r w:rsidR="00F378AA" w:rsidRPr="00BD22C2">
        <w:rPr>
          <w:rFonts w:ascii="Arial" w:hAnsi="Arial" w:cs="Arial"/>
          <w:iCs/>
          <w:sz w:val="18"/>
          <w:szCs w:val="18"/>
          <w:lang w:val="fr-CA"/>
        </w:rPr>
        <w:fldChar w:fldCharType="end"/>
      </w:r>
      <w:r w:rsidR="00BB6B81" w:rsidRPr="00BD22C2">
        <w:rPr>
          <w:rFonts w:ascii="Arial" w:hAnsi="Arial" w:cs="Arial"/>
          <w:sz w:val="18"/>
          <w:szCs w:val="18"/>
          <w:lang w:val="fr-CA"/>
        </w:rPr>
        <w:t xml:space="preserve">, par. </w:t>
      </w:r>
      <w:r w:rsidR="0071148F" w:rsidRPr="00BD22C2">
        <w:rPr>
          <w:rFonts w:ascii="Arial" w:hAnsi="Arial" w:cs="Arial"/>
          <w:sz w:val="18"/>
          <w:szCs w:val="18"/>
          <w:lang w:val="fr-CA"/>
        </w:rPr>
        <w:t xml:space="preserve">98. </w:t>
      </w:r>
    </w:p>
  </w:endnote>
  <w:endnote w:id="347">
    <w:p w14:paraId="53D1F648" w14:textId="4185FD90" w:rsidR="00837786" w:rsidRPr="00BD22C2" w:rsidRDefault="00837786" w:rsidP="000C39F8">
      <w:pPr>
        <w:pStyle w:val="Notedefin"/>
        <w:rPr>
          <w:lang w:val="fr-CA"/>
        </w:rPr>
      </w:pPr>
      <w:r w:rsidRPr="00BD22C2">
        <w:rPr>
          <w:rStyle w:val="Appeldenotedefin"/>
          <w:lang w:val="fr-CA"/>
        </w:rPr>
        <w:endnoteRef/>
      </w:r>
      <w:r w:rsidRPr="00BD22C2">
        <w:rPr>
          <w:lang w:val="fr-CA"/>
        </w:rPr>
        <w:t xml:space="preserve"> </w:t>
      </w:r>
      <w:r w:rsidRPr="00BD22C2">
        <w:rPr>
          <w:lang w:val="fr-CA"/>
        </w:rPr>
        <w:tab/>
      </w:r>
      <w:r w:rsidRPr="00BD22C2">
        <w:rPr>
          <w:rStyle w:val="NotedebasdepageCar"/>
          <w:lang w:val="fr-CA"/>
        </w:rPr>
        <w:t>C.c.Q., art.</w:t>
      </w:r>
      <w:r w:rsidR="00CE1914">
        <w:rPr>
          <w:rStyle w:val="NotedebasdepageCar"/>
          <w:lang w:val="fr-CA"/>
        </w:rPr>
        <w:t> </w:t>
      </w:r>
      <w:r w:rsidRPr="00BD22C2">
        <w:rPr>
          <w:rStyle w:val="NotedebasdepageCar"/>
          <w:lang w:val="fr-CA"/>
        </w:rPr>
        <w:t>10.</w:t>
      </w:r>
      <w:r w:rsidRPr="00BD22C2">
        <w:rPr>
          <w:lang w:val="fr-CA"/>
        </w:rPr>
        <w:t xml:space="preserve"> </w:t>
      </w:r>
    </w:p>
  </w:endnote>
  <w:endnote w:id="348">
    <w:p w14:paraId="3C88D6B5" w14:textId="602BA738" w:rsidR="00837786" w:rsidRPr="00BD22C2" w:rsidRDefault="00837786" w:rsidP="006A461A">
      <w:pPr>
        <w:pStyle w:val="Notedefin"/>
        <w:spacing w:after="120" w:line="240" w:lineRule="auto"/>
        <w:ind w:left="709" w:hanging="709"/>
        <w:rPr>
          <w:lang w:val="fr-CA"/>
        </w:rPr>
      </w:pPr>
      <w:r w:rsidRPr="00BD22C2">
        <w:rPr>
          <w:rStyle w:val="Appeldenotedefin"/>
          <w:lang w:val="fr-CA"/>
        </w:rPr>
        <w:endnoteRef/>
      </w:r>
      <w:r w:rsidRPr="00BD22C2">
        <w:rPr>
          <w:lang w:val="fr-CA"/>
        </w:rPr>
        <w:t xml:space="preserve"> </w:t>
      </w:r>
      <w:r w:rsidR="000C39F8" w:rsidRPr="00BD22C2">
        <w:rPr>
          <w:lang w:val="fr-CA"/>
        </w:rPr>
        <w:tab/>
      </w:r>
      <w:r w:rsidR="00A677ED" w:rsidRPr="00BD22C2">
        <w:rPr>
          <w:rFonts w:ascii="Arial" w:hAnsi="Arial" w:cs="Arial"/>
          <w:sz w:val="18"/>
          <w:szCs w:val="18"/>
          <w:lang w:val="fr-CA"/>
        </w:rPr>
        <w:t xml:space="preserve">Robert P. </w:t>
      </w:r>
      <w:r w:rsidR="00A677ED" w:rsidRPr="00BD22C2">
        <w:rPr>
          <w:rFonts w:ascii="Arial" w:hAnsi="Arial" w:cs="Arial"/>
          <w:smallCaps/>
          <w:sz w:val="18"/>
          <w:szCs w:val="18"/>
          <w:lang w:val="fr-CA"/>
        </w:rPr>
        <w:t>Kouri</w:t>
      </w:r>
      <w:r w:rsidR="00A677ED" w:rsidRPr="00BD22C2">
        <w:rPr>
          <w:rFonts w:ascii="Arial" w:hAnsi="Arial" w:cs="Arial"/>
          <w:sz w:val="18"/>
          <w:szCs w:val="18"/>
          <w:lang w:val="fr-CA"/>
        </w:rPr>
        <w:t xml:space="preserve"> et Suzanne </w:t>
      </w:r>
      <w:r w:rsidR="00A677ED" w:rsidRPr="00BD22C2">
        <w:rPr>
          <w:rFonts w:ascii="Arial" w:hAnsi="Arial" w:cs="Arial"/>
          <w:smallCaps/>
          <w:sz w:val="18"/>
          <w:szCs w:val="18"/>
          <w:lang w:val="fr-CA"/>
        </w:rPr>
        <w:t>Philips-Nootens</w:t>
      </w:r>
      <w:r w:rsidR="00A677ED" w:rsidRPr="00BD22C2">
        <w:rPr>
          <w:rFonts w:ascii="Arial" w:hAnsi="Arial" w:cs="Arial"/>
          <w:sz w:val="18"/>
          <w:szCs w:val="18"/>
          <w:lang w:val="fr-CA"/>
        </w:rPr>
        <w:t xml:space="preserve">, </w:t>
      </w:r>
      <w:r w:rsidR="00A677ED" w:rsidRPr="00BD22C2">
        <w:rPr>
          <w:rFonts w:ascii="Arial" w:hAnsi="Arial" w:cs="Arial"/>
          <w:i/>
          <w:iCs/>
          <w:sz w:val="18"/>
          <w:szCs w:val="18"/>
          <w:lang w:val="fr-CA"/>
        </w:rPr>
        <w:t>L’intégrité de la personne et le consentement aux soins</w:t>
      </w:r>
      <w:r w:rsidR="00A677ED" w:rsidRPr="00BD22C2">
        <w:rPr>
          <w:rFonts w:ascii="Arial" w:hAnsi="Arial" w:cs="Arial"/>
          <w:sz w:val="18"/>
          <w:szCs w:val="18"/>
          <w:lang w:val="fr-CA"/>
        </w:rPr>
        <w:t>, 3</w:t>
      </w:r>
      <w:r w:rsidR="00A677ED" w:rsidRPr="00BD22C2">
        <w:rPr>
          <w:rFonts w:ascii="Arial" w:hAnsi="Arial" w:cs="Arial"/>
          <w:sz w:val="18"/>
          <w:szCs w:val="18"/>
          <w:vertAlign w:val="superscript"/>
          <w:lang w:val="fr-CA"/>
        </w:rPr>
        <w:t>e</w:t>
      </w:r>
      <w:r w:rsidR="00B32B61">
        <w:rPr>
          <w:rFonts w:ascii="Arial" w:hAnsi="Arial" w:cs="Arial"/>
          <w:sz w:val="18"/>
          <w:szCs w:val="18"/>
          <w:lang w:val="fr-CA"/>
        </w:rPr>
        <w:t> </w:t>
      </w:r>
      <w:r w:rsidR="00A677ED" w:rsidRPr="00BD22C2">
        <w:rPr>
          <w:rFonts w:ascii="Arial" w:hAnsi="Arial" w:cs="Arial"/>
          <w:sz w:val="18"/>
          <w:szCs w:val="18"/>
          <w:lang w:val="fr-CA"/>
        </w:rPr>
        <w:t>éd. Yvon Blais</w:t>
      </w:r>
      <w:r w:rsidR="00622B82" w:rsidRPr="00BD22C2">
        <w:rPr>
          <w:rFonts w:ascii="Arial" w:hAnsi="Arial" w:cs="Arial"/>
          <w:sz w:val="18"/>
          <w:szCs w:val="18"/>
          <w:lang w:val="fr-CA"/>
        </w:rPr>
        <w:t>,</w:t>
      </w:r>
      <w:r w:rsidR="00A677ED" w:rsidRPr="00BD22C2">
        <w:rPr>
          <w:rFonts w:ascii="Arial" w:hAnsi="Arial" w:cs="Arial"/>
          <w:sz w:val="18"/>
          <w:szCs w:val="18"/>
          <w:lang w:val="fr-CA"/>
        </w:rPr>
        <w:t xml:space="preserve"> 2012</w:t>
      </w:r>
      <w:r w:rsidR="00622B82" w:rsidRPr="00BD22C2">
        <w:rPr>
          <w:rFonts w:ascii="Arial" w:hAnsi="Arial" w:cs="Arial"/>
          <w:sz w:val="18"/>
          <w:szCs w:val="18"/>
          <w:lang w:val="fr-CA"/>
        </w:rPr>
        <w:t>,</w:t>
      </w:r>
      <w:r w:rsidR="00A677ED" w:rsidRPr="00BD22C2">
        <w:rPr>
          <w:rFonts w:ascii="Arial" w:hAnsi="Arial" w:cs="Arial"/>
          <w:sz w:val="18"/>
          <w:szCs w:val="18"/>
          <w:lang w:val="fr-CA"/>
        </w:rPr>
        <w:t xml:space="preserve"> par. </w:t>
      </w:r>
      <w:r w:rsidR="000C39F8" w:rsidRPr="00BD22C2">
        <w:rPr>
          <w:rFonts w:ascii="Arial" w:hAnsi="Arial" w:cs="Arial"/>
          <w:sz w:val="18"/>
          <w:szCs w:val="18"/>
          <w:lang w:val="fr-CA"/>
        </w:rPr>
        <w:t xml:space="preserve">231. </w:t>
      </w:r>
    </w:p>
  </w:endnote>
  <w:endnote w:id="349">
    <w:p w14:paraId="1506F3E3" w14:textId="65FF9E4A" w:rsidR="00B547D3" w:rsidRPr="00BD22C2" w:rsidRDefault="00B547D3" w:rsidP="006A461A">
      <w:pPr>
        <w:pStyle w:val="Notedefin"/>
        <w:spacing w:after="120" w:line="240" w:lineRule="auto"/>
        <w:ind w:left="709" w:hanging="709"/>
        <w:rPr>
          <w:lang w:val="fr-CA"/>
        </w:rPr>
      </w:pPr>
      <w:r w:rsidRPr="00BD22C2">
        <w:rPr>
          <w:rStyle w:val="Appeldenotedefin"/>
          <w:lang w:val="fr-CA"/>
        </w:rPr>
        <w:endnoteRef/>
      </w:r>
      <w:r w:rsidRPr="00BD22C2">
        <w:rPr>
          <w:lang w:val="fr-CA"/>
        </w:rPr>
        <w:t xml:space="preserve"> </w:t>
      </w:r>
      <w:r w:rsidR="00A677ED" w:rsidRPr="00BD22C2">
        <w:rPr>
          <w:lang w:val="fr-CA"/>
        </w:rPr>
        <w:tab/>
      </w:r>
      <w:r w:rsidRPr="00BD22C2">
        <w:rPr>
          <w:rStyle w:val="NotedebasdepageCar"/>
          <w:lang w:val="fr-CA"/>
        </w:rPr>
        <w:t>L’exigence du consentement éclairé repose sur les art. 10 et 11</w:t>
      </w:r>
      <w:r w:rsidR="00B32B61">
        <w:rPr>
          <w:rStyle w:val="NotedebasdepageCar"/>
          <w:lang w:val="fr-CA"/>
        </w:rPr>
        <w:t> </w:t>
      </w:r>
      <w:r w:rsidRPr="00BD22C2">
        <w:rPr>
          <w:rStyle w:val="NotedebasdepageCar"/>
          <w:lang w:val="fr-CA"/>
        </w:rPr>
        <w:t>C.c.Q., l’art.</w:t>
      </w:r>
      <w:r w:rsidR="00CE1914">
        <w:rPr>
          <w:rStyle w:val="NotedebasdepageCar"/>
          <w:lang w:val="fr-CA"/>
        </w:rPr>
        <w:t> </w:t>
      </w:r>
      <w:r w:rsidRPr="00BD22C2">
        <w:rPr>
          <w:rStyle w:val="NotedebasdepageCar"/>
          <w:lang w:val="fr-CA"/>
        </w:rPr>
        <w:t>8 de la LSSS, l’art.</w:t>
      </w:r>
      <w:r w:rsidR="00CE1914">
        <w:rPr>
          <w:rStyle w:val="NotedebasdepageCar"/>
          <w:lang w:val="fr-CA"/>
        </w:rPr>
        <w:t> </w:t>
      </w:r>
      <w:r w:rsidRPr="00BD22C2">
        <w:rPr>
          <w:rStyle w:val="NotedebasdepageCar"/>
          <w:lang w:val="fr-CA"/>
        </w:rPr>
        <w:t>1 de la Charte et des textes réglementaires, comme les art.</w:t>
      </w:r>
      <w:r w:rsidR="00CE1914">
        <w:rPr>
          <w:rStyle w:val="NotedebasdepageCar"/>
          <w:lang w:val="fr-CA"/>
        </w:rPr>
        <w:t> </w:t>
      </w:r>
      <w:r w:rsidRPr="00BD22C2">
        <w:rPr>
          <w:rStyle w:val="NotedebasdepageCar"/>
          <w:lang w:val="fr-CA"/>
        </w:rPr>
        <w:t>28 et 29 du Code de déontologie des médecins, R.R.Q., c. M</w:t>
      </w:r>
      <w:r w:rsidR="00CE1914">
        <w:rPr>
          <w:rStyle w:val="NotedebasdepageCar"/>
          <w:lang w:val="fr-CA"/>
        </w:rPr>
        <w:t> </w:t>
      </w:r>
      <w:r w:rsidRPr="00BD22C2">
        <w:rPr>
          <w:rStyle w:val="NotedebasdepageCar"/>
          <w:lang w:val="fr-CA"/>
        </w:rPr>
        <w:t>-9, r.</w:t>
      </w:r>
      <w:r w:rsidR="00CE1914">
        <w:rPr>
          <w:rStyle w:val="NotedebasdepageCar"/>
          <w:lang w:val="fr-CA"/>
        </w:rPr>
        <w:t> </w:t>
      </w:r>
      <w:r w:rsidRPr="00BD22C2">
        <w:rPr>
          <w:rStyle w:val="NotedebasdepageCar"/>
          <w:lang w:val="fr-CA"/>
        </w:rPr>
        <w:t xml:space="preserve">17. </w:t>
      </w:r>
      <w:r w:rsidR="003C0A25" w:rsidRPr="00BD22C2">
        <w:rPr>
          <w:rFonts w:ascii="Arial" w:hAnsi="Arial" w:cs="Arial"/>
          <w:sz w:val="18"/>
          <w:szCs w:val="18"/>
          <w:lang w:val="fr-CA"/>
        </w:rPr>
        <w:t xml:space="preserve">Robert P. </w:t>
      </w:r>
      <w:r w:rsidR="003C0A25" w:rsidRPr="00BD22C2">
        <w:rPr>
          <w:rFonts w:ascii="Arial" w:hAnsi="Arial" w:cs="Arial"/>
          <w:smallCaps/>
          <w:sz w:val="18"/>
          <w:szCs w:val="18"/>
          <w:lang w:val="fr-CA"/>
        </w:rPr>
        <w:t>Kouri</w:t>
      </w:r>
      <w:r w:rsidR="003C0A25" w:rsidRPr="00BD22C2">
        <w:rPr>
          <w:rFonts w:ascii="Arial" w:hAnsi="Arial" w:cs="Arial"/>
          <w:sz w:val="18"/>
          <w:szCs w:val="18"/>
          <w:lang w:val="fr-CA"/>
        </w:rPr>
        <w:t xml:space="preserve"> et Suzanne </w:t>
      </w:r>
      <w:r w:rsidR="003C0A25" w:rsidRPr="00BD22C2">
        <w:rPr>
          <w:rFonts w:ascii="Arial" w:hAnsi="Arial" w:cs="Arial"/>
          <w:smallCaps/>
          <w:sz w:val="18"/>
          <w:szCs w:val="18"/>
          <w:lang w:val="fr-CA"/>
        </w:rPr>
        <w:t>Philips</w:t>
      </w:r>
      <w:r w:rsidR="003C0A25" w:rsidRPr="00BD22C2">
        <w:rPr>
          <w:rFonts w:ascii="Arial" w:hAnsi="Arial" w:cs="Arial"/>
          <w:sz w:val="18"/>
          <w:szCs w:val="18"/>
          <w:lang w:val="fr-CA"/>
        </w:rPr>
        <w:t>-</w:t>
      </w:r>
      <w:r w:rsidR="003C0A25" w:rsidRPr="00BD22C2">
        <w:rPr>
          <w:rFonts w:ascii="Arial" w:hAnsi="Arial" w:cs="Arial"/>
          <w:smallCaps/>
          <w:sz w:val="18"/>
          <w:szCs w:val="18"/>
          <w:lang w:val="fr-CA"/>
        </w:rPr>
        <w:t>Nootens</w:t>
      </w:r>
      <w:r w:rsidR="003C0A25" w:rsidRPr="00BD22C2">
        <w:rPr>
          <w:rFonts w:ascii="Arial" w:hAnsi="Arial" w:cs="Arial"/>
          <w:sz w:val="18"/>
          <w:szCs w:val="18"/>
          <w:lang w:val="fr-CA"/>
        </w:rPr>
        <w:t xml:space="preserve">, </w:t>
      </w:r>
      <w:r w:rsidR="00BD5011" w:rsidRPr="00BD22C2">
        <w:rPr>
          <w:rFonts w:ascii="Arial" w:hAnsi="Arial" w:cs="Arial"/>
          <w:i/>
          <w:iCs/>
          <w:sz w:val="18"/>
          <w:szCs w:val="18"/>
          <w:lang w:val="fr-CA"/>
        </w:rPr>
        <w:t>Id.,</w:t>
      </w:r>
      <w:r w:rsidR="003C0A25" w:rsidRPr="00BD22C2">
        <w:rPr>
          <w:rFonts w:ascii="Arial" w:hAnsi="Arial" w:cs="Arial"/>
          <w:sz w:val="18"/>
          <w:szCs w:val="18"/>
          <w:lang w:val="fr-CA"/>
        </w:rPr>
        <w:t xml:space="preserve"> par. 260.</w:t>
      </w:r>
    </w:p>
  </w:endnote>
  <w:endnote w:id="350">
    <w:p w14:paraId="347BB661" w14:textId="6E12E41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1148F" w:rsidRPr="00BD22C2">
        <w:rPr>
          <w:rFonts w:ascii="Arial" w:hAnsi="Arial" w:cs="Arial"/>
          <w:smallCaps/>
          <w:sz w:val="18"/>
          <w:szCs w:val="18"/>
          <w:lang w:val="fr-CA"/>
        </w:rPr>
        <w:t>Comité des droits de l’enfant</w:t>
      </w:r>
      <w:r w:rsidR="0071148F" w:rsidRPr="00BD22C2">
        <w:rPr>
          <w:rFonts w:ascii="Arial" w:hAnsi="Arial" w:cs="Arial"/>
          <w:sz w:val="18"/>
          <w:szCs w:val="18"/>
          <w:lang w:val="fr-CA"/>
        </w:rPr>
        <w:t xml:space="preserve">, </w:t>
      </w:r>
      <w:r w:rsidR="0071148F" w:rsidRPr="00BD22C2">
        <w:rPr>
          <w:rFonts w:ascii="Arial" w:hAnsi="Arial" w:cs="Arial"/>
          <w:i/>
          <w:sz w:val="18"/>
          <w:szCs w:val="18"/>
          <w:lang w:val="fr-CA"/>
        </w:rPr>
        <w:t>Observation générale n</w:t>
      </w:r>
      <w:r w:rsidR="0071148F" w:rsidRPr="00BD22C2">
        <w:rPr>
          <w:rFonts w:ascii="Arial" w:hAnsi="Arial" w:cs="Arial"/>
          <w:i/>
          <w:sz w:val="18"/>
          <w:szCs w:val="18"/>
          <w:vertAlign w:val="superscript"/>
          <w:lang w:val="fr-CA"/>
        </w:rPr>
        <w:t>o</w:t>
      </w:r>
      <w:r w:rsidR="0071148F" w:rsidRPr="00BD22C2">
        <w:rPr>
          <w:rFonts w:ascii="Arial" w:hAnsi="Arial" w:cs="Arial"/>
          <w:i/>
          <w:sz w:val="18"/>
          <w:szCs w:val="18"/>
          <w:lang w:val="fr-CA"/>
        </w:rPr>
        <w:t> 14</w:t>
      </w:r>
      <w:r w:rsidR="0071148F" w:rsidRPr="00BD22C2">
        <w:rPr>
          <w:rFonts w:ascii="Arial" w:hAnsi="Arial" w:cs="Arial"/>
          <w:sz w:val="18"/>
          <w:szCs w:val="18"/>
          <w:lang w:val="fr-CA"/>
        </w:rPr>
        <w:t>,</w:t>
      </w:r>
      <w:r w:rsidR="00BD5011" w:rsidRPr="00BD22C2">
        <w:rPr>
          <w:rFonts w:ascii="Arial" w:hAnsi="Arial" w:cs="Arial"/>
          <w:sz w:val="18"/>
          <w:szCs w:val="18"/>
          <w:lang w:val="fr-CA"/>
        </w:rPr>
        <w:t xml:space="preserve"> préc.</w:t>
      </w:r>
      <w:r w:rsidR="006E7B45">
        <w:rPr>
          <w:rFonts w:ascii="Arial" w:hAnsi="Arial" w:cs="Arial"/>
          <w:sz w:val="18"/>
          <w:szCs w:val="18"/>
          <w:lang w:val="fr-CA"/>
        </w:rPr>
        <w:t>,</w:t>
      </w:r>
      <w:r w:rsidR="00BD5011" w:rsidRPr="00BD22C2">
        <w:rPr>
          <w:rFonts w:ascii="Arial" w:hAnsi="Arial" w:cs="Arial"/>
          <w:sz w:val="18"/>
          <w:szCs w:val="18"/>
          <w:lang w:val="fr-CA"/>
        </w:rPr>
        <w:t xml:space="preserve"> note</w:t>
      </w:r>
      <w:r w:rsidR="00CE1914">
        <w:rPr>
          <w:rFonts w:ascii="Arial" w:hAnsi="Arial" w:cs="Arial"/>
          <w:sz w:val="18"/>
          <w:szCs w:val="18"/>
          <w:lang w:val="fr-CA"/>
        </w:rPr>
        <w:t> </w:t>
      </w:r>
      <w:r w:rsidR="00BD5011" w:rsidRPr="00BD22C2">
        <w:rPr>
          <w:rFonts w:ascii="Arial" w:hAnsi="Arial" w:cs="Arial"/>
          <w:sz w:val="18"/>
          <w:szCs w:val="18"/>
          <w:lang w:val="fr-CA"/>
        </w:rPr>
        <w:fldChar w:fldCharType="begin"/>
      </w:r>
      <w:r w:rsidR="00BD5011" w:rsidRPr="00BD22C2">
        <w:rPr>
          <w:rFonts w:ascii="Arial" w:hAnsi="Arial" w:cs="Arial"/>
          <w:sz w:val="18"/>
          <w:szCs w:val="18"/>
          <w:lang w:val="fr-CA"/>
        </w:rPr>
        <w:instrText xml:space="preserve"> NOTEREF _Ref167441453 \h </w:instrText>
      </w:r>
      <w:r w:rsidR="00BD5011" w:rsidRPr="00BD22C2">
        <w:rPr>
          <w:rFonts w:ascii="Arial" w:hAnsi="Arial" w:cs="Arial"/>
          <w:sz w:val="18"/>
          <w:szCs w:val="18"/>
          <w:lang w:val="fr-CA"/>
        </w:rPr>
      </w:r>
      <w:r w:rsidR="00BD5011" w:rsidRPr="00BD22C2">
        <w:rPr>
          <w:rFonts w:ascii="Arial" w:hAnsi="Arial" w:cs="Arial"/>
          <w:sz w:val="18"/>
          <w:szCs w:val="18"/>
          <w:lang w:val="fr-CA"/>
        </w:rPr>
        <w:fldChar w:fldCharType="separate"/>
      </w:r>
      <w:r w:rsidR="004B4881">
        <w:rPr>
          <w:rFonts w:ascii="Arial" w:hAnsi="Arial" w:cs="Arial"/>
          <w:sz w:val="18"/>
          <w:szCs w:val="18"/>
          <w:lang w:val="fr-CA"/>
        </w:rPr>
        <w:t>245</w:t>
      </w:r>
      <w:r w:rsidR="00BD5011" w:rsidRPr="00BD22C2">
        <w:rPr>
          <w:rFonts w:ascii="Arial" w:hAnsi="Arial" w:cs="Arial"/>
          <w:sz w:val="18"/>
          <w:szCs w:val="18"/>
          <w:lang w:val="fr-CA"/>
        </w:rPr>
        <w:fldChar w:fldCharType="end"/>
      </w:r>
      <w:r w:rsidR="00BD5011" w:rsidRPr="00BD22C2">
        <w:rPr>
          <w:rFonts w:ascii="Arial" w:hAnsi="Arial" w:cs="Arial"/>
          <w:sz w:val="18"/>
          <w:szCs w:val="18"/>
          <w:lang w:val="fr-CA"/>
        </w:rPr>
        <w:t>,</w:t>
      </w:r>
      <w:r w:rsidR="0071148F" w:rsidRPr="00BD22C2">
        <w:rPr>
          <w:rFonts w:ascii="Arial" w:hAnsi="Arial" w:cs="Arial"/>
          <w:sz w:val="18"/>
          <w:szCs w:val="18"/>
          <w:lang w:val="fr-CA"/>
        </w:rPr>
        <w:t xml:space="preserve"> par</w:t>
      </w:r>
      <w:r w:rsidR="006E7B45">
        <w:rPr>
          <w:rFonts w:ascii="Arial" w:hAnsi="Arial" w:cs="Arial"/>
          <w:sz w:val="18"/>
          <w:szCs w:val="18"/>
          <w:lang w:val="fr-CA"/>
        </w:rPr>
        <w:t>.</w:t>
      </w:r>
      <w:r w:rsidR="0071148F" w:rsidRPr="00BD22C2">
        <w:rPr>
          <w:rFonts w:ascii="Arial" w:hAnsi="Arial" w:cs="Arial"/>
          <w:sz w:val="18"/>
          <w:szCs w:val="18"/>
          <w:lang w:val="fr-CA"/>
        </w:rPr>
        <w:t xml:space="preserve"> </w:t>
      </w:r>
      <w:r w:rsidRPr="00BD22C2">
        <w:rPr>
          <w:rFonts w:ascii="Arial" w:hAnsi="Arial" w:cs="Arial"/>
          <w:sz w:val="18"/>
          <w:szCs w:val="18"/>
          <w:lang w:val="fr-CA"/>
        </w:rPr>
        <w:t xml:space="preserve">77 et 78. </w:t>
      </w:r>
    </w:p>
  </w:endnote>
  <w:endnote w:id="351">
    <w:p w14:paraId="53A81D90" w14:textId="57D83FAB"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bookmarkStart w:id="155" w:name="_Hlk165614528"/>
      <w:r w:rsidR="001E26FD" w:rsidRPr="00BD22C2">
        <w:rPr>
          <w:rFonts w:ascii="Arial" w:hAnsi="Arial" w:cs="Arial"/>
          <w:sz w:val="18"/>
          <w:szCs w:val="18"/>
          <w:lang w:val="fr-CA"/>
        </w:rPr>
        <w:tab/>
      </w:r>
      <w:r w:rsidR="001A4D0E" w:rsidRPr="00BD22C2">
        <w:rPr>
          <w:rFonts w:ascii="Arial" w:hAnsi="Arial" w:cs="Arial"/>
          <w:smallCaps/>
          <w:sz w:val="18"/>
          <w:szCs w:val="18"/>
          <w:lang w:val="fr-CA"/>
        </w:rPr>
        <w:t>Commissaire aux droits de l’Homme</w:t>
      </w:r>
      <w:r w:rsidR="00563491" w:rsidRPr="00BD22C2">
        <w:rPr>
          <w:rFonts w:ascii="Arial" w:hAnsi="Arial" w:cs="Arial"/>
          <w:smallCaps/>
          <w:sz w:val="18"/>
          <w:szCs w:val="18"/>
          <w:lang w:val="fr-CA"/>
        </w:rPr>
        <w:t xml:space="preserve"> </w:t>
      </w:r>
      <w:r w:rsidR="00563491" w:rsidRPr="00BD22C2">
        <w:rPr>
          <w:rFonts w:ascii="Arial" w:hAnsi="Arial" w:cs="Arial"/>
          <w:sz w:val="18"/>
          <w:szCs w:val="18"/>
          <w:lang w:val="fr-CA"/>
        </w:rPr>
        <w:t>—</w:t>
      </w:r>
      <w:r w:rsidR="00A01A04" w:rsidRPr="00BD22C2">
        <w:rPr>
          <w:rFonts w:ascii="Arial" w:hAnsi="Arial" w:cs="Arial"/>
          <w:sz w:val="18"/>
          <w:szCs w:val="18"/>
          <w:lang w:val="fr-CA"/>
        </w:rPr>
        <w:t xml:space="preserve"> </w:t>
      </w:r>
      <w:r w:rsidR="00563491" w:rsidRPr="00BD22C2">
        <w:rPr>
          <w:rFonts w:ascii="Arial" w:hAnsi="Arial" w:cs="Arial"/>
          <w:smallCaps/>
          <w:sz w:val="18"/>
          <w:szCs w:val="18"/>
          <w:lang w:val="fr-CA"/>
        </w:rPr>
        <w:t>Conseil de L’Europe</w:t>
      </w:r>
      <w:r w:rsidR="001A4D0E" w:rsidRPr="00BD22C2">
        <w:rPr>
          <w:rFonts w:ascii="Arial" w:hAnsi="Arial" w:cs="Arial"/>
          <w:sz w:val="18"/>
          <w:szCs w:val="18"/>
          <w:lang w:val="fr-CA"/>
        </w:rPr>
        <w:t xml:space="preserve">, </w:t>
      </w:r>
      <w:r w:rsidR="00563491" w:rsidRPr="00BD22C2">
        <w:rPr>
          <w:rFonts w:ascii="Arial" w:hAnsi="Arial" w:cs="Arial"/>
          <w:sz w:val="18"/>
          <w:szCs w:val="18"/>
          <w:lang w:val="fr-CA"/>
        </w:rPr>
        <w:t>préc., note</w:t>
      </w:r>
      <w:r w:rsidR="00CE1914">
        <w:rPr>
          <w:rFonts w:ascii="Arial" w:hAnsi="Arial" w:cs="Arial"/>
          <w:sz w:val="18"/>
          <w:szCs w:val="18"/>
          <w:lang w:val="fr-CA"/>
        </w:rPr>
        <w:t> </w:t>
      </w:r>
      <w:r w:rsidR="00563491" w:rsidRPr="00BD22C2">
        <w:rPr>
          <w:rFonts w:ascii="Arial" w:hAnsi="Arial" w:cs="Arial"/>
          <w:sz w:val="18"/>
          <w:szCs w:val="18"/>
          <w:lang w:val="fr-CA"/>
        </w:rPr>
        <w:fldChar w:fldCharType="begin"/>
      </w:r>
      <w:r w:rsidR="00563491" w:rsidRPr="00BD22C2">
        <w:rPr>
          <w:rFonts w:ascii="Arial" w:hAnsi="Arial" w:cs="Arial"/>
          <w:sz w:val="18"/>
          <w:szCs w:val="18"/>
          <w:lang w:val="fr-CA"/>
        </w:rPr>
        <w:instrText xml:space="preserve"> NOTEREF _Ref166751055 \h </w:instrText>
      </w:r>
      <w:r w:rsidR="00563491" w:rsidRPr="00BD22C2">
        <w:rPr>
          <w:rFonts w:ascii="Arial" w:hAnsi="Arial" w:cs="Arial"/>
          <w:sz w:val="18"/>
          <w:szCs w:val="18"/>
          <w:lang w:val="fr-CA"/>
        </w:rPr>
      </w:r>
      <w:r w:rsidR="00563491" w:rsidRPr="00BD22C2">
        <w:rPr>
          <w:rFonts w:ascii="Arial" w:hAnsi="Arial" w:cs="Arial"/>
          <w:sz w:val="18"/>
          <w:szCs w:val="18"/>
          <w:lang w:val="fr-CA"/>
        </w:rPr>
        <w:fldChar w:fldCharType="separate"/>
      </w:r>
      <w:r w:rsidR="004B4881">
        <w:rPr>
          <w:rFonts w:ascii="Arial" w:hAnsi="Arial" w:cs="Arial"/>
          <w:sz w:val="18"/>
          <w:szCs w:val="18"/>
          <w:lang w:val="fr-CA"/>
        </w:rPr>
        <w:t>304</w:t>
      </w:r>
      <w:r w:rsidR="00563491" w:rsidRPr="00BD22C2">
        <w:rPr>
          <w:rFonts w:ascii="Arial" w:hAnsi="Arial" w:cs="Arial"/>
          <w:sz w:val="18"/>
          <w:szCs w:val="18"/>
          <w:lang w:val="fr-CA"/>
        </w:rPr>
        <w:fldChar w:fldCharType="end"/>
      </w:r>
      <w:r w:rsidR="004F0384" w:rsidRPr="00BD22C2">
        <w:rPr>
          <w:rFonts w:ascii="Arial" w:hAnsi="Arial" w:cs="Arial"/>
          <w:sz w:val="18"/>
          <w:szCs w:val="18"/>
          <w:lang w:val="fr-CA"/>
        </w:rPr>
        <w:t>,</w:t>
      </w:r>
      <w:r w:rsidRPr="00BD22C2">
        <w:rPr>
          <w:rFonts w:ascii="Arial" w:hAnsi="Arial" w:cs="Arial"/>
          <w:sz w:val="18"/>
          <w:szCs w:val="18"/>
          <w:lang w:val="fr-CA"/>
        </w:rPr>
        <w:t xml:space="preserve"> p.</w:t>
      </w:r>
      <w:r w:rsidR="00CE1914">
        <w:rPr>
          <w:rFonts w:ascii="Arial" w:hAnsi="Arial" w:cs="Arial"/>
          <w:sz w:val="18"/>
          <w:szCs w:val="18"/>
          <w:lang w:val="fr-CA"/>
        </w:rPr>
        <w:t> </w:t>
      </w:r>
      <w:r w:rsidRPr="00BD22C2">
        <w:rPr>
          <w:rFonts w:ascii="Arial" w:hAnsi="Arial" w:cs="Arial"/>
          <w:sz w:val="18"/>
          <w:szCs w:val="18"/>
          <w:lang w:val="fr-CA"/>
        </w:rPr>
        <w:t>90.</w:t>
      </w:r>
      <w:r w:rsidR="004F0384" w:rsidRPr="00BD22C2">
        <w:rPr>
          <w:rFonts w:ascii="Arial" w:hAnsi="Arial" w:cs="Arial"/>
          <w:sz w:val="18"/>
          <w:szCs w:val="18"/>
          <w:lang w:val="fr-CA"/>
        </w:rPr>
        <w:t xml:space="preserve"> </w:t>
      </w:r>
      <w:bookmarkEnd w:id="155"/>
    </w:p>
  </w:endnote>
  <w:endnote w:id="352">
    <w:p w14:paraId="7382EDEF" w14:textId="0A00F832"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Les exceptions pour les personnes mineures sont prévues aux articles 14, 16, 17, 18 et 19</w:t>
      </w:r>
      <w:r w:rsidR="004F0384" w:rsidRPr="00BD22C2">
        <w:rPr>
          <w:rFonts w:ascii="Arial" w:hAnsi="Arial" w:cs="Arial"/>
          <w:sz w:val="18"/>
          <w:szCs w:val="18"/>
          <w:lang w:val="fr-CA"/>
        </w:rPr>
        <w:t xml:space="preserve"> du C.c.Q</w:t>
      </w:r>
      <w:r w:rsidRPr="00BD22C2">
        <w:rPr>
          <w:rFonts w:ascii="Arial" w:hAnsi="Arial" w:cs="Arial"/>
          <w:sz w:val="18"/>
          <w:szCs w:val="18"/>
          <w:lang w:val="fr-CA"/>
        </w:rPr>
        <w:t xml:space="preserve">. </w:t>
      </w:r>
    </w:p>
  </w:endnote>
  <w:endnote w:id="353">
    <w:p w14:paraId="00EED4C0" w14:textId="5C2196ED"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F0384" w:rsidRPr="00BD22C2">
        <w:rPr>
          <w:rFonts w:ascii="Arial" w:hAnsi="Arial" w:cs="Arial"/>
          <w:sz w:val="18"/>
          <w:szCs w:val="18"/>
          <w:lang w:val="fr-CA"/>
        </w:rPr>
        <w:t>C.c.Q., a</w:t>
      </w:r>
      <w:r w:rsidRPr="00BD22C2">
        <w:rPr>
          <w:rFonts w:ascii="Arial" w:hAnsi="Arial" w:cs="Arial"/>
          <w:sz w:val="18"/>
          <w:szCs w:val="18"/>
          <w:lang w:val="fr-CA"/>
        </w:rPr>
        <w:t>rt. 10 et 11</w:t>
      </w:r>
      <w:r w:rsidR="004F0384" w:rsidRPr="00BD22C2">
        <w:rPr>
          <w:rFonts w:ascii="Arial" w:hAnsi="Arial" w:cs="Arial"/>
          <w:sz w:val="18"/>
          <w:szCs w:val="18"/>
          <w:lang w:val="fr-CA"/>
        </w:rPr>
        <w:t xml:space="preserve">. </w:t>
      </w:r>
      <w:r w:rsidRPr="00BD22C2">
        <w:rPr>
          <w:rFonts w:ascii="Arial" w:hAnsi="Arial" w:cs="Arial"/>
          <w:sz w:val="18"/>
          <w:szCs w:val="18"/>
          <w:lang w:val="fr-CA"/>
        </w:rPr>
        <w:t xml:space="preserve"> </w:t>
      </w:r>
    </w:p>
  </w:endnote>
  <w:endnote w:id="354">
    <w:p w14:paraId="65648504" w14:textId="619CFC5E"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2024 QCCA 348, par. 119 et 220</w:t>
      </w:r>
      <w:r w:rsidR="004F0384" w:rsidRPr="00BD22C2">
        <w:rPr>
          <w:rFonts w:ascii="Arial" w:hAnsi="Arial" w:cs="Arial"/>
          <w:sz w:val="18"/>
          <w:szCs w:val="18"/>
          <w:lang w:val="fr-CA"/>
        </w:rPr>
        <w:t>,</w:t>
      </w:r>
      <w:r w:rsidRPr="00BD22C2">
        <w:rPr>
          <w:rFonts w:ascii="Arial" w:hAnsi="Arial" w:cs="Arial"/>
          <w:sz w:val="18"/>
          <w:szCs w:val="18"/>
          <w:lang w:val="fr-CA"/>
        </w:rPr>
        <w:t xml:space="preserve"> citant : </w:t>
      </w:r>
      <w:r w:rsidRPr="00BD22C2">
        <w:rPr>
          <w:rFonts w:ascii="Arial" w:hAnsi="Arial" w:cs="Arial"/>
          <w:i/>
          <w:sz w:val="18"/>
          <w:szCs w:val="18"/>
          <w:lang w:val="fr-CA"/>
        </w:rPr>
        <w:t>Gosselin</w:t>
      </w:r>
      <w:r w:rsidRPr="00BD22C2">
        <w:rPr>
          <w:rFonts w:ascii="Arial" w:hAnsi="Arial" w:cs="Arial"/>
          <w:sz w:val="18"/>
          <w:szCs w:val="18"/>
          <w:lang w:val="fr-CA"/>
        </w:rPr>
        <w:t xml:space="preserve"> c. </w:t>
      </w:r>
      <w:r w:rsidRPr="00BD22C2">
        <w:rPr>
          <w:rFonts w:ascii="Arial" w:hAnsi="Arial" w:cs="Arial"/>
          <w:i/>
          <w:sz w:val="18"/>
          <w:szCs w:val="18"/>
          <w:lang w:val="fr-CA"/>
        </w:rPr>
        <w:t>Québec (Procureur général)</w:t>
      </w:r>
      <w:r w:rsidRPr="00BD22C2">
        <w:rPr>
          <w:rFonts w:ascii="Arial" w:hAnsi="Arial" w:cs="Arial"/>
          <w:sz w:val="18"/>
          <w:szCs w:val="18"/>
          <w:lang w:val="fr-CA"/>
        </w:rPr>
        <w:t>, 2002</w:t>
      </w:r>
      <w:r w:rsidR="00B32B61">
        <w:rPr>
          <w:rFonts w:ascii="Arial" w:hAnsi="Arial" w:cs="Arial"/>
          <w:sz w:val="18"/>
          <w:szCs w:val="18"/>
          <w:lang w:val="fr-CA"/>
        </w:rPr>
        <w:t> </w:t>
      </w:r>
      <w:r w:rsidRPr="00BD22C2">
        <w:rPr>
          <w:rFonts w:ascii="Arial" w:hAnsi="Arial" w:cs="Arial"/>
          <w:sz w:val="18"/>
          <w:szCs w:val="18"/>
          <w:lang w:val="fr-CA"/>
        </w:rPr>
        <w:t xml:space="preserve">CSC 84, par. </w:t>
      </w:r>
      <w:r w:rsidR="008B2702" w:rsidRPr="00BD22C2">
        <w:rPr>
          <w:rFonts w:ascii="Arial" w:hAnsi="Arial" w:cs="Arial"/>
          <w:sz w:val="18"/>
          <w:szCs w:val="18"/>
          <w:lang w:val="fr-CA"/>
        </w:rPr>
        <w:t xml:space="preserve">31. </w:t>
      </w:r>
      <w:r w:rsidRPr="00BD22C2">
        <w:rPr>
          <w:rFonts w:ascii="Arial" w:hAnsi="Arial" w:cs="Arial"/>
          <w:sz w:val="18"/>
          <w:szCs w:val="18"/>
          <w:lang w:val="fr-CA"/>
        </w:rPr>
        <w:t xml:space="preserve"> </w:t>
      </w:r>
      <w:r w:rsidRPr="00BD22C2">
        <w:rPr>
          <w:rFonts w:ascii="Arial" w:hAnsi="Arial" w:cs="Arial"/>
          <w:i/>
          <w:sz w:val="18"/>
          <w:szCs w:val="18"/>
          <w:lang w:val="fr-CA"/>
        </w:rPr>
        <w:t>A.C</w:t>
      </w:r>
      <w:r w:rsidRPr="00BD22C2">
        <w:rPr>
          <w:rFonts w:ascii="Arial" w:hAnsi="Arial" w:cs="Arial"/>
          <w:sz w:val="18"/>
          <w:szCs w:val="18"/>
          <w:lang w:val="fr-CA"/>
        </w:rPr>
        <w:t xml:space="preserve">. c. </w:t>
      </w:r>
      <w:r w:rsidRPr="00BD22C2">
        <w:rPr>
          <w:rFonts w:ascii="Arial" w:hAnsi="Arial" w:cs="Arial"/>
          <w:i/>
          <w:sz w:val="18"/>
          <w:szCs w:val="18"/>
          <w:lang w:val="fr-CA"/>
        </w:rPr>
        <w:t>Manitoba (Directeur des services à l’enfant et à la famille)</w:t>
      </w:r>
      <w:r w:rsidRPr="00BD22C2">
        <w:rPr>
          <w:rFonts w:ascii="Arial" w:hAnsi="Arial" w:cs="Arial"/>
          <w:sz w:val="18"/>
          <w:szCs w:val="18"/>
          <w:lang w:val="fr-CA"/>
        </w:rPr>
        <w:t>, 2009</w:t>
      </w:r>
      <w:r w:rsidR="00B32B61">
        <w:rPr>
          <w:rFonts w:ascii="Arial" w:hAnsi="Arial" w:cs="Arial"/>
          <w:sz w:val="18"/>
          <w:szCs w:val="18"/>
          <w:lang w:val="fr-CA"/>
        </w:rPr>
        <w:t> </w:t>
      </w:r>
      <w:r w:rsidRPr="00BD22C2">
        <w:rPr>
          <w:rFonts w:ascii="Arial" w:hAnsi="Arial" w:cs="Arial"/>
          <w:sz w:val="18"/>
          <w:szCs w:val="18"/>
          <w:lang w:val="fr-CA"/>
        </w:rPr>
        <w:t>CSC 30, par. 105 et 106.</w:t>
      </w:r>
    </w:p>
  </w:endnote>
  <w:endnote w:id="355">
    <w:p w14:paraId="5C4FDE4B" w14:textId="3E234378"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Le régime de consentement aux soins permet en ce sens au tribunal de passer outre le refus d’un jeune de 14</w:t>
      </w:r>
      <w:r w:rsidR="00B32B61">
        <w:rPr>
          <w:rFonts w:ascii="Arial" w:hAnsi="Arial" w:cs="Arial"/>
          <w:sz w:val="18"/>
          <w:szCs w:val="18"/>
          <w:lang w:val="fr-CA"/>
        </w:rPr>
        <w:t> </w:t>
      </w:r>
      <w:r w:rsidRPr="00BD22C2">
        <w:rPr>
          <w:rFonts w:ascii="Arial" w:hAnsi="Arial" w:cs="Arial"/>
          <w:sz w:val="18"/>
          <w:szCs w:val="18"/>
          <w:lang w:val="fr-CA"/>
        </w:rPr>
        <w:t>ans et plus ou des parents de l’enfant de moins de 14</w:t>
      </w:r>
      <w:r w:rsidR="00B32B61">
        <w:rPr>
          <w:rFonts w:ascii="Arial" w:hAnsi="Arial" w:cs="Arial"/>
          <w:sz w:val="18"/>
          <w:szCs w:val="18"/>
          <w:lang w:val="fr-CA"/>
        </w:rPr>
        <w:t> </w:t>
      </w:r>
      <w:r w:rsidRPr="00BD22C2">
        <w:rPr>
          <w:rFonts w:ascii="Arial" w:hAnsi="Arial" w:cs="Arial"/>
          <w:sz w:val="18"/>
          <w:szCs w:val="18"/>
          <w:lang w:val="fr-CA"/>
        </w:rPr>
        <w:t xml:space="preserve">ans de recevoir des soins requis par son état de santé. </w:t>
      </w:r>
    </w:p>
  </w:endnote>
  <w:endnote w:id="356">
    <w:p w14:paraId="7F0FC181" w14:textId="3CAEE41B"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C.c.Q., art. 3 et 10, Charte</w:t>
      </w:r>
      <w:r w:rsidR="00D94BB0" w:rsidRPr="00BD22C2">
        <w:rPr>
          <w:rFonts w:ascii="Arial" w:hAnsi="Arial" w:cs="Arial"/>
          <w:sz w:val="18"/>
          <w:szCs w:val="18"/>
          <w:lang w:val="fr-CA"/>
        </w:rPr>
        <w:t>, art.</w:t>
      </w:r>
      <w:r w:rsidR="00CE1914">
        <w:rPr>
          <w:rFonts w:ascii="Arial" w:hAnsi="Arial" w:cs="Arial"/>
          <w:sz w:val="18"/>
          <w:szCs w:val="18"/>
          <w:lang w:val="fr-CA"/>
        </w:rPr>
        <w:t> </w:t>
      </w:r>
      <w:r w:rsidR="00D94BB0" w:rsidRPr="00BD22C2">
        <w:rPr>
          <w:rFonts w:ascii="Arial" w:hAnsi="Arial" w:cs="Arial"/>
          <w:sz w:val="18"/>
          <w:szCs w:val="18"/>
          <w:lang w:val="fr-CA"/>
        </w:rPr>
        <w:t>1</w:t>
      </w:r>
      <w:r w:rsidR="007655AC" w:rsidRPr="00BD22C2">
        <w:rPr>
          <w:rFonts w:ascii="Arial" w:hAnsi="Arial" w:cs="Arial"/>
          <w:sz w:val="18"/>
          <w:szCs w:val="18"/>
          <w:lang w:val="fr-CA"/>
        </w:rPr>
        <w:t xml:space="preserve">. </w:t>
      </w:r>
    </w:p>
  </w:endnote>
  <w:endnote w:id="357">
    <w:p w14:paraId="1A7F5F09" w14:textId="576617E2"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B2308B" w:rsidRPr="00BD22C2">
        <w:rPr>
          <w:rFonts w:ascii="Arial" w:hAnsi="Arial" w:cs="Arial"/>
          <w:sz w:val="18"/>
          <w:szCs w:val="18"/>
          <w:lang w:val="fr-CA"/>
        </w:rPr>
        <w:t>C.c.Q., 597</w:t>
      </w:r>
      <w:r w:rsidR="00B32B61">
        <w:rPr>
          <w:rFonts w:ascii="Arial" w:hAnsi="Arial" w:cs="Arial"/>
          <w:sz w:val="18"/>
          <w:szCs w:val="18"/>
          <w:lang w:val="fr-CA"/>
        </w:rPr>
        <w:t> </w:t>
      </w:r>
      <w:r w:rsidR="00B2308B" w:rsidRPr="00BD22C2">
        <w:rPr>
          <w:rFonts w:ascii="Arial" w:hAnsi="Arial" w:cs="Arial"/>
          <w:sz w:val="18"/>
          <w:szCs w:val="18"/>
          <w:lang w:val="fr-CA"/>
        </w:rPr>
        <w:t xml:space="preserve">ss. </w:t>
      </w:r>
    </w:p>
  </w:endnote>
  <w:endnote w:id="358">
    <w:p w14:paraId="236DA8C6" w14:textId="1492B56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Dominique </w:t>
      </w:r>
      <w:r w:rsidRPr="00BD22C2">
        <w:rPr>
          <w:rFonts w:ascii="Arial" w:hAnsi="Arial" w:cs="Arial"/>
          <w:smallCaps/>
          <w:sz w:val="18"/>
          <w:szCs w:val="18"/>
          <w:lang w:val="fr-CA"/>
        </w:rPr>
        <w:t>Goubau</w:t>
      </w:r>
      <w:r w:rsidRPr="00BD22C2">
        <w:rPr>
          <w:rFonts w:ascii="Arial" w:hAnsi="Arial" w:cs="Arial"/>
          <w:sz w:val="18"/>
          <w:szCs w:val="18"/>
          <w:lang w:val="fr-CA"/>
        </w:rPr>
        <w:t>, « Le droit des personnes physiques », 7e</w:t>
      </w:r>
      <w:r w:rsidR="00B32B61">
        <w:rPr>
          <w:rFonts w:ascii="Arial" w:hAnsi="Arial" w:cs="Arial"/>
          <w:sz w:val="18"/>
          <w:szCs w:val="18"/>
          <w:lang w:val="fr-CA"/>
        </w:rPr>
        <w:t> </w:t>
      </w:r>
      <w:r w:rsidRPr="00BD22C2">
        <w:rPr>
          <w:rFonts w:ascii="Arial" w:hAnsi="Arial" w:cs="Arial"/>
          <w:sz w:val="18"/>
          <w:szCs w:val="18"/>
          <w:lang w:val="fr-CA"/>
        </w:rPr>
        <w:t xml:space="preserve">éd., Cowansville, Éditions Yvon Blais, 2022, </w:t>
      </w:r>
      <w:r w:rsidR="00DF429D" w:rsidRPr="00BD22C2">
        <w:rPr>
          <w:rFonts w:ascii="Arial" w:hAnsi="Arial" w:cs="Arial"/>
          <w:sz w:val="18"/>
          <w:szCs w:val="18"/>
          <w:lang w:val="fr-CA"/>
        </w:rPr>
        <w:t>par. 109 et ss.</w:t>
      </w:r>
    </w:p>
  </w:endnote>
  <w:endnote w:id="359">
    <w:p w14:paraId="40F078DD" w14:textId="51A715EC"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937BA">
        <w:rPr>
          <w:rFonts w:ascii="Arial" w:hAnsi="Arial" w:cs="Arial"/>
          <w:sz w:val="18"/>
          <w:szCs w:val="18"/>
          <w:lang w:val="fr-CA"/>
        </w:rPr>
        <w:t xml:space="preserve">D. </w:t>
      </w:r>
      <w:r w:rsidRPr="00BD22C2">
        <w:rPr>
          <w:rFonts w:ascii="Arial" w:hAnsi="Arial" w:cs="Arial"/>
          <w:smallCaps/>
          <w:sz w:val="18"/>
          <w:szCs w:val="18"/>
          <w:lang w:val="fr-CA"/>
        </w:rPr>
        <w:t>Goubau</w:t>
      </w:r>
      <w:r w:rsidR="00BE4AAB" w:rsidRPr="00BD22C2">
        <w:rPr>
          <w:rFonts w:ascii="Arial" w:hAnsi="Arial" w:cs="Arial"/>
          <w:sz w:val="18"/>
          <w:szCs w:val="18"/>
          <w:lang w:val="fr-CA"/>
        </w:rPr>
        <w:t>,</w:t>
      </w:r>
      <w:r w:rsidR="001113B5" w:rsidRPr="00BD22C2">
        <w:rPr>
          <w:rFonts w:ascii="Arial" w:hAnsi="Arial" w:cs="Arial"/>
          <w:sz w:val="18"/>
          <w:szCs w:val="18"/>
          <w:lang w:val="fr-CA"/>
        </w:rPr>
        <w:t xml:space="preserve"> </w:t>
      </w:r>
      <w:r w:rsidR="00724C0C">
        <w:rPr>
          <w:rFonts w:ascii="Arial" w:hAnsi="Arial" w:cs="Arial"/>
          <w:i/>
          <w:sz w:val="18"/>
          <w:szCs w:val="18"/>
          <w:lang w:val="fr-CA"/>
        </w:rPr>
        <w:t>i</w:t>
      </w:r>
      <w:r w:rsidR="001113B5" w:rsidRPr="00BD22C2">
        <w:rPr>
          <w:rFonts w:ascii="Arial" w:hAnsi="Arial" w:cs="Arial"/>
          <w:i/>
          <w:sz w:val="18"/>
          <w:szCs w:val="18"/>
          <w:lang w:val="fr-CA"/>
        </w:rPr>
        <w:t>d</w:t>
      </w:r>
      <w:r w:rsidR="001113B5" w:rsidRPr="00BD22C2">
        <w:rPr>
          <w:rFonts w:ascii="Arial" w:hAnsi="Arial" w:cs="Arial"/>
          <w:sz w:val="18"/>
          <w:szCs w:val="18"/>
          <w:lang w:val="fr-CA"/>
        </w:rPr>
        <w:t>., par.</w:t>
      </w:r>
      <w:r w:rsidRPr="00BD22C2">
        <w:rPr>
          <w:rFonts w:ascii="Arial" w:hAnsi="Arial" w:cs="Arial"/>
          <w:sz w:val="18"/>
          <w:szCs w:val="18"/>
          <w:lang w:val="fr-CA"/>
        </w:rPr>
        <w:t xml:space="preserve"> 109 et </w:t>
      </w:r>
      <w:r w:rsidR="00E35DAD" w:rsidRPr="00BD22C2">
        <w:rPr>
          <w:rFonts w:ascii="Arial" w:hAnsi="Arial" w:cs="Arial"/>
          <w:sz w:val="18"/>
          <w:szCs w:val="18"/>
          <w:lang w:val="fr-CA"/>
        </w:rPr>
        <w:t>ss</w:t>
      </w:r>
      <w:r w:rsidR="0036662C" w:rsidRPr="00BD22C2">
        <w:rPr>
          <w:rFonts w:ascii="Arial" w:hAnsi="Arial" w:cs="Arial"/>
          <w:sz w:val="18"/>
          <w:szCs w:val="18"/>
          <w:lang w:val="fr-CA"/>
        </w:rPr>
        <w:t>;</w:t>
      </w:r>
      <w:r w:rsidRPr="00BD22C2">
        <w:rPr>
          <w:rFonts w:ascii="Arial" w:hAnsi="Arial" w:cs="Arial"/>
          <w:sz w:val="18"/>
          <w:szCs w:val="18"/>
          <w:lang w:val="fr-CA"/>
        </w:rPr>
        <w:t xml:space="preserve"> Robert P. </w:t>
      </w:r>
      <w:r w:rsidRPr="00BD22C2">
        <w:rPr>
          <w:rFonts w:ascii="Arial" w:hAnsi="Arial" w:cs="Arial"/>
          <w:smallCaps/>
          <w:sz w:val="18"/>
          <w:szCs w:val="18"/>
          <w:lang w:val="fr-CA"/>
        </w:rPr>
        <w:t>Kouri</w:t>
      </w:r>
      <w:r w:rsidRPr="00BD22C2">
        <w:rPr>
          <w:rFonts w:ascii="Arial" w:hAnsi="Arial" w:cs="Arial"/>
          <w:sz w:val="18"/>
          <w:szCs w:val="18"/>
          <w:lang w:val="fr-CA"/>
        </w:rPr>
        <w:t>, « Le consentement aux soins : aperçu général et quelques questions controversées » dans Cours de perfectionnement du notariat, vol</w:t>
      </w:r>
      <w:r w:rsidR="000937BA">
        <w:rPr>
          <w:rFonts w:ascii="Arial" w:hAnsi="Arial" w:cs="Arial"/>
          <w:sz w:val="18"/>
          <w:szCs w:val="18"/>
          <w:lang w:val="fr-CA"/>
        </w:rPr>
        <w:t>.</w:t>
      </w:r>
      <w:r w:rsidRPr="00BD22C2">
        <w:rPr>
          <w:rFonts w:ascii="Arial" w:hAnsi="Arial" w:cs="Arial"/>
          <w:sz w:val="18"/>
          <w:szCs w:val="18"/>
          <w:lang w:val="fr-CA"/>
        </w:rPr>
        <w:t> 2011-2, Montréal (QC), Éditions Yvon Blais, 2011, 3, par. 15</w:t>
      </w:r>
      <w:r w:rsidR="00D25C0A" w:rsidRPr="00BD22C2">
        <w:rPr>
          <w:rFonts w:ascii="Arial" w:hAnsi="Arial" w:cs="Arial"/>
          <w:sz w:val="18"/>
          <w:szCs w:val="18"/>
          <w:lang w:val="fr-CA"/>
        </w:rPr>
        <w:t xml:space="preserve">; </w:t>
      </w:r>
      <w:bookmarkStart w:id="157" w:name="_Hlk166510565"/>
      <w:r w:rsidR="00DD768B" w:rsidRPr="00BD22C2">
        <w:rPr>
          <w:rFonts w:ascii="Arial" w:hAnsi="Arial" w:cs="Arial"/>
          <w:sz w:val="18"/>
          <w:szCs w:val="18"/>
          <w:lang w:val="fr-CA"/>
        </w:rPr>
        <w:t xml:space="preserve">Robert P. </w:t>
      </w:r>
      <w:r w:rsidR="00DD768B" w:rsidRPr="00BD22C2">
        <w:rPr>
          <w:rFonts w:ascii="Arial" w:hAnsi="Arial" w:cs="Arial"/>
          <w:smallCaps/>
          <w:sz w:val="18"/>
          <w:szCs w:val="18"/>
          <w:lang w:val="fr-CA"/>
        </w:rPr>
        <w:t>Kouri</w:t>
      </w:r>
      <w:r w:rsidR="00DD768B" w:rsidRPr="00BD22C2">
        <w:rPr>
          <w:rFonts w:ascii="Arial" w:hAnsi="Arial" w:cs="Arial"/>
          <w:sz w:val="18"/>
          <w:szCs w:val="18"/>
          <w:lang w:val="fr-CA"/>
        </w:rPr>
        <w:t xml:space="preserve"> et Suzanne </w:t>
      </w:r>
      <w:r w:rsidR="00DD768B" w:rsidRPr="00BD22C2">
        <w:rPr>
          <w:rFonts w:ascii="Arial" w:hAnsi="Arial" w:cs="Arial"/>
          <w:smallCaps/>
          <w:sz w:val="18"/>
          <w:szCs w:val="18"/>
          <w:lang w:val="fr-CA"/>
        </w:rPr>
        <w:t>Philips</w:t>
      </w:r>
      <w:r w:rsidR="00DD768B" w:rsidRPr="00BD22C2">
        <w:rPr>
          <w:rFonts w:ascii="Arial" w:hAnsi="Arial" w:cs="Arial"/>
          <w:sz w:val="18"/>
          <w:szCs w:val="18"/>
          <w:lang w:val="fr-CA"/>
        </w:rPr>
        <w:t>-</w:t>
      </w:r>
      <w:r w:rsidR="00DD768B" w:rsidRPr="00BD22C2">
        <w:rPr>
          <w:rFonts w:ascii="Arial" w:hAnsi="Arial" w:cs="Arial"/>
          <w:smallCaps/>
          <w:sz w:val="18"/>
          <w:szCs w:val="18"/>
          <w:lang w:val="fr-CA"/>
        </w:rPr>
        <w:t>Nootens</w:t>
      </w:r>
      <w:r w:rsidR="00665459" w:rsidRPr="00BD22C2">
        <w:rPr>
          <w:rFonts w:ascii="Arial" w:hAnsi="Arial" w:cs="Arial"/>
          <w:sz w:val="18"/>
          <w:szCs w:val="18"/>
          <w:lang w:val="fr-CA"/>
        </w:rPr>
        <w:t xml:space="preserve">, </w:t>
      </w:r>
      <w:r w:rsidR="00844B66" w:rsidRPr="00BD22C2">
        <w:rPr>
          <w:rFonts w:ascii="Arial" w:hAnsi="Arial" w:cs="Arial"/>
          <w:iCs/>
          <w:sz w:val="18"/>
          <w:szCs w:val="18"/>
          <w:lang w:val="fr-CA"/>
        </w:rPr>
        <w:t>pr</w:t>
      </w:r>
      <w:r w:rsidR="004E3E89" w:rsidRPr="00BD22C2">
        <w:rPr>
          <w:rFonts w:ascii="Arial" w:hAnsi="Arial" w:cs="Arial"/>
          <w:iCs/>
          <w:sz w:val="18"/>
          <w:szCs w:val="18"/>
          <w:lang w:val="fr-CA"/>
        </w:rPr>
        <w:t>éc</w:t>
      </w:r>
      <w:r w:rsidR="009717FB" w:rsidRPr="00BD22C2">
        <w:rPr>
          <w:rFonts w:ascii="Arial" w:hAnsi="Arial" w:cs="Arial"/>
          <w:iCs/>
          <w:sz w:val="18"/>
          <w:szCs w:val="18"/>
          <w:lang w:val="fr-CA"/>
        </w:rPr>
        <w:t>.</w:t>
      </w:r>
      <w:r w:rsidR="004E3E89" w:rsidRPr="00BD22C2">
        <w:rPr>
          <w:rFonts w:ascii="Arial" w:hAnsi="Arial" w:cs="Arial"/>
          <w:iCs/>
          <w:sz w:val="18"/>
          <w:szCs w:val="18"/>
          <w:lang w:val="fr-CA"/>
        </w:rPr>
        <w:t>, note</w:t>
      </w:r>
      <w:r w:rsidR="009717FB" w:rsidRPr="00BD22C2">
        <w:rPr>
          <w:rFonts w:ascii="Arial" w:hAnsi="Arial" w:cs="Arial"/>
          <w:iCs/>
          <w:sz w:val="18"/>
          <w:szCs w:val="18"/>
          <w:lang w:val="fr-CA"/>
        </w:rPr>
        <w:t xml:space="preserve"> </w:t>
      </w:r>
      <w:r w:rsidR="00F83DE1" w:rsidRPr="00BD22C2">
        <w:rPr>
          <w:rFonts w:ascii="Arial" w:hAnsi="Arial" w:cs="Arial"/>
          <w:iCs/>
          <w:sz w:val="18"/>
          <w:szCs w:val="18"/>
          <w:lang w:val="fr-CA"/>
        </w:rPr>
        <w:fldChar w:fldCharType="begin"/>
      </w:r>
      <w:r w:rsidR="00F83DE1" w:rsidRPr="00BD22C2">
        <w:rPr>
          <w:rFonts w:ascii="Arial" w:hAnsi="Arial" w:cs="Arial"/>
          <w:iCs/>
          <w:sz w:val="18"/>
          <w:szCs w:val="18"/>
          <w:lang w:val="fr-CA"/>
        </w:rPr>
        <w:instrText xml:space="preserve"> NOTEREF _Ref167455720 \h </w:instrText>
      </w:r>
      <w:r w:rsidR="00F83DE1" w:rsidRPr="00BD22C2">
        <w:rPr>
          <w:rFonts w:ascii="Arial" w:hAnsi="Arial" w:cs="Arial"/>
          <w:iCs/>
          <w:sz w:val="18"/>
          <w:szCs w:val="18"/>
          <w:lang w:val="fr-CA"/>
        </w:rPr>
      </w:r>
      <w:r w:rsidR="00F83DE1" w:rsidRPr="00BD22C2">
        <w:rPr>
          <w:rFonts w:ascii="Arial" w:hAnsi="Arial" w:cs="Arial"/>
          <w:iCs/>
          <w:sz w:val="18"/>
          <w:szCs w:val="18"/>
          <w:lang w:val="fr-CA"/>
        </w:rPr>
        <w:fldChar w:fldCharType="separate"/>
      </w:r>
      <w:r w:rsidR="004B4881">
        <w:rPr>
          <w:rFonts w:ascii="Arial" w:hAnsi="Arial" w:cs="Arial"/>
          <w:iCs/>
          <w:sz w:val="18"/>
          <w:szCs w:val="18"/>
          <w:lang w:val="fr-CA"/>
        </w:rPr>
        <w:t>347</w:t>
      </w:r>
      <w:r w:rsidR="00F83DE1" w:rsidRPr="00BD22C2">
        <w:rPr>
          <w:rFonts w:ascii="Arial" w:hAnsi="Arial" w:cs="Arial"/>
          <w:iCs/>
          <w:sz w:val="18"/>
          <w:szCs w:val="18"/>
          <w:lang w:val="fr-CA"/>
        </w:rPr>
        <w:fldChar w:fldCharType="end"/>
      </w:r>
      <w:r w:rsidR="00F83DE1" w:rsidRPr="00BD22C2">
        <w:rPr>
          <w:rFonts w:ascii="Arial" w:hAnsi="Arial" w:cs="Arial"/>
          <w:iCs/>
          <w:sz w:val="18"/>
          <w:szCs w:val="18"/>
          <w:lang w:val="fr-CA"/>
        </w:rPr>
        <w:t>,</w:t>
      </w:r>
      <w:r w:rsidR="00154706" w:rsidRPr="00BD22C2">
        <w:rPr>
          <w:rFonts w:ascii="Arial" w:hAnsi="Arial" w:cs="Arial"/>
          <w:sz w:val="18"/>
          <w:szCs w:val="18"/>
          <w:lang w:val="fr-CA"/>
        </w:rPr>
        <w:t xml:space="preserve"> par. </w:t>
      </w:r>
      <w:r w:rsidR="00692C56" w:rsidRPr="00BD22C2">
        <w:rPr>
          <w:rFonts w:ascii="Arial" w:hAnsi="Arial" w:cs="Arial"/>
          <w:sz w:val="18"/>
          <w:szCs w:val="18"/>
          <w:lang w:val="fr-CA"/>
        </w:rPr>
        <w:t>303</w:t>
      </w:r>
      <w:bookmarkEnd w:id="157"/>
      <w:r w:rsidRPr="00BD22C2" w:rsidDel="00D25C0A">
        <w:rPr>
          <w:rFonts w:ascii="Arial" w:hAnsi="Arial" w:cs="Arial"/>
          <w:sz w:val="18"/>
          <w:szCs w:val="18"/>
          <w:lang w:val="fr-CA"/>
        </w:rPr>
        <w:t>.</w:t>
      </w:r>
    </w:p>
  </w:endnote>
  <w:endnote w:id="360">
    <w:p w14:paraId="64599451" w14:textId="466A2699"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D.</w:t>
      </w:r>
      <w:r w:rsidR="004F1219">
        <w:rPr>
          <w:rFonts w:ascii="Arial" w:hAnsi="Arial" w:cs="Arial"/>
          <w:sz w:val="18"/>
          <w:szCs w:val="18"/>
          <w:lang w:val="fr-CA"/>
        </w:rPr>
        <w:t> </w:t>
      </w:r>
      <w:r w:rsidRPr="00BD22C2">
        <w:rPr>
          <w:rFonts w:ascii="Arial" w:hAnsi="Arial" w:cs="Arial"/>
          <w:smallCaps/>
          <w:sz w:val="18"/>
          <w:szCs w:val="18"/>
          <w:lang w:val="fr-CA"/>
        </w:rPr>
        <w:t>Goubau</w:t>
      </w:r>
      <w:r w:rsidR="00F83DE1" w:rsidRPr="00BD22C2">
        <w:rPr>
          <w:rFonts w:ascii="Arial" w:hAnsi="Arial" w:cs="Arial"/>
          <w:smallCaps/>
          <w:sz w:val="18"/>
          <w:szCs w:val="18"/>
          <w:lang w:val="fr-CA"/>
        </w:rPr>
        <w:t>,</w:t>
      </w:r>
      <w:r w:rsidRPr="00BD22C2">
        <w:rPr>
          <w:rFonts w:ascii="Arial" w:hAnsi="Arial" w:cs="Arial"/>
          <w:sz w:val="18"/>
          <w:szCs w:val="18"/>
          <w:lang w:val="fr-CA"/>
        </w:rPr>
        <w:t xml:space="preserve"> p</w:t>
      </w:r>
      <w:r w:rsidR="00E8441D" w:rsidRPr="00BD22C2">
        <w:rPr>
          <w:rFonts w:ascii="Arial" w:hAnsi="Arial" w:cs="Arial"/>
          <w:sz w:val="18"/>
          <w:szCs w:val="18"/>
          <w:lang w:val="fr-CA"/>
        </w:rPr>
        <w:t>réc., note</w:t>
      </w:r>
      <w:r w:rsidR="004F597B" w:rsidRPr="00BD22C2">
        <w:rPr>
          <w:rFonts w:ascii="Arial" w:hAnsi="Arial" w:cs="Arial"/>
          <w:sz w:val="18"/>
          <w:szCs w:val="18"/>
          <w:lang w:val="fr-CA"/>
        </w:rPr>
        <w:t xml:space="preserve"> </w:t>
      </w:r>
      <w:r w:rsidR="004F597B" w:rsidRPr="00BD22C2">
        <w:rPr>
          <w:rFonts w:ascii="Arial" w:hAnsi="Arial" w:cs="Arial"/>
          <w:sz w:val="18"/>
          <w:szCs w:val="18"/>
          <w:lang w:val="fr-CA"/>
        </w:rPr>
        <w:fldChar w:fldCharType="begin"/>
      </w:r>
      <w:r w:rsidR="004F597B" w:rsidRPr="00BD22C2">
        <w:rPr>
          <w:rFonts w:ascii="Arial" w:hAnsi="Arial" w:cs="Arial"/>
          <w:sz w:val="18"/>
          <w:szCs w:val="18"/>
          <w:lang w:val="fr-CA"/>
        </w:rPr>
        <w:instrText xml:space="preserve"> NOTEREF _Ref167455781 \h </w:instrText>
      </w:r>
      <w:r w:rsidR="004F597B" w:rsidRPr="00BD22C2">
        <w:rPr>
          <w:rFonts w:ascii="Arial" w:hAnsi="Arial" w:cs="Arial"/>
          <w:sz w:val="18"/>
          <w:szCs w:val="18"/>
          <w:lang w:val="fr-CA"/>
        </w:rPr>
      </w:r>
      <w:r w:rsidR="004F597B" w:rsidRPr="00BD22C2">
        <w:rPr>
          <w:rFonts w:ascii="Arial" w:hAnsi="Arial" w:cs="Arial"/>
          <w:sz w:val="18"/>
          <w:szCs w:val="18"/>
          <w:lang w:val="fr-CA"/>
        </w:rPr>
        <w:fldChar w:fldCharType="separate"/>
      </w:r>
      <w:r w:rsidR="004B4881">
        <w:rPr>
          <w:rFonts w:ascii="Arial" w:hAnsi="Arial" w:cs="Arial"/>
          <w:sz w:val="18"/>
          <w:szCs w:val="18"/>
          <w:lang w:val="fr-CA"/>
        </w:rPr>
        <w:t>357</w:t>
      </w:r>
      <w:r w:rsidR="004F597B" w:rsidRPr="00BD22C2">
        <w:rPr>
          <w:rFonts w:ascii="Arial" w:hAnsi="Arial" w:cs="Arial"/>
          <w:sz w:val="18"/>
          <w:szCs w:val="18"/>
          <w:lang w:val="fr-CA"/>
        </w:rPr>
        <w:fldChar w:fldCharType="end"/>
      </w:r>
      <w:r w:rsidR="004F597B" w:rsidRPr="00BD22C2">
        <w:rPr>
          <w:rFonts w:ascii="Arial" w:hAnsi="Arial" w:cs="Arial"/>
          <w:sz w:val="18"/>
          <w:szCs w:val="18"/>
          <w:lang w:val="fr-CA"/>
        </w:rPr>
        <w:t>,</w:t>
      </w:r>
      <w:r w:rsidR="00E8441D" w:rsidRPr="00BD22C2">
        <w:rPr>
          <w:rFonts w:ascii="Arial" w:hAnsi="Arial" w:cs="Arial"/>
          <w:sz w:val="18"/>
          <w:szCs w:val="18"/>
          <w:lang w:val="fr-CA"/>
        </w:rPr>
        <w:t xml:space="preserve"> </w:t>
      </w:r>
      <w:r w:rsidR="000C314C" w:rsidRPr="00BD22C2">
        <w:rPr>
          <w:rFonts w:ascii="Arial" w:hAnsi="Arial" w:cs="Arial"/>
          <w:sz w:val="18"/>
          <w:szCs w:val="18"/>
          <w:lang w:val="fr-CA"/>
        </w:rPr>
        <w:t>p</w:t>
      </w:r>
      <w:r w:rsidRPr="00BD22C2">
        <w:rPr>
          <w:rFonts w:ascii="Arial" w:hAnsi="Arial" w:cs="Arial"/>
          <w:sz w:val="18"/>
          <w:szCs w:val="18"/>
          <w:lang w:val="fr-CA"/>
        </w:rPr>
        <w:t>ar. 133.</w:t>
      </w:r>
    </w:p>
  </w:endnote>
  <w:endnote w:id="361">
    <w:p w14:paraId="5B9BE60E" w14:textId="2C9D5BAC"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F597B" w:rsidRPr="00BD22C2">
        <w:rPr>
          <w:rFonts w:ascii="Arial" w:hAnsi="Arial" w:cs="Arial"/>
          <w:i/>
          <w:iCs/>
          <w:sz w:val="18"/>
          <w:szCs w:val="18"/>
          <w:lang w:val="fr-CA"/>
        </w:rPr>
        <w:t>Id.</w:t>
      </w:r>
      <w:r w:rsidR="004F597B" w:rsidRPr="00BD22C2">
        <w:rPr>
          <w:rFonts w:ascii="Arial" w:hAnsi="Arial" w:cs="Arial"/>
          <w:sz w:val="18"/>
          <w:szCs w:val="18"/>
          <w:lang w:val="fr-CA"/>
        </w:rPr>
        <w:t xml:space="preserve"> </w:t>
      </w:r>
    </w:p>
  </w:endnote>
  <w:endnote w:id="362">
    <w:p w14:paraId="06D57FE1" w14:textId="6E39EF92"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C.c.Q., art. 17.</w:t>
      </w:r>
    </w:p>
  </w:endnote>
  <w:endnote w:id="363">
    <w:p w14:paraId="36D5C4F5" w14:textId="49B2AEE5" w:rsidR="002E289D" w:rsidRPr="0085310E" w:rsidRDefault="002E289D"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83492" w:rsidRPr="00BD22C2">
        <w:rPr>
          <w:rFonts w:ascii="Arial" w:hAnsi="Arial" w:cs="Arial"/>
          <w:sz w:val="18"/>
          <w:szCs w:val="18"/>
          <w:lang w:val="fr-CA"/>
        </w:rPr>
        <w:t xml:space="preserve">Les données </w:t>
      </w:r>
      <w:r w:rsidR="00AB64D3" w:rsidRPr="00BD22C2">
        <w:rPr>
          <w:rFonts w:ascii="Arial" w:hAnsi="Arial" w:cs="Arial"/>
          <w:sz w:val="18"/>
          <w:szCs w:val="18"/>
          <w:lang w:val="fr-CA"/>
        </w:rPr>
        <w:t xml:space="preserve">pour la période allant de </w:t>
      </w:r>
      <w:r w:rsidR="00483492" w:rsidRPr="00BD22C2">
        <w:rPr>
          <w:rFonts w:ascii="Arial" w:hAnsi="Arial" w:cs="Arial"/>
          <w:sz w:val="18"/>
          <w:szCs w:val="18"/>
          <w:lang w:val="fr-CA"/>
        </w:rPr>
        <w:t xml:space="preserve">2016 </w:t>
      </w:r>
      <w:r w:rsidR="00AB64D3" w:rsidRPr="00BD22C2">
        <w:rPr>
          <w:rFonts w:ascii="Arial" w:hAnsi="Arial" w:cs="Arial"/>
          <w:sz w:val="18"/>
          <w:szCs w:val="18"/>
          <w:lang w:val="fr-CA"/>
        </w:rPr>
        <w:t>à</w:t>
      </w:r>
      <w:r w:rsidR="00483492" w:rsidRPr="00BD22C2">
        <w:rPr>
          <w:rFonts w:ascii="Arial" w:hAnsi="Arial" w:cs="Arial"/>
          <w:sz w:val="18"/>
          <w:szCs w:val="18"/>
          <w:lang w:val="fr-CA"/>
        </w:rPr>
        <w:t xml:space="preserve"> 2020 ne sont pas disponibles. </w:t>
      </w:r>
      <w:r w:rsidR="00B00628" w:rsidRPr="00BD22C2">
        <w:rPr>
          <w:rFonts w:ascii="Arial" w:hAnsi="Arial" w:cs="Arial"/>
          <w:sz w:val="18"/>
          <w:szCs w:val="18"/>
          <w:lang w:val="fr-CA"/>
        </w:rPr>
        <w:t xml:space="preserve">Héloïse </w:t>
      </w:r>
      <w:r w:rsidR="00B00628" w:rsidRPr="00BD22C2">
        <w:rPr>
          <w:rFonts w:ascii="Arial" w:hAnsi="Arial" w:cs="Arial"/>
          <w:smallCaps/>
          <w:sz w:val="18"/>
          <w:szCs w:val="18"/>
          <w:lang w:val="fr-CA"/>
        </w:rPr>
        <w:t>Archambault</w:t>
      </w:r>
      <w:r w:rsidR="006C3D5D" w:rsidRPr="00BD22C2">
        <w:rPr>
          <w:rFonts w:ascii="Arial" w:hAnsi="Arial" w:cs="Arial"/>
          <w:sz w:val="18"/>
          <w:szCs w:val="18"/>
          <w:lang w:val="fr-CA"/>
        </w:rPr>
        <w:t xml:space="preserve">, </w:t>
      </w:r>
      <w:r w:rsidR="00402A2C" w:rsidRPr="00BD22C2">
        <w:rPr>
          <w:rFonts w:ascii="Arial" w:hAnsi="Arial" w:cs="Arial"/>
          <w:sz w:val="18"/>
          <w:szCs w:val="18"/>
          <w:lang w:val="fr-CA"/>
        </w:rPr>
        <w:t>«</w:t>
      </w:r>
      <w:r w:rsidR="0051216B" w:rsidRPr="00BD22C2">
        <w:rPr>
          <w:rFonts w:ascii="Arial" w:hAnsi="Arial" w:cs="Arial"/>
          <w:sz w:val="18"/>
          <w:szCs w:val="18"/>
          <w:lang w:val="fr-CA"/>
        </w:rPr>
        <w:t> </w:t>
      </w:r>
      <w:r w:rsidR="00402A2C" w:rsidRPr="00BD22C2">
        <w:rPr>
          <w:rFonts w:ascii="Arial" w:hAnsi="Arial" w:cs="Arial"/>
          <w:sz w:val="18"/>
          <w:szCs w:val="18"/>
          <w:lang w:val="fr-CA"/>
        </w:rPr>
        <w:t>Réassignation sexuelle des trans</w:t>
      </w:r>
      <w:r w:rsidR="0051216B" w:rsidRPr="00BD22C2">
        <w:rPr>
          <w:rFonts w:ascii="Arial" w:hAnsi="Arial" w:cs="Arial"/>
          <w:sz w:val="18"/>
          <w:szCs w:val="18"/>
          <w:lang w:val="fr-CA"/>
        </w:rPr>
        <w:t> </w:t>
      </w:r>
      <w:r w:rsidR="00402A2C" w:rsidRPr="00BD22C2">
        <w:rPr>
          <w:rFonts w:ascii="Arial" w:hAnsi="Arial" w:cs="Arial"/>
          <w:sz w:val="18"/>
          <w:szCs w:val="18"/>
          <w:lang w:val="fr-CA"/>
        </w:rPr>
        <w:t>: aucun enfant québécois n’a subi de changement de sexe depuis trois ans</w:t>
      </w:r>
      <w:r w:rsidR="0051216B" w:rsidRPr="00BD22C2">
        <w:rPr>
          <w:rFonts w:ascii="Arial" w:hAnsi="Arial" w:cs="Arial"/>
          <w:sz w:val="18"/>
          <w:szCs w:val="18"/>
          <w:lang w:val="fr-CA"/>
        </w:rPr>
        <w:t> </w:t>
      </w:r>
      <w:r w:rsidR="00402A2C" w:rsidRPr="00BD22C2">
        <w:rPr>
          <w:rFonts w:ascii="Arial" w:hAnsi="Arial" w:cs="Arial"/>
          <w:sz w:val="18"/>
          <w:szCs w:val="18"/>
          <w:lang w:val="fr-CA"/>
        </w:rPr>
        <w:t xml:space="preserve">», </w:t>
      </w:r>
      <w:r w:rsidR="00B00628" w:rsidRPr="00BD22C2">
        <w:rPr>
          <w:rFonts w:ascii="Arial" w:hAnsi="Arial" w:cs="Arial"/>
          <w:i/>
          <w:iCs/>
          <w:sz w:val="18"/>
          <w:szCs w:val="18"/>
          <w:lang w:val="fr-CA"/>
        </w:rPr>
        <w:t>Journal de Montréal</w:t>
      </w:r>
      <w:r w:rsidR="00B00628" w:rsidRPr="00BD22C2">
        <w:rPr>
          <w:rFonts w:ascii="Arial" w:hAnsi="Arial" w:cs="Arial"/>
          <w:sz w:val="18"/>
          <w:szCs w:val="18"/>
          <w:lang w:val="fr-CA"/>
        </w:rPr>
        <w:t xml:space="preserve">, </w:t>
      </w:r>
      <w:r w:rsidR="00756434" w:rsidRPr="00BD22C2">
        <w:rPr>
          <w:rFonts w:ascii="Arial" w:hAnsi="Arial" w:cs="Arial"/>
          <w:sz w:val="18"/>
          <w:szCs w:val="18"/>
          <w:lang w:val="fr-CA"/>
        </w:rPr>
        <w:t>26</w:t>
      </w:r>
      <w:r w:rsidR="00762FE8">
        <w:rPr>
          <w:rFonts w:ascii="Arial" w:hAnsi="Arial" w:cs="Arial"/>
          <w:sz w:val="18"/>
          <w:szCs w:val="18"/>
          <w:lang w:val="fr-CA"/>
        </w:rPr>
        <w:t> </w:t>
      </w:r>
      <w:r w:rsidR="00756434" w:rsidRPr="00BD22C2">
        <w:rPr>
          <w:rFonts w:ascii="Arial" w:hAnsi="Arial" w:cs="Arial"/>
          <w:sz w:val="18"/>
          <w:szCs w:val="18"/>
          <w:lang w:val="fr-CA"/>
        </w:rPr>
        <w:t xml:space="preserve">septembre </w:t>
      </w:r>
      <w:r w:rsidR="00ED5247" w:rsidRPr="00BD22C2">
        <w:rPr>
          <w:rFonts w:ascii="Arial" w:hAnsi="Arial" w:cs="Arial"/>
          <w:sz w:val="18"/>
          <w:szCs w:val="18"/>
          <w:lang w:val="fr-CA"/>
        </w:rPr>
        <w:t xml:space="preserve">2023, </w:t>
      </w:r>
      <w:r w:rsidR="00756434" w:rsidRPr="00BD22C2">
        <w:rPr>
          <w:rFonts w:ascii="Arial" w:hAnsi="Arial" w:cs="Arial"/>
          <w:sz w:val="18"/>
          <w:szCs w:val="18"/>
          <w:lang w:val="fr-CA"/>
        </w:rPr>
        <w:t>[E</w:t>
      </w:r>
      <w:r w:rsidR="00ED5247" w:rsidRPr="00BD22C2">
        <w:rPr>
          <w:rFonts w:ascii="Arial" w:hAnsi="Arial" w:cs="Arial"/>
          <w:sz w:val="18"/>
          <w:szCs w:val="18"/>
          <w:lang w:val="fr-CA"/>
        </w:rPr>
        <w:t>n ligne</w:t>
      </w:r>
      <w:r w:rsidR="00756434" w:rsidRPr="00BD22C2">
        <w:rPr>
          <w:rFonts w:ascii="Arial" w:hAnsi="Arial" w:cs="Arial"/>
          <w:sz w:val="18"/>
          <w:szCs w:val="18"/>
          <w:lang w:val="fr-CA"/>
        </w:rPr>
        <w:t>].</w:t>
      </w:r>
      <w:r w:rsidR="00ED5247" w:rsidRPr="00BD22C2">
        <w:rPr>
          <w:rFonts w:ascii="Arial" w:hAnsi="Arial" w:cs="Arial"/>
          <w:sz w:val="18"/>
          <w:szCs w:val="18"/>
          <w:lang w:val="fr-CA"/>
        </w:rPr>
        <w:t xml:space="preserve"> </w:t>
      </w:r>
      <w:r w:rsidR="003A341C">
        <w:fldChar w:fldCharType="begin"/>
      </w:r>
      <w:r w:rsidR="003A341C" w:rsidRPr="003E3312">
        <w:rPr>
          <w:lang w:val="fr-CA"/>
        </w:rPr>
        <w:instrText>HYPERLINK "https://www.journaldemontreal.com/2023/09/26/aucun-mineur-quebecois-na-subi-de-changement-de-sexe-depuis-trois-ans"</w:instrText>
      </w:r>
      <w:r w:rsidR="003A341C">
        <w:fldChar w:fldCharType="separate"/>
      </w:r>
      <w:r w:rsidR="003A341C" w:rsidRPr="0085310E">
        <w:rPr>
          <w:rStyle w:val="Lienhypertexte"/>
          <w:rFonts w:ascii="Arial" w:hAnsi="Arial" w:cs="Arial"/>
          <w:sz w:val="18"/>
          <w:szCs w:val="18"/>
        </w:rPr>
        <w:t>https://www.journaldemontreal.com/2023/09/26/aucun-mineur-quebecois-na-subi-de-changement-de-sexe-depuis-trois-ans</w:t>
      </w:r>
      <w:r w:rsidR="003A341C">
        <w:rPr>
          <w:rStyle w:val="Lienhypertexte"/>
          <w:rFonts w:ascii="Arial" w:hAnsi="Arial" w:cs="Arial"/>
          <w:sz w:val="18"/>
          <w:szCs w:val="18"/>
        </w:rPr>
        <w:fldChar w:fldCharType="end"/>
      </w:r>
      <w:r w:rsidR="003A341C" w:rsidRPr="0085310E">
        <w:rPr>
          <w:rFonts w:ascii="Arial" w:hAnsi="Arial" w:cs="Arial"/>
          <w:sz w:val="18"/>
          <w:szCs w:val="18"/>
        </w:rPr>
        <w:t xml:space="preserve"> </w:t>
      </w:r>
    </w:p>
  </w:endnote>
  <w:endnote w:id="364">
    <w:p w14:paraId="661ACA88" w14:textId="16787464" w:rsidR="00277DDD" w:rsidRPr="00BF2F7F" w:rsidRDefault="00277DDD" w:rsidP="00BF2F7F">
      <w:pPr>
        <w:pStyle w:val="Notedebasdepage"/>
      </w:pPr>
      <w:r>
        <w:rPr>
          <w:rStyle w:val="Appeldenotedefin"/>
        </w:rPr>
        <w:endnoteRef/>
      </w:r>
      <w:r w:rsidRPr="00277DDD">
        <w:t xml:space="preserve"> </w:t>
      </w:r>
      <w:r>
        <w:tab/>
      </w:r>
      <w:r w:rsidR="00DC1772">
        <w:t>Pour</w:t>
      </w:r>
      <w:r w:rsidR="003B10F9">
        <w:t xml:space="preserve"> les </w:t>
      </w:r>
      <w:r w:rsidR="003B10F9" w:rsidRPr="003B10F9">
        <w:t>239</w:t>
      </w:r>
      <w:r w:rsidR="00B32B61">
        <w:t> </w:t>
      </w:r>
      <w:r w:rsidR="003B10F9" w:rsidRPr="003B10F9">
        <w:t>enfants et adolescents reçus entre 2012 et 2022 à la Pitié-Salpêtrière</w:t>
      </w:r>
      <w:r w:rsidR="003B10F9">
        <w:t>,</w:t>
      </w:r>
      <w:r w:rsidR="00695504">
        <w:t xml:space="preserve"> </w:t>
      </w:r>
      <w:r w:rsidR="003B10F9">
        <w:t>une clinique spécialisée</w:t>
      </w:r>
      <w:r w:rsidR="00BF2F7F">
        <w:t xml:space="preserve"> </w:t>
      </w:r>
      <w:r w:rsidR="00695504">
        <w:t>en identité de genre</w:t>
      </w:r>
      <w:r w:rsidR="00DC1772">
        <w:t xml:space="preserve"> à Paris</w:t>
      </w:r>
      <w:r w:rsidR="00BF2F7F">
        <w:t>,</w:t>
      </w:r>
      <w:r w:rsidR="00695504">
        <w:t xml:space="preserve"> </w:t>
      </w:r>
      <w:r w:rsidR="00DC1772">
        <w:t xml:space="preserve">l’âge moyen de la première consultation </w:t>
      </w:r>
      <w:r w:rsidR="00966CDA">
        <w:t>est de 14,5</w:t>
      </w:r>
      <w:r w:rsidR="00B32B61">
        <w:t> </w:t>
      </w:r>
      <w:r w:rsidR="00966CDA">
        <w:t>ans. 11</w:t>
      </w:r>
      <w:r w:rsidR="00DA1935">
        <w:t> </w:t>
      </w:r>
      <w:r w:rsidR="00966CDA">
        <w:t xml:space="preserve">% </w:t>
      </w:r>
      <w:r w:rsidR="00EB12D0">
        <w:t xml:space="preserve">des jeunes qui ont atteint la puberté </w:t>
      </w:r>
      <w:r w:rsidR="00966CDA">
        <w:t>ont eu accès à des bloqueurs.</w:t>
      </w:r>
      <w:r w:rsidR="00BF2F7F">
        <w:t xml:space="preserve"> </w:t>
      </w:r>
      <w:r w:rsidR="005B32AC">
        <w:t>44</w:t>
      </w:r>
      <w:r w:rsidR="00DA1935">
        <w:t> </w:t>
      </w:r>
      <w:r w:rsidR="005B32AC">
        <w:t xml:space="preserve">% ont eu recours à des hormones dites masculinisantes ou féminisantes </w:t>
      </w:r>
      <w:r w:rsidR="008B2EE0">
        <w:t>à un âge moyen de 16,9</w:t>
      </w:r>
      <w:r w:rsidR="00B32B61">
        <w:t> </w:t>
      </w:r>
      <w:r w:rsidR="008B2EE0">
        <w:t xml:space="preserve">ans. </w:t>
      </w:r>
      <w:r w:rsidR="00A17E34">
        <w:t xml:space="preserve">30 jeunes </w:t>
      </w:r>
      <w:r w:rsidR="00355DBD">
        <w:t xml:space="preserve">mineurs au début de leurs démarches </w:t>
      </w:r>
      <w:r w:rsidR="00A17E34">
        <w:t>ont obtenu une mastectomie ou torsoplastie</w:t>
      </w:r>
      <w:r w:rsidR="00355DBD">
        <w:t>, et ce à un âge moyen de 18,44</w:t>
      </w:r>
      <w:r w:rsidR="00B32B61">
        <w:t> </w:t>
      </w:r>
      <w:r w:rsidR="00355DBD">
        <w:t>ans.</w:t>
      </w:r>
      <w:r w:rsidR="001806EF">
        <w:t xml:space="preserve"> Voir</w:t>
      </w:r>
      <w:r w:rsidR="00A17E34">
        <w:t xml:space="preserve"> </w:t>
      </w:r>
      <w:r>
        <w:rPr>
          <w:smallCaps/>
        </w:rPr>
        <w:t>Défenseur des droits</w:t>
      </w:r>
      <w:r>
        <w:t xml:space="preserve"> </w:t>
      </w:r>
      <w:r w:rsidR="0009516F">
        <w:t xml:space="preserve">– </w:t>
      </w:r>
      <w:r w:rsidR="00F31D93">
        <w:rPr>
          <w:smallCaps/>
        </w:rPr>
        <w:t>République française</w:t>
      </w:r>
      <w:r w:rsidR="0009516F">
        <w:rPr>
          <w:smallCaps/>
        </w:rPr>
        <w:t xml:space="preserve">, </w:t>
      </w:r>
      <w:r w:rsidR="002A1ED0">
        <w:t>préc., note</w:t>
      </w:r>
      <w:r w:rsidR="00CE1914">
        <w:t> </w:t>
      </w:r>
      <w:r w:rsidR="00FC6F07">
        <w:fldChar w:fldCharType="begin"/>
      </w:r>
      <w:r w:rsidR="00FC6F07">
        <w:instrText xml:space="preserve"> NOTEREF _Ref168652945 \h </w:instrText>
      </w:r>
      <w:r w:rsidR="00FC6F07">
        <w:fldChar w:fldCharType="separate"/>
      </w:r>
      <w:r w:rsidR="004B4881">
        <w:t>88</w:t>
      </w:r>
      <w:r w:rsidR="00FC6F07">
        <w:fldChar w:fldCharType="end"/>
      </w:r>
      <w:r w:rsidR="002A1ED0">
        <w:t>, p.</w:t>
      </w:r>
      <w:r w:rsidR="00CE1914">
        <w:t> </w:t>
      </w:r>
      <w:r w:rsidR="002A1ED0">
        <w:t>4</w:t>
      </w:r>
      <w:r w:rsidR="00166418">
        <w:t xml:space="preserve"> à </w:t>
      </w:r>
      <w:r w:rsidR="002A1ED0">
        <w:t>5</w:t>
      </w:r>
      <w:r w:rsidR="00FC6F07">
        <w:t>.</w:t>
      </w:r>
    </w:p>
  </w:endnote>
  <w:endnote w:id="365">
    <w:p w14:paraId="763C8563" w14:textId="630CBC16"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 xml:space="preserve">Protection de la jeunesse </w:t>
      </w:r>
      <w:r w:rsidR="0051216B" w:rsidRPr="00BD22C2">
        <w:rPr>
          <w:rFonts w:ascii="Arial" w:hAnsi="Arial" w:cs="Arial"/>
          <w:i/>
          <w:sz w:val="18"/>
          <w:szCs w:val="18"/>
          <w:lang w:val="fr-CA"/>
        </w:rPr>
        <w:t>—</w:t>
      </w:r>
      <w:r w:rsidRPr="00BD22C2">
        <w:rPr>
          <w:rFonts w:ascii="Arial" w:hAnsi="Arial" w:cs="Arial"/>
          <w:i/>
          <w:sz w:val="18"/>
          <w:szCs w:val="18"/>
          <w:lang w:val="fr-CA"/>
        </w:rPr>
        <w:t xml:space="preserve"> 0968</w:t>
      </w:r>
      <w:r w:rsidRPr="00BD22C2">
        <w:rPr>
          <w:rFonts w:ascii="Arial" w:hAnsi="Arial" w:cs="Arial"/>
          <w:sz w:val="18"/>
          <w:szCs w:val="18"/>
          <w:lang w:val="fr-CA"/>
        </w:rPr>
        <w:t>, 2009</w:t>
      </w:r>
      <w:r w:rsidR="00B32B61">
        <w:rPr>
          <w:rFonts w:ascii="Arial" w:hAnsi="Arial" w:cs="Arial"/>
          <w:sz w:val="18"/>
          <w:szCs w:val="18"/>
          <w:lang w:val="fr-CA"/>
        </w:rPr>
        <w:t> </w:t>
      </w:r>
      <w:r w:rsidRPr="00BD22C2">
        <w:rPr>
          <w:rFonts w:ascii="Arial" w:hAnsi="Arial" w:cs="Arial"/>
          <w:sz w:val="18"/>
          <w:szCs w:val="18"/>
          <w:lang w:val="fr-CA"/>
        </w:rPr>
        <w:t xml:space="preserve">QCCQ 3146, par. 35. </w:t>
      </w:r>
      <w:r w:rsidR="00190B39" w:rsidRPr="00BD22C2">
        <w:rPr>
          <w:rFonts w:ascii="Arial" w:hAnsi="Arial" w:cs="Arial"/>
          <w:sz w:val="18"/>
          <w:szCs w:val="18"/>
          <w:lang w:val="fr-CA"/>
        </w:rPr>
        <w:t>Voir de façon générale l’article de Joanne Clouet sur la question</w:t>
      </w:r>
      <w:r w:rsidR="00476E12">
        <w:rPr>
          <w:rFonts w:ascii="Arial" w:hAnsi="Arial" w:cs="Arial"/>
          <w:sz w:val="18"/>
          <w:szCs w:val="18"/>
          <w:lang w:val="fr-CA"/>
        </w:rPr>
        <w:t> :</w:t>
      </w:r>
      <w:r w:rsidR="00190B39" w:rsidRPr="00BD22C2">
        <w:rPr>
          <w:rFonts w:ascii="Arial" w:hAnsi="Arial" w:cs="Arial"/>
          <w:sz w:val="18"/>
          <w:szCs w:val="18"/>
          <w:lang w:val="fr-CA"/>
        </w:rPr>
        <w:t xml:space="preserve"> </w:t>
      </w:r>
      <w:r w:rsidR="00FE35C1" w:rsidRPr="00BD22C2">
        <w:rPr>
          <w:rFonts w:ascii="Arial" w:hAnsi="Arial" w:cs="Arial"/>
          <w:sz w:val="18"/>
          <w:szCs w:val="18"/>
          <w:lang w:val="fr-CA"/>
        </w:rPr>
        <w:t>Joanne Clouet,</w:t>
      </w:r>
      <w:r w:rsidR="00002297" w:rsidRPr="00BD22C2">
        <w:rPr>
          <w:rFonts w:ascii="Arial" w:hAnsi="Arial" w:cs="Arial"/>
          <w:sz w:val="18"/>
          <w:szCs w:val="18"/>
          <w:lang w:val="fr-CA"/>
        </w:rPr>
        <w:t xml:space="preserve"> «</w:t>
      </w:r>
      <w:r w:rsidR="00595E85">
        <w:rPr>
          <w:rFonts w:ascii="Arial" w:hAnsi="Arial" w:cs="Arial"/>
          <w:sz w:val="18"/>
          <w:szCs w:val="18"/>
          <w:lang w:val="fr-CA"/>
        </w:rPr>
        <w:t> </w:t>
      </w:r>
      <w:r w:rsidR="00002297" w:rsidRPr="00BD22C2">
        <w:rPr>
          <w:rFonts w:ascii="Arial" w:hAnsi="Arial" w:cs="Arial"/>
          <w:sz w:val="18"/>
          <w:szCs w:val="18"/>
          <w:lang w:val="fr-CA"/>
        </w:rPr>
        <w:t>Transition</w:t>
      </w:r>
      <w:r w:rsidR="00FE35C1" w:rsidRPr="00BD22C2">
        <w:rPr>
          <w:rFonts w:ascii="Arial" w:hAnsi="Arial" w:cs="Arial"/>
          <w:sz w:val="18"/>
          <w:szCs w:val="18"/>
          <w:lang w:val="fr-CA"/>
        </w:rPr>
        <w:t xml:space="preserve"> de genre : réflexion critique sur l’autonomie décisionnelle de l’enfant transgenre</w:t>
      </w:r>
      <w:r w:rsidR="00595E85">
        <w:rPr>
          <w:rFonts w:ascii="Arial" w:hAnsi="Arial" w:cs="Arial"/>
          <w:sz w:val="18"/>
          <w:szCs w:val="18"/>
          <w:lang w:val="fr-CA"/>
        </w:rPr>
        <w:t> </w:t>
      </w:r>
      <w:r w:rsidR="00C53BA3" w:rsidRPr="00BD22C2">
        <w:rPr>
          <w:rFonts w:ascii="Arial" w:hAnsi="Arial" w:cs="Arial"/>
          <w:sz w:val="18"/>
          <w:szCs w:val="18"/>
          <w:lang w:val="fr-CA"/>
        </w:rPr>
        <w:t>»</w:t>
      </w:r>
      <w:r w:rsidR="00FE35C1" w:rsidRPr="00BD22C2">
        <w:rPr>
          <w:rFonts w:ascii="Arial" w:hAnsi="Arial" w:cs="Arial"/>
          <w:sz w:val="18"/>
          <w:szCs w:val="18"/>
          <w:lang w:val="fr-CA"/>
        </w:rPr>
        <w:t>, (2022) 51</w:t>
      </w:r>
      <w:r w:rsidR="00B32B61">
        <w:rPr>
          <w:rFonts w:ascii="Arial" w:hAnsi="Arial" w:cs="Arial"/>
          <w:sz w:val="18"/>
          <w:szCs w:val="18"/>
          <w:lang w:val="fr-CA"/>
        </w:rPr>
        <w:t> </w:t>
      </w:r>
      <w:r w:rsidR="00FE35C1" w:rsidRPr="00BD22C2">
        <w:rPr>
          <w:rFonts w:ascii="Arial" w:hAnsi="Arial" w:cs="Arial"/>
          <w:sz w:val="18"/>
          <w:szCs w:val="18"/>
          <w:lang w:val="fr-CA"/>
        </w:rPr>
        <w:t>RDUS, 5.</w:t>
      </w:r>
    </w:p>
  </w:endnote>
  <w:endnote w:id="366">
    <w:p w14:paraId="7F148AAA" w14:textId="65B0EA4C" w:rsidR="00DF5721" w:rsidRPr="00BD22C2" w:rsidRDefault="00DF572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F2496" w:rsidRPr="00BD22C2">
        <w:rPr>
          <w:rFonts w:ascii="Arial" w:hAnsi="Arial" w:cs="Arial"/>
          <w:i/>
          <w:sz w:val="18"/>
          <w:szCs w:val="18"/>
          <w:lang w:val="fr-CA"/>
        </w:rPr>
        <w:t>Protection de la jeunesse</w:t>
      </w:r>
      <w:r w:rsidR="00CE1914">
        <w:rPr>
          <w:rFonts w:ascii="Arial" w:hAnsi="Arial" w:cs="Arial"/>
          <w:i/>
          <w:sz w:val="18"/>
          <w:szCs w:val="18"/>
          <w:lang w:val="fr-CA"/>
        </w:rPr>
        <w:t> </w:t>
      </w:r>
      <w:r w:rsidR="0051216B" w:rsidRPr="00BD22C2">
        <w:rPr>
          <w:rFonts w:ascii="Arial" w:hAnsi="Arial" w:cs="Arial"/>
          <w:i/>
          <w:sz w:val="18"/>
          <w:szCs w:val="18"/>
          <w:lang w:val="fr-CA"/>
        </w:rPr>
        <w:t>—</w:t>
      </w:r>
      <w:r w:rsidR="001F2496" w:rsidRPr="00BD22C2">
        <w:rPr>
          <w:rFonts w:ascii="Arial" w:hAnsi="Arial" w:cs="Arial"/>
          <w:i/>
          <w:sz w:val="18"/>
          <w:szCs w:val="18"/>
          <w:lang w:val="fr-CA"/>
        </w:rPr>
        <w:t xml:space="preserve"> 169</w:t>
      </w:r>
      <w:r w:rsidR="0051216B" w:rsidRPr="00BD22C2">
        <w:rPr>
          <w:rFonts w:ascii="Arial" w:hAnsi="Arial" w:cs="Arial"/>
          <w:i/>
          <w:sz w:val="18"/>
          <w:szCs w:val="18"/>
          <w:lang w:val="fr-CA"/>
        </w:rPr>
        <w:t> </w:t>
      </w:r>
      <w:r w:rsidR="001F2496" w:rsidRPr="00BD22C2">
        <w:rPr>
          <w:rFonts w:ascii="Arial" w:hAnsi="Arial" w:cs="Arial"/>
          <w:i/>
          <w:sz w:val="18"/>
          <w:szCs w:val="18"/>
          <w:lang w:val="fr-CA"/>
        </w:rPr>
        <w:t>531</w:t>
      </w:r>
      <w:r w:rsidR="001F2496" w:rsidRPr="00BD22C2">
        <w:rPr>
          <w:rFonts w:ascii="Arial" w:hAnsi="Arial" w:cs="Arial"/>
          <w:sz w:val="18"/>
          <w:szCs w:val="18"/>
          <w:lang w:val="fr-CA"/>
        </w:rPr>
        <w:t xml:space="preserve">, 2016 QCCQ 18661, </w:t>
      </w:r>
      <w:r w:rsidR="00C33289" w:rsidRPr="00BD22C2">
        <w:rPr>
          <w:rFonts w:ascii="Arial" w:hAnsi="Arial" w:cs="Arial"/>
          <w:sz w:val="18"/>
          <w:szCs w:val="18"/>
          <w:lang w:val="fr-CA"/>
        </w:rPr>
        <w:t>par. 10 et 26</w:t>
      </w:r>
      <w:r w:rsidR="001F2496" w:rsidRPr="00BD22C2">
        <w:rPr>
          <w:rFonts w:ascii="Arial" w:hAnsi="Arial" w:cs="Arial"/>
          <w:i/>
          <w:sz w:val="18"/>
          <w:szCs w:val="18"/>
          <w:lang w:val="fr-CA"/>
        </w:rPr>
        <w:t>, Protection de la jeunesse</w:t>
      </w:r>
      <w:r w:rsidR="00CE1914">
        <w:rPr>
          <w:rFonts w:ascii="Arial" w:hAnsi="Arial" w:cs="Arial"/>
          <w:i/>
          <w:sz w:val="18"/>
          <w:szCs w:val="18"/>
          <w:lang w:val="fr-CA"/>
        </w:rPr>
        <w:t> </w:t>
      </w:r>
      <w:r w:rsidR="0051216B" w:rsidRPr="00BD22C2">
        <w:rPr>
          <w:rFonts w:ascii="Arial" w:hAnsi="Arial" w:cs="Arial"/>
          <w:i/>
          <w:sz w:val="18"/>
          <w:szCs w:val="18"/>
          <w:lang w:val="fr-CA"/>
        </w:rPr>
        <w:t>—</w:t>
      </w:r>
      <w:r w:rsidR="001F2496" w:rsidRPr="00BD22C2">
        <w:rPr>
          <w:rFonts w:ascii="Arial" w:hAnsi="Arial" w:cs="Arial"/>
          <w:i/>
          <w:sz w:val="18"/>
          <w:szCs w:val="18"/>
          <w:lang w:val="fr-CA"/>
        </w:rPr>
        <w:t xml:space="preserve"> 179</w:t>
      </w:r>
      <w:r w:rsidR="0051216B" w:rsidRPr="00BD22C2">
        <w:rPr>
          <w:rFonts w:ascii="Arial" w:hAnsi="Arial" w:cs="Arial"/>
          <w:i/>
          <w:sz w:val="18"/>
          <w:szCs w:val="18"/>
          <w:lang w:val="fr-CA"/>
        </w:rPr>
        <w:t> </w:t>
      </w:r>
      <w:r w:rsidR="001F2496" w:rsidRPr="00BD22C2">
        <w:rPr>
          <w:rFonts w:ascii="Arial" w:hAnsi="Arial" w:cs="Arial"/>
          <w:i/>
          <w:sz w:val="18"/>
          <w:szCs w:val="18"/>
          <w:lang w:val="fr-CA"/>
        </w:rPr>
        <w:t>704</w:t>
      </w:r>
      <w:r w:rsidR="001F2496" w:rsidRPr="00BD22C2">
        <w:rPr>
          <w:rFonts w:ascii="Arial" w:hAnsi="Arial" w:cs="Arial"/>
          <w:sz w:val="18"/>
          <w:szCs w:val="18"/>
          <w:lang w:val="fr-CA"/>
        </w:rPr>
        <w:t xml:space="preserve">, </w:t>
      </w:r>
      <w:r w:rsidR="009D5478" w:rsidRPr="00BD22C2">
        <w:rPr>
          <w:rFonts w:ascii="Arial" w:hAnsi="Arial" w:cs="Arial"/>
          <w:sz w:val="18"/>
          <w:szCs w:val="18"/>
          <w:lang w:val="fr-CA"/>
        </w:rPr>
        <w:t xml:space="preserve">préc., </w:t>
      </w:r>
      <w:r w:rsidR="008B7204" w:rsidRPr="00BD22C2">
        <w:rPr>
          <w:rFonts w:ascii="Arial" w:hAnsi="Arial" w:cs="Arial"/>
          <w:sz w:val="18"/>
          <w:szCs w:val="18"/>
          <w:lang w:val="fr-CA"/>
        </w:rPr>
        <w:t>note 300</w:t>
      </w:r>
      <w:r w:rsidR="001F2496" w:rsidRPr="00BD22C2">
        <w:rPr>
          <w:rFonts w:ascii="Arial" w:hAnsi="Arial" w:cs="Arial"/>
          <w:sz w:val="18"/>
          <w:szCs w:val="18"/>
          <w:lang w:val="fr-CA"/>
        </w:rPr>
        <w:t xml:space="preserve">, </w:t>
      </w:r>
      <w:r w:rsidR="00C33289" w:rsidRPr="00BD22C2">
        <w:rPr>
          <w:rFonts w:ascii="Arial" w:hAnsi="Arial" w:cs="Arial"/>
          <w:sz w:val="18"/>
          <w:szCs w:val="18"/>
          <w:lang w:val="fr-CA"/>
        </w:rPr>
        <w:t>par 13</w:t>
      </w:r>
      <w:r w:rsidR="001F2496" w:rsidRPr="00BD22C2">
        <w:rPr>
          <w:rFonts w:ascii="Arial" w:hAnsi="Arial" w:cs="Arial"/>
          <w:sz w:val="18"/>
          <w:szCs w:val="18"/>
          <w:lang w:val="fr-CA"/>
        </w:rPr>
        <w:t xml:space="preserve">, </w:t>
      </w:r>
      <w:r w:rsidR="001F2496" w:rsidRPr="00BD22C2">
        <w:rPr>
          <w:rFonts w:ascii="Arial" w:hAnsi="Arial" w:cs="Arial"/>
          <w:i/>
          <w:sz w:val="18"/>
          <w:szCs w:val="18"/>
          <w:lang w:val="fr-CA"/>
        </w:rPr>
        <w:t>Protection de la jeunesse — 0968</w:t>
      </w:r>
      <w:r w:rsidR="001F2496" w:rsidRPr="00BD22C2">
        <w:rPr>
          <w:rFonts w:ascii="Arial" w:hAnsi="Arial" w:cs="Arial"/>
          <w:sz w:val="18"/>
          <w:szCs w:val="18"/>
          <w:lang w:val="fr-CA"/>
        </w:rPr>
        <w:t xml:space="preserve">, </w:t>
      </w:r>
      <w:r w:rsidR="00997F08" w:rsidRPr="00BD22C2">
        <w:rPr>
          <w:rFonts w:ascii="Arial" w:hAnsi="Arial" w:cs="Arial"/>
          <w:i/>
          <w:iCs/>
          <w:sz w:val="18"/>
          <w:szCs w:val="18"/>
          <w:lang w:val="fr-CA"/>
        </w:rPr>
        <w:t>id.</w:t>
      </w:r>
      <w:r w:rsidR="00C33289" w:rsidRPr="00BD22C2">
        <w:rPr>
          <w:rFonts w:ascii="Arial" w:hAnsi="Arial" w:cs="Arial"/>
          <w:sz w:val="18"/>
          <w:szCs w:val="18"/>
          <w:lang w:val="fr-CA"/>
        </w:rPr>
        <w:t xml:space="preserve">, par. </w:t>
      </w:r>
      <w:r w:rsidR="00251A82" w:rsidRPr="00BD22C2">
        <w:rPr>
          <w:rFonts w:ascii="Arial" w:hAnsi="Arial" w:cs="Arial"/>
          <w:sz w:val="18"/>
          <w:szCs w:val="18"/>
          <w:lang w:val="fr-CA"/>
        </w:rPr>
        <w:t>36</w:t>
      </w:r>
      <w:r w:rsidR="00C53BA3" w:rsidRPr="00BD22C2">
        <w:rPr>
          <w:rFonts w:ascii="Arial" w:hAnsi="Arial" w:cs="Arial"/>
          <w:sz w:val="18"/>
          <w:szCs w:val="18"/>
          <w:lang w:val="fr-CA"/>
        </w:rPr>
        <w:t>.</w:t>
      </w:r>
      <w:r w:rsidRPr="00BD22C2">
        <w:rPr>
          <w:rFonts w:ascii="Arial" w:hAnsi="Arial" w:cs="Arial"/>
          <w:sz w:val="18"/>
          <w:szCs w:val="18"/>
          <w:lang w:val="fr-CA"/>
        </w:rPr>
        <w:t xml:space="preserve"> </w:t>
      </w:r>
    </w:p>
  </w:endnote>
  <w:endnote w:id="367">
    <w:p w14:paraId="2F12EDED" w14:textId="67A87694" w:rsidR="00AA4C37" w:rsidRPr="00BD22C2" w:rsidRDefault="00AA4C3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 xml:space="preserve">Protection de la jeunesse </w:t>
      </w:r>
      <w:r w:rsidR="0051216B" w:rsidRPr="00BD22C2">
        <w:rPr>
          <w:rFonts w:ascii="Arial" w:hAnsi="Arial" w:cs="Arial"/>
          <w:i/>
          <w:sz w:val="18"/>
          <w:szCs w:val="18"/>
          <w:lang w:val="fr-CA"/>
        </w:rPr>
        <w:t>—</w:t>
      </w:r>
      <w:r w:rsidRPr="00BD22C2">
        <w:rPr>
          <w:rFonts w:ascii="Arial" w:hAnsi="Arial" w:cs="Arial"/>
          <w:i/>
          <w:sz w:val="18"/>
          <w:szCs w:val="18"/>
          <w:lang w:val="fr-CA"/>
        </w:rPr>
        <w:t xml:space="preserve"> 0968</w:t>
      </w:r>
      <w:r w:rsidRPr="00BD22C2">
        <w:rPr>
          <w:rFonts w:ascii="Arial" w:hAnsi="Arial" w:cs="Arial"/>
          <w:sz w:val="18"/>
          <w:szCs w:val="18"/>
          <w:lang w:val="fr-CA"/>
        </w:rPr>
        <w:t xml:space="preserve">, </w:t>
      </w:r>
      <w:r w:rsidR="00997F08" w:rsidRPr="00BD22C2">
        <w:rPr>
          <w:rFonts w:ascii="Arial" w:hAnsi="Arial" w:cs="Arial"/>
          <w:i/>
          <w:iCs/>
          <w:sz w:val="18"/>
          <w:szCs w:val="18"/>
          <w:lang w:val="fr-CA"/>
        </w:rPr>
        <w:t>id</w:t>
      </w:r>
      <w:r w:rsidR="00997F08" w:rsidRPr="00BD22C2">
        <w:rPr>
          <w:rFonts w:ascii="Arial" w:hAnsi="Arial" w:cs="Arial"/>
          <w:sz w:val="18"/>
          <w:szCs w:val="18"/>
          <w:lang w:val="fr-CA"/>
        </w:rPr>
        <w:t>.</w:t>
      </w:r>
      <w:r w:rsidRPr="00BD22C2">
        <w:rPr>
          <w:rFonts w:ascii="Arial" w:hAnsi="Arial" w:cs="Arial"/>
          <w:sz w:val="18"/>
          <w:szCs w:val="18"/>
          <w:lang w:val="fr-CA"/>
        </w:rPr>
        <w:t>, par. 36</w:t>
      </w:r>
      <w:r w:rsidR="00B41D67" w:rsidRPr="00BD22C2">
        <w:rPr>
          <w:rFonts w:ascii="Arial" w:hAnsi="Arial" w:cs="Arial"/>
          <w:sz w:val="18"/>
          <w:szCs w:val="18"/>
          <w:lang w:val="fr-CA"/>
        </w:rPr>
        <w:t> </w:t>
      </w:r>
      <w:r w:rsidR="002E47E6" w:rsidRPr="00BD22C2">
        <w:rPr>
          <w:rFonts w:ascii="Arial" w:hAnsi="Arial" w:cs="Arial"/>
          <w:sz w:val="18"/>
          <w:szCs w:val="18"/>
          <w:lang w:val="fr-CA"/>
        </w:rPr>
        <w:t xml:space="preserve">; </w:t>
      </w:r>
      <w:r w:rsidR="002E47E6" w:rsidRPr="00BD22C2">
        <w:rPr>
          <w:rFonts w:ascii="Arial" w:hAnsi="Arial" w:cs="Arial"/>
          <w:i/>
          <w:sz w:val="18"/>
          <w:szCs w:val="18"/>
          <w:lang w:val="fr-CA"/>
        </w:rPr>
        <w:t>Droit de la famille – 18 294</w:t>
      </w:r>
      <w:r w:rsidR="002E47E6" w:rsidRPr="00BD22C2">
        <w:rPr>
          <w:rFonts w:ascii="Arial" w:hAnsi="Arial" w:cs="Arial"/>
          <w:sz w:val="18"/>
          <w:szCs w:val="18"/>
          <w:lang w:val="fr-CA"/>
        </w:rPr>
        <w:t>, 2018</w:t>
      </w:r>
      <w:r w:rsidR="00B32B61">
        <w:rPr>
          <w:rFonts w:ascii="Arial" w:hAnsi="Arial" w:cs="Arial"/>
          <w:sz w:val="18"/>
          <w:szCs w:val="18"/>
          <w:lang w:val="fr-CA"/>
        </w:rPr>
        <w:t> </w:t>
      </w:r>
      <w:r w:rsidR="002E47E6" w:rsidRPr="00BD22C2">
        <w:rPr>
          <w:rFonts w:ascii="Arial" w:hAnsi="Arial" w:cs="Arial"/>
          <w:sz w:val="18"/>
          <w:szCs w:val="18"/>
          <w:lang w:val="fr-CA"/>
        </w:rPr>
        <w:t>QCCS 554, par. 77</w:t>
      </w:r>
      <w:r w:rsidR="0044091D" w:rsidRPr="00BD22C2">
        <w:rPr>
          <w:rFonts w:ascii="Arial" w:hAnsi="Arial" w:cs="Arial"/>
          <w:sz w:val="18"/>
          <w:szCs w:val="18"/>
          <w:lang w:val="fr-CA"/>
        </w:rPr>
        <w:t>.</w:t>
      </w:r>
      <w:r w:rsidR="002E47E6" w:rsidRPr="00BD22C2">
        <w:rPr>
          <w:rFonts w:ascii="Arial" w:hAnsi="Arial" w:cs="Arial"/>
          <w:sz w:val="18"/>
          <w:szCs w:val="18"/>
          <w:lang w:val="fr-CA"/>
        </w:rPr>
        <w:t xml:space="preserve"> </w:t>
      </w:r>
      <w:r w:rsidR="0044091D" w:rsidRPr="00BD22C2">
        <w:rPr>
          <w:rFonts w:ascii="Arial" w:hAnsi="Arial" w:cs="Arial"/>
          <w:sz w:val="18"/>
          <w:szCs w:val="18"/>
          <w:lang w:val="fr-CA"/>
        </w:rPr>
        <w:t xml:space="preserve">D’autre décisions démontrent également le caractère incertain des dispositions applicables, comme c’est le cas dans </w:t>
      </w:r>
      <w:r w:rsidR="0044091D" w:rsidRPr="00BD22C2">
        <w:rPr>
          <w:rFonts w:ascii="Arial" w:hAnsi="Arial" w:cs="Arial"/>
          <w:i/>
          <w:sz w:val="18"/>
          <w:szCs w:val="18"/>
          <w:lang w:val="fr-CA"/>
        </w:rPr>
        <w:t>Protection de la jeunesse – 17 990</w:t>
      </w:r>
      <w:r w:rsidR="0044091D" w:rsidRPr="00BD22C2">
        <w:rPr>
          <w:rFonts w:ascii="Arial" w:hAnsi="Arial" w:cs="Arial"/>
          <w:sz w:val="18"/>
          <w:szCs w:val="18"/>
          <w:lang w:val="fr-CA"/>
        </w:rPr>
        <w:t>, 2017</w:t>
      </w:r>
      <w:r w:rsidR="00B32B61">
        <w:rPr>
          <w:rFonts w:ascii="Arial" w:hAnsi="Arial" w:cs="Arial"/>
          <w:sz w:val="18"/>
          <w:szCs w:val="18"/>
          <w:lang w:val="fr-CA"/>
        </w:rPr>
        <w:t> </w:t>
      </w:r>
      <w:r w:rsidR="0044091D" w:rsidRPr="00BD22C2">
        <w:rPr>
          <w:rFonts w:ascii="Arial" w:hAnsi="Arial" w:cs="Arial"/>
          <w:sz w:val="18"/>
          <w:szCs w:val="18"/>
          <w:lang w:val="fr-CA"/>
        </w:rPr>
        <w:t>QCCQ 2911. Dans cette décision, une personne de 17</w:t>
      </w:r>
      <w:r w:rsidR="00B32B61">
        <w:rPr>
          <w:rFonts w:ascii="Arial" w:hAnsi="Arial" w:cs="Arial"/>
          <w:sz w:val="18"/>
          <w:szCs w:val="18"/>
          <w:lang w:val="fr-CA"/>
        </w:rPr>
        <w:t> </w:t>
      </w:r>
      <w:r w:rsidR="0044091D" w:rsidRPr="00BD22C2">
        <w:rPr>
          <w:rFonts w:ascii="Arial" w:hAnsi="Arial" w:cs="Arial"/>
          <w:sz w:val="18"/>
          <w:szCs w:val="18"/>
          <w:lang w:val="fr-CA"/>
        </w:rPr>
        <w:t xml:space="preserve">ans suivie en protection de la jeunesse en raison de conflits engendrés avec ses parents en lien avec son désir de changer d’identité de genre voulait entreprendre un traitement d’hormonothérapie. Les deux juges s’étant penchés sur la question ont recommandé fortement que la mère, l’intervenante au dossier et la personne adolescente soient entendues par un comité d’éthique. Le tribunal réitère la recommandation du juge Jean Lebel dans </w:t>
      </w:r>
      <w:r w:rsidR="0044091D" w:rsidRPr="00BD22C2">
        <w:rPr>
          <w:rFonts w:ascii="Arial" w:hAnsi="Arial" w:cs="Arial"/>
          <w:i/>
          <w:sz w:val="18"/>
          <w:szCs w:val="18"/>
          <w:lang w:val="fr-CA"/>
        </w:rPr>
        <w:t>Protection de la jeunesse — 164 550</w:t>
      </w:r>
      <w:r w:rsidR="0044091D" w:rsidRPr="00BD22C2">
        <w:rPr>
          <w:rFonts w:ascii="Arial" w:hAnsi="Arial" w:cs="Arial"/>
          <w:sz w:val="18"/>
          <w:szCs w:val="18"/>
          <w:lang w:val="fr-CA"/>
        </w:rPr>
        <w:t xml:space="preserve">, 2016 QCCQ 11 019 et </w:t>
      </w:r>
      <w:r w:rsidR="0044091D" w:rsidRPr="00BD22C2">
        <w:rPr>
          <w:rFonts w:ascii="Arial" w:hAnsi="Arial" w:cs="Arial"/>
          <w:i/>
          <w:sz w:val="18"/>
          <w:szCs w:val="18"/>
          <w:lang w:val="fr-CA"/>
        </w:rPr>
        <w:t>Protection de la jeunesse — 17 990</w:t>
      </w:r>
      <w:r w:rsidR="0044091D" w:rsidRPr="00BD22C2">
        <w:rPr>
          <w:rFonts w:ascii="Arial" w:hAnsi="Arial" w:cs="Arial"/>
          <w:sz w:val="18"/>
          <w:szCs w:val="18"/>
          <w:lang w:val="fr-CA"/>
        </w:rPr>
        <w:t xml:space="preserve">, </w:t>
      </w:r>
      <w:r w:rsidR="009552CC" w:rsidRPr="00BD22C2">
        <w:rPr>
          <w:rFonts w:ascii="Arial" w:hAnsi="Arial" w:cs="Arial"/>
          <w:i/>
          <w:iCs/>
          <w:sz w:val="18"/>
          <w:szCs w:val="18"/>
          <w:lang w:val="fr-CA"/>
        </w:rPr>
        <w:t>id</w:t>
      </w:r>
      <w:r w:rsidR="009552CC" w:rsidRPr="00BD22C2">
        <w:rPr>
          <w:rFonts w:ascii="Arial" w:hAnsi="Arial" w:cs="Arial"/>
          <w:sz w:val="18"/>
          <w:szCs w:val="18"/>
          <w:lang w:val="fr-CA"/>
        </w:rPr>
        <w:t>.</w:t>
      </w:r>
      <w:r w:rsidR="0044091D" w:rsidRPr="00BD22C2">
        <w:rPr>
          <w:rFonts w:ascii="Arial" w:hAnsi="Arial" w:cs="Arial"/>
          <w:sz w:val="18"/>
          <w:szCs w:val="18"/>
          <w:lang w:val="fr-CA"/>
        </w:rPr>
        <w:t>, par. 6 et 22.</w:t>
      </w:r>
    </w:p>
  </w:endnote>
  <w:endnote w:id="368">
    <w:p w14:paraId="5F37487C" w14:textId="739D87BD" w:rsidR="00C655F9" w:rsidRPr="00BD22C2" w:rsidRDefault="00C655F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 xml:space="preserve">Protection de la jeunesse </w:t>
      </w:r>
      <w:r w:rsidR="0051216B" w:rsidRPr="00BD22C2">
        <w:rPr>
          <w:rFonts w:ascii="Arial" w:hAnsi="Arial" w:cs="Arial"/>
          <w:i/>
          <w:sz w:val="18"/>
          <w:szCs w:val="18"/>
          <w:lang w:val="fr-CA"/>
        </w:rPr>
        <w:t>—</w:t>
      </w:r>
      <w:r w:rsidRPr="00BD22C2">
        <w:rPr>
          <w:rFonts w:ascii="Arial" w:hAnsi="Arial" w:cs="Arial"/>
          <w:i/>
          <w:sz w:val="18"/>
          <w:szCs w:val="18"/>
          <w:lang w:val="fr-CA"/>
        </w:rPr>
        <w:t xml:space="preserve"> 0968</w:t>
      </w:r>
      <w:r w:rsidRPr="00BD22C2">
        <w:rPr>
          <w:rFonts w:ascii="Arial" w:hAnsi="Arial" w:cs="Arial"/>
          <w:sz w:val="18"/>
          <w:szCs w:val="18"/>
          <w:lang w:val="fr-CA"/>
        </w:rPr>
        <w:t xml:space="preserve">, </w:t>
      </w:r>
      <w:r w:rsidR="00306525" w:rsidRPr="00BD22C2">
        <w:rPr>
          <w:rFonts w:ascii="Arial" w:hAnsi="Arial" w:cs="Arial"/>
          <w:i/>
          <w:iCs/>
          <w:sz w:val="18"/>
          <w:szCs w:val="18"/>
          <w:lang w:val="fr-CA"/>
        </w:rPr>
        <w:t>id</w:t>
      </w:r>
      <w:r w:rsidR="00306525" w:rsidRPr="00BD22C2">
        <w:rPr>
          <w:rFonts w:ascii="Arial" w:hAnsi="Arial" w:cs="Arial"/>
          <w:sz w:val="18"/>
          <w:szCs w:val="18"/>
          <w:lang w:val="fr-CA"/>
        </w:rPr>
        <w:t>.</w:t>
      </w:r>
      <w:r w:rsidR="00762C26"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 xml:space="preserve">Protection de la jeunesse </w:t>
      </w:r>
      <w:r w:rsidR="0051216B" w:rsidRPr="00BD22C2">
        <w:rPr>
          <w:rFonts w:ascii="Arial" w:hAnsi="Arial" w:cs="Arial"/>
          <w:i/>
          <w:sz w:val="18"/>
          <w:szCs w:val="18"/>
          <w:lang w:val="fr-CA"/>
        </w:rPr>
        <w:t>—</w:t>
      </w:r>
      <w:r w:rsidRPr="00BD22C2">
        <w:rPr>
          <w:rFonts w:ascii="Arial" w:hAnsi="Arial" w:cs="Arial"/>
          <w:i/>
          <w:sz w:val="18"/>
          <w:szCs w:val="18"/>
          <w:lang w:val="fr-CA"/>
        </w:rPr>
        <w:t xml:space="preserve"> 17</w:t>
      </w:r>
      <w:r w:rsidR="0051216B" w:rsidRPr="00BD22C2">
        <w:rPr>
          <w:rFonts w:ascii="Arial" w:hAnsi="Arial" w:cs="Arial"/>
          <w:i/>
          <w:sz w:val="18"/>
          <w:szCs w:val="18"/>
          <w:lang w:val="fr-CA"/>
        </w:rPr>
        <w:t> </w:t>
      </w:r>
      <w:r w:rsidRPr="00BD22C2">
        <w:rPr>
          <w:rFonts w:ascii="Arial" w:hAnsi="Arial" w:cs="Arial"/>
          <w:i/>
          <w:sz w:val="18"/>
          <w:szCs w:val="18"/>
          <w:lang w:val="fr-CA"/>
        </w:rPr>
        <w:t>990</w:t>
      </w:r>
      <w:r w:rsidRPr="00BD22C2">
        <w:rPr>
          <w:rFonts w:ascii="Arial" w:hAnsi="Arial" w:cs="Arial"/>
          <w:sz w:val="18"/>
          <w:szCs w:val="18"/>
          <w:lang w:val="fr-CA"/>
        </w:rPr>
        <w:t xml:space="preserve">, </w:t>
      </w:r>
      <w:r w:rsidR="009552CC" w:rsidRPr="00BD22C2">
        <w:rPr>
          <w:rFonts w:ascii="Arial" w:hAnsi="Arial" w:cs="Arial"/>
          <w:i/>
          <w:iCs/>
          <w:sz w:val="18"/>
          <w:szCs w:val="18"/>
          <w:lang w:val="fr-CA"/>
        </w:rPr>
        <w:t>id</w:t>
      </w:r>
      <w:r w:rsidR="009552CC" w:rsidRPr="00BD22C2">
        <w:rPr>
          <w:rFonts w:ascii="Arial" w:hAnsi="Arial" w:cs="Arial"/>
          <w:sz w:val="18"/>
          <w:szCs w:val="18"/>
          <w:lang w:val="fr-CA"/>
        </w:rPr>
        <w:t>.</w:t>
      </w:r>
      <w:r w:rsidRPr="00BD22C2">
        <w:rPr>
          <w:rFonts w:ascii="Arial" w:hAnsi="Arial" w:cs="Arial"/>
          <w:sz w:val="18"/>
          <w:szCs w:val="18"/>
          <w:lang w:val="fr-CA"/>
        </w:rPr>
        <w:t xml:space="preserve"> (le tribunal réfère </w:t>
      </w:r>
      <w:r w:rsidR="00BD6E3A" w:rsidRPr="00BD22C2">
        <w:rPr>
          <w:rFonts w:ascii="Arial" w:hAnsi="Arial" w:cs="Arial"/>
          <w:sz w:val="18"/>
          <w:szCs w:val="18"/>
          <w:lang w:val="fr-CA"/>
        </w:rPr>
        <w:t>au</w:t>
      </w:r>
      <w:r w:rsidRPr="00BD22C2">
        <w:rPr>
          <w:rFonts w:ascii="Arial" w:hAnsi="Arial" w:cs="Arial"/>
          <w:sz w:val="18"/>
          <w:szCs w:val="18"/>
          <w:lang w:val="fr-CA"/>
        </w:rPr>
        <w:t xml:space="preserve"> droit d’être entendue</w:t>
      </w:r>
      <w:r w:rsidR="00BD6E3A" w:rsidRPr="00BD22C2">
        <w:rPr>
          <w:rFonts w:ascii="Arial" w:hAnsi="Arial" w:cs="Arial"/>
          <w:sz w:val="18"/>
          <w:szCs w:val="18"/>
          <w:lang w:val="fr-CA"/>
        </w:rPr>
        <w:t>,</w:t>
      </w:r>
      <w:r w:rsidRPr="00BD22C2">
        <w:rPr>
          <w:rFonts w:ascii="Arial" w:hAnsi="Arial" w:cs="Arial"/>
          <w:sz w:val="18"/>
          <w:szCs w:val="18"/>
          <w:lang w:val="fr-CA"/>
        </w:rPr>
        <w:t xml:space="preserve"> considérant que la démarche entreprise par l’adolescente est importante et irréversible</w:t>
      </w:r>
      <w:r w:rsidR="00BD6E3A" w:rsidRPr="00BD22C2">
        <w:rPr>
          <w:rFonts w:ascii="Arial" w:hAnsi="Arial" w:cs="Arial"/>
          <w:sz w:val="18"/>
          <w:szCs w:val="18"/>
          <w:lang w:val="fr-CA"/>
        </w:rPr>
        <w:t>, mais pas au caractère requis de son consentement</w:t>
      </w:r>
      <w:r w:rsidRPr="00BD22C2">
        <w:rPr>
          <w:rFonts w:ascii="Arial" w:hAnsi="Arial" w:cs="Arial"/>
          <w:sz w:val="18"/>
          <w:szCs w:val="18"/>
          <w:lang w:val="fr-CA"/>
        </w:rPr>
        <w:t>)</w:t>
      </w:r>
      <w:r w:rsidR="00762C26"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 xml:space="preserve">Droit de la famille </w:t>
      </w:r>
      <w:r w:rsidR="0051216B" w:rsidRPr="00BD22C2">
        <w:rPr>
          <w:rFonts w:ascii="Arial" w:hAnsi="Arial" w:cs="Arial"/>
          <w:i/>
          <w:sz w:val="18"/>
          <w:szCs w:val="18"/>
          <w:lang w:val="fr-CA"/>
        </w:rPr>
        <w:t>—</w:t>
      </w:r>
      <w:r w:rsidRPr="00BD22C2">
        <w:rPr>
          <w:rFonts w:ascii="Arial" w:hAnsi="Arial" w:cs="Arial"/>
          <w:i/>
          <w:sz w:val="18"/>
          <w:szCs w:val="18"/>
          <w:lang w:val="fr-CA"/>
        </w:rPr>
        <w:t xml:space="preserve"> 18</w:t>
      </w:r>
      <w:r w:rsidR="0051216B" w:rsidRPr="00BD22C2">
        <w:rPr>
          <w:rFonts w:ascii="Arial" w:hAnsi="Arial" w:cs="Arial"/>
          <w:i/>
          <w:sz w:val="18"/>
          <w:szCs w:val="18"/>
          <w:lang w:val="fr-CA"/>
        </w:rPr>
        <w:t> </w:t>
      </w:r>
      <w:r w:rsidRPr="00BD22C2">
        <w:rPr>
          <w:rFonts w:ascii="Arial" w:hAnsi="Arial" w:cs="Arial"/>
          <w:i/>
          <w:sz w:val="18"/>
          <w:szCs w:val="18"/>
          <w:lang w:val="fr-CA"/>
        </w:rPr>
        <w:t>294</w:t>
      </w:r>
      <w:r w:rsidR="00C53BA3" w:rsidRPr="00BD22C2">
        <w:rPr>
          <w:rFonts w:ascii="Arial" w:hAnsi="Arial" w:cs="Arial"/>
          <w:sz w:val="18"/>
          <w:szCs w:val="18"/>
          <w:lang w:val="fr-CA"/>
        </w:rPr>
        <w:t>,</w:t>
      </w:r>
      <w:r w:rsidRPr="00BD22C2">
        <w:rPr>
          <w:rFonts w:ascii="Arial" w:hAnsi="Arial" w:cs="Arial"/>
          <w:sz w:val="18"/>
          <w:szCs w:val="18"/>
          <w:lang w:val="fr-CA"/>
        </w:rPr>
        <w:t xml:space="preserve"> </w:t>
      </w:r>
      <w:r w:rsidR="00A47D0F" w:rsidRPr="00BD22C2">
        <w:rPr>
          <w:rFonts w:ascii="Arial" w:hAnsi="Arial" w:cs="Arial"/>
          <w:sz w:val="18"/>
          <w:szCs w:val="18"/>
          <w:lang w:val="fr-CA"/>
        </w:rPr>
        <w:t>id.</w:t>
      </w:r>
      <w:r w:rsidR="00762C26" w:rsidRPr="00BD22C2">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 xml:space="preserve">Protection de la jeunesse </w:t>
      </w:r>
      <w:r w:rsidR="0051216B" w:rsidRPr="00BD22C2">
        <w:rPr>
          <w:rFonts w:ascii="Arial" w:hAnsi="Arial" w:cs="Arial"/>
          <w:i/>
          <w:sz w:val="18"/>
          <w:szCs w:val="18"/>
          <w:lang w:val="fr-CA"/>
        </w:rPr>
        <w:t>—</w:t>
      </w:r>
      <w:r w:rsidRPr="00BD22C2">
        <w:rPr>
          <w:rFonts w:ascii="Arial" w:hAnsi="Arial" w:cs="Arial"/>
          <w:i/>
          <w:sz w:val="18"/>
          <w:szCs w:val="18"/>
          <w:lang w:val="fr-CA"/>
        </w:rPr>
        <w:t xml:space="preserve"> 164</w:t>
      </w:r>
      <w:r w:rsidR="0051216B" w:rsidRPr="00BD22C2">
        <w:rPr>
          <w:rFonts w:ascii="Arial" w:hAnsi="Arial" w:cs="Arial"/>
          <w:i/>
          <w:sz w:val="18"/>
          <w:szCs w:val="18"/>
          <w:lang w:val="fr-CA"/>
        </w:rPr>
        <w:t> </w:t>
      </w:r>
      <w:r w:rsidRPr="00BD22C2">
        <w:rPr>
          <w:rFonts w:ascii="Arial" w:hAnsi="Arial" w:cs="Arial"/>
          <w:i/>
          <w:sz w:val="18"/>
          <w:szCs w:val="18"/>
          <w:lang w:val="fr-CA"/>
        </w:rPr>
        <w:t>550</w:t>
      </w:r>
      <w:r w:rsidRPr="00BD22C2">
        <w:rPr>
          <w:rFonts w:ascii="Arial" w:hAnsi="Arial" w:cs="Arial"/>
          <w:sz w:val="18"/>
          <w:szCs w:val="18"/>
          <w:lang w:val="fr-CA"/>
        </w:rPr>
        <w:t xml:space="preserve">, </w:t>
      </w:r>
      <w:r w:rsidR="0055622C" w:rsidRPr="00BD22C2">
        <w:rPr>
          <w:rFonts w:ascii="Arial" w:hAnsi="Arial" w:cs="Arial"/>
          <w:i/>
          <w:iCs/>
          <w:sz w:val="18"/>
          <w:szCs w:val="18"/>
          <w:lang w:val="fr-CA"/>
        </w:rPr>
        <w:t>id</w:t>
      </w:r>
      <w:r w:rsidR="0055622C" w:rsidRPr="00BD22C2">
        <w:rPr>
          <w:rFonts w:ascii="Arial" w:hAnsi="Arial" w:cs="Arial"/>
          <w:sz w:val="18"/>
          <w:szCs w:val="18"/>
          <w:lang w:val="fr-CA"/>
        </w:rPr>
        <w:t>.</w:t>
      </w:r>
      <w:r w:rsidRPr="00BD22C2">
        <w:rPr>
          <w:rFonts w:ascii="Arial" w:hAnsi="Arial" w:cs="Arial"/>
          <w:sz w:val="18"/>
          <w:szCs w:val="18"/>
          <w:lang w:val="fr-CA"/>
        </w:rPr>
        <w:t xml:space="preserve"> (le juge recommande fortement </w:t>
      </w:r>
      <w:r w:rsidR="00664AED">
        <w:rPr>
          <w:rFonts w:ascii="Arial" w:hAnsi="Arial" w:cs="Arial"/>
          <w:sz w:val="18"/>
          <w:szCs w:val="18"/>
          <w:lang w:val="fr-CA"/>
        </w:rPr>
        <w:t>qu’</w:t>
      </w:r>
      <w:r w:rsidRPr="00BD22C2">
        <w:rPr>
          <w:rFonts w:ascii="Arial" w:hAnsi="Arial" w:cs="Arial"/>
          <w:sz w:val="18"/>
          <w:szCs w:val="18"/>
          <w:lang w:val="fr-CA"/>
        </w:rPr>
        <w:t>une rencontre se tienne avec les parents d’un jeune de 16</w:t>
      </w:r>
      <w:r w:rsidR="00762C26" w:rsidRPr="00BD22C2">
        <w:rPr>
          <w:rFonts w:ascii="Arial" w:hAnsi="Arial" w:cs="Arial"/>
          <w:sz w:val="18"/>
          <w:szCs w:val="18"/>
          <w:lang w:val="fr-CA"/>
        </w:rPr>
        <w:t>.</w:t>
      </w:r>
      <w:r w:rsidR="002E47E6" w:rsidRPr="00BD22C2">
        <w:rPr>
          <w:rFonts w:ascii="Arial" w:hAnsi="Arial" w:cs="Arial"/>
          <w:sz w:val="18"/>
          <w:szCs w:val="18"/>
          <w:lang w:val="fr-CA"/>
        </w:rPr>
        <w:t>5</w:t>
      </w:r>
      <w:r w:rsidR="00B32B61">
        <w:rPr>
          <w:rFonts w:ascii="Arial" w:hAnsi="Arial" w:cs="Arial"/>
          <w:sz w:val="18"/>
          <w:szCs w:val="18"/>
          <w:lang w:val="fr-CA"/>
        </w:rPr>
        <w:t> </w:t>
      </w:r>
      <w:r w:rsidR="00C53BA3" w:rsidRPr="00BD22C2">
        <w:rPr>
          <w:rFonts w:ascii="Arial" w:hAnsi="Arial" w:cs="Arial"/>
          <w:sz w:val="18"/>
          <w:szCs w:val="18"/>
          <w:lang w:val="fr-CA"/>
        </w:rPr>
        <w:t>ans</w:t>
      </w:r>
      <w:r w:rsidRPr="00BD22C2">
        <w:rPr>
          <w:rFonts w:ascii="Arial" w:hAnsi="Arial" w:cs="Arial"/>
          <w:sz w:val="18"/>
          <w:szCs w:val="18"/>
          <w:lang w:val="fr-CA"/>
        </w:rPr>
        <w:t xml:space="preserve">, ce dernier et </w:t>
      </w:r>
      <w:r w:rsidR="00820DE9" w:rsidRPr="00BD22C2">
        <w:rPr>
          <w:rFonts w:ascii="Arial" w:hAnsi="Arial" w:cs="Arial"/>
          <w:sz w:val="18"/>
          <w:szCs w:val="18"/>
          <w:lang w:val="fr-CA"/>
        </w:rPr>
        <w:t xml:space="preserve">le </w:t>
      </w:r>
      <w:r w:rsidRPr="00BD22C2">
        <w:rPr>
          <w:rFonts w:ascii="Arial" w:hAnsi="Arial" w:cs="Arial"/>
          <w:sz w:val="18"/>
          <w:szCs w:val="18"/>
          <w:lang w:val="fr-CA"/>
        </w:rPr>
        <w:t>comité d’éthique du centre hospitalier, qui a consenti à émettre une ordonnance d’hormonothérapie, malgré l’absence de consentements des parents)</w:t>
      </w:r>
      <w:r w:rsidR="00820DE9" w:rsidRPr="00BD22C2">
        <w:rPr>
          <w:rFonts w:ascii="Arial" w:hAnsi="Arial" w:cs="Arial"/>
          <w:sz w:val="18"/>
          <w:szCs w:val="18"/>
          <w:lang w:val="fr-CA"/>
        </w:rPr>
        <w:t>.</w:t>
      </w:r>
      <w:r w:rsidR="008C58FA" w:rsidRPr="00BD22C2">
        <w:rPr>
          <w:rFonts w:ascii="Arial" w:hAnsi="Arial" w:cs="Arial"/>
          <w:sz w:val="18"/>
          <w:szCs w:val="18"/>
          <w:lang w:val="fr-CA"/>
        </w:rPr>
        <w:t xml:space="preserve"> Dans un contexte de remboursement des soins par la RAMQ, il semble que seront généralement reconnus comme requis des soins exigés par des considérations psychologiques ou psychiatriques</w:t>
      </w:r>
      <w:r w:rsidR="002E47E6" w:rsidRPr="00BD22C2">
        <w:rPr>
          <w:rFonts w:ascii="Arial" w:hAnsi="Arial" w:cs="Arial"/>
          <w:sz w:val="18"/>
          <w:szCs w:val="18"/>
          <w:lang w:val="fr-CA"/>
        </w:rPr>
        <w:t>, v</w:t>
      </w:r>
      <w:r w:rsidR="008C58FA" w:rsidRPr="00BD22C2">
        <w:rPr>
          <w:rFonts w:ascii="Arial" w:hAnsi="Arial" w:cs="Arial"/>
          <w:sz w:val="18"/>
          <w:szCs w:val="18"/>
          <w:lang w:val="fr-CA"/>
        </w:rPr>
        <w:t>oir par exemple</w:t>
      </w:r>
      <w:r w:rsidR="0051216B" w:rsidRPr="00BD22C2">
        <w:rPr>
          <w:rFonts w:ascii="Arial" w:hAnsi="Arial" w:cs="Arial"/>
          <w:sz w:val="18"/>
          <w:szCs w:val="18"/>
          <w:lang w:val="fr-CA"/>
        </w:rPr>
        <w:t> </w:t>
      </w:r>
      <w:r w:rsidR="008C58FA" w:rsidRPr="00BD22C2">
        <w:rPr>
          <w:rFonts w:ascii="Arial" w:hAnsi="Arial" w:cs="Arial"/>
          <w:sz w:val="18"/>
          <w:szCs w:val="18"/>
          <w:lang w:val="fr-CA"/>
        </w:rPr>
        <w:t xml:space="preserve">: </w:t>
      </w:r>
      <w:r w:rsidR="008C58FA" w:rsidRPr="00BD22C2">
        <w:rPr>
          <w:rFonts w:ascii="Arial" w:hAnsi="Arial" w:cs="Arial"/>
          <w:i/>
          <w:sz w:val="18"/>
          <w:szCs w:val="18"/>
          <w:lang w:val="fr-CA"/>
        </w:rPr>
        <w:t>A.</w:t>
      </w:r>
      <w:r w:rsidR="004F1219">
        <w:rPr>
          <w:rFonts w:ascii="Arial" w:hAnsi="Arial" w:cs="Arial"/>
          <w:i/>
          <w:sz w:val="18"/>
          <w:szCs w:val="18"/>
          <w:lang w:val="fr-CA"/>
        </w:rPr>
        <w:t> </w:t>
      </w:r>
      <w:r w:rsidR="008C58FA" w:rsidRPr="00BD22C2">
        <w:rPr>
          <w:rFonts w:ascii="Arial" w:hAnsi="Arial" w:cs="Arial"/>
          <w:i/>
          <w:sz w:val="18"/>
          <w:szCs w:val="18"/>
          <w:lang w:val="fr-CA"/>
        </w:rPr>
        <w:t>W</w:t>
      </w:r>
      <w:r w:rsidR="008C58FA" w:rsidRPr="00BD22C2">
        <w:rPr>
          <w:rFonts w:ascii="Arial" w:hAnsi="Arial" w:cs="Arial"/>
          <w:sz w:val="18"/>
          <w:szCs w:val="18"/>
          <w:lang w:val="fr-CA"/>
        </w:rPr>
        <w:t xml:space="preserve">. c </w:t>
      </w:r>
      <w:r w:rsidR="008C58FA" w:rsidRPr="00BD22C2">
        <w:rPr>
          <w:rFonts w:ascii="Arial" w:hAnsi="Arial" w:cs="Arial"/>
          <w:i/>
          <w:sz w:val="18"/>
          <w:szCs w:val="18"/>
          <w:lang w:val="fr-CA"/>
        </w:rPr>
        <w:t>Québec (Régie de l</w:t>
      </w:r>
      <w:r w:rsidR="0051216B" w:rsidRPr="00BD22C2">
        <w:rPr>
          <w:rFonts w:ascii="Arial" w:hAnsi="Arial" w:cs="Arial"/>
          <w:i/>
          <w:sz w:val="18"/>
          <w:szCs w:val="18"/>
          <w:lang w:val="fr-CA"/>
        </w:rPr>
        <w:t>’</w:t>
      </w:r>
      <w:r w:rsidR="008C58FA" w:rsidRPr="00BD22C2">
        <w:rPr>
          <w:rFonts w:ascii="Arial" w:hAnsi="Arial" w:cs="Arial"/>
          <w:i/>
          <w:sz w:val="18"/>
          <w:szCs w:val="18"/>
          <w:lang w:val="fr-CA"/>
        </w:rPr>
        <w:t>assurance maladie)</w:t>
      </w:r>
      <w:r w:rsidR="008C58FA" w:rsidRPr="00BD22C2">
        <w:rPr>
          <w:rFonts w:ascii="Arial" w:hAnsi="Arial" w:cs="Arial"/>
          <w:sz w:val="18"/>
          <w:szCs w:val="18"/>
          <w:lang w:val="fr-CA"/>
        </w:rPr>
        <w:t>, 2020 CanLII</w:t>
      </w:r>
      <w:r w:rsidR="00CE1914">
        <w:rPr>
          <w:rFonts w:ascii="Arial" w:hAnsi="Arial" w:cs="Arial"/>
          <w:sz w:val="18"/>
          <w:szCs w:val="18"/>
          <w:lang w:val="fr-CA"/>
        </w:rPr>
        <w:t> </w:t>
      </w:r>
      <w:r w:rsidR="008C58FA" w:rsidRPr="00BD22C2">
        <w:rPr>
          <w:rFonts w:ascii="Arial" w:hAnsi="Arial" w:cs="Arial"/>
          <w:sz w:val="18"/>
          <w:szCs w:val="18"/>
          <w:lang w:val="fr-CA"/>
        </w:rPr>
        <w:t>23959 (QC TAQ) (recours rejeté sur la base de l’insuffisance des documents transmis).</w:t>
      </w:r>
    </w:p>
  </w:endnote>
  <w:endnote w:id="369">
    <w:p w14:paraId="0B27D8D1" w14:textId="320C27C0"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Protection de la jeunesse </w:t>
      </w:r>
      <w:r w:rsidR="005430F4" w:rsidRPr="00BD22C2">
        <w:rPr>
          <w:rFonts w:ascii="Arial" w:hAnsi="Arial" w:cs="Arial"/>
          <w:i/>
          <w:sz w:val="18"/>
          <w:szCs w:val="18"/>
          <w:lang w:val="fr-CA"/>
        </w:rPr>
        <w:t>—</w:t>
      </w:r>
      <w:r w:rsidRPr="00BD22C2">
        <w:rPr>
          <w:rFonts w:ascii="Arial" w:hAnsi="Arial" w:cs="Arial"/>
          <w:i/>
          <w:sz w:val="18"/>
          <w:szCs w:val="18"/>
          <w:lang w:val="fr-CA"/>
        </w:rPr>
        <w:t xml:space="preserve"> 17 990</w:t>
      </w:r>
      <w:r w:rsidRPr="00BD22C2">
        <w:rPr>
          <w:rFonts w:ascii="Arial" w:hAnsi="Arial" w:cs="Arial"/>
          <w:sz w:val="18"/>
          <w:szCs w:val="18"/>
          <w:lang w:val="fr-CA"/>
        </w:rPr>
        <w:t xml:space="preserve">, </w:t>
      </w:r>
      <w:r w:rsidR="00D14541" w:rsidRPr="00BD22C2">
        <w:rPr>
          <w:rFonts w:ascii="Arial" w:hAnsi="Arial" w:cs="Arial"/>
          <w:i/>
          <w:iCs/>
          <w:sz w:val="18"/>
          <w:szCs w:val="18"/>
          <w:lang w:val="fr-CA"/>
        </w:rPr>
        <w:t>id</w:t>
      </w:r>
      <w:r w:rsidR="00712AF4" w:rsidRPr="00BD22C2">
        <w:rPr>
          <w:rFonts w:ascii="Arial" w:hAnsi="Arial" w:cs="Arial"/>
          <w:sz w:val="18"/>
          <w:szCs w:val="18"/>
          <w:lang w:val="fr-CA"/>
        </w:rPr>
        <w:t>.</w:t>
      </w:r>
      <w:r w:rsidRPr="00BD22C2">
        <w:rPr>
          <w:rFonts w:ascii="Arial" w:hAnsi="Arial" w:cs="Arial"/>
          <w:sz w:val="18"/>
          <w:szCs w:val="18"/>
          <w:lang w:val="fr-CA"/>
        </w:rPr>
        <w:t xml:space="preserve">, par. 22. </w:t>
      </w:r>
    </w:p>
  </w:endnote>
  <w:endnote w:id="370">
    <w:p w14:paraId="12B59096" w14:textId="0AF0B485"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 xml:space="preserve">Protection de la jeunesse </w:t>
      </w:r>
      <w:r w:rsidR="0051216B" w:rsidRPr="00BD22C2">
        <w:rPr>
          <w:rFonts w:ascii="Arial" w:hAnsi="Arial" w:cs="Arial"/>
          <w:i/>
          <w:sz w:val="18"/>
          <w:szCs w:val="18"/>
          <w:lang w:val="fr-CA"/>
        </w:rPr>
        <w:t>—</w:t>
      </w:r>
      <w:r w:rsidRPr="00BD22C2">
        <w:rPr>
          <w:rFonts w:ascii="Arial" w:hAnsi="Arial" w:cs="Arial"/>
          <w:i/>
          <w:sz w:val="18"/>
          <w:szCs w:val="18"/>
          <w:lang w:val="fr-CA"/>
        </w:rPr>
        <w:t xml:space="preserve"> 0968</w:t>
      </w:r>
      <w:r w:rsidRPr="00BD22C2">
        <w:rPr>
          <w:rFonts w:ascii="Arial" w:hAnsi="Arial" w:cs="Arial"/>
          <w:sz w:val="18"/>
          <w:szCs w:val="18"/>
          <w:lang w:val="fr-CA"/>
        </w:rPr>
        <w:t xml:space="preserve">, </w:t>
      </w:r>
      <w:r w:rsidR="00306525" w:rsidRPr="00BD22C2">
        <w:rPr>
          <w:rFonts w:ascii="Arial" w:hAnsi="Arial" w:cs="Arial"/>
          <w:sz w:val="18"/>
          <w:szCs w:val="18"/>
          <w:lang w:val="fr-CA"/>
        </w:rPr>
        <w:t>préc.</w:t>
      </w:r>
      <w:r w:rsidR="005D4639" w:rsidRPr="00BD22C2">
        <w:rPr>
          <w:rFonts w:ascii="Arial" w:hAnsi="Arial" w:cs="Arial"/>
          <w:sz w:val="18"/>
          <w:szCs w:val="18"/>
          <w:lang w:val="fr-CA"/>
        </w:rPr>
        <w:t xml:space="preserve"> note</w:t>
      </w:r>
      <w:r w:rsidR="00CE1914">
        <w:rPr>
          <w:rFonts w:ascii="Arial" w:hAnsi="Arial" w:cs="Arial"/>
          <w:sz w:val="18"/>
          <w:szCs w:val="18"/>
          <w:lang w:val="fr-CA"/>
        </w:rPr>
        <w:t> </w:t>
      </w:r>
      <w:r w:rsidR="005D4639" w:rsidRPr="00BD22C2">
        <w:rPr>
          <w:rFonts w:ascii="Arial" w:hAnsi="Arial" w:cs="Arial"/>
          <w:sz w:val="18"/>
          <w:szCs w:val="18"/>
          <w:lang w:val="fr-CA"/>
        </w:rPr>
        <w:t>361</w:t>
      </w:r>
      <w:r w:rsidRPr="00BD22C2">
        <w:rPr>
          <w:rFonts w:ascii="Arial" w:hAnsi="Arial" w:cs="Arial"/>
          <w:sz w:val="18"/>
          <w:szCs w:val="18"/>
          <w:lang w:val="fr-CA"/>
        </w:rPr>
        <w:t>, par. 35</w:t>
      </w:r>
      <w:r w:rsidR="00BB09A5" w:rsidRPr="00BD22C2">
        <w:rPr>
          <w:rFonts w:ascii="Arial" w:hAnsi="Arial" w:cs="Arial"/>
          <w:sz w:val="18"/>
          <w:szCs w:val="18"/>
          <w:lang w:val="fr-CA"/>
        </w:rPr>
        <w:t>.</w:t>
      </w:r>
      <w:r w:rsidRPr="00BD22C2">
        <w:rPr>
          <w:rFonts w:ascii="Arial" w:hAnsi="Arial" w:cs="Arial"/>
          <w:sz w:val="18"/>
          <w:szCs w:val="18"/>
          <w:lang w:val="fr-CA"/>
        </w:rPr>
        <w:t xml:space="preserve"> </w:t>
      </w:r>
    </w:p>
  </w:endnote>
  <w:endnote w:id="371">
    <w:p w14:paraId="5A7888FB"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C.c.Q. art. 17. </w:t>
      </w:r>
    </w:p>
  </w:endnote>
  <w:endnote w:id="372">
    <w:p w14:paraId="5D2BF1C1" w14:textId="64406043"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xml:space="preserve">. </w:t>
      </w:r>
      <w:r w:rsidR="000F3A37" w:rsidRPr="00BD22C2">
        <w:rPr>
          <w:rFonts w:ascii="Arial" w:hAnsi="Arial" w:cs="Arial"/>
          <w:sz w:val="18"/>
          <w:szCs w:val="18"/>
          <w:lang w:val="fr-CA"/>
        </w:rPr>
        <w:t>L</w:t>
      </w:r>
      <w:r w:rsidR="009E73E5" w:rsidRPr="00BD22C2">
        <w:rPr>
          <w:rFonts w:ascii="Arial" w:hAnsi="Arial" w:cs="Arial"/>
          <w:sz w:val="18"/>
          <w:szCs w:val="18"/>
          <w:lang w:val="fr-CA"/>
        </w:rPr>
        <w:t xml:space="preserve">’enfant </w:t>
      </w:r>
      <w:r w:rsidR="003755F1" w:rsidRPr="00BD22C2">
        <w:rPr>
          <w:rFonts w:ascii="Arial" w:hAnsi="Arial" w:cs="Arial"/>
          <w:sz w:val="18"/>
          <w:szCs w:val="18"/>
          <w:lang w:val="fr-CA"/>
        </w:rPr>
        <w:t>de 14</w:t>
      </w:r>
      <w:r w:rsidR="00B32B61">
        <w:rPr>
          <w:rFonts w:ascii="Arial" w:hAnsi="Arial" w:cs="Arial"/>
          <w:sz w:val="18"/>
          <w:szCs w:val="18"/>
          <w:lang w:val="fr-CA"/>
        </w:rPr>
        <w:t> </w:t>
      </w:r>
      <w:r w:rsidR="003755F1" w:rsidRPr="00BD22C2">
        <w:rPr>
          <w:rFonts w:ascii="Arial" w:hAnsi="Arial" w:cs="Arial"/>
          <w:sz w:val="18"/>
          <w:szCs w:val="18"/>
          <w:lang w:val="fr-CA"/>
        </w:rPr>
        <w:t xml:space="preserve">ans et plus en désaccord avec la décision </w:t>
      </w:r>
      <w:r w:rsidR="000F3A37" w:rsidRPr="00BD22C2">
        <w:rPr>
          <w:rFonts w:ascii="Arial" w:hAnsi="Arial" w:cs="Arial"/>
          <w:sz w:val="18"/>
          <w:szCs w:val="18"/>
          <w:lang w:val="fr-CA"/>
        </w:rPr>
        <w:t xml:space="preserve">des titulaires de l’autorité parentale ou du tuteur </w:t>
      </w:r>
      <w:r w:rsidR="007A6A0C" w:rsidRPr="00BD22C2">
        <w:rPr>
          <w:rFonts w:ascii="Arial" w:hAnsi="Arial" w:cs="Arial"/>
          <w:sz w:val="18"/>
          <w:szCs w:val="18"/>
          <w:lang w:val="fr-CA"/>
        </w:rPr>
        <w:t xml:space="preserve">de refuser </w:t>
      </w:r>
      <w:r w:rsidR="00F20E89" w:rsidRPr="00BD22C2">
        <w:rPr>
          <w:rFonts w:ascii="Arial" w:hAnsi="Arial" w:cs="Arial"/>
          <w:sz w:val="18"/>
          <w:szCs w:val="18"/>
          <w:lang w:val="fr-CA"/>
        </w:rPr>
        <w:t xml:space="preserve">de consentir à </w:t>
      </w:r>
      <w:r w:rsidR="000F3A37" w:rsidRPr="00BD22C2">
        <w:rPr>
          <w:rFonts w:ascii="Arial" w:hAnsi="Arial" w:cs="Arial"/>
          <w:sz w:val="18"/>
          <w:szCs w:val="18"/>
          <w:lang w:val="fr-CA"/>
        </w:rPr>
        <w:t>un soin non requis par l’état de santé de la personne mineure peut faire l’objet d’une contestation judiciaire en vertu des articles</w:t>
      </w:r>
      <w:r w:rsidR="00CE1914">
        <w:rPr>
          <w:rFonts w:ascii="Arial" w:hAnsi="Arial" w:cs="Arial"/>
          <w:sz w:val="18"/>
          <w:szCs w:val="18"/>
          <w:lang w:val="fr-CA"/>
        </w:rPr>
        <w:t> </w:t>
      </w:r>
      <w:r w:rsidR="000F3A37" w:rsidRPr="00BD22C2">
        <w:rPr>
          <w:rFonts w:ascii="Arial" w:hAnsi="Arial" w:cs="Arial"/>
          <w:sz w:val="18"/>
          <w:szCs w:val="18"/>
          <w:lang w:val="fr-CA"/>
        </w:rPr>
        <w:t xml:space="preserve">159 et 612 du </w:t>
      </w:r>
      <w:r w:rsidR="002E72C1" w:rsidRPr="00BD22C2">
        <w:rPr>
          <w:rFonts w:ascii="Arial" w:hAnsi="Arial" w:cs="Arial"/>
          <w:sz w:val="18"/>
          <w:szCs w:val="18"/>
          <w:lang w:val="fr-CA"/>
        </w:rPr>
        <w:t>C.c.Q</w:t>
      </w:r>
      <w:r w:rsidR="000F3A37" w:rsidRPr="00BD22C2">
        <w:rPr>
          <w:rFonts w:ascii="Arial" w:hAnsi="Arial" w:cs="Arial"/>
          <w:sz w:val="18"/>
          <w:szCs w:val="18"/>
          <w:lang w:val="fr-CA"/>
        </w:rPr>
        <w:t>.</w:t>
      </w:r>
    </w:p>
  </w:endnote>
  <w:endnote w:id="373">
    <w:p w14:paraId="152B7F41" w14:textId="2E995571"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0077260E" w:rsidRPr="00BD22C2">
        <w:rPr>
          <w:rFonts w:ascii="Arial" w:hAnsi="Arial" w:cs="Arial"/>
          <w:sz w:val="18"/>
          <w:szCs w:val="18"/>
          <w:lang w:val="fr-CA"/>
        </w:rPr>
        <w:t xml:space="preserve"> </w:t>
      </w:r>
      <w:r w:rsidR="007C0464" w:rsidRPr="00BD22C2">
        <w:rPr>
          <w:rFonts w:ascii="Arial" w:hAnsi="Arial" w:cs="Arial"/>
          <w:sz w:val="18"/>
          <w:szCs w:val="18"/>
          <w:lang w:val="fr-CA"/>
        </w:rPr>
        <w:tab/>
      </w:r>
      <w:r w:rsidR="0077260E" w:rsidRPr="00BD22C2">
        <w:rPr>
          <w:rFonts w:ascii="Arial" w:hAnsi="Arial" w:cs="Arial"/>
          <w:smallCaps/>
          <w:sz w:val="18"/>
          <w:szCs w:val="18"/>
          <w:lang w:val="fr-CA"/>
        </w:rPr>
        <w:t>Commissaire aux droits de l’Homme</w:t>
      </w:r>
      <w:r w:rsidR="00563491" w:rsidRPr="00BD22C2">
        <w:rPr>
          <w:rFonts w:ascii="Arial" w:hAnsi="Arial" w:cs="Arial"/>
          <w:smallCaps/>
          <w:sz w:val="18"/>
          <w:szCs w:val="18"/>
          <w:lang w:val="fr-CA"/>
        </w:rPr>
        <w:t xml:space="preserve"> — Conseil de L’Europe</w:t>
      </w:r>
      <w:r w:rsidR="0077260E" w:rsidRPr="00BD22C2">
        <w:rPr>
          <w:rFonts w:ascii="Arial" w:hAnsi="Arial" w:cs="Arial"/>
          <w:sz w:val="18"/>
          <w:szCs w:val="18"/>
          <w:lang w:val="fr-CA"/>
        </w:rPr>
        <w:t xml:space="preserve">, </w:t>
      </w:r>
      <w:r w:rsidR="00563491" w:rsidRPr="00BD22C2">
        <w:rPr>
          <w:rFonts w:ascii="Arial" w:hAnsi="Arial" w:cs="Arial"/>
          <w:sz w:val="18"/>
          <w:szCs w:val="18"/>
          <w:lang w:val="fr-CA"/>
        </w:rPr>
        <w:t>préc., note</w:t>
      </w:r>
      <w:r w:rsidR="00CE1914">
        <w:rPr>
          <w:rFonts w:ascii="Arial" w:hAnsi="Arial" w:cs="Arial"/>
          <w:sz w:val="18"/>
          <w:szCs w:val="18"/>
          <w:lang w:val="fr-CA"/>
        </w:rPr>
        <w:t> </w:t>
      </w:r>
      <w:r w:rsidR="00563491" w:rsidRPr="00BD22C2">
        <w:rPr>
          <w:rFonts w:ascii="Arial" w:hAnsi="Arial" w:cs="Arial"/>
          <w:sz w:val="18"/>
          <w:szCs w:val="18"/>
          <w:lang w:val="fr-CA"/>
        </w:rPr>
        <w:fldChar w:fldCharType="begin"/>
      </w:r>
      <w:r w:rsidR="00563491" w:rsidRPr="00BD22C2">
        <w:rPr>
          <w:rFonts w:ascii="Arial" w:hAnsi="Arial" w:cs="Arial"/>
          <w:sz w:val="18"/>
          <w:szCs w:val="18"/>
          <w:lang w:val="fr-CA"/>
        </w:rPr>
        <w:instrText xml:space="preserve"> NOTEREF _Ref166751055 \h </w:instrText>
      </w:r>
      <w:r w:rsidR="00563491" w:rsidRPr="00BD22C2">
        <w:rPr>
          <w:rFonts w:ascii="Arial" w:hAnsi="Arial" w:cs="Arial"/>
          <w:sz w:val="18"/>
          <w:szCs w:val="18"/>
          <w:lang w:val="fr-CA"/>
        </w:rPr>
      </w:r>
      <w:r w:rsidR="00563491" w:rsidRPr="00BD22C2">
        <w:rPr>
          <w:rFonts w:ascii="Arial" w:hAnsi="Arial" w:cs="Arial"/>
          <w:sz w:val="18"/>
          <w:szCs w:val="18"/>
          <w:lang w:val="fr-CA"/>
        </w:rPr>
        <w:fldChar w:fldCharType="separate"/>
      </w:r>
      <w:r w:rsidR="004B4881">
        <w:rPr>
          <w:rFonts w:ascii="Arial" w:hAnsi="Arial" w:cs="Arial"/>
          <w:sz w:val="18"/>
          <w:szCs w:val="18"/>
          <w:lang w:val="fr-CA"/>
        </w:rPr>
        <w:t>304</w:t>
      </w:r>
      <w:r w:rsidR="00563491" w:rsidRPr="00BD22C2">
        <w:rPr>
          <w:rFonts w:ascii="Arial" w:hAnsi="Arial" w:cs="Arial"/>
          <w:sz w:val="18"/>
          <w:szCs w:val="18"/>
          <w:lang w:val="fr-CA"/>
        </w:rPr>
        <w:fldChar w:fldCharType="end"/>
      </w:r>
      <w:r w:rsidR="0077260E" w:rsidRPr="00BD22C2">
        <w:rPr>
          <w:rFonts w:ascii="Arial" w:hAnsi="Arial" w:cs="Arial"/>
          <w:sz w:val="18"/>
          <w:szCs w:val="18"/>
          <w:lang w:val="fr-CA"/>
        </w:rPr>
        <w:t>, p.</w:t>
      </w:r>
      <w:r w:rsidR="00CE1914">
        <w:rPr>
          <w:rFonts w:ascii="Arial" w:hAnsi="Arial" w:cs="Arial"/>
          <w:sz w:val="18"/>
          <w:szCs w:val="18"/>
          <w:lang w:val="fr-CA"/>
        </w:rPr>
        <w:t> </w:t>
      </w:r>
      <w:r w:rsidR="0077260E" w:rsidRPr="00BD22C2">
        <w:rPr>
          <w:rFonts w:ascii="Arial" w:hAnsi="Arial" w:cs="Arial"/>
          <w:sz w:val="18"/>
          <w:szCs w:val="18"/>
          <w:lang w:val="fr-CA"/>
        </w:rPr>
        <w:t xml:space="preserve">87. </w:t>
      </w:r>
    </w:p>
  </w:endnote>
  <w:endnote w:id="374">
    <w:p w14:paraId="40BD997C" w14:textId="24D914AC"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5328F" w:rsidRPr="00BD22C2">
        <w:rPr>
          <w:rFonts w:ascii="Arial" w:hAnsi="Arial" w:cs="Arial"/>
          <w:sz w:val="18"/>
          <w:szCs w:val="18"/>
          <w:lang w:val="fr-CA"/>
        </w:rPr>
        <w:t xml:space="preserve">Robert </w:t>
      </w:r>
      <w:r w:rsidR="0045328F" w:rsidRPr="00BD22C2">
        <w:rPr>
          <w:rFonts w:ascii="Arial" w:hAnsi="Arial" w:cs="Arial"/>
          <w:smallCaps/>
          <w:sz w:val="18"/>
          <w:szCs w:val="18"/>
          <w:lang w:val="fr-CA"/>
        </w:rPr>
        <w:t>P. Kouri</w:t>
      </w:r>
      <w:r w:rsidR="0045328F" w:rsidRPr="00BD22C2">
        <w:rPr>
          <w:rFonts w:ascii="Arial" w:hAnsi="Arial" w:cs="Arial"/>
          <w:sz w:val="18"/>
          <w:szCs w:val="18"/>
          <w:lang w:val="fr-CA"/>
        </w:rPr>
        <w:t xml:space="preserve">, </w:t>
      </w:r>
      <w:r w:rsidR="007E12D0" w:rsidRPr="00BD22C2">
        <w:rPr>
          <w:rFonts w:ascii="Arial" w:hAnsi="Arial" w:cs="Arial"/>
          <w:sz w:val="18"/>
          <w:szCs w:val="18"/>
          <w:lang w:val="fr-CA"/>
        </w:rPr>
        <w:t>préc., note 279,</w:t>
      </w:r>
      <w:r w:rsidR="0045328F" w:rsidRPr="00BD22C2">
        <w:rPr>
          <w:rFonts w:ascii="Arial" w:hAnsi="Arial" w:cs="Arial"/>
          <w:sz w:val="18"/>
          <w:szCs w:val="18"/>
          <w:lang w:val="fr-CA"/>
        </w:rPr>
        <w:t xml:space="preserve"> p.</w:t>
      </w:r>
      <w:r w:rsidR="00CE1914">
        <w:rPr>
          <w:rFonts w:ascii="Arial" w:hAnsi="Arial" w:cs="Arial"/>
          <w:sz w:val="18"/>
          <w:szCs w:val="18"/>
          <w:lang w:val="fr-CA"/>
        </w:rPr>
        <w:t> </w:t>
      </w:r>
      <w:r w:rsidR="0045328F" w:rsidRPr="00BD22C2">
        <w:rPr>
          <w:rFonts w:ascii="Arial" w:hAnsi="Arial" w:cs="Arial"/>
          <w:sz w:val="18"/>
          <w:szCs w:val="18"/>
          <w:lang w:val="fr-CA"/>
        </w:rPr>
        <w:t>66.</w:t>
      </w:r>
      <w:r w:rsidR="00492B84" w:rsidRPr="00BD22C2">
        <w:rPr>
          <w:rFonts w:ascii="Arial" w:hAnsi="Arial" w:cs="Arial"/>
          <w:sz w:val="18"/>
          <w:szCs w:val="18"/>
          <w:lang w:val="fr-CA"/>
        </w:rPr>
        <w:t xml:space="preserve"> </w:t>
      </w:r>
    </w:p>
  </w:endnote>
  <w:endnote w:id="375">
    <w:p w14:paraId="14F99610" w14:textId="77777777"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C.c.Q., art.11, 14, 16 et 17. </w:t>
      </w:r>
    </w:p>
  </w:endnote>
  <w:endnote w:id="376">
    <w:p w14:paraId="554C090B" w14:textId="11A251DF"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520F1" w:rsidRPr="00BD22C2">
        <w:rPr>
          <w:rFonts w:ascii="Arial" w:hAnsi="Arial" w:cs="Arial"/>
          <w:smallCaps/>
          <w:sz w:val="18"/>
          <w:szCs w:val="18"/>
          <w:lang w:val="fr-CA"/>
        </w:rPr>
        <w:t>Assemblée mondiale de la santé</w:t>
      </w:r>
      <w:r w:rsidRPr="00BD22C2">
        <w:rPr>
          <w:rFonts w:ascii="Arial" w:hAnsi="Arial" w:cs="Arial"/>
          <w:sz w:val="18"/>
          <w:szCs w:val="18"/>
          <w:lang w:val="fr-CA"/>
        </w:rPr>
        <w:t xml:space="preserve">, </w:t>
      </w:r>
      <w:r w:rsidRPr="00BD22C2">
        <w:rPr>
          <w:rFonts w:ascii="Arial" w:hAnsi="Arial" w:cs="Arial"/>
          <w:i/>
          <w:sz w:val="18"/>
          <w:szCs w:val="18"/>
          <w:lang w:val="fr-CA"/>
        </w:rPr>
        <w:t>Réduire les inégalités en matière de santé par une action sur les déterminants sociaux de la santé</w:t>
      </w:r>
      <w:r w:rsidRPr="00BD22C2">
        <w:rPr>
          <w:rFonts w:ascii="Arial" w:hAnsi="Arial" w:cs="Arial"/>
          <w:sz w:val="18"/>
          <w:szCs w:val="18"/>
          <w:lang w:val="fr-CA"/>
        </w:rPr>
        <w:t>, 62e</w:t>
      </w:r>
      <w:r w:rsidR="00B32B61">
        <w:rPr>
          <w:rFonts w:ascii="Arial" w:hAnsi="Arial" w:cs="Arial"/>
          <w:sz w:val="18"/>
          <w:szCs w:val="18"/>
          <w:lang w:val="fr-CA"/>
        </w:rPr>
        <w:t> </w:t>
      </w:r>
      <w:r w:rsidR="00F93A07" w:rsidRPr="00BD22C2">
        <w:rPr>
          <w:rFonts w:ascii="Arial" w:hAnsi="Arial" w:cs="Arial"/>
          <w:sz w:val="18"/>
          <w:szCs w:val="18"/>
          <w:lang w:val="fr-CA"/>
        </w:rPr>
        <w:t>Assemblée mondiale de la Santé</w:t>
      </w:r>
      <w:r w:rsidRPr="00BD22C2">
        <w:rPr>
          <w:rFonts w:ascii="Arial" w:hAnsi="Arial" w:cs="Arial"/>
          <w:sz w:val="18"/>
          <w:szCs w:val="18"/>
          <w:lang w:val="fr-CA"/>
        </w:rPr>
        <w:t>, 22</w:t>
      </w:r>
      <w:r w:rsidR="00762FE8">
        <w:rPr>
          <w:rFonts w:ascii="Arial" w:hAnsi="Arial" w:cs="Arial"/>
          <w:sz w:val="18"/>
          <w:szCs w:val="18"/>
          <w:lang w:val="fr-CA"/>
        </w:rPr>
        <w:t> </w:t>
      </w:r>
      <w:r w:rsidRPr="00BD22C2">
        <w:rPr>
          <w:rFonts w:ascii="Arial" w:hAnsi="Arial" w:cs="Arial"/>
          <w:sz w:val="18"/>
          <w:szCs w:val="18"/>
          <w:lang w:val="fr-CA"/>
        </w:rPr>
        <w:t xml:space="preserve">mai 2009, [En ligne]. </w:t>
      </w:r>
      <w:r w:rsidRPr="00BD22C2">
        <w:rPr>
          <w:rFonts w:ascii="Arial" w:hAnsi="Arial" w:cs="Arial"/>
          <w:color w:val="0000FF"/>
          <w:sz w:val="18"/>
          <w:szCs w:val="18"/>
          <w:lang w:val="fr-CA"/>
        </w:rPr>
        <w:t>https://apps.who.int/gb/ebwha/pdf_files/A62/A62_R14-fr.pdf?ua=1</w:t>
      </w:r>
      <w:r w:rsidRPr="00BD22C2">
        <w:rPr>
          <w:rFonts w:ascii="Arial" w:hAnsi="Arial" w:cs="Arial"/>
          <w:sz w:val="18"/>
          <w:szCs w:val="18"/>
          <w:lang w:val="fr-CA"/>
        </w:rPr>
        <w:t xml:space="preserve">. Voir aussi </w:t>
      </w:r>
      <w:r w:rsidR="00030B5A" w:rsidRPr="00BD22C2">
        <w:rPr>
          <w:rFonts w:ascii="Arial" w:hAnsi="Arial" w:cs="Arial"/>
          <w:smallCaps/>
          <w:sz w:val="18"/>
          <w:szCs w:val="18"/>
          <w:lang w:val="fr-CA"/>
        </w:rPr>
        <w:t>Organisation mondiale de la santé</w:t>
      </w:r>
      <w:r w:rsidRPr="00BD22C2">
        <w:rPr>
          <w:rFonts w:ascii="Arial" w:hAnsi="Arial" w:cs="Arial"/>
          <w:sz w:val="18"/>
          <w:szCs w:val="18"/>
          <w:lang w:val="fr-CA"/>
        </w:rPr>
        <w:t xml:space="preserve">, </w:t>
      </w:r>
      <w:r w:rsidRPr="00BD22C2">
        <w:rPr>
          <w:rFonts w:ascii="Arial" w:hAnsi="Arial" w:cs="Arial"/>
          <w:i/>
          <w:sz w:val="18"/>
          <w:szCs w:val="18"/>
          <w:lang w:val="fr-CA"/>
        </w:rPr>
        <w:t>Social determinants of health</w:t>
      </w:r>
      <w:r w:rsidR="0051216B" w:rsidRPr="00BD22C2">
        <w:rPr>
          <w:rFonts w:ascii="Arial" w:hAnsi="Arial" w:cs="Arial"/>
          <w:i/>
          <w:sz w:val="18"/>
          <w:szCs w:val="18"/>
          <w:lang w:val="fr-CA"/>
        </w:rPr>
        <w:t> </w:t>
      </w:r>
      <w:r w:rsidRPr="00BD22C2">
        <w:rPr>
          <w:rFonts w:ascii="Arial" w:hAnsi="Arial" w:cs="Arial"/>
          <w:i/>
          <w:sz w:val="18"/>
          <w:szCs w:val="18"/>
          <w:lang w:val="fr-CA"/>
        </w:rPr>
        <w:t>: Key concepts</w:t>
      </w:r>
      <w:r w:rsidRPr="00BD22C2">
        <w:rPr>
          <w:rFonts w:ascii="Arial" w:hAnsi="Arial" w:cs="Arial"/>
          <w:sz w:val="18"/>
          <w:szCs w:val="18"/>
          <w:lang w:val="fr-CA"/>
        </w:rPr>
        <w:t xml:space="preserve">, [En ligne]. </w:t>
      </w:r>
      <w:r>
        <w:fldChar w:fldCharType="begin"/>
      </w:r>
      <w:r w:rsidRPr="003E3312">
        <w:rPr>
          <w:lang w:val="fr-CA"/>
        </w:rPr>
        <w:instrText>HYPERLINK "https://www.who.int/news-room/questions-and-answers/item/social-determinants-of-health-key-concepts"</w:instrText>
      </w:r>
      <w:r>
        <w:fldChar w:fldCharType="separate"/>
      </w:r>
      <w:r w:rsidRPr="00BD22C2">
        <w:rPr>
          <w:rStyle w:val="Lienhypertexte"/>
          <w:rFonts w:ascii="Arial" w:hAnsi="Arial" w:cs="Arial"/>
          <w:sz w:val="18"/>
          <w:szCs w:val="18"/>
          <w:lang w:val="fr-CA"/>
        </w:rPr>
        <w:t>https://www.who.int/news-room/questions-and-answers/item/social-determinants-of-health-key-concepts</w:t>
      </w:r>
      <w:r>
        <w:rPr>
          <w:rStyle w:val="Lienhypertexte"/>
          <w:rFonts w:ascii="Arial" w:hAnsi="Arial" w:cs="Arial"/>
          <w:sz w:val="18"/>
          <w:szCs w:val="18"/>
          <w:lang w:val="fr-CA"/>
        </w:rPr>
        <w:fldChar w:fldCharType="end"/>
      </w:r>
      <w:r w:rsidR="00B41D67" w:rsidRPr="00BD22C2">
        <w:rPr>
          <w:rStyle w:val="Lienhypertexte"/>
          <w:rFonts w:ascii="Arial" w:hAnsi="Arial" w:cs="Arial"/>
          <w:sz w:val="18"/>
          <w:szCs w:val="18"/>
          <w:lang w:val="fr-CA"/>
        </w:rPr>
        <w:t> </w:t>
      </w:r>
      <w:r w:rsidR="00AE4D63" w:rsidRPr="00BD22C2">
        <w:rPr>
          <w:rFonts w:ascii="Arial" w:hAnsi="Arial" w:cs="Arial"/>
          <w:color w:val="0000FF"/>
          <w:sz w:val="18"/>
          <w:szCs w:val="18"/>
          <w:lang w:val="fr-CA"/>
        </w:rPr>
        <w:t>;</w:t>
      </w:r>
      <w:r w:rsidR="00D83B71" w:rsidRPr="00BD22C2">
        <w:rPr>
          <w:rFonts w:ascii="Arial" w:hAnsi="Arial" w:cs="Arial"/>
          <w:color w:val="0000FF"/>
          <w:sz w:val="18"/>
          <w:szCs w:val="18"/>
          <w:lang w:val="fr-CA"/>
        </w:rPr>
        <w:t xml:space="preserve"> </w:t>
      </w:r>
      <w:r w:rsidR="00D83B71" w:rsidRPr="00BD22C2">
        <w:rPr>
          <w:rFonts w:ascii="Arial" w:hAnsi="Arial" w:cs="Arial"/>
          <w:iCs/>
          <w:smallCaps/>
          <w:sz w:val="18"/>
          <w:szCs w:val="18"/>
          <w:lang w:val="fr-CA"/>
        </w:rPr>
        <w:t>Comité des droits économiques, sociaux et culturels des nations unies</w:t>
      </w:r>
      <w:r w:rsidRPr="00BD22C2">
        <w:rPr>
          <w:rFonts w:ascii="Arial" w:hAnsi="Arial" w:cs="Arial"/>
          <w:i/>
          <w:sz w:val="18"/>
          <w:szCs w:val="18"/>
          <w:lang w:val="fr-CA"/>
        </w:rPr>
        <w:t>, Observation générale No.</w:t>
      </w:r>
      <w:r w:rsidR="00CE1914">
        <w:rPr>
          <w:rFonts w:ascii="Arial" w:hAnsi="Arial" w:cs="Arial"/>
          <w:i/>
          <w:sz w:val="18"/>
          <w:szCs w:val="18"/>
          <w:lang w:val="fr-CA"/>
        </w:rPr>
        <w:t> </w:t>
      </w:r>
      <w:r w:rsidRPr="00BD22C2">
        <w:rPr>
          <w:rFonts w:ascii="Arial" w:hAnsi="Arial" w:cs="Arial"/>
          <w:i/>
          <w:sz w:val="18"/>
          <w:szCs w:val="18"/>
          <w:lang w:val="fr-CA"/>
        </w:rPr>
        <w:t>14</w:t>
      </w:r>
      <w:r w:rsidR="0051216B" w:rsidRPr="00BD22C2">
        <w:rPr>
          <w:rFonts w:ascii="Arial" w:hAnsi="Arial" w:cs="Arial"/>
          <w:i/>
          <w:sz w:val="18"/>
          <w:szCs w:val="18"/>
          <w:lang w:val="fr-CA"/>
        </w:rPr>
        <w:t> </w:t>
      </w:r>
      <w:r w:rsidRPr="00BD22C2">
        <w:rPr>
          <w:rFonts w:ascii="Arial" w:hAnsi="Arial" w:cs="Arial"/>
          <w:i/>
          <w:sz w:val="18"/>
          <w:szCs w:val="18"/>
          <w:lang w:val="fr-CA"/>
        </w:rPr>
        <w:t>: Le droit au meilleur état de santé susceptible d’être atteint (</w:t>
      </w:r>
      <w:r w:rsidRPr="00BD22C2">
        <w:rPr>
          <w:rFonts w:ascii="Arial" w:hAnsi="Arial" w:cs="Arial"/>
          <w:i/>
          <w:iCs/>
          <w:sz w:val="18"/>
          <w:szCs w:val="18"/>
          <w:lang w:val="fr-CA"/>
        </w:rPr>
        <w:t>art</w:t>
      </w:r>
      <w:r w:rsidR="00AE5AC5" w:rsidRPr="00BD22C2">
        <w:rPr>
          <w:rFonts w:ascii="Arial" w:hAnsi="Arial" w:cs="Arial"/>
          <w:i/>
          <w:iCs/>
          <w:sz w:val="18"/>
          <w:szCs w:val="18"/>
          <w:lang w:val="fr-CA"/>
        </w:rPr>
        <w:t>icle</w:t>
      </w:r>
      <w:r w:rsidR="00CE1914">
        <w:rPr>
          <w:rFonts w:ascii="Arial" w:hAnsi="Arial" w:cs="Arial"/>
          <w:i/>
          <w:sz w:val="18"/>
          <w:szCs w:val="18"/>
          <w:lang w:val="fr-CA"/>
        </w:rPr>
        <w:t> </w:t>
      </w:r>
      <w:r w:rsidRPr="00BD22C2">
        <w:rPr>
          <w:rFonts w:ascii="Arial" w:hAnsi="Arial" w:cs="Arial"/>
          <w:i/>
          <w:sz w:val="18"/>
          <w:szCs w:val="18"/>
          <w:lang w:val="fr-CA"/>
        </w:rPr>
        <w:t xml:space="preserve">12), </w:t>
      </w:r>
      <w:r w:rsidRPr="00BD22C2">
        <w:rPr>
          <w:rFonts w:ascii="Arial" w:hAnsi="Arial" w:cs="Arial"/>
          <w:sz w:val="18"/>
          <w:szCs w:val="18"/>
          <w:lang w:val="fr-CA"/>
        </w:rPr>
        <w:t>2000</w:t>
      </w:r>
      <w:r w:rsidR="003C1EA0">
        <w:rPr>
          <w:rFonts w:ascii="Arial" w:hAnsi="Arial" w:cs="Arial"/>
          <w:sz w:val="18"/>
          <w:szCs w:val="18"/>
          <w:lang w:val="fr-CA"/>
        </w:rPr>
        <w:t>,</w:t>
      </w:r>
      <w:r w:rsidRPr="00BD22C2">
        <w:rPr>
          <w:rFonts w:ascii="Arial" w:hAnsi="Arial" w:cs="Arial"/>
          <w:sz w:val="18"/>
          <w:szCs w:val="18"/>
          <w:lang w:val="fr-CA"/>
        </w:rPr>
        <w:t xml:space="preserve"> [En ligne]. </w:t>
      </w:r>
      <w:r w:rsidRPr="00BD22C2">
        <w:rPr>
          <w:rFonts w:ascii="Arial" w:hAnsi="Arial" w:cs="Arial"/>
          <w:color w:val="0000FF"/>
          <w:sz w:val="18"/>
          <w:szCs w:val="18"/>
          <w:lang w:val="fr-CA"/>
        </w:rPr>
        <w:t>https://www.right-to-education.org/node/612.</w:t>
      </w:r>
    </w:p>
  </w:endnote>
  <w:endnote w:id="377">
    <w:p w14:paraId="6872399C" w14:textId="790DA56D" w:rsidR="00F7531E" w:rsidRPr="00BD22C2" w:rsidRDefault="00F7531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Voir notamment : </w:t>
      </w:r>
      <w:r w:rsidR="00983A4A" w:rsidRPr="00BD22C2">
        <w:rPr>
          <w:rFonts w:ascii="Arial" w:hAnsi="Arial" w:cs="Arial"/>
          <w:sz w:val="18"/>
          <w:szCs w:val="18"/>
          <w:lang w:val="fr-CA"/>
        </w:rPr>
        <w:t>O</w:t>
      </w:r>
      <w:r w:rsidR="00983A4A" w:rsidRPr="00BD22C2">
        <w:rPr>
          <w:rFonts w:ascii="Arial" w:hAnsi="Arial" w:cs="Arial"/>
          <w:smallCaps/>
          <w:sz w:val="18"/>
          <w:szCs w:val="18"/>
          <w:lang w:val="fr-CA"/>
        </w:rPr>
        <w:t xml:space="preserve">rganisation des </w:t>
      </w:r>
      <w:r w:rsidR="00506E01">
        <w:rPr>
          <w:rFonts w:ascii="Arial" w:hAnsi="Arial" w:cs="Arial"/>
          <w:smallCaps/>
          <w:sz w:val="18"/>
          <w:szCs w:val="18"/>
          <w:lang w:val="fr-CA"/>
        </w:rPr>
        <w:t>N</w:t>
      </w:r>
      <w:r w:rsidR="00983A4A" w:rsidRPr="00BD22C2">
        <w:rPr>
          <w:rFonts w:ascii="Arial" w:hAnsi="Arial" w:cs="Arial"/>
          <w:smallCaps/>
          <w:sz w:val="18"/>
          <w:szCs w:val="18"/>
          <w:lang w:val="fr-CA"/>
        </w:rPr>
        <w:t>ations unies</w:t>
      </w:r>
      <w:r w:rsidRPr="00BD22C2">
        <w:rPr>
          <w:rFonts w:ascii="Arial" w:hAnsi="Arial" w:cs="Arial"/>
          <w:sz w:val="18"/>
          <w:szCs w:val="18"/>
          <w:lang w:val="fr-CA"/>
        </w:rPr>
        <w:t xml:space="preserve">, </w:t>
      </w:r>
      <w:r w:rsidRPr="00BD22C2">
        <w:rPr>
          <w:rFonts w:ascii="Arial" w:hAnsi="Arial" w:cs="Arial"/>
          <w:i/>
          <w:sz w:val="18"/>
          <w:szCs w:val="18"/>
          <w:lang w:val="fr-CA"/>
        </w:rPr>
        <w:t>Premier projet de recommandation générale n°</w:t>
      </w:r>
      <w:r w:rsidR="00CE1914">
        <w:rPr>
          <w:rFonts w:ascii="Arial" w:hAnsi="Arial" w:cs="Arial"/>
          <w:i/>
          <w:sz w:val="18"/>
          <w:szCs w:val="18"/>
          <w:lang w:val="fr-CA"/>
        </w:rPr>
        <w:t> </w:t>
      </w:r>
      <w:r w:rsidRPr="00BD22C2">
        <w:rPr>
          <w:rFonts w:ascii="Arial" w:hAnsi="Arial" w:cs="Arial"/>
          <w:i/>
          <w:sz w:val="18"/>
          <w:szCs w:val="18"/>
          <w:lang w:val="fr-CA"/>
        </w:rPr>
        <w:t>37 (2023) sur la discrimination raciale dans l’exercice du droit à la santé</w:t>
      </w:r>
      <w:r w:rsidRPr="00BD22C2">
        <w:rPr>
          <w:rFonts w:ascii="Arial" w:hAnsi="Arial" w:cs="Arial"/>
          <w:sz w:val="18"/>
          <w:szCs w:val="18"/>
          <w:lang w:val="fr-CA"/>
        </w:rPr>
        <w:t xml:space="preserve">, </w:t>
      </w:r>
      <w:r w:rsidR="003B24AA" w:rsidRPr="00BD22C2">
        <w:rPr>
          <w:rFonts w:ascii="Arial" w:hAnsi="Arial" w:cs="Arial"/>
          <w:sz w:val="18"/>
          <w:szCs w:val="18"/>
          <w:lang w:val="fr-CA"/>
        </w:rPr>
        <w:t>Doc. N.U</w:t>
      </w:r>
      <w:r w:rsidR="008B4522">
        <w:rPr>
          <w:rFonts w:ascii="Arial" w:hAnsi="Arial" w:cs="Arial"/>
          <w:sz w:val="18"/>
          <w:szCs w:val="18"/>
          <w:lang w:val="fr-CA"/>
        </w:rPr>
        <w:t> </w:t>
      </w:r>
      <w:r w:rsidRPr="00BD22C2">
        <w:rPr>
          <w:rFonts w:ascii="Arial" w:hAnsi="Arial" w:cs="Arial"/>
          <w:sz w:val="18"/>
          <w:szCs w:val="18"/>
          <w:lang w:val="fr-CA"/>
        </w:rPr>
        <w:t>CERD/C/GC/37, par. 23.</w:t>
      </w:r>
    </w:p>
  </w:endnote>
  <w:endnote w:id="378">
    <w:p w14:paraId="01190EC3" w14:textId="71848137" w:rsidR="00F7531E" w:rsidRPr="0085310E" w:rsidRDefault="00F7531E"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42007C" w:rsidRPr="00BD22C2">
        <w:rPr>
          <w:rFonts w:ascii="Arial" w:hAnsi="Arial" w:cs="Arial"/>
          <w:smallCaps/>
          <w:sz w:val="18"/>
          <w:szCs w:val="18"/>
          <w:lang w:val="fr-CA"/>
        </w:rPr>
        <w:t>Commission des droits de la personne et des droits de la jeunesse</w:t>
      </w:r>
      <w:r w:rsidR="0042007C" w:rsidRPr="00BD22C2">
        <w:rPr>
          <w:rFonts w:ascii="Arial" w:hAnsi="Arial" w:cs="Arial"/>
          <w:sz w:val="18"/>
          <w:szCs w:val="18"/>
          <w:lang w:val="fr-CA"/>
        </w:rPr>
        <w:t xml:space="preserve">, </w:t>
      </w:r>
      <w:r w:rsidR="00515C98" w:rsidRPr="00BD22C2">
        <w:rPr>
          <w:rFonts w:ascii="Arial" w:hAnsi="Arial" w:cs="Arial"/>
          <w:i/>
          <w:sz w:val="18"/>
          <w:szCs w:val="18"/>
          <w:lang w:val="fr-CA"/>
        </w:rPr>
        <w:t>Après 25</w:t>
      </w:r>
      <w:r w:rsidR="00B32B61">
        <w:rPr>
          <w:rFonts w:ascii="Arial" w:hAnsi="Arial" w:cs="Arial"/>
          <w:i/>
          <w:sz w:val="18"/>
          <w:szCs w:val="18"/>
          <w:lang w:val="fr-CA"/>
        </w:rPr>
        <w:t> </w:t>
      </w:r>
      <w:r w:rsidR="00515C98" w:rsidRPr="00BD22C2">
        <w:rPr>
          <w:rFonts w:ascii="Arial" w:hAnsi="Arial" w:cs="Arial"/>
          <w:i/>
          <w:sz w:val="18"/>
          <w:szCs w:val="18"/>
          <w:lang w:val="fr-CA"/>
        </w:rPr>
        <w:t xml:space="preserve">ans : La Charte québécoise des droits et libertés, </w:t>
      </w:r>
      <w:r w:rsidR="00764CCA" w:rsidRPr="00BD22C2">
        <w:rPr>
          <w:rFonts w:ascii="Arial" w:hAnsi="Arial" w:cs="Arial"/>
          <w:i/>
          <w:sz w:val="18"/>
          <w:szCs w:val="18"/>
          <w:lang w:val="fr-CA"/>
        </w:rPr>
        <w:t>volume I, Bilan et recommandations</w:t>
      </w:r>
      <w:r w:rsidR="0016605B" w:rsidRPr="00BD22C2">
        <w:rPr>
          <w:rFonts w:ascii="Arial" w:hAnsi="Arial" w:cs="Arial"/>
          <w:iCs/>
          <w:sz w:val="18"/>
          <w:szCs w:val="18"/>
          <w:lang w:val="fr-CA"/>
        </w:rPr>
        <w:t>,</w:t>
      </w:r>
      <w:r w:rsidR="00205A0D" w:rsidRPr="00BD22C2">
        <w:rPr>
          <w:rFonts w:ascii="Arial" w:hAnsi="Arial" w:cs="Arial"/>
          <w:i/>
          <w:sz w:val="18"/>
          <w:szCs w:val="18"/>
          <w:lang w:val="fr-CA"/>
        </w:rPr>
        <w:t xml:space="preserve"> </w:t>
      </w:r>
      <w:r w:rsidR="00205A0D" w:rsidRPr="00BD22C2">
        <w:rPr>
          <w:rFonts w:ascii="Arial" w:hAnsi="Arial" w:cs="Arial"/>
          <w:sz w:val="18"/>
          <w:szCs w:val="18"/>
          <w:lang w:val="fr-CA"/>
        </w:rPr>
        <w:t>2003</w:t>
      </w:r>
      <w:r w:rsidR="00764CCA" w:rsidRPr="00BD22C2">
        <w:rPr>
          <w:rFonts w:ascii="Arial" w:hAnsi="Arial" w:cs="Arial"/>
          <w:sz w:val="18"/>
          <w:szCs w:val="18"/>
          <w:lang w:val="fr-CA"/>
        </w:rPr>
        <w:t xml:space="preserve">, </w:t>
      </w:r>
      <w:r w:rsidR="00CD7849" w:rsidRPr="00BD22C2">
        <w:rPr>
          <w:rFonts w:ascii="Arial" w:hAnsi="Arial" w:cs="Arial"/>
          <w:sz w:val="18"/>
          <w:szCs w:val="18"/>
          <w:lang w:val="fr-CA"/>
        </w:rPr>
        <w:t>p.</w:t>
      </w:r>
      <w:r w:rsidR="00CE1914">
        <w:rPr>
          <w:rFonts w:ascii="Arial" w:hAnsi="Arial" w:cs="Arial"/>
          <w:sz w:val="18"/>
          <w:szCs w:val="18"/>
          <w:lang w:val="fr-CA"/>
        </w:rPr>
        <w:t> </w:t>
      </w:r>
      <w:r w:rsidR="00CD7849" w:rsidRPr="00BD22C2">
        <w:rPr>
          <w:rFonts w:ascii="Arial" w:hAnsi="Arial" w:cs="Arial"/>
          <w:sz w:val="18"/>
          <w:szCs w:val="18"/>
          <w:lang w:val="fr-CA"/>
        </w:rPr>
        <w:t>28</w:t>
      </w:r>
      <w:r w:rsidR="000912E4" w:rsidRPr="00BD22C2">
        <w:rPr>
          <w:rFonts w:ascii="Arial" w:hAnsi="Arial" w:cs="Arial"/>
          <w:sz w:val="18"/>
          <w:szCs w:val="18"/>
          <w:lang w:val="fr-CA"/>
        </w:rPr>
        <w:t xml:space="preserve">, [En ligne]. </w:t>
      </w:r>
      <w:r w:rsidR="000912E4">
        <w:fldChar w:fldCharType="begin"/>
      </w:r>
      <w:r w:rsidR="000912E4" w:rsidRPr="003E3312">
        <w:rPr>
          <w:lang w:val="fr-CA"/>
        </w:rPr>
        <w:instrText>HYPERLINK "https://www.cdpdj.qc.ca/storage/app/media/publications/bilan_charte.pdf"</w:instrText>
      </w:r>
      <w:r w:rsidR="000912E4">
        <w:fldChar w:fldCharType="separate"/>
      </w:r>
      <w:r w:rsidR="000912E4" w:rsidRPr="0085310E">
        <w:rPr>
          <w:rStyle w:val="Lienhypertexte"/>
          <w:rFonts w:ascii="Arial" w:hAnsi="Arial" w:cs="Arial"/>
          <w:sz w:val="18"/>
          <w:szCs w:val="18"/>
        </w:rPr>
        <w:t>https://www.cdpdj.qc.ca/storage/app/media/publications/bilan_charte.pdf</w:t>
      </w:r>
      <w:r w:rsidR="000912E4">
        <w:rPr>
          <w:rStyle w:val="Lienhypertexte"/>
          <w:rFonts w:ascii="Arial" w:hAnsi="Arial" w:cs="Arial"/>
          <w:sz w:val="18"/>
          <w:szCs w:val="18"/>
        </w:rPr>
        <w:fldChar w:fldCharType="end"/>
      </w:r>
      <w:r w:rsidR="000912E4" w:rsidRPr="0085310E">
        <w:rPr>
          <w:rFonts w:ascii="Arial" w:hAnsi="Arial" w:cs="Arial"/>
          <w:sz w:val="18"/>
          <w:szCs w:val="18"/>
        </w:rPr>
        <w:t xml:space="preserve"> </w:t>
      </w:r>
      <w:r w:rsidR="00CD7849" w:rsidRPr="0085310E">
        <w:rPr>
          <w:rFonts w:ascii="Arial" w:hAnsi="Arial" w:cs="Arial"/>
          <w:sz w:val="18"/>
          <w:szCs w:val="18"/>
        </w:rPr>
        <w:t xml:space="preserve"> </w:t>
      </w:r>
    </w:p>
  </w:endnote>
  <w:endnote w:id="379">
    <w:p w14:paraId="0E15B500" w14:textId="4C11EE26" w:rsidR="006D2BEC" w:rsidRPr="00BD22C2" w:rsidRDefault="006D2BE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0B6C89" w:rsidRPr="00BD22C2">
        <w:rPr>
          <w:rFonts w:ascii="Arial" w:hAnsi="Arial" w:cs="Arial"/>
          <w:smallCaps/>
          <w:sz w:val="18"/>
          <w:szCs w:val="18"/>
          <w:lang w:val="fr-CA"/>
        </w:rPr>
        <w:t>Comité des droits de l’enfant</w:t>
      </w:r>
      <w:r w:rsidR="000B6C89" w:rsidRPr="00BD22C2">
        <w:rPr>
          <w:rFonts w:ascii="Arial" w:hAnsi="Arial" w:cs="Arial"/>
          <w:sz w:val="18"/>
          <w:szCs w:val="18"/>
          <w:lang w:val="fr-CA"/>
        </w:rPr>
        <w:t xml:space="preserve">, </w:t>
      </w:r>
      <w:r w:rsidR="000B6C89" w:rsidRPr="00BD22C2">
        <w:rPr>
          <w:rFonts w:ascii="Arial" w:hAnsi="Arial" w:cs="Arial"/>
          <w:i/>
          <w:sz w:val="18"/>
          <w:szCs w:val="18"/>
          <w:lang w:val="fr-CA"/>
        </w:rPr>
        <w:t>Observation générale n</w:t>
      </w:r>
      <w:r w:rsidR="000B6C89" w:rsidRPr="00BD22C2">
        <w:rPr>
          <w:rFonts w:ascii="Arial" w:hAnsi="Arial" w:cs="Arial"/>
          <w:i/>
          <w:sz w:val="18"/>
          <w:szCs w:val="18"/>
          <w:vertAlign w:val="superscript"/>
          <w:lang w:val="fr-CA"/>
        </w:rPr>
        <w:t>o</w:t>
      </w:r>
      <w:r w:rsidR="000B6C89" w:rsidRPr="00BD22C2">
        <w:rPr>
          <w:rFonts w:ascii="Arial" w:hAnsi="Arial" w:cs="Arial"/>
          <w:i/>
          <w:sz w:val="18"/>
          <w:szCs w:val="18"/>
          <w:lang w:val="fr-CA"/>
        </w:rPr>
        <w:t> 14</w:t>
      </w:r>
      <w:r w:rsidR="000B6C89" w:rsidRPr="00BD22C2">
        <w:rPr>
          <w:rFonts w:ascii="Arial" w:hAnsi="Arial" w:cs="Arial"/>
          <w:sz w:val="18"/>
          <w:szCs w:val="18"/>
          <w:lang w:val="fr-CA"/>
        </w:rPr>
        <w:t xml:space="preserve">, </w:t>
      </w:r>
      <w:r w:rsidR="00DF4697" w:rsidRPr="00BD22C2">
        <w:rPr>
          <w:rFonts w:ascii="Arial" w:hAnsi="Arial" w:cs="Arial"/>
          <w:sz w:val="18"/>
          <w:szCs w:val="18"/>
          <w:lang w:val="fr-CA"/>
        </w:rPr>
        <w:t>préc., note</w:t>
      </w:r>
      <w:r w:rsidR="00CE1914">
        <w:rPr>
          <w:rFonts w:ascii="Arial" w:hAnsi="Arial" w:cs="Arial"/>
          <w:sz w:val="18"/>
          <w:szCs w:val="18"/>
          <w:lang w:val="fr-CA"/>
        </w:rPr>
        <w:t> </w:t>
      </w:r>
      <w:r w:rsidR="00B500DB" w:rsidRPr="00BD22C2">
        <w:rPr>
          <w:rFonts w:ascii="Arial" w:hAnsi="Arial" w:cs="Arial"/>
          <w:sz w:val="18"/>
          <w:szCs w:val="18"/>
          <w:lang w:val="fr-CA"/>
        </w:rPr>
        <w:fldChar w:fldCharType="begin"/>
      </w:r>
      <w:r w:rsidR="00B500DB" w:rsidRPr="00BD22C2">
        <w:rPr>
          <w:rFonts w:ascii="Arial" w:hAnsi="Arial" w:cs="Arial"/>
          <w:sz w:val="18"/>
          <w:szCs w:val="18"/>
          <w:lang w:val="fr-CA"/>
        </w:rPr>
        <w:instrText xml:space="preserve"> NOTEREF _Ref167441453 \h </w:instrText>
      </w:r>
      <w:r w:rsidR="00B500DB" w:rsidRPr="00BD22C2">
        <w:rPr>
          <w:rFonts w:ascii="Arial" w:hAnsi="Arial" w:cs="Arial"/>
          <w:sz w:val="18"/>
          <w:szCs w:val="18"/>
          <w:lang w:val="fr-CA"/>
        </w:rPr>
      </w:r>
      <w:r w:rsidR="00B500DB" w:rsidRPr="00BD22C2">
        <w:rPr>
          <w:rFonts w:ascii="Arial" w:hAnsi="Arial" w:cs="Arial"/>
          <w:sz w:val="18"/>
          <w:szCs w:val="18"/>
          <w:lang w:val="fr-CA"/>
        </w:rPr>
        <w:fldChar w:fldCharType="separate"/>
      </w:r>
      <w:r w:rsidR="004B4881">
        <w:rPr>
          <w:rFonts w:ascii="Arial" w:hAnsi="Arial" w:cs="Arial"/>
          <w:sz w:val="18"/>
          <w:szCs w:val="18"/>
          <w:lang w:val="fr-CA"/>
        </w:rPr>
        <w:t>245</w:t>
      </w:r>
      <w:r w:rsidR="00B500DB" w:rsidRPr="00BD22C2">
        <w:rPr>
          <w:rFonts w:ascii="Arial" w:hAnsi="Arial" w:cs="Arial"/>
          <w:sz w:val="18"/>
          <w:szCs w:val="18"/>
          <w:lang w:val="fr-CA"/>
        </w:rPr>
        <w:fldChar w:fldCharType="end"/>
      </w:r>
      <w:r w:rsidR="00B500DB" w:rsidRPr="00BD22C2">
        <w:rPr>
          <w:rFonts w:ascii="Arial" w:hAnsi="Arial" w:cs="Arial"/>
          <w:sz w:val="18"/>
          <w:szCs w:val="18"/>
          <w:lang w:val="fr-CA"/>
        </w:rPr>
        <w:t xml:space="preserve">, </w:t>
      </w:r>
      <w:r w:rsidR="000B6C89" w:rsidRPr="00BD22C2">
        <w:rPr>
          <w:rFonts w:ascii="Arial" w:hAnsi="Arial" w:cs="Arial"/>
          <w:sz w:val="18"/>
          <w:szCs w:val="18"/>
          <w:lang w:val="fr-CA"/>
        </w:rPr>
        <w:t>par. 11</w:t>
      </w:r>
      <w:r w:rsidR="00044F3F" w:rsidRPr="00BD22C2">
        <w:rPr>
          <w:rFonts w:ascii="Arial" w:hAnsi="Arial" w:cs="Arial"/>
          <w:sz w:val="18"/>
          <w:szCs w:val="18"/>
          <w:lang w:val="fr-CA"/>
        </w:rPr>
        <w:t xml:space="preserve"> et </w:t>
      </w:r>
      <w:r w:rsidR="000B6C89" w:rsidRPr="00BD22C2">
        <w:rPr>
          <w:rFonts w:ascii="Arial" w:hAnsi="Arial" w:cs="Arial"/>
          <w:sz w:val="18"/>
          <w:szCs w:val="18"/>
          <w:lang w:val="fr-CA"/>
        </w:rPr>
        <w:t xml:space="preserve">12. </w:t>
      </w:r>
    </w:p>
  </w:endnote>
  <w:endnote w:id="380">
    <w:p w14:paraId="71CD8735" w14:textId="5C8AC256" w:rsidR="006D2BEC" w:rsidRPr="00BD22C2" w:rsidRDefault="006D2BE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w:t>
      </w:r>
    </w:p>
  </w:endnote>
  <w:endnote w:id="381">
    <w:p w14:paraId="74C8DDA8" w14:textId="3AE641C2" w:rsidR="006D2BEC" w:rsidRPr="00BD22C2" w:rsidRDefault="006D2BE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3118BD" w:rsidRPr="00BD22C2">
        <w:rPr>
          <w:rFonts w:ascii="Arial" w:hAnsi="Arial" w:cs="Arial"/>
          <w:sz w:val="18"/>
          <w:szCs w:val="18"/>
          <w:lang w:val="fr-CA"/>
        </w:rPr>
        <w:t xml:space="preserve">Pascale </w:t>
      </w:r>
      <w:r w:rsidR="003118BD" w:rsidRPr="00BD22C2">
        <w:rPr>
          <w:rFonts w:ascii="Arial" w:hAnsi="Arial" w:cs="Arial"/>
          <w:smallCaps/>
          <w:sz w:val="18"/>
          <w:szCs w:val="18"/>
          <w:lang w:val="fr-CA"/>
        </w:rPr>
        <w:t>Turbide</w:t>
      </w:r>
      <w:r w:rsidR="003118BD" w:rsidRPr="00BD22C2">
        <w:rPr>
          <w:rFonts w:ascii="Arial" w:hAnsi="Arial" w:cs="Arial"/>
          <w:sz w:val="18"/>
          <w:szCs w:val="18"/>
          <w:lang w:val="fr-CA"/>
        </w:rPr>
        <w:t>,</w:t>
      </w:r>
      <w:r w:rsidR="004075B7" w:rsidRPr="00BD22C2">
        <w:rPr>
          <w:rFonts w:ascii="Arial" w:hAnsi="Arial" w:cs="Arial"/>
          <w:sz w:val="18"/>
          <w:szCs w:val="18"/>
          <w:lang w:val="fr-CA"/>
        </w:rPr>
        <w:t xml:space="preserve"> Michael </w:t>
      </w:r>
      <w:r w:rsidR="004075B7" w:rsidRPr="00BD22C2">
        <w:rPr>
          <w:rFonts w:ascii="Arial" w:hAnsi="Arial" w:cs="Arial"/>
          <w:smallCaps/>
          <w:sz w:val="18"/>
          <w:szCs w:val="18"/>
          <w:lang w:val="fr-CA"/>
        </w:rPr>
        <w:t>Deetjens</w:t>
      </w:r>
      <w:r w:rsidR="004075B7" w:rsidRPr="00BD22C2">
        <w:rPr>
          <w:rFonts w:ascii="Arial" w:hAnsi="Arial" w:cs="Arial"/>
          <w:sz w:val="18"/>
          <w:szCs w:val="18"/>
          <w:lang w:val="fr-CA"/>
        </w:rPr>
        <w:t xml:space="preserve"> et Bernard </w:t>
      </w:r>
      <w:r w:rsidR="004075B7" w:rsidRPr="00BD22C2">
        <w:rPr>
          <w:rFonts w:ascii="Arial" w:hAnsi="Arial" w:cs="Arial"/>
          <w:smallCaps/>
          <w:sz w:val="18"/>
          <w:szCs w:val="18"/>
          <w:lang w:val="fr-CA"/>
        </w:rPr>
        <w:t>Leduc</w:t>
      </w:r>
      <w:r w:rsidR="003118BD" w:rsidRPr="00BD22C2">
        <w:rPr>
          <w:rFonts w:ascii="Arial" w:hAnsi="Arial" w:cs="Arial"/>
          <w:sz w:val="18"/>
          <w:szCs w:val="18"/>
          <w:lang w:val="fr-CA"/>
        </w:rPr>
        <w:t xml:space="preserve"> </w:t>
      </w:r>
      <w:r w:rsidR="001F2F54" w:rsidRPr="00BD22C2">
        <w:rPr>
          <w:rFonts w:ascii="Arial" w:hAnsi="Arial" w:cs="Arial"/>
          <w:sz w:val="18"/>
          <w:szCs w:val="18"/>
          <w:lang w:val="fr-CA"/>
        </w:rPr>
        <w:t>pour Enquête, «</w:t>
      </w:r>
      <w:r w:rsidR="0051216B" w:rsidRPr="00BD22C2">
        <w:rPr>
          <w:rFonts w:ascii="Arial" w:hAnsi="Arial" w:cs="Arial"/>
          <w:sz w:val="18"/>
          <w:szCs w:val="18"/>
          <w:lang w:val="fr-CA"/>
        </w:rPr>
        <w:t> </w:t>
      </w:r>
      <w:r w:rsidR="001F2F54" w:rsidRPr="00BD22C2">
        <w:rPr>
          <w:rFonts w:ascii="Arial" w:hAnsi="Arial" w:cs="Arial"/>
          <w:sz w:val="18"/>
          <w:szCs w:val="18"/>
          <w:lang w:val="fr-CA"/>
        </w:rPr>
        <w:t>Transition médicale de genre chez les mineurs</w:t>
      </w:r>
      <w:r w:rsidR="0051216B" w:rsidRPr="00BD22C2">
        <w:rPr>
          <w:rFonts w:ascii="Arial" w:hAnsi="Arial" w:cs="Arial"/>
          <w:sz w:val="18"/>
          <w:szCs w:val="18"/>
          <w:lang w:val="fr-CA"/>
        </w:rPr>
        <w:t> </w:t>
      </w:r>
      <w:r w:rsidR="001F2F54" w:rsidRPr="00BD22C2">
        <w:rPr>
          <w:rFonts w:ascii="Arial" w:hAnsi="Arial" w:cs="Arial"/>
          <w:sz w:val="18"/>
          <w:szCs w:val="18"/>
          <w:lang w:val="fr-CA"/>
        </w:rPr>
        <w:t>: le Québec va-t-il trop vite</w:t>
      </w:r>
      <w:r w:rsidR="0051216B" w:rsidRPr="00BD22C2">
        <w:rPr>
          <w:rFonts w:ascii="Arial" w:hAnsi="Arial" w:cs="Arial"/>
          <w:sz w:val="18"/>
          <w:szCs w:val="18"/>
          <w:lang w:val="fr-CA"/>
        </w:rPr>
        <w:t> </w:t>
      </w:r>
      <w:r w:rsidR="001F2F54" w:rsidRPr="00BD22C2">
        <w:rPr>
          <w:rFonts w:ascii="Arial" w:hAnsi="Arial" w:cs="Arial"/>
          <w:sz w:val="18"/>
          <w:szCs w:val="18"/>
          <w:lang w:val="fr-CA"/>
        </w:rPr>
        <w:t>?</w:t>
      </w:r>
      <w:r w:rsidR="0051216B" w:rsidRPr="00BD22C2">
        <w:rPr>
          <w:rFonts w:ascii="Arial" w:hAnsi="Arial" w:cs="Arial"/>
          <w:sz w:val="18"/>
          <w:szCs w:val="18"/>
          <w:lang w:val="fr-CA"/>
        </w:rPr>
        <w:t> </w:t>
      </w:r>
      <w:r w:rsidR="001F2F54" w:rsidRPr="00BD22C2">
        <w:rPr>
          <w:rFonts w:ascii="Arial" w:hAnsi="Arial" w:cs="Arial"/>
          <w:sz w:val="18"/>
          <w:szCs w:val="18"/>
          <w:lang w:val="fr-CA"/>
        </w:rPr>
        <w:t>»</w:t>
      </w:r>
      <w:r w:rsidR="003C52A4" w:rsidRPr="00BD22C2">
        <w:rPr>
          <w:rFonts w:ascii="Arial" w:hAnsi="Arial" w:cs="Arial"/>
          <w:sz w:val="18"/>
          <w:szCs w:val="18"/>
          <w:lang w:val="fr-CA"/>
        </w:rPr>
        <w:t xml:space="preserve">, </w:t>
      </w:r>
      <w:r w:rsidR="002B5173" w:rsidRPr="00BD22C2">
        <w:rPr>
          <w:rFonts w:ascii="Arial" w:hAnsi="Arial" w:cs="Arial"/>
          <w:i/>
          <w:iCs/>
          <w:sz w:val="18"/>
          <w:szCs w:val="18"/>
          <w:lang w:val="fr-CA"/>
        </w:rPr>
        <w:t>Radio-Canada</w:t>
      </w:r>
      <w:r w:rsidR="002B5173" w:rsidRPr="00BD22C2">
        <w:rPr>
          <w:rFonts w:ascii="Arial" w:hAnsi="Arial" w:cs="Arial"/>
          <w:sz w:val="18"/>
          <w:szCs w:val="18"/>
          <w:lang w:val="fr-CA"/>
        </w:rPr>
        <w:t xml:space="preserve">, </w:t>
      </w:r>
      <w:r w:rsidR="003C52A4" w:rsidRPr="00BD22C2">
        <w:rPr>
          <w:rFonts w:ascii="Arial" w:hAnsi="Arial" w:cs="Arial"/>
          <w:sz w:val="18"/>
          <w:szCs w:val="18"/>
          <w:lang w:val="fr-CA"/>
        </w:rPr>
        <w:t xml:space="preserve">2024, </w:t>
      </w:r>
      <w:r w:rsidR="00771397" w:rsidRPr="00BD22C2">
        <w:rPr>
          <w:rFonts w:ascii="Arial" w:hAnsi="Arial" w:cs="Arial"/>
          <w:sz w:val="18"/>
          <w:szCs w:val="18"/>
          <w:lang w:val="fr-CA"/>
        </w:rPr>
        <w:t>[E</w:t>
      </w:r>
      <w:r w:rsidR="003C52A4" w:rsidRPr="00BD22C2">
        <w:rPr>
          <w:rFonts w:ascii="Arial" w:hAnsi="Arial" w:cs="Arial"/>
          <w:sz w:val="18"/>
          <w:szCs w:val="18"/>
          <w:lang w:val="fr-CA"/>
        </w:rPr>
        <w:t>n ligne</w:t>
      </w:r>
      <w:r w:rsidR="00771397" w:rsidRPr="00BD22C2">
        <w:rPr>
          <w:rFonts w:ascii="Arial" w:hAnsi="Arial" w:cs="Arial"/>
          <w:sz w:val="18"/>
          <w:szCs w:val="18"/>
          <w:lang w:val="fr-CA"/>
        </w:rPr>
        <w:t>],</w:t>
      </w:r>
      <w:r w:rsidR="003C52A4" w:rsidRPr="00BD22C2">
        <w:rPr>
          <w:rFonts w:ascii="Arial" w:hAnsi="Arial" w:cs="Arial"/>
          <w:sz w:val="18"/>
          <w:szCs w:val="18"/>
          <w:lang w:val="fr-CA"/>
        </w:rPr>
        <w:t xml:space="preserve"> &lt;</w:t>
      </w:r>
      <w:hyperlink r:id="rId114" w:history="1">
        <w:r w:rsidRPr="00BD22C2">
          <w:rPr>
            <w:rStyle w:val="Lienhypertexte"/>
            <w:rFonts w:ascii="Arial" w:hAnsi="Arial" w:cs="Arial"/>
            <w:sz w:val="18"/>
            <w:szCs w:val="18"/>
            <w:lang w:val="fr-CA"/>
          </w:rPr>
          <w:t>https://ici.radio-canada.ca/recit-numerique/8610/transition-genre-testoterone-choix-dysphorie-sante-mentale</w:t>
        </w:r>
      </w:hyperlink>
      <w:r w:rsidR="003C52A4" w:rsidRPr="00BD22C2">
        <w:rPr>
          <w:rFonts w:ascii="Arial" w:hAnsi="Arial" w:cs="Arial"/>
          <w:sz w:val="18"/>
          <w:szCs w:val="18"/>
          <w:lang w:val="fr-CA"/>
        </w:rPr>
        <w:t>&gt;.</w:t>
      </w:r>
    </w:p>
  </w:endnote>
  <w:endnote w:id="382">
    <w:p w14:paraId="568F0AF4" w14:textId="7ECB1C57" w:rsidR="004C4C64" w:rsidRPr="00F11979" w:rsidRDefault="004C4C64" w:rsidP="00AF36B2">
      <w:pPr>
        <w:pStyle w:val="Notedebasdepage"/>
        <w:rPr>
          <w:rFonts w:cs="Arial"/>
          <w:lang w:val="fr-CA"/>
        </w:rPr>
      </w:pPr>
      <w:r w:rsidRPr="00BD22C2">
        <w:rPr>
          <w:rStyle w:val="Appeldenotedefin"/>
          <w:rFonts w:cs="Arial"/>
          <w:szCs w:val="18"/>
          <w:lang w:val="fr-CA"/>
        </w:rPr>
        <w:endnoteRef/>
      </w:r>
      <w:r w:rsidRPr="00F11979">
        <w:rPr>
          <w:rFonts w:cs="Arial"/>
          <w:lang w:val="fr-CA"/>
        </w:rPr>
        <w:t xml:space="preserve"> </w:t>
      </w:r>
      <w:r w:rsidR="001E26FD" w:rsidRPr="00F11979">
        <w:rPr>
          <w:rFonts w:cs="Arial"/>
          <w:lang w:val="fr-CA"/>
        </w:rPr>
        <w:tab/>
      </w:r>
      <w:r w:rsidR="000776E5" w:rsidRPr="00F11979">
        <w:rPr>
          <w:rFonts w:eastAsia="Calibri"/>
          <w:lang w:val="fr-CA"/>
        </w:rPr>
        <w:t>Enquête SAVIE-LGBTQ (2019-2020), Chaire de recherche sur la diversité sexuelle et la pluralité des genres</w:t>
      </w:r>
      <w:r w:rsidR="00FA6998" w:rsidRPr="00F11979">
        <w:rPr>
          <w:lang w:val="fr-CA"/>
        </w:rPr>
        <w:t>.</w:t>
      </w:r>
      <w:r w:rsidR="000776E5" w:rsidRPr="00F11979">
        <w:rPr>
          <w:rFonts w:eastAsia="Calibri"/>
          <w:lang w:val="fr-CA"/>
        </w:rPr>
        <w:t xml:space="preserve"> Ces résultats sont tirées d’une enquête en ligne auprès de 4980</w:t>
      </w:r>
      <w:r w:rsidR="00B32B61">
        <w:rPr>
          <w:rFonts w:eastAsia="Calibri"/>
          <w:lang w:val="fr-CA"/>
        </w:rPr>
        <w:t> </w:t>
      </w:r>
      <w:r w:rsidR="000776E5" w:rsidRPr="00F11979">
        <w:rPr>
          <w:rFonts w:eastAsia="Calibri"/>
          <w:lang w:val="fr-CA"/>
        </w:rPr>
        <w:t>participant.e.s LGBTQ de 18</w:t>
      </w:r>
      <w:r w:rsidR="00B32B61">
        <w:rPr>
          <w:rFonts w:eastAsia="Calibri"/>
          <w:lang w:val="fr-CA"/>
        </w:rPr>
        <w:t> </w:t>
      </w:r>
      <w:r w:rsidR="000776E5" w:rsidRPr="00F11979">
        <w:rPr>
          <w:rFonts w:eastAsia="Calibri"/>
          <w:lang w:val="fr-CA"/>
        </w:rPr>
        <w:t>ans et plus vivant au Québec. Seules les données statistiquement significatives sont présentées.</w:t>
      </w:r>
    </w:p>
  </w:endnote>
  <w:endnote w:id="383">
    <w:p w14:paraId="58EC7B54" w14:textId="6FD3C691" w:rsidR="006D2BEC" w:rsidRPr="00BD22C2" w:rsidRDefault="006D2BE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947A04" w:rsidRPr="00BD22C2">
        <w:rPr>
          <w:rFonts w:ascii="Arial" w:hAnsi="Arial" w:cs="Arial"/>
          <w:smallCaps/>
          <w:sz w:val="18"/>
          <w:szCs w:val="18"/>
          <w:lang w:val="fr-CA"/>
        </w:rPr>
        <w:t>Gouvernement du Québec, Ministère de la Santé et des Services sociaux</w:t>
      </w:r>
      <w:r w:rsidR="00947A04" w:rsidRPr="00BD22C2">
        <w:rPr>
          <w:rFonts w:ascii="Arial" w:hAnsi="Arial" w:cs="Arial"/>
          <w:sz w:val="18"/>
          <w:szCs w:val="18"/>
          <w:lang w:val="fr-CA"/>
        </w:rPr>
        <w:t>, préc., note</w:t>
      </w:r>
      <w:r w:rsidR="00CE1914">
        <w:rPr>
          <w:rFonts w:ascii="Arial" w:hAnsi="Arial" w:cs="Arial"/>
          <w:sz w:val="18"/>
          <w:szCs w:val="18"/>
          <w:lang w:val="fr-CA"/>
        </w:rPr>
        <w:t> </w:t>
      </w:r>
      <w:r w:rsidR="00947A04" w:rsidRPr="00BD22C2">
        <w:rPr>
          <w:rFonts w:ascii="Arial" w:hAnsi="Arial" w:cs="Arial"/>
          <w:sz w:val="18"/>
          <w:szCs w:val="18"/>
          <w:lang w:val="fr-CA"/>
        </w:rPr>
        <w:fldChar w:fldCharType="begin"/>
      </w:r>
      <w:r w:rsidR="00947A04" w:rsidRPr="00BD22C2">
        <w:rPr>
          <w:rFonts w:ascii="Arial" w:hAnsi="Arial" w:cs="Arial"/>
          <w:sz w:val="18"/>
          <w:szCs w:val="18"/>
          <w:lang w:val="fr-CA"/>
        </w:rPr>
        <w:instrText xml:space="preserve"> NOTEREF _Ref167367810 \h </w:instrText>
      </w:r>
      <w:r w:rsidR="00947A04" w:rsidRPr="00BD22C2">
        <w:rPr>
          <w:rFonts w:ascii="Arial" w:hAnsi="Arial" w:cs="Arial"/>
          <w:sz w:val="18"/>
          <w:szCs w:val="18"/>
          <w:lang w:val="fr-CA"/>
        </w:rPr>
      </w:r>
      <w:r w:rsidR="00947A04" w:rsidRPr="00BD22C2">
        <w:rPr>
          <w:rFonts w:ascii="Arial" w:hAnsi="Arial" w:cs="Arial"/>
          <w:sz w:val="18"/>
          <w:szCs w:val="18"/>
          <w:lang w:val="fr-CA"/>
        </w:rPr>
        <w:fldChar w:fldCharType="separate"/>
      </w:r>
      <w:r w:rsidR="004B4881">
        <w:rPr>
          <w:rFonts w:ascii="Arial" w:hAnsi="Arial" w:cs="Arial"/>
          <w:sz w:val="18"/>
          <w:szCs w:val="18"/>
          <w:lang w:val="fr-CA"/>
        </w:rPr>
        <w:t>326</w:t>
      </w:r>
      <w:r w:rsidR="00947A04" w:rsidRPr="00BD22C2">
        <w:rPr>
          <w:rFonts w:ascii="Arial" w:hAnsi="Arial" w:cs="Arial"/>
          <w:sz w:val="18"/>
          <w:szCs w:val="18"/>
          <w:lang w:val="fr-CA"/>
        </w:rPr>
        <w:fldChar w:fldCharType="end"/>
      </w:r>
      <w:r w:rsidR="00947A04" w:rsidRPr="00BD22C2">
        <w:rPr>
          <w:rFonts w:ascii="Arial" w:hAnsi="Arial" w:cs="Arial"/>
          <w:sz w:val="18"/>
          <w:szCs w:val="18"/>
          <w:lang w:val="fr-CA"/>
        </w:rPr>
        <w:t>.</w:t>
      </w:r>
    </w:p>
  </w:endnote>
  <w:endnote w:id="384">
    <w:p w14:paraId="3B9CDAE0" w14:textId="6708A200" w:rsidR="000F4AC1" w:rsidRPr="007C3B01" w:rsidRDefault="000F4AC1" w:rsidP="00F11979">
      <w:pPr>
        <w:pStyle w:val="Notedebasdepage"/>
      </w:pPr>
      <w:r>
        <w:rPr>
          <w:rStyle w:val="Appeldenotedefin"/>
        </w:rPr>
        <w:endnoteRef/>
      </w:r>
      <w:r w:rsidRPr="007C3B01">
        <w:t xml:space="preserve"> </w:t>
      </w:r>
      <w:r>
        <w:tab/>
      </w:r>
      <w:r w:rsidRPr="00F11979">
        <w:rPr>
          <w:i/>
        </w:rPr>
        <w:t>Code des professions</w:t>
      </w:r>
      <w:r>
        <w:t xml:space="preserve">, </w:t>
      </w:r>
      <w:r w:rsidR="00B103B8">
        <w:t>L.R.Q., c. C</w:t>
      </w:r>
      <w:r w:rsidR="00CE1914">
        <w:t> </w:t>
      </w:r>
      <w:r w:rsidR="00B103B8">
        <w:t>-26, art.</w:t>
      </w:r>
      <w:r w:rsidR="00CE1914">
        <w:t> </w:t>
      </w:r>
      <w:r w:rsidR="00A52F36">
        <w:t>23.</w:t>
      </w:r>
    </w:p>
  </w:endnote>
  <w:endnote w:id="385">
    <w:p w14:paraId="762CBF3F" w14:textId="33404339" w:rsidR="00BA0E30" w:rsidRPr="0085310E" w:rsidRDefault="00BA0E30"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D742DD" w:rsidRPr="00BD22C2">
        <w:rPr>
          <w:rFonts w:ascii="Arial" w:hAnsi="Arial" w:cs="Arial"/>
          <w:sz w:val="18"/>
          <w:szCs w:val="18"/>
          <w:lang w:val="fr-CA"/>
        </w:rPr>
        <w:t xml:space="preserve">Voir par exemple : </w:t>
      </w:r>
      <w:r w:rsidR="00B0303D" w:rsidRPr="00BD22C2">
        <w:rPr>
          <w:rFonts w:ascii="Arial" w:hAnsi="Arial" w:cs="Arial"/>
          <w:sz w:val="18"/>
          <w:szCs w:val="18"/>
          <w:lang w:val="fr-CA"/>
        </w:rPr>
        <w:t xml:space="preserve">Hugo </w:t>
      </w:r>
      <w:r w:rsidR="00B0303D" w:rsidRPr="00BD22C2">
        <w:rPr>
          <w:rFonts w:ascii="Arial" w:hAnsi="Arial" w:cs="Arial"/>
          <w:smallCaps/>
          <w:sz w:val="18"/>
          <w:szCs w:val="18"/>
          <w:lang w:val="fr-CA"/>
        </w:rPr>
        <w:t>Pilon-Larose</w:t>
      </w:r>
      <w:r w:rsidR="00B0303D" w:rsidRPr="00BD22C2">
        <w:rPr>
          <w:rFonts w:ascii="Arial" w:hAnsi="Arial" w:cs="Arial"/>
          <w:sz w:val="18"/>
          <w:szCs w:val="18"/>
          <w:lang w:val="fr-CA"/>
        </w:rPr>
        <w:t>, «</w:t>
      </w:r>
      <w:r w:rsidR="00595E85">
        <w:rPr>
          <w:rFonts w:ascii="Arial" w:hAnsi="Arial" w:cs="Arial"/>
          <w:sz w:val="18"/>
          <w:szCs w:val="18"/>
          <w:lang w:val="fr-CA"/>
        </w:rPr>
        <w:t> </w:t>
      </w:r>
      <w:r w:rsidR="00B0303D" w:rsidRPr="00BD22C2">
        <w:rPr>
          <w:rFonts w:ascii="Arial" w:hAnsi="Arial" w:cs="Arial"/>
          <w:sz w:val="18"/>
          <w:szCs w:val="18"/>
          <w:lang w:val="fr-CA"/>
        </w:rPr>
        <w:t>Drainville exige le maintien de toilettes non mixtes</w:t>
      </w:r>
      <w:r w:rsidR="00595E85">
        <w:rPr>
          <w:rFonts w:ascii="Arial" w:hAnsi="Arial" w:cs="Arial"/>
          <w:sz w:val="18"/>
          <w:szCs w:val="18"/>
          <w:lang w:val="fr-CA"/>
        </w:rPr>
        <w:t> </w:t>
      </w:r>
      <w:r w:rsidR="00B0303D" w:rsidRPr="00BD22C2">
        <w:rPr>
          <w:rFonts w:ascii="Arial" w:hAnsi="Arial" w:cs="Arial"/>
          <w:sz w:val="18"/>
          <w:szCs w:val="18"/>
          <w:lang w:val="fr-CA"/>
        </w:rPr>
        <w:t xml:space="preserve">», </w:t>
      </w:r>
      <w:r w:rsidR="00B0303D" w:rsidRPr="00BD22C2">
        <w:rPr>
          <w:rFonts w:ascii="Arial" w:hAnsi="Arial" w:cs="Arial"/>
          <w:i/>
          <w:iCs/>
          <w:sz w:val="18"/>
          <w:szCs w:val="18"/>
          <w:lang w:val="fr-CA"/>
        </w:rPr>
        <w:t xml:space="preserve">La Presse, </w:t>
      </w:r>
      <w:r w:rsidR="00B0303D" w:rsidRPr="00BD22C2">
        <w:rPr>
          <w:rFonts w:ascii="Arial" w:hAnsi="Arial" w:cs="Arial"/>
          <w:sz w:val="18"/>
          <w:szCs w:val="18"/>
          <w:lang w:val="fr-CA"/>
        </w:rPr>
        <w:t>12</w:t>
      </w:r>
      <w:r w:rsidR="00762FE8">
        <w:rPr>
          <w:rFonts w:ascii="Arial" w:hAnsi="Arial" w:cs="Arial"/>
          <w:sz w:val="18"/>
          <w:szCs w:val="18"/>
          <w:lang w:val="fr-CA"/>
        </w:rPr>
        <w:t> </w:t>
      </w:r>
      <w:r w:rsidR="00B0303D" w:rsidRPr="00BD22C2">
        <w:rPr>
          <w:rFonts w:ascii="Arial" w:hAnsi="Arial" w:cs="Arial"/>
          <w:sz w:val="18"/>
          <w:szCs w:val="18"/>
          <w:lang w:val="fr-CA"/>
        </w:rPr>
        <w:t>septembre 2023</w:t>
      </w:r>
      <w:r w:rsidR="00771397" w:rsidRPr="00BD22C2">
        <w:rPr>
          <w:rFonts w:ascii="Arial" w:hAnsi="Arial" w:cs="Arial"/>
          <w:sz w:val="18"/>
          <w:szCs w:val="18"/>
          <w:lang w:val="fr-CA"/>
        </w:rPr>
        <w:t xml:space="preserve">, [En ligne]. </w:t>
      </w:r>
      <w:r w:rsidR="0016605B">
        <w:fldChar w:fldCharType="begin"/>
      </w:r>
      <w:r w:rsidR="0016605B" w:rsidRPr="003E3312">
        <w:rPr>
          <w:lang w:val="fr-CA"/>
        </w:rPr>
        <w:instrText>HYPERLINK "https://www.lapresse.ca/actualites/education/2023-09-12/blocs-sanitaires-dans-les-ecoles/drainville-exige-le-maintien-de-toilettes-non-mixtes.php"</w:instrText>
      </w:r>
      <w:r w:rsidR="0016605B">
        <w:fldChar w:fldCharType="separate"/>
      </w:r>
      <w:r w:rsidR="0016605B" w:rsidRPr="00BD22C2">
        <w:rPr>
          <w:rStyle w:val="Lienhypertexte"/>
          <w:rFonts w:ascii="Arial" w:hAnsi="Arial" w:cs="Arial"/>
          <w:sz w:val="18"/>
          <w:szCs w:val="18"/>
          <w:lang w:val="fr-CA"/>
        </w:rPr>
        <w:t>https://www.lapresse.ca/actualites/education/2023-09-12/blocs-sanitaires-dans-les-ecoles/drainville-exige-le-maintien-de-toilettes-non-mixtes.php</w:t>
      </w:r>
      <w:r w:rsidR="0016605B">
        <w:rPr>
          <w:rStyle w:val="Lienhypertexte"/>
          <w:rFonts w:ascii="Arial" w:hAnsi="Arial" w:cs="Arial"/>
          <w:sz w:val="18"/>
          <w:szCs w:val="18"/>
          <w:lang w:val="fr-CA"/>
        </w:rPr>
        <w:fldChar w:fldCharType="end"/>
      </w:r>
      <w:r w:rsidR="0016605B" w:rsidRPr="00BD22C2">
        <w:rPr>
          <w:rFonts w:ascii="Arial" w:hAnsi="Arial" w:cs="Arial"/>
          <w:sz w:val="18"/>
          <w:szCs w:val="18"/>
          <w:lang w:val="fr-CA"/>
        </w:rPr>
        <w:t xml:space="preserve">; </w:t>
      </w:r>
      <w:r w:rsidR="00EF54FF" w:rsidRPr="003D39E5">
        <w:rPr>
          <w:rFonts w:ascii="Arial" w:hAnsi="Arial" w:cs="Arial"/>
          <w:smallCaps/>
          <w:sz w:val="18"/>
          <w:szCs w:val="18"/>
          <w:lang w:val="fr-CA"/>
        </w:rPr>
        <w:t>Agence QMI</w:t>
      </w:r>
      <w:r w:rsidR="00EF54FF" w:rsidRPr="00BD22C2">
        <w:rPr>
          <w:rFonts w:ascii="Arial" w:hAnsi="Arial" w:cs="Arial"/>
          <w:sz w:val="18"/>
          <w:szCs w:val="18"/>
          <w:lang w:val="fr-CA"/>
        </w:rPr>
        <w:t>, «</w:t>
      </w:r>
      <w:r w:rsidR="00595E85">
        <w:rPr>
          <w:rFonts w:ascii="Arial" w:hAnsi="Arial" w:cs="Arial"/>
          <w:sz w:val="18"/>
          <w:szCs w:val="18"/>
          <w:lang w:val="fr-CA"/>
        </w:rPr>
        <w:t> </w:t>
      </w:r>
      <w:r w:rsidR="00EF54FF" w:rsidRPr="00BD22C2">
        <w:rPr>
          <w:rFonts w:ascii="Arial" w:hAnsi="Arial" w:cs="Arial"/>
          <w:sz w:val="18"/>
          <w:szCs w:val="18"/>
          <w:lang w:val="fr-CA"/>
        </w:rPr>
        <w:t>Centre aquatique : Granby revient sur sa décision pour les vestiaires non genrés</w:t>
      </w:r>
      <w:r w:rsidR="00595E85">
        <w:rPr>
          <w:rFonts w:ascii="Arial" w:hAnsi="Arial" w:cs="Arial"/>
          <w:sz w:val="18"/>
          <w:szCs w:val="18"/>
          <w:lang w:val="fr-CA"/>
        </w:rPr>
        <w:t> </w:t>
      </w:r>
      <w:r w:rsidR="00EF54FF" w:rsidRPr="00BD22C2">
        <w:rPr>
          <w:rFonts w:ascii="Arial" w:hAnsi="Arial" w:cs="Arial"/>
          <w:sz w:val="18"/>
          <w:szCs w:val="18"/>
          <w:lang w:val="fr-CA"/>
        </w:rPr>
        <w:t xml:space="preserve">», </w:t>
      </w:r>
      <w:r w:rsidR="00EF54FF" w:rsidRPr="00BD22C2">
        <w:rPr>
          <w:rFonts w:ascii="Arial" w:hAnsi="Arial" w:cs="Arial"/>
          <w:i/>
          <w:iCs/>
          <w:sz w:val="18"/>
          <w:szCs w:val="18"/>
          <w:lang w:val="fr-CA"/>
        </w:rPr>
        <w:t xml:space="preserve">Le </w:t>
      </w:r>
      <w:r w:rsidR="00CB7896" w:rsidRPr="00BD22C2">
        <w:rPr>
          <w:rFonts w:ascii="Arial" w:hAnsi="Arial" w:cs="Arial"/>
          <w:i/>
          <w:iCs/>
          <w:sz w:val="18"/>
          <w:szCs w:val="18"/>
          <w:lang w:val="fr-CA"/>
        </w:rPr>
        <w:t>J</w:t>
      </w:r>
      <w:r w:rsidR="00EF54FF" w:rsidRPr="00BD22C2">
        <w:rPr>
          <w:rFonts w:ascii="Arial" w:hAnsi="Arial" w:cs="Arial"/>
          <w:i/>
          <w:iCs/>
          <w:sz w:val="18"/>
          <w:szCs w:val="18"/>
          <w:lang w:val="fr-CA"/>
        </w:rPr>
        <w:t>ournal de Montréal</w:t>
      </w:r>
      <w:r w:rsidR="00EF54FF" w:rsidRPr="00BD22C2">
        <w:rPr>
          <w:rFonts w:ascii="Arial" w:hAnsi="Arial" w:cs="Arial"/>
          <w:sz w:val="18"/>
          <w:szCs w:val="18"/>
          <w:lang w:val="fr-CA"/>
        </w:rPr>
        <w:t>, 19</w:t>
      </w:r>
      <w:r w:rsidR="00762FE8">
        <w:rPr>
          <w:rFonts w:ascii="Arial" w:hAnsi="Arial" w:cs="Arial"/>
          <w:sz w:val="18"/>
          <w:szCs w:val="18"/>
          <w:lang w:val="fr-CA"/>
        </w:rPr>
        <w:t> </w:t>
      </w:r>
      <w:r w:rsidR="00EF54FF" w:rsidRPr="00BD22C2">
        <w:rPr>
          <w:rFonts w:ascii="Arial" w:hAnsi="Arial" w:cs="Arial"/>
          <w:sz w:val="18"/>
          <w:szCs w:val="18"/>
          <w:lang w:val="fr-CA"/>
        </w:rPr>
        <w:t xml:space="preserve">décembre 2023, [En ligne]. </w:t>
      </w:r>
      <w:hyperlink r:id="rId115" w:history="1">
        <w:r w:rsidR="000A3548" w:rsidRPr="00BD22C2">
          <w:rPr>
            <w:rStyle w:val="Lienhypertexte"/>
            <w:rFonts w:ascii="Arial" w:hAnsi="Arial" w:cs="Arial"/>
            <w:sz w:val="18"/>
            <w:szCs w:val="18"/>
            <w:lang w:val="fr-CA"/>
          </w:rPr>
          <w:t>https://www.journaldemontreal.com/2023/12/19/centre-aquatique-granby-revient-sur-sa-decision-pour-les-vestiaires-non-genres</w:t>
        </w:r>
      </w:hyperlink>
      <w:r w:rsidR="000A3548" w:rsidRPr="00BD22C2">
        <w:rPr>
          <w:rFonts w:ascii="Arial" w:hAnsi="Arial" w:cs="Arial"/>
          <w:sz w:val="18"/>
          <w:szCs w:val="18"/>
          <w:lang w:val="fr-CA"/>
        </w:rPr>
        <w:t xml:space="preserve">; </w:t>
      </w:r>
      <w:r w:rsidR="0016605B" w:rsidRPr="00BD22C2">
        <w:rPr>
          <w:rFonts w:ascii="Arial" w:hAnsi="Arial" w:cs="Arial"/>
          <w:sz w:val="18"/>
          <w:szCs w:val="18"/>
          <w:lang w:val="fr-CA"/>
        </w:rPr>
        <w:t xml:space="preserve">Louise </w:t>
      </w:r>
      <w:r w:rsidR="0016605B" w:rsidRPr="00BD22C2">
        <w:rPr>
          <w:rFonts w:ascii="Arial" w:hAnsi="Arial" w:cs="Arial"/>
          <w:smallCaps/>
          <w:sz w:val="18"/>
          <w:szCs w:val="18"/>
          <w:lang w:val="fr-CA"/>
        </w:rPr>
        <w:t>Leduc</w:t>
      </w:r>
      <w:r w:rsidR="0016605B" w:rsidRPr="00BD22C2">
        <w:rPr>
          <w:rFonts w:ascii="Arial" w:hAnsi="Arial" w:cs="Arial"/>
          <w:sz w:val="18"/>
          <w:szCs w:val="18"/>
          <w:lang w:val="fr-CA"/>
        </w:rPr>
        <w:t>, «</w:t>
      </w:r>
      <w:r w:rsidR="00595E85">
        <w:rPr>
          <w:rFonts w:ascii="Arial" w:hAnsi="Arial" w:cs="Arial"/>
          <w:sz w:val="18"/>
          <w:szCs w:val="18"/>
          <w:lang w:val="fr-CA"/>
        </w:rPr>
        <w:t> </w:t>
      </w:r>
      <w:r w:rsidR="0016605B" w:rsidRPr="00BD22C2">
        <w:rPr>
          <w:rFonts w:ascii="Arial" w:hAnsi="Arial" w:cs="Arial"/>
          <w:sz w:val="18"/>
          <w:szCs w:val="18"/>
          <w:lang w:val="fr-CA"/>
        </w:rPr>
        <w:t xml:space="preserve">Vestiaire universel au CEPSUM. Des femmes se </w:t>
      </w:r>
      <w:r w:rsidR="009A1098">
        <w:rPr>
          <w:rFonts w:ascii="Arial" w:hAnsi="Arial" w:cs="Arial"/>
          <w:sz w:val="18"/>
          <w:szCs w:val="18"/>
          <w:lang w:val="fr-CA"/>
        </w:rPr>
        <w:t>s</w:t>
      </w:r>
      <w:r w:rsidR="0016605B" w:rsidRPr="00BD22C2">
        <w:rPr>
          <w:rFonts w:ascii="Arial" w:hAnsi="Arial" w:cs="Arial"/>
          <w:sz w:val="18"/>
          <w:szCs w:val="18"/>
          <w:lang w:val="fr-CA"/>
        </w:rPr>
        <w:t>ont plaintes d’in</w:t>
      </w:r>
      <w:r w:rsidR="009A1098">
        <w:rPr>
          <w:rFonts w:ascii="Arial" w:hAnsi="Arial" w:cs="Arial"/>
          <w:sz w:val="18"/>
          <w:szCs w:val="18"/>
          <w:lang w:val="fr-CA"/>
        </w:rPr>
        <w:t>civilités</w:t>
      </w:r>
      <w:r w:rsidR="00595E85">
        <w:rPr>
          <w:rFonts w:ascii="Arial" w:hAnsi="Arial" w:cs="Arial"/>
          <w:sz w:val="18"/>
          <w:szCs w:val="18"/>
          <w:lang w:val="fr-CA"/>
        </w:rPr>
        <w:t> </w:t>
      </w:r>
      <w:r w:rsidR="0016605B" w:rsidRPr="00BD22C2">
        <w:rPr>
          <w:rFonts w:ascii="Arial" w:hAnsi="Arial" w:cs="Arial"/>
          <w:sz w:val="18"/>
          <w:szCs w:val="18"/>
          <w:lang w:val="fr-CA"/>
        </w:rPr>
        <w:t xml:space="preserve">», </w:t>
      </w:r>
      <w:r w:rsidR="0016605B" w:rsidRPr="00BD22C2">
        <w:rPr>
          <w:rFonts w:ascii="Arial" w:hAnsi="Arial" w:cs="Arial"/>
          <w:i/>
          <w:iCs/>
          <w:sz w:val="18"/>
          <w:szCs w:val="18"/>
          <w:lang w:val="fr-CA"/>
        </w:rPr>
        <w:t xml:space="preserve">La Presse, </w:t>
      </w:r>
      <w:r w:rsidR="0016605B" w:rsidRPr="00BD22C2">
        <w:rPr>
          <w:rFonts w:ascii="Arial" w:hAnsi="Arial" w:cs="Arial"/>
          <w:sz w:val="18"/>
          <w:szCs w:val="18"/>
          <w:lang w:val="fr-CA"/>
        </w:rPr>
        <w:t>16</w:t>
      </w:r>
      <w:r w:rsidR="00762FE8">
        <w:rPr>
          <w:rFonts w:ascii="Arial" w:hAnsi="Arial" w:cs="Arial"/>
          <w:sz w:val="18"/>
          <w:szCs w:val="18"/>
          <w:lang w:val="fr-CA"/>
        </w:rPr>
        <w:t> </w:t>
      </w:r>
      <w:r w:rsidR="0016605B" w:rsidRPr="00BD22C2">
        <w:rPr>
          <w:rFonts w:ascii="Arial" w:hAnsi="Arial" w:cs="Arial"/>
          <w:sz w:val="18"/>
          <w:szCs w:val="18"/>
          <w:lang w:val="fr-CA"/>
        </w:rPr>
        <w:t xml:space="preserve">mars 2023, [En ligne]. </w:t>
      </w:r>
      <w:hyperlink r:id="rId116" w:history="1">
        <w:r w:rsidR="009106C2" w:rsidRPr="0085310E">
          <w:rPr>
            <w:rStyle w:val="Lienhypertexte"/>
            <w:rFonts w:ascii="Arial" w:hAnsi="Arial" w:cs="Arial"/>
            <w:sz w:val="18"/>
            <w:szCs w:val="18"/>
          </w:rPr>
          <w:t>https://www.lapresse.ca/actualites/2024-03-16/vestiaire-universel-au-cepsum/des-femmes-se-sont-plaintes-d-incivilites.php</w:t>
        </w:r>
      </w:hyperlink>
      <w:r w:rsidR="009106C2" w:rsidRPr="0085310E">
        <w:t xml:space="preserve"> </w:t>
      </w:r>
    </w:p>
  </w:endnote>
  <w:endnote w:id="386">
    <w:p w14:paraId="7F5F2E7E" w14:textId="1BA41DB7" w:rsidR="00BA0E30" w:rsidRPr="0085310E" w:rsidRDefault="00BA0E30"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90688E" w:rsidRPr="00BD22C2">
        <w:rPr>
          <w:rFonts w:ascii="Arial" w:hAnsi="Arial" w:cs="Arial"/>
          <w:sz w:val="18"/>
          <w:szCs w:val="18"/>
          <w:lang w:val="fr-CA"/>
        </w:rPr>
        <w:t>Voir par exemple</w:t>
      </w:r>
      <w:r w:rsidR="002A369D" w:rsidRPr="00BD22C2">
        <w:rPr>
          <w:rFonts w:ascii="Arial" w:hAnsi="Arial" w:cs="Arial"/>
          <w:sz w:val="18"/>
          <w:szCs w:val="18"/>
          <w:lang w:val="fr-CA"/>
        </w:rPr>
        <w:t xml:space="preserve"> : Robin </w:t>
      </w:r>
      <w:r w:rsidR="002A369D" w:rsidRPr="00BD22C2">
        <w:rPr>
          <w:rFonts w:ascii="Arial" w:hAnsi="Arial" w:cs="Arial"/>
          <w:smallCaps/>
          <w:sz w:val="18"/>
          <w:szCs w:val="18"/>
          <w:lang w:val="fr-CA"/>
        </w:rPr>
        <w:t>Gremmel</w:t>
      </w:r>
      <w:r w:rsidR="002A369D" w:rsidRPr="00BD22C2">
        <w:rPr>
          <w:rFonts w:ascii="Arial" w:hAnsi="Arial" w:cs="Arial"/>
          <w:sz w:val="18"/>
          <w:szCs w:val="18"/>
          <w:lang w:val="fr-CA"/>
        </w:rPr>
        <w:t>, «</w:t>
      </w:r>
      <w:r w:rsidR="00595E85">
        <w:rPr>
          <w:rFonts w:ascii="Arial" w:hAnsi="Arial" w:cs="Arial"/>
          <w:sz w:val="18"/>
          <w:szCs w:val="18"/>
          <w:lang w:val="fr-CA"/>
        </w:rPr>
        <w:t> </w:t>
      </w:r>
      <w:r w:rsidR="002A369D" w:rsidRPr="00BD22C2">
        <w:rPr>
          <w:rFonts w:ascii="Arial" w:hAnsi="Arial" w:cs="Arial"/>
          <w:sz w:val="18"/>
          <w:szCs w:val="18"/>
          <w:lang w:val="fr-CA"/>
        </w:rPr>
        <w:t>Athétisme : Les personnes transgenres bannies des compétitions féminines</w:t>
      </w:r>
      <w:r w:rsidR="00595E85">
        <w:rPr>
          <w:rFonts w:ascii="Arial" w:hAnsi="Arial" w:cs="Arial"/>
          <w:sz w:val="18"/>
          <w:szCs w:val="18"/>
          <w:lang w:val="fr-CA"/>
        </w:rPr>
        <w:t> </w:t>
      </w:r>
      <w:r w:rsidR="002A369D" w:rsidRPr="00BD22C2">
        <w:rPr>
          <w:rFonts w:ascii="Arial" w:hAnsi="Arial" w:cs="Arial"/>
          <w:sz w:val="18"/>
          <w:szCs w:val="18"/>
          <w:lang w:val="fr-CA"/>
        </w:rPr>
        <w:t xml:space="preserve">», </w:t>
      </w:r>
      <w:r w:rsidR="002A369D" w:rsidRPr="00BD22C2">
        <w:rPr>
          <w:rFonts w:ascii="Arial" w:hAnsi="Arial" w:cs="Arial"/>
          <w:i/>
          <w:iCs/>
          <w:sz w:val="18"/>
          <w:szCs w:val="18"/>
          <w:lang w:val="fr-CA"/>
        </w:rPr>
        <w:t>La Presse</w:t>
      </w:r>
      <w:r w:rsidR="002A369D" w:rsidRPr="00BD22C2">
        <w:rPr>
          <w:rFonts w:ascii="Arial" w:hAnsi="Arial" w:cs="Arial"/>
          <w:sz w:val="18"/>
          <w:szCs w:val="18"/>
          <w:lang w:val="fr-CA"/>
        </w:rPr>
        <w:t>, 23</w:t>
      </w:r>
      <w:r w:rsidR="00762FE8">
        <w:rPr>
          <w:rFonts w:ascii="Arial" w:hAnsi="Arial" w:cs="Arial"/>
          <w:sz w:val="18"/>
          <w:szCs w:val="18"/>
          <w:lang w:val="fr-CA"/>
        </w:rPr>
        <w:t> </w:t>
      </w:r>
      <w:r w:rsidR="002A369D" w:rsidRPr="00BD22C2">
        <w:rPr>
          <w:rFonts w:ascii="Arial" w:hAnsi="Arial" w:cs="Arial"/>
          <w:sz w:val="18"/>
          <w:szCs w:val="18"/>
          <w:lang w:val="fr-CA"/>
        </w:rPr>
        <w:t xml:space="preserve">mars 2023, [En ligne]. </w:t>
      </w:r>
      <w:r w:rsidR="00045BFA">
        <w:fldChar w:fldCharType="begin"/>
      </w:r>
      <w:r w:rsidR="00045BFA" w:rsidRPr="003E3312">
        <w:rPr>
          <w:lang w:val="fr-CA"/>
        </w:rPr>
        <w:instrText>HYPERLINK "https://www.lapresse.ca/sports/2023-03-23/athletisme/les-personnes-transgenres-bannies-des-competitions-feminines.php"</w:instrText>
      </w:r>
      <w:r w:rsidR="00045BFA">
        <w:fldChar w:fldCharType="separate"/>
      </w:r>
      <w:r w:rsidR="00045BFA" w:rsidRPr="00BD22C2">
        <w:rPr>
          <w:rStyle w:val="Lienhypertexte"/>
          <w:rFonts w:ascii="Arial" w:hAnsi="Arial" w:cs="Arial"/>
          <w:sz w:val="18"/>
          <w:szCs w:val="18"/>
          <w:lang w:val="fr-CA"/>
        </w:rPr>
        <w:t>https://www.lapresse.ca/sports/2023-03-23/athletisme/les-personnes-transgenres-bannies-des-competitions-feminines.php</w:t>
      </w:r>
      <w:r w:rsidR="00045BFA">
        <w:rPr>
          <w:rStyle w:val="Lienhypertexte"/>
          <w:rFonts w:ascii="Arial" w:hAnsi="Arial" w:cs="Arial"/>
          <w:sz w:val="18"/>
          <w:szCs w:val="18"/>
          <w:lang w:val="fr-CA"/>
        </w:rPr>
        <w:fldChar w:fldCharType="end"/>
      </w:r>
      <w:r w:rsidR="00045BFA" w:rsidRPr="00BD22C2">
        <w:rPr>
          <w:rFonts w:ascii="Arial" w:hAnsi="Arial" w:cs="Arial"/>
          <w:sz w:val="18"/>
          <w:szCs w:val="18"/>
          <w:lang w:val="fr-CA"/>
        </w:rPr>
        <w:t xml:space="preserve">; </w:t>
      </w:r>
      <w:r w:rsidR="0090688E" w:rsidRPr="00BD22C2">
        <w:rPr>
          <w:rFonts w:ascii="Arial" w:hAnsi="Arial" w:cs="Arial"/>
          <w:sz w:val="18"/>
          <w:szCs w:val="18"/>
          <w:lang w:val="fr-CA"/>
        </w:rPr>
        <w:t xml:space="preserve"> </w:t>
      </w:r>
      <w:r w:rsidR="00991283" w:rsidRPr="00BD22C2">
        <w:rPr>
          <w:rFonts w:ascii="Arial" w:hAnsi="Arial" w:cs="Arial"/>
          <w:sz w:val="18"/>
          <w:szCs w:val="18"/>
          <w:lang w:val="fr-CA"/>
        </w:rPr>
        <w:t xml:space="preserve">Geneviève </w:t>
      </w:r>
      <w:r w:rsidR="00991283" w:rsidRPr="00BD22C2">
        <w:rPr>
          <w:rFonts w:ascii="Arial" w:hAnsi="Arial" w:cs="Arial"/>
          <w:smallCaps/>
          <w:sz w:val="18"/>
          <w:szCs w:val="18"/>
          <w:lang w:val="fr-CA"/>
        </w:rPr>
        <w:t>Lajoie</w:t>
      </w:r>
      <w:r w:rsidR="00991283" w:rsidRPr="00BD22C2">
        <w:rPr>
          <w:rFonts w:ascii="Arial" w:hAnsi="Arial" w:cs="Arial"/>
          <w:sz w:val="18"/>
          <w:szCs w:val="18"/>
          <w:lang w:val="fr-CA"/>
        </w:rPr>
        <w:t>, «</w:t>
      </w:r>
      <w:r w:rsidR="00595E85">
        <w:rPr>
          <w:rFonts w:ascii="Arial" w:hAnsi="Arial" w:cs="Arial"/>
          <w:sz w:val="18"/>
          <w:szCs w:val="18"/>
          <w:lang w:val="fr-CA"/>
        </w:rPr>
        <w:t> </w:t>
      </w:r>
      <w:r w:rsidR="00991283" w:rsidRPr="00BD22C2">
        <w:rPr>
          <w:rFonts w:ascii="Arial" w:hAnsi="Arial" w:cs="Arial"/>
          <w:sz w:val="18"/>
          <w:szCs w:val="18"/>
          <w:lang w:val="fr-CA"/>
        </w:rPr>
        <w:t>Athlètes transgenres : le Réseau du sport étudiant réclame une directive claire</w:t>
      </w:r>
      <w:r w:rsidR="00595E85">
        <w:rPr>
          <w:rFonts w:ascii="Arial" w:hAnsi="Arial" w:cs="Arial"/>
          <w:sz w:val="18"/>
          <w:szCs w:val="18"/>
          <w:lang w:val="fr-CA"/>
        </w:rPr>
        <w:t> </w:t>
      </w:r>
      <w:r w:rsidR="00991283" w:rsidRPr="00BD22C2">
        <w:rPr>
          <w:rFonts w:ascii="Arial" w:hAnsi="Arial" w:cs="Arial"/>
          <w:sz w:val="18"/>
          <w:szCs w:val="18"/>
          <w:lang w:val="fr-CA"/>
        </w:rPr>
        <w:t xml:space="preserve">», </w:t>
      </w:r>
      <w:r w:rsidR="00991283" w:rsidRPr="00BD22C2">
        <w:rPr>
          <w:rFonts w:ascii="Arial" w:hAnsi="Arial" w:cs="Arial"/>
          <w:i/>
          <w:iCs/>
          <w:sz w:val="18"/>
          <w:szCs w:val="18"/>
          <w:lang w:val="fr-CA"/>
        </w:rPr>
        <w:t xml:space="preserve">Le </w:t>
      </w:r>
      <w:r w:rsidR="009106C2" w:rsidRPr="00BD22C2">
        <w:rPr>
          <w:rFonts w:ascii="Arial" w:hAnsi="Arial" w:cs="Arial"/>
          <w:i/>
          <w:iCs/>
          <w:sz w:val="18"/>
          <w:szCs w:val="18"/>
          <w:lang w:val="fr-CA"/>
        </w:rPr>
        <w:t>J</w:t>
      </w:r>
      <w:r w:rsidR="00991283" w:rsidRPr="00BD22C2">
        <w:rPr>
          <w:rFonts w:ascii="Arial" w:hAnsi="Arial" w:cs="Arial"/>
          <w:i/>
          <w:iCs/>
          <w:sz w:val="18"/>
          <w:szCs w:val="18"/>
          <w:lang w:val="fr-CA"/>
        </w:rPr>
        <w:t>ournal de M</w:t>
      </w:r>
      <w:r w:rsidR="00762E8F" w:rsidRPr="00BD22C2">
        <w:rPr>
          <w:rFonts w:ascii="Arial" w:hAnsi="Arial" w:cs="Arial"/>
          <w:i/>
          <w:iCs/>
          <w:sz w:val="18"/>
          <w:szCs w:val="18"/>
          <w:lang w:val="fr-CA"/>
        </w:rPr>
        <w:t>ontréal</w:t>
      </w:r>
      <w:r w:rsidR="00762E8F" w:rsidRPr="00BD22C2">
        <w:rPr>
          <w:rFonts w:ascii="Arial" w:hAnsi="Arial" w:cs="Arial"/>
          <w:sz w:val="18"/>
          <w:szCs w:val="18"/>
          <w:lang w:val="fr-CA"/>
        </w:rPr>
        <w:t>, 2</w:t>
      </w:r>
      <w:r w:rsidR="00762FE8">
        <w:rPr>
          <w:rFonts w:ascii="Arial" w:hAnsi="Arial" w:cs="Arial"/>
          <w:sz w:val="18"/>
          <w:szCs w:val="18"/>
          <w:lang w:val="fr-CA"/>
        </w:rPr>
        <w:t> </w:t>
      </w:r>
      <w:r w:rsidR="00762E8F" w:rsidRPr="00BD22C2">
        <w:rPr>
          <w:rFonts w:ascii="Arial" w:hAnsi="Arial" w:cs="Arial"/>
          <w:sz w:val="18"/>
          <w:szCs w:val="18"/>
          <w:lang w:val="fr-CA"/>
        </w:rPr>
        <w:t xml:space="preserve">mai 2023, [En ligne]. </w:t>
      </w:r>
      <w:hyperlink r:id="rId117" w:history="1">
        <w:r w:rsidR="008D6643" w:rsidRPr="00BD22C2">
          <w:rPr>
            <w:rStyle w:val="Lienhypertexte"/>
            <w:rFonts w:ascii="Arial" w:hAnsi="Arial" w:cs="Arial"/>
            <w:sz w:val="18"/>
            <w:szCs w:val="18"/>
            <w:lang w:val="fr-CA"/>
          </w:rPr>
          <w:t>https://www.journaldequebec.com/2023/05/02/athletes-transgenres-le-reseau-du-sport-etudiant-reclame-une-directive-claire</w:t>
        </w:r>
      </w:hyperlink>
      <w:r w:rsidR="008D6643" w:rsidRPr="00BD22C2">
        <w:rPr>
          <w:rFonts w:ascii="Arial" w:hAnsi="Arial" w:cs="Arial"/>
          <w:sz w:val="18"/>
          <w:szCs w:val="18"/>
          <w:lang w:val="fr-CA"/>
        </w:rPr>
        <w:t xml:space="preserve">; Jessica </w:t>
      </w:r>
      <w:r w:rsidR="008D6643" w:rsidRPr="00BD22C2">
        <w:rPr>
          <w:rFonts w:ascii="Arial" w:hAnsi="Arial" w:cs="Arial"/>
          <w:smallCaps/>
          <w:sz w:val="18"/>
          <w:szCs w:val="18"/>
          <w:lang w:val="fr-CA"/>
        </w:rPr>
        <w:t>Lapinski</w:t>
      </w:r>
      <w:r w:rsidR="008D6643" w:rsidRPr="00BD22C2">
        <w:rPr>
          <w:rFonts w:ascii="Arial" w:hAnsi="Arial" w:cs="Arial"/>
          <w:sz w:val="18"/>
          <w:szCs w:val="18"/>
          <w:lang w:val="fr-CA"/>
        </w:rPr>
        <w:t>, «</w:t>
      </w:r>
      <w:r w:rsidR="00595E85">
        <w:rPr>
          <w:rFonts w:ascii="Arial" w:hAnsi="Arial" w:cs="Arial"/>
          <w:sz w:val="18"/>
          <w:szCs w:val="18"/>
          <w:lang w:val="fr-CA"/>
        </w:rPr>
        <w:t> </w:t>
      </w:r>
      <w:r w:rsidR="008D6643" w:rsidRPr="00BD22C2">
        <w:rPr>
          <w:rFonts w:ascii="Arial" w:hAnsi="Arial" w:cs="Arial"/>
          <w:sz w:val="18"/>
          <w:szCs w:val="18"/>
          <w:lang w:val="fr-CA"/>
        </w:rPr>
        <w:t>Quatre fois où les athlètes transgenres ont suscité le débat</w:t>
      </w:r>
      <w:r w:rsidR="00595E85">
        <w:rPr>
          <w:rFonts w:ascii="Arial" w:hAnsi="Arial" w:cs="Arial"/>
          <w:sz w:val="18"/>
          <w:szCs w:val="18"/>
          <w:lang w:val="fr-CA"/>
        </w:rPr>
        <w:t> </w:t>
      </w:r>
      <w:r w:rsidR="008D6643" w:rsidRPr="00BD22C2">
        <w:rPr>
          <w:rFonts w:ascii="Arial" w:hAnsi="Arial" w:cs="Arial"/>
          <w:sz w:val="18"/>
          <w:szCs w:val="18"/>
          <w:lang w:val="fr-CA"/>
        </w:rPr>
        <w:t>», 1er</w:t>
      </w:r>
      <w:r w:rsidR="00762FE8">
        <w:rPr>
          <w:rFonts w:ascii="Arial" w:hAnsi="Arial" w:cs="Arial"/>
          <w:sz w:val="18"/>
          <w:szCs w:val="18"/>
          <w:lang w:val="fr-CA"/>
        </w:rPr>
        <w:t> </w:t>
      </w:r>
      <w:r w:rsidR="008D6643" w:rsidRPr="00BD22C2">
        <w:rPr>
          <w:rFonts w:ascii="Arial" w:hAnsi="Arial" w:cs="Arial"/>
          <w:sz w:val="18"/>
          <w:szCs w:val="18"/>
          <w:lang w:val="fr-CA"/>
        </w:rPr>
        <w:t xml:space="preserve">novembre 2023, [En ligne]. </w:t>
      </w:r>
      <w:hyperlink r:id="rId118" w:history="1">
        <w:r w:rsidR="009106C2" w:rsidRPr="0085310E">
          <w:rPr>
            <w:rStyle w:val="Lienhypertexte"/>
            <w:rFonts w:ascii="Arial" w:hAnsi="Arial" w:cs="Arial"/>
            <w:sz w:val="18"/>
            <w:szCs w:val="18"/>
          </w:rPr>
          <w:t>https://www.journaldequebec.com/2023/11/01/quatre-fois-ou-les-athletes-transgenres-ont-suscite-le-debat</w:t>
        </w:r>
      </w:hyperlink>
      <w:r w:rsidR="009106C2" w:rsidRPr="0085310E">
        <w:rPr>
          <w:rFonts w:ascii="Arial" w:hAnsi="Arial" w:cs="Arial"/>
          <w:sz w:val="18"/>
          <w:szCs w:val="18"/>
        </w:rPr>
        <w:t xml:space="preserve"> </w:t>
      </w:r>
    </w:p>
  </w:endnote>
  <w:endnote w:id="387">
    <w:p w14:paraId="0953C318" w14:textId="1027EACA" w:rsidR="00BA0E30" w:rsidRPr="0085310E" w:rsidRDefault="00BA0E30"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4F2B8C" w:rsidRPr="00BD22C2">
        <w:rPr>
          <w:rFonts w:ascii="Arial" w:hAnsi="Arial" w:cs="Arial"/>
          <w:sz w:val="18"/>
          <w:szCs w:val="18"/>
          <w:lang w:val="fr-CA"/>
        </w:rPr>
        <w:t xml:space="preserve">Tristan </w:t>
      </w:r>
      <w:r w:rsidR="004F2B8C" w:rsidRPr="00BD22C2">
        <w:rPr>
          <w:rFonts w:ascii="Arial" w:hAnsi="Arial" w:cs="Arial"/>
          <w:smallCaps/>
          <w:sz w:val="18"/>
          <w:szCs w:val="18"/>
          <w:lang w:val="fr-CA"/>
        </w:rPr>
        <w:t>Péloquin</w:t>
      </w:r>
      <w:r w:rsidR="004F2B8C" w:rsidRPr="00BD22C2">
        <w:rPr>
          <w:rFonts w:ascii="Arial" w:hAnsi="Arial" w:cs="Arial"/>
          <w:sz w:val="18"/>
          <w:szCs w:val="18"/>
          <w:lang w:val="fr-CA"/>
        </w:rPr>
        <w:t>, «</w:t>
      </w:r>
      <w:r w:rsidR="00595E85">
        <w:rPr>
          <w:rFonts w:ascii="Arial" w:hAnsi="Arial" w:cs="Arial"/>
          <w:sz w:val="18"/>
          <w:szCs w:val="18"/>
          <w:lang w:val="fr-CA"/>
        </w:rPr>
        <w:t> </w:t>
      </w:r>
      <w:r w:rsidR="00E57B1D" w:rsidRPr="00BD22C2">
        <w:rPr>
          <w:rFonts w:ascii="Arial" w:hAnsi="Arial" w:cs="Arial"/>
          <w:sz w:val="18"/>
          <w:szCs w:val="18"/>
          <w:lang w:val="fr-CA"/>
        </w:rPr>
        <w:t>Burke déclaré délinquant dangereux et condamné à 15</w:t>
      </w:r>
      <w:r w:rsidR="00B32B61">
        <w:rPr>
          <w:rFonts w:ascii="Arial" w:hAnsi="Arial" w:cs="Arial"/>
          <w:sz w:val="18"/>
          <w:szCs w:val="18"/>
          <w:lang w:val="fr-CA"/>
        </w:rPr>
        <w:t> </w:t>
      </w:r>
      <w:r w:rsidR="00E57B1D" w:rsidRPr="00BD22C2">
        <w:rPr>
          <w:rFonts w:ascii="Arial" w:hAnsi="Arial" w:cs="Arial"/>
          <w:sz w:val="18"/>
          <w:szCs w:val="18"/>
          <w:lang w:val="fr-CA"/>
        </w:rPr>
        <w:t>ans de pénitencier</w:t>
      </w:r>
      <w:r w:rsidR="00595E85">
        <w:rPr>
          <w:rFonts w:ascii="Arial" w:hAnsi="Arial" w:cs="Arial"/>
          <w:sz w:val="18"/>
          <w:szCs w:val="18"/>
          <w:lang w:val="fr-CA"/>
        </w:rPr>
        <w:t> </w:t>
      </w:r>
      <w:r w:rsidR="00E57B1D" w:rsidRPr="00BD22C2">
        <w:rPr>
          <w:rFonts w:ascii="Arial" w:hAnsi="Arial" w:cs="Arial"/>
          <w:sz w:val="18"/>
          <w:szCs w:val="18"/>
          <w:lang w:val="fr-CA"/>
        </w:rPr>
        <w:t xml:space="preserve">», </w:t>
      </w:r>
      <w:r w:rsidR="00E57B1D" w:rsidRPr="00BD22C2">
        <w:rPr>
          <w:rFonts w:ascii="Arial" w:hAnsi="Arial" w:cs="Arial"/>
          <w:i/>
          <w:iCs/>
          <w:sz w:val="18"/>
          <w:szCs w:val="18"/>
          <w:lang w:val="fr-CA"/>
        </w:rPr>
        <w:t>La Presse</w:t>
      </w:r>
      <w:r w:rsidR="00E57B1D" w:rsidRPr="00BD22C2">
        <w:rPr>
          <w:rFonts w:ascii="Arial" w:hAnsi="Arial" w:cs="Arial"/>
          <w:sz w:val="18"/>
          <w:szCs w:val="18"/>
          <w:lang w:val="fr-CA"/>
        </w:rPr>
        <w:t>, 21</w:t>
      </w:r>
      <w:r w:rsidR="00762FE8">
        <w:rPr>
          <w:rFonts w:ascii="Arial" w:hAnsi="Arial" w:cs="Arial"/>
          <w:sz w:val="18"/>
          <w:szCs w:val="18"/>
          <w:lang w:val="fr-CA"/>
        </w:rPr>
        <w:t> </w:t>
      </w:r>
      <w:r w:rsidR="00E57B1D" w:rsidRPr="00BD22C2">
        <w:rPr>
          <w:rFonts w:ascii="Arial" w:hAnsi="Arial" w:cs="Arial"/>
          <w:sz w:val="18"/>
          <w:szCs w:val="18"/>
          <w:lang w:val="fr-CA"/>
        </w:rPr>
        <w:t xml:space="preserve">avril 2023, [En ligne]. </w:t>
      </w:r>
      <w:r w:rsidR="00C57685">
        <w:fldChar w:fldCharType="begin"/>
      </w:r>
      <w:r w:rsidR="00C57685" w:rsidRPr="003E3312">
        <w:rPr>
          <w:lang w:val="fr-CA"/>
        </w:rPr>
        <w:instrText>HYPERLINK "https://www.lapresse.ca/actualites/justice-et-faits-divers/2023-04-21/apres-avoir-tente-de-s-enlever-les-testicules/burke-declare-delinquant-dangereux-et-condamne-a-15-ans-de-penitencier.php"</w:instrText>
      </w:r>
      <w:r w:rsidR="00C57685">
        <w:fldChar w:fldCharType="separate"/>
      </w:r>
      <w:r w:rsidR="00C57685" w:rsidRPr="00BD22C2">
        <w:rPr>
          <w:rStyle w:val="Lienhypertexte"/>
          <w:rFonts w:ascii="Arial" w:hAnsi="Arial" w:cs="Arial"/>
          <w:sz w:val="18"/>
          <w:szCs w:val="18"/>
          <w:lang w:val="fr-CA"/>
        </w:rPr>
        <w:t>https://www.lapresse.ca/actualites/justice-et-faits-divers/2023-04-21/apres-avoir-tente-de-s-enlever-les-testicules/burke-declare-delinquant-dangereux-et-condamne-a-15-ans-de-penitencier.php</w:t>
      </w:r>
      <w:r w:rsidR="00C57685">
        <w:rPr>
          <w:rStyle w:val="Lienhypertexte"/>
          <w:rFonts w:ascii="Arial" w:hAnsi="Arial" w:cs="Arial"/>
          <w:sz w:val="18"/>
          <w:szCs w:val="18"/>
          <w:lang w:val="fr-CA"/>
        </w:rPr>
        <w:fldChar w:fldCharType="end"/>
      </w:r>
      <w:r w:rsidR="00C57685" w:rsidRPr="00BD22C2">
        <w:rPr>
          <w:rFonts w:ascii="Arial" w:hAnsi="Arial" w:cs="Arial"/>
          <w:sz w:val="18"/>
          <w:szCs w:val="18"/>
          <w:lang w:val="fr-CA"/>
        </w:rPr>
        <w:t xml:space="preserve"> </w:t>
      </w:r>
      <w:r w:rsidR="004E72A1" w:rsidRPr="00BD22C2">
        <w:rPr>
          <w:rFonts w:ascii="Arial" w:hAnsi="Arial" w:cs="Arial"/>
          <w:sz w:val="18"/>
          <w:szCs w:val="18"/>
          <w:lang w:val="fr-CA"/>
        </w:rPr>
        <w:t>;</w:t>
      </w:r>
      <w:r w:rsidR="00E57B1D" w:rsidRPr="00BD22C2">
        <w:rPr>
          <w:rFonts w:ascii="Arial" w:hAnsi="Arial" w:cs="Arial"/>
          <w:sz w:val="18"/>
          <w:szCs w:val="18"/>
          <w:lang w:val="fr-CA"/>
        </w:rPr>
        <w:t xml:space="preserve"> </w:t>
      </w:r>
      <w:r w:rsidR="004F2B8C" w:rsidRPr="00BD22C2">
        <w:rPr>
          <w:rFonts w:ascii="Arial" w:hAnsi="Arial" w:cs="Arial"/>
          <w:sz w:val="18"/>
          <w:szCs w:val="18"/>
          <w:lang w:val="fr-CA"/>
        </w:rPr>
        <w:t xml:space="preserve">Tristan </w:t>
      </w:r>
      <w:r w:rsidR="004F2B8C" w:rsidRPr="00BD22C2">
        <w:rPr>
          <w:rFonts w:ascii="Arial" w:hAnsi="Arial" w:cs="Arial"/>
          <w:smallCaps/>
          <w:sz w:val="18"/>
          <w:szCs w:val="18"/>
          <w:lang w:val="fr-CA"/>
        </w:rPr>
        <w:t>Péloquin</w:t>
      </w:r>
      <w:r w:rsidR="004F2B8C" w:rsidRPr="00BD22C2">
        <w:rPr>
          <w:rFonts w:ascii="Arial" w:hAnsi="Arial" w:cs="Arial"/>
          <w:sz w:val="18"/>
          <w:szCs w:val="18"/>
          <w:lang w:val="fr-CA"/>
        </w:rPr>
        <w:t>, «</w:t>
      </w:r>
      <w:r w:rsidR="00595E85">
        <w:rPr>
          <w:rFonts w:ascii="Arial" w:hAnsi="Arial" w:cs="Arial"/>
          <w:sz w:val="18"/>
          <w:szCs w:val="18"/>
          <w:lang w:val="fr-CA"/>
        </w:rPr>
        <w:t> </w:t>
      </w:r>
      <w:r w:rsidR="004F2B8C" w:rsidRPr="00BD22C2">
        <w:rPr>
          <w:rFonts w:ascii="Arial" w:hAnsi="Arial" w:cs="Arial"/>
          <w:sz w:val="18"/>
          <w:szCs w:val="18"/>
          <w:lang w:val="fr-CA"/>
        </w:rPr>
        <w:t>Quelle prison pour les détenues trans</w:t>
      </w:r>
      <w:r w:rsidR="00FF6945">
        <w:rPr>
          <w:rFonts w:ascii="Arial" w:hAnsi="Arial" w:cs="Arial"/>
          <w:sz w:val="18"/>
          <w:szCs w:val="18"/>
          <w:lang w:val="fr-CA"/>
        </w:rPr>
        <w:t> </w:t>
      </w:r>
      <w:r w:rsidR="004F2B8C" w:rsidRPr="00BD22C2">
        <w:rPr>
          <w:rFonts w:ascii="Arial" w:hAnsi="Arial" w:cs="Arial"/>
          <w:sz w:val="18"/>
          <w:szCs w:val="18"/>
          <w:lang w:val="fr-CA"/>
        </w:rPr>
        <w:t>?</w:t>
      </w:r>
      <w:r w:rsidR="00595E85">
        <w:rPr>
          <w:rFonts w:ascii="Arial" w:hAnsi="Arial" w:cs="Arial"/>
          <w:sz w:val="18"/>
          <w:szCs w:val="18"/>
          <w:lang w:val="fr-CA"/>
        </w:rPr>
        <w:t> </w:t>
      </w:r>
      <w:r w:rsidR="004F2B8C" w:rsidRPr="00BD22C2">
        <w:rPr>
          <w:rFonts w:ascii="Arial" w:hAnsi="Arial" w:cs="Arial"/>
          <w:sz w:val="18"/>
          <w:szCs w:val="18"/>
          <w:lang w:val="fr-CA"/>
        </w:rPr>
        <w:t xml:space="preserve">», </w:t>
      </w:r>
      <w:r w:rsidR="004F2B8C" w:rsidRPr="00BD22C2">
        <w:rPr>
          <w:rFonts w:ascii="Arial" w:hAnsi="Arial" w:cs="Arial"/>
          <w:i/>
          <w:iCs/>
          <w:sz w:val="18"/>
          <w:szCs w:val="18"/>
          <w:lang w:val="fr-CA"/>
        </w:rPr>
        <w:t>La Presse</w:t>
      </w:r>
      <w:r w:rsidR="004F2B8C" w:rsidRPr="00BD22C2">
        <w:rPr>
          <w:rFonts w:ascii="Arial" w:hAnsi="Arial" w:cs="Arial"/>
          <w:sz w:val="18"/>
          <w:szCs w:val="18"/>
          <w:lang w:val="fr-CA"/>
        </w:rPr>
        <w:t>, 26</w:t>
      </w:r>
      <w:r w:rsidR="00762FE8">
        <w:rPr>
          <w:rFonts w:ascii="Arial" w:hAnsi="Arial" w:cs="Arial"/>
          <w:sz w:val="18"/>
          <w:szCs w:val="18"/>
          <w:lang w:val="fr-CA"/>
        </w:rPr>
        <w:t> </w:t>
      </w:r>
      <w:r w:rsidR="004F2B8C" w:rsidRPr="00BD22C2">
        <w:rPr>
          <w:rFonts w:ascii="Arial" w:hAnsi="Arial" w:cs="Arial"/>
          <w:sz w:val="18"/>
          <w:szCs w:val="18"/>
          <w:lang w:val="fr-CA"/>
        </w:rPr>
        <w:t>février 2023, [En ligne].</w:t>
      </w:r>
      <w:r w:rsidR="00D12AEA" w:rsidRPr="00BD22C2">
        <w:rPr>
          <w:rFonts w:ascii="Arial" w:hAnsi="Arial" w:cs="Arial"/>
          <w:sz w:val="18"/>
          <w:szCs w:val="18"/>
          <w:lang w:val="fr-CA"/>
        </w:rPr>
        <w:t xml:space="preserve"> </w:t>
      </w:r>
      <w:hyperlink r:id="rId119" w:history="1">
        <w:r w:rsidR="00D12AEA" w:rsidRPr="00BD22C2">
          <w:rPr>
            <w:rStyle w:val="Lienhypertexte"/>
            <w:rFonts w:ascii="Arial" w:hAnsi="Arial" w:cs="Arial"/>
            <w:sz w:val="18"/>
            <w:szCs w:val="18"/>
            <w:lang w:val="fr-CA"/>
          </w:rPr>
          <w:t>https://www.lapresse.ca/actualites/justice-et-faits-divers/2023-02-26/crimes-violents-et-sexuels/quelle-prison-pour-les-detenues-trans.php</w:t>
        </w:r>
      </w:hyperlink>
      <w:r w:rsidR="00D12AEA" w:rsidRPr="00BD22C2">
        <w:rPr>
          <w:rFonts w:ascii="Arial" w:hAnsi="Arial" w:cs="Arial"/>
          <w:sz w:val="18"/>
          <w:szCs w:val="18"/>
          <w:lang w:val="fr-CA"/>
        </w:rPr>
        <w:t xml:space="preserve">; </w:t>
      </w:r>
      <w:r w:rsidR="00335EDD" w:rsidRPr="00BD22C2">
        <w:rPr>
          <w:rFonts w:ascii="Arial" w:hAnsi="Arial" w:cs="Arial"/>
          <w:sz w:val="18"/>
          <w:szCs w:val="18"/>
          <w:lang w:val="fr-CA"/>
        </w:rPr>
        <w:t xml:space="preserve">Audrey </w:t>
      </w:r>
      <w:r w:rsidR="00335EDD" w:rsidRPr="00BD22C2">
        <w:rPr>
          <w:rFonts w:ascii="Arial" w:hAnsi="Arial" w:cs="Arial"/>
          <w:smallCaps/>
          <w:sz w:val="18"/>
          <w:szCs w:val="18"/>
          <w:lang w:val="fr-CA"/>
        </w:rPr>
        <w:t>Leblanc</w:t>
      </w:r>
      <w:r w:rsidR="00335EDD" w:rsidRPr="00BD22C2">
        <w:rPr>
          <w:rFonts w:ascii="Arial" w:hAnsi="Arial" w:cs="Arial"/>
          <w:sz w:val="18"/>
          <w:szCs w:val="18"/>
          <w:lang w:val="fr-CA"/>
        </w:rPr>
        <w:t>, «</w:t>
      </w:r>
      <w:r w:rsidR="00595E85">
        <w:rPr>
          <w:rFonts w:ascii="Arial" w:hAnsi="Arial" w:cs="Arial"/>
          <w:b/>
          <w:sz w:val="18"/>
          <w:szCs w:val="18"/>
          <w:lang w:val="fr-CA"/>
        </w:rPr>
        <w:t> </w:t>
      </w:r>
      <w:r w:rsidR="00335EDD" w:rsidRPr="00BD22C2">
        <w:rPr>
          <w:rFonts w:ascii="Arial" w:hAnsi="Arial" w:cs="Arial"/>
          <w:sz w:val="18"/>
          <w:szCs w:val="18"/>
          <w:lang w:val="fr-CA"/>
        </w:rPr>
        <w:t>Expérience traumatisante pour une personne trans à la prison de Trois-Rivières</w:t>
      </w:r>
      <w:r w:rsidR="00595E85">
        <w:rPr>
          <w:rFonts w:ascii="Arial" w:hAnsi="Arial" w:cs="Arial"/>
          <w:sz w:val="18"/>
          <w:szCs w:val="18"/>
          <w:lang w:val="fr-CA"/>
        </w:rPr>
        <w:t> </w:t>
      </w:r>
      <w:r w:rsidR="00C57685" w:rsidRPr="00BD22C2">
        <w:rPr>
          <w:rFonts w:ascii="Arial" w:hAnsi="Arial" w:cs="Arial"/>
          <w:sz w:val="18"/>
          <w:szCs w:val="18"/>
          <w:lang w:val="fr-CA"/>
        </w:rPr>
        <w:t>»</w:t>
      </w:r>
      <w:r w:rsidR="001603F7" w:rsidRPr="00BD22C2">
        <w:rPr>
          <w:rFonts w:ascii="Arial" w:hAnsi="Arial" w:cs="Arial"/>
          <w:sz w:val="18"/>
          <w:szCs w:val="18"/>
          <w:lang w:val="fr-CA"/>
        </w:rPr>
        <w:t xml:space="preserve">, </w:t>
      </w:r>
      <w:r w:rsidR="00665F65" w:rsidRPr="00BD22C2">
        <w:rPr>
          <w:rFonts w:ascii="Arial" w:hAnsi="Arial" w:cs="Arial"/>
          <w:i/>
          <w:iCs/>
          <w:sz w:val="18"/>
          <w:szCs w:val="18"/>
          <w:lang w:val="fr-CA"/>
        </w:rPr>
        <w:t>L’Hebdo Journal</w:t>
      </w:r>
      <w:r w:rsidR="00665F65" w:rsidRPr="00BD22C2">
        <w:rPr>
          <w:rFonts w:ascii="Arial" w:hAnsi="Arial" w:cs="Arial"/>
          <w:sz w:val="18"/>
          <w:szCs w:val="18"/>
          <w:lang w:val="fr-CA"/>
        </w:rPr>
        <w:t xml:space="preserve">, </w:t>
      </w:r>
      <w:r w:rsidR="001603F7" w:rsidRPr="00BD22C2">
        <w:rPr>
          <w:rFonts w:ascii="Arial" w:hAnsi="Arial" w:cs="Arial"/>
          <w:sz w:val="18"/>
          <w:szCs w:val="18"/>
          <w:lang w:val="fr-CA"/>
        </w:rPr>
        <w:t>21</w:t>
      </w:r>
      <w:r w:rsidR="00762FE8">
        <w:rPr>
          <w:rFonts w:ascii="Arial" w:hAnsi="Arial" w:cs="Arial"/>
          <w:sz w:val="18"/>
          <w:szCs w:val="18"/>
          <w:lang w:val="fr-CA"/>
        </w:rPr>
        <w:t> </w:t>
      </w:r>
      <w:r w:rsidR="001603F7" w:rsidRPr="00BD22C2">
        <w:rPr>
          <w:rFonts w:ascii="Arial" w:hAnsi="Arial" w:cs="Arial"/>
          <w:sz w:val="18"/>
          <w:szCs w:val="18"/>
          <w:lang w:val="fr-CA"/>
        </w:rPr>
        <w:t xml:space="preserve">décembre 2022, [En ligne]. </w:t>
      </w:r>
      <w:hyperlink r:id="rId120" w:history="1">
        <w:r w:rsidR="001603F7" w:rsidRPr="00BD22C2">
          <w:rPr>
            <w:rStyle w:val="Lienhypertexte"/>
            <w:rFonts w:ascii="Arial" w:hAnsi="Arial" w:cs="Arial"/>
            <w:sz w:val="18"/>
            <w:szCs w:val="18"/>
            <w:lang w:val="fr-CA"/>
          </w:rPr>
          <w:t>https://www.lhebdojournal.com/actualites/experience-traumatisante-pour-une-personne-trans-a-la-prison-de-trois-rivieres/</w:t>
        </w:r>
      </w:hyperlink>
      <w:r w:rsidR="001603F7" w:rsidRPr="00BD22C2">
        <w:rPr>
          <w:rFonts w:ascii="Arial" w:hAnsi="Arial" w:cs="Arial"/>
          <w:sz w:val="18"/>
          <w:szCs w:val="18"/>
          <w:lang w:val="fr-CA"/>
        </w:rPr>
        <w:t xml:space="preserve">; </w:t>
      </w:r>
      <w:r w:rsidR="00FD7541" w:rsidRPr="00BD22C2">
        <w:rPr>
          <w:rFonts w:ascii="Arial" w:hAnsi="Arial" w:cs="Arial"/>
          <w:sz w:val="18"/>
          <w:szCs w:val="18"/>
          <w:lang w:val="fr-CA"/>
        </w:rPr>
        <w:t>Annabelle</w:t>
      </w:r>
      <w:r w:rsidR="00DC3117" w:rsidRPr="00BD22C2">
        <w:rPr>
          <w:rFonts w:ascii="Arial" w:hAnsi="Arial" w:cs="Arial"/>
          <w:sz w:val="18"/>
          <w:szCs w:val="18"/>
          <w:lang w:val="fr-CA"/>
        </w:rPr>
        <w:t xml:space="preserve"> </w:t>
      </w:r>
      <w:r w:rsidR="00DC3117" w:rsidRPr="00BD22C2">
        <w:rPr>
          <w:rFonts w:ascii="Arial" w:hAnsi="Arial" w:cs="Arial"/>
          <w:smallCaps/>
          <w:sz w:val="18"/>
          <w:szCs w:val="18"/>
          <w:lang w:val="fr-CA"/>
        </w:rPr>
        <w:t>Caillou</w:t>
      </w:r>
      <w:r w:rsidR="00DC3117" w:rsidRPr="00BD22C2">
        <w:rPr>
          <w:rFonts w:ascii="Arial" w:hAnsi="Arial" w:cs="Arial"/>
          <w:sz w:val="18"/>
          <w:szCs w:val="18"/>
          <w:lang w:val="fr-CA"/>
        </w:rPr>
        <w:t>, «</w:t>
      </w:r>
      <w:r w:rsidR="00595E85">
        <w:rPr>
          <w:rFonts w:ascii="Arial" w:hAnsi="Arial" w:cs="Arial"/>
          <w:sz w:val="18"/>
          <w:szCs w:val="18"/>
          <w:lang w:val="fr-CA"/>
        </w:rPr>
        <w:t> </w:t>
      </w:r>
      <w:r w:rsidR="00DC3117" w:rsidRPr="00BD22C2">
        <w:rPr>
          <w:rFonts w:ascii="Arial" w:hAnsi="Arial" w:cs="Arial"/>
          <w:sz w:val="18"/>
          <w:szCs w:val="18"/>
          <w:lang w:val="fr-CA"/>
        </w:rPr>
        <w:t>Identité de genre : de nouvelles mesures dans les prisons fédérales</w:t>
      </w:r>
      <w:r w:rsidR="00595E85">
        <w:rPr>
          <w:rFonts w:ascii="Arial" w:hAnsi="Arial" w:cs="Arial"/>
          <w:sz w:val="18"/>
          <w:szCs w:val="18"/>
          <w:lang w:val="fr-CA"/>
        </w:rPr>
        <w:t> </w:t>
      </w:r>
      <w:r w:rsidR="00DC3117" w:rsidRPr="00BD22C2">
        <w:rPr>
          <w:rFonts w:ascii="Arial" w:hAnsi="Arial" w:cs="Arial"/>
          <w:sz w:val="18"/>
          <w:szCs w:val="18"/>
          <w:lang w:val="fr-CA"/>
        </w:rPr>
        <w:t>»</w:t>
      </w:r>
      <w:r w:rsidR="00F25F25" w:rsidRPr="00BD22C2">
        <w:rPr>
          <w:rFonts w:ascii="Arial" w:hAnsi="Arial" w:cs="Arial"/>
          <w:sz w:val="18"/>
          <w:szCs w:val="18"/>
          <w:lang w:val="fr-CA"/>
        </w:rPr>
        <w:t xml:space="preserve">, </w:t>
      </w:r>
      <w:r w:rsidR="00F25F25" w:rsidRPr="00BD22C2">
        <w:rPr>
          <w:rFonts w:ascii="Arial" w:hAnsi="Arial" w:cs="Arial"/>
          <w:i/>
          <w:iCs/>
          <w:sz w:val="18"/>
          <w:szCs w:val="18"/>
          <w:lang w:val="fr-CA"/>
        </w:rPr>
        <w:t xml:space="preserve">Le Devoir, </w:t>
      </w:r>
      <w:r w:rsidR="00E367C8" w:rsidRPr="00BD22C2">
        <w:rPr>
          <w:rFonts w:ascii="Arial" w:hAnsi="Arial" w:cs="Arial"/>
          <w:sz w:val="18"/>
          <w:szCs w:val="18"/>
          <w:lang w:val="fr-CA"/>
        </w:rPr>
        <w:t>31</w:t>
      </w:r>
      <w:r w:rsidR="00762FE8">
        <w:rPr>
          <w:rFonts w:ascii="Arial" w:hAnsi="Arial" w:cs="Arial"/>
          <w:sz w:val="18"/>
          <w:szCs w:val="18"/>
          <w:lang w:val="fr-CA"/>
        </w:rPr>
        <w:t> </w:t>
      </w:r>
      <w:r w:rsidR="00E367C8" w:rsidRPr="00BD22C2">
        <w:rPr>
          <w:rFonts w:ascii="Arial" w:hAnsi="Arial" w:cs="Arial"/>
          <w:sz w:val="18"/>
          <w:szCs w:val="18"/>
          <w:lang w:val="fr-CA"/>
        </w:rPr>
        <w:t xml:space="preserve">janvier 2018, [En ligne]. </w:t>
      </w:r>
      <w:hyperlink r:id="rId121" w:history="1">
        <w:r w:rsidR="009C398F" w:rsidRPr="0085310E">
          <w:rPr>
            <w:rStyle w:val="Lienhypertexte"/>
            <w:rFonts w:ascii="Arial" w:hAnsi="Arial" w:cs="Arial"/>
            <w:sz w:val="18"/>
            <w:szCs w:val="18"/>
          </w:rPr>
          <w:t>https://www.ledevoir.com/societe/519018/identite-de-genre-de-nouvelles-mesures-dans-les-prisons-federales</w:t>
        </w:r>
      </w:hyperlink>
      <w:r w:rsidR="009C398F" w:rsidRPr="0085310E">
        <w:rPr>
          <w:rFonts w:ascii="Arial" w:hAnsi="Arial" w:cs="Arial"/>
          <w:sz w:val="18"/>
          <w:szCs w:val="18"/>
        </w:rPr>
        <w:t xml:space="preserve"> </w:t>
      </w:r>
    </w:p>
  </w:endnote>
  <w:endnote w:id="388">
    <w:p w14:paraId="316A53BF" w14:textId="600D7FC5" w:rsidR="00790A36" w:rsidRPr="0085310E" w:rsidRDefault="00790A36"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1E26FD" w:rsidRPr="00BD22C2">
        <w:rPr>
          <w:rFonts w:ascii="Arial" w:hAnsi="Arial" w:cs="Arial"/>
          <w:sz w:val="18"/>
          <w:szCs w:val="18"/>
          <w:lang w:val="fr-CA"/>
        </w:rPr>
        <w:tab/>
      </w:r>
      <w:r w:rsidR="00A948F8" w:rsidRPr="00BD22C2">
        <w:rPr>
          <w:rFonts w:ascii="Arial" w:hAnsi="Arial" w:cs="Arial"/>
          <w:sz w:val="18"/>
          <w:szCs w:val="18"/>
          <w:lang w:val="fr-CA"/>
        </w:rPr>
        <w:t xml:space="preserve">Voir par exemple : Mélina </w:t>
      </w:r>
      <w:r w:rsidR="00A948F8" w:rsidRPr="00BD22C2">
        <w:rPr>
          <w:rFonts w:ascii="Arial" w:hAnsi="Arial" w:cs="Arial"/>
          <w:smallCaps/>
          <w:sz w:val="18"/>
          <w:szCs w:val="18"/>
          <w:lang w:val="fr-CA"/>
        </w:rPr>
        <w:t>Nantel</w:t>
      </w:r>
      <w:r w:rsidR="00A948F8" w:rsidRPr="00BD22C2">
        <w:rPr>
          <w:rFonts w:ascii="Arial" w:hAnsi="Arial" w:cs="Arial"/>
          <w:sz w:val="18"/>
          <w:szCs w:val="18"/>
          <w:lang w:val="fr-CA"/>
        </w:rPr>
        <w:t xml:space="preserve">, </w:t>
      </w:r>
      <w:r w:rsidR="005C592E" w:rsidRPr="00BD22C2">
        <w:rPr>
          <w:rFonts w:ascii="Arial" w:hAnsi="Arial" w:cs="Arial"/>
          <w:sz w:val="18"/>
          <w:szCs w:val="18"/>
          <w:lang w:val="fr-CA"/>
        </w:rPr>
        <w:t>«</w:t>
      </w:r>
      <w:r w:rsidR="00595E85">
        <w:rPr>
          <w:rFonts w:ascii="Arial" w:hAnsi="Arial" w:cs="Arial"/>
          <w:sz w:val="18"/>
          <w:szCs w:val="18"/>
          <w:lang w:val="fr-CA"/>
        </w:rPr>
        <w:t> </w:t>
      </w:r>
      <w:r w:rsidR="005C592E" w:rsidRPr="00BD22C2">
        <w:rPr>
          <w:rFonts w:ascii="Arial" w:hAnsi="Arial" w:cs="Arial"/>
          <w:sz w:val="18"/>
          <w:szCs w:val="18"/>
          <w:lang w:val="fr-CA"/>
        </w:rPr>
        <w:t>Dans l’angle mort des violences : les communautés LGBTQ+</w:t>
      </w:r>
      <w:r w:rsidR="00595E85">
        <w:rPr>
          <w:rFonts w:ascii="Arial" w:hAnsi="Arial" w:cs="Arial"/>
          <w:sz w:val="18"/>
          <w:szCs w:val="18"/>
          <w:lang w:val="fr-CA"/>
        </w:rPr>
        <w:t> </w:t>
      </w:r>
      <w:r w:rsidR="005C592E" w:rsidRPr="00BD22C2">
        <w:rPr>
          <w:rFonts w:ascii="Arial" w:hAnsi="Arial" w:cs="Arial"/>
          <w:sz w:val="18"/>
          <w:szCs w:val="18"/>
          <w:lang w:val="fr-CA"/>
        </w:rPr>
        <w:t xml:space="preserve">», </w:t>
      </w:r>
      <w:r w:rsidR="005C592E" w:rsidRPr="00BD22C2">
        <w:rPr>
          <w:rFonts w:ascii="Arial" w:hAnsi="Arial" w:cs="Arial"/>
          <w:i/>
          <w:iCs/>
          <w:sz w:val="18"/>
          <w:szCs w:val="18"/>
          <w:lang w:val="fr-CA"/>
        </w:rPr>
        <w:t>La Gazette des femmes</w:t>
      </w:r>
      <w:r w:rsidR="005C592E" w:rsidRPr="00BD22C2">
        <w:rPr>
          <w:rFonts w:ascii="Arial" w:hAnsi="Arial" w:cs="Arial"/>
          <w:sz w:val="18"/>
          <w:szCs w:val="18"/>
          <w:lang w:val="fr-CA"/>
        </w:rPr>
        <w:t>, 24</w:t>
      </w:r>
      <w:r w:rsidR="00762FE8">
        <w:rPr>
          <w:rFonts w:ascii="Arial" w:hAnsi="Arial" w:cs="Arial"/>
          <w:sz w:val="18"/>
          <w:szCs w:val="18"/>
          <w:lang w:val="fr-CA"/>
        </w:rPr>
        <w:t> </w:t>
      </w:r>
      <w:r w:rsidR="005C592E" w:rsidRPr="00BD22C2">
        <w:rPr>
          <w:rFonts w:ascii="Arial" w:hAnsi="Arial" w:cs="Arial"/>
          <w:sz w:val="18"/>
          <w:szCs w:val="18"/>
          <w:lang w:val="fr-CA"/>
        </w:rPr>
        <w:t xml:space="preserve">novembre 2023, [En ligne]. </w:t>
      </w:r>
      <w:r w:rsidR="0090532A">
        <w:fldChar w:fldCharType="begin"/>
      </w:r>
      <w:r w:rsidR="0090532A" w:rsidRPr="003E3312">
        <w:rPr>
          <w:lang w:val="fr-CA"/>
        </w:rPr>
        <w:instrText>HYPERLINK "https://gazettedesfemmes.ca/23788/dans-langle-mort-des-violences-les-communautes-lgbtq/"</w:instrText>
      </w:r>
      <w:r w:rsidR="0090532A">
        <w:fldChar w:fldCharType="separate"/>
      </w:r>
      <w:r w:rsidR="0090532A" w:rsidRPr="00BD22C2">
        <w:rPr>
          <w:rStyle w:val="Lienhypertexte"/>
          <w:rFonts w:ascii="Arial" w:hAnsi="Arial" w:cs="Arial"/>
          <w:sz w:val="18"/>
          <w:szCs w:val="18"/>
          <w:lang w:val="fr-CA"/>
        </w:rPr>
        <w:t>https://gazettedesfemmes.ca/23788/dans-langle-mort-des-violences-les-communautes-lgbtq/</w:t>
      </w:r>
      <w:r w:rsidR="0090532A">
        <w:rPr>
          <w:rStyle w:val="Lienhypertexte"/>
          <w:rFonts w:ascii="Arial" w:hAnsi="Arial" w:cs="Arial"/>
          <w:sz w:val="18"/>
          <w:szCs w:val="18"/>
          <w:lang w:val="fr-CA"/>
        </w:rPr>
        <w:fldChar w:fldCharType="end"/>
      </w:r>
      <w:r w:rsidR="0090532A" w:rsidRPr="00BD22C2">
        <w:rPr>
          <w:rFonts w:ascii="Arial" w:hAnsi="Arial" w:cs="Arial"/>
          <w:sz w:val="18"/>
          <w:szCs w:val="18"/>
          <w:lang w:val="fr-CA"/>
        </w:rPr>
        <w:t xml:space="preserve">; </w:t>
      </w:r>
      <w:r w:rsidR="00AC55FF" w:rsidRPr="00BD22C2">
        <w:rPr>
          <w:rFonts w:ascii="Arial" w:hAnsi="Arial" w:cs="Arial"/>
          <w:sz w:val="18"/>
          <w:szCs w:val="18"/>
          <w:lang w:val="fr-CA"/>
        </w:rPr>
        <w:t xml:space="preserve">Émilie </w:t>
      </w:r>
      <w:r w:rsidR="00AC55FF" w:rsidRPr="00BD22C2">
        <w:rPr>
          <w:rFonts w:ascii="Arial" w:hAnsi="Arial" w:cs="Arial"/>
          <w:smallCaps/>
          <w:sz w:val="18"/>
          <w:szCs w:val="18"/>
          <w:lang w:val="fr-CA"/>
        </w:rPr>
        <w:t>Parent Bouchard</w:t>
      </w:r>
      <w:r w:rsidR="00AC55FF" w:rsidRPr="00BD22C2">
        <w:rPr>
          <w:rFonts w:ascii="Arial" w:hAnsi="Arial" w:cs="Arial"/>
          <w:sz w:val="18"/>
          <w:szCs w:val="18"/>
          <w:lang w:val="fr-CA"/>
        </w:rPr>
        <w:t>, «</w:t>
      </w:r>
      <w:r w:rsidR="00595E85">
        <w:rPr>
          <w:rFonts w:ascii="Arial" w:hAnsi="Arial" w:cs="Arial"/>
          <w:sz w:val="18"/>
          <w:szCs w:val="18"/>
          <w:lang w:val="fr-CA"/>
        </w:rPr>
        <w:t> </w:t>
      </w:r>
      <w:r w:rsidR="00AC55FF" w:rsidRPr="00BD22C2">
        <w:rPr>
          <w:rFonts w:ascii="Arial" w:hAnsi="Arial" w:cs="Arial"/>
          <w:sz w:val="18"/>
          <w:szCs w:val="18"/>
          <w:lang w:val="fr-CA"/>
        </w:rPr>
        <w:t>Sensibiliser les organisations qui offrent des services dits "genrés"</w:t>
      </w:r>
      <w:r w:rsidR="00595E85">
        <w:rPr>
          <w:rFonts w:ascii="Arial" w:hAnsi="Arial" w:cs="Arial"/>
          <w:sz w:val="18"/>
          <w:szCs w:val="18"/>
          <w:lang w:val="fr-CA"/>
        </w:rPr>
        <w:t> </w:t>
      </w:r>
      <w:r w:rsidR="009C398F" w:rsidRPr="00BD22C2">
        <w:rPr>
          <w:rFonts w:ascii="Arial" w:hAnsi="Arial" w:cs="Arial"/>
          <w:sz w:val="18"/>
          <w:szCs w:val="18"/>
          <w:lang w:val="fr-CA"/>
        </w:rPr>
        <w:t>»</w:t>
      </w:r>
      <w:r w:rsidR="00AC55FF" w:rsidRPr="00BD22C2">
        <w:rPr>
          <w:rFonts w:ascii="Arial" w:hAnsi="Arial" w:cs="Arial"/>
          <w:sz w:val="18"/>
          <w:szCs w:val="18"/>
          <w:lang w:val="fr-CA"/>
        </w:rPr>
        <w:t xml:space="preserve">, </w:t>
      </w:r>
      <w:r w:rsidR="00AC55FF" w:rsidRPr="00BD22C2">
        <w:rPr>
          <w:rFonts w:ascii="Arial" w:hAnsi="Arial" w:cs="Arial"/>
          <w:i/>
          <w:iCs/>
          <w:sz w:val="18"/>
          <w:szCs w:val="18"/>
          <w:lang w:val="fr-CA"/>
        </w:rPr>
        <w:t xml:space="preserve">Radio-Canada, </w:t>
      </w:r>
      <w:r w:rsidR="00AC55FF" w:rsidRPr="00BD22C2">
        <w:rPr>
          <w:rFonts w:ascii="Arial" w:hAnsi="Arial" w:cs="Arial"/>
          <w:sz w:val="18"/>
          <w:szCs w:val="18"/>
          <w:lang w:val="fr-CA"/>
        </w:rPr>
        <w:t>13</w:t>
      </w:r>
      <w:r w:rsidR="00762FE8">
        <w:rPr>
          <w:rFonts w:ascii="Arial" w:hAnsi="Arial" w:cs="Arial"/>
          <w:sz w:val="18"/>
          <w:szCs w:val="18"/>
          <w:lang w:val="fr-CA"/>
        </w:rPr>
        <w:t> </w:t>
      </w:r>
      <w:r w:rsidR="00AC55FF" w:rsidRPr="00BD22C2">
        <w:rPr>
          <w:rFonts w:ascii="Arial" w:hAnsi="Arial" w:cs="Arial"/>
          <w:sz w:val="18"/>
          <w:szCs w:val="18"/>
          <w:lang w:val="fr-CA"/>
        </w:rPr>
        <w:t xml:space="preserve">février 2019, [En ligne]. </w:t>
      </w:r>
      <w:hyperlink r:id="rId122" w:history="1">
        <w:r w:rsidR="00AD71F7" w:rsidRPr="00BD22C2">
          <w:rPr>
            <w:rStyle w:val="Lienhypertexte"/>
            <w:rFonts w:ascii="Arial" w:hAnsi="Arial" w:cs="Arial"/>
            <w:sz w:val="18"/>
            <w:szCs w:val="18"/>
            <w:lang w:val="fr-CA"/>
          </w:rPr>
          <w:t>https://ici.radio-canada.ca/nouvelle/1152746/sensibilisation-genres-trans-diversite-sexuelle</w:t>
        </w:r>
      </w:hyperlink>
      <w:r w:rsidR="00AD71F7" w:rsidRPr="00BD22C2">
        <w:rPr>
          <w:rFonts w:ascii="Arial" w:hAnsi="Arial" w:cs="Arial"/>
          <w:sz w:val="18"/>
          <w:szCs w:val="18"/>
          <w:lang w:val="fr-CA"/>
        </w:rPr>
        <w:t xml:space="preserve"> ; Mélanie </w:t>
      </w:r>
      <w:r w:rsidR="00AD71F7" w:rsidRPr="00BD22C2">
        <w:rPr>
          <w:rFonts w:ascii="Arial" w:hAnsi="Arial" w:cs="Arial"/>
          <w:smallCaps/>
          <w:sz w:val="18"/>
          <w:szCs w:val="18"/>
          <w:lang w:val="fr-CA"/>
        </w:rPr>
        <w:t>Côté</w:t>
      </w:r>
      <w:r w:rsidR="00AD71F7" w:rsidRPr="00BD22C2">
        <w:rPr>
          <w:rFonts w:ascii="Arial" w:hAnsi="Arial" w:cs="Arial"/>
          <w:sz w:val="18"/>
          <w:szCs w:val="18"/>
          <w:lang w:val="fr-CA"/>
        </w:rPr>
        <w:t>, «</w:t>
      </w:r>
      <w:r w:rsidR="00595E85">
        <w:rPr>
          <w:rFonts w:ascii="Arial" w:hAnsi="Arial" w:cs="Arial"/>
          <w:sz w:val="18"/>
          <w:szCs w:val="18"/>
          <w:lang w:val="fr-CA"/>
        </w:rPr>
        <w:t> </w:t>
      </w:r>
      <w:r w:rsidR="00AD71F7" w:rsidRPr="00BD22C2">
        <w:rPr>
          <w:rFonts w:ascii="Arial" w:hAnsi="Arial" w:cs="Arial"/>
          <w:sz w:val="18"/>
          <w:szCs w:val="18"/>
          <w:lang w:val="fr-CA"/>
        </w:rPr>
        <w:t>Maisons d’hébergement</w:t>
      </w:r>
      <w:r w:rsidR="00E30B76">
        <w:rPr>
          <w:rFonts w:ascii="Arial" w:hAnsi="Arial" w:cs="Arial"/>
          <w:sz w:val="18"/>
          <w:szCs w:val="18"/>
          <w:lang w:val="fr-CA"/>
        </w:rPr>
        <w:t> </w:t>
      </w:r>
      <w:r w:rsidR="00AD71F7" w:rsidRPr="00BD22C2">
        <w:rPr>
          <w:rFonts w:ascii="Arial" w:hAnsi="Arial" w:cs="Arial"/>
          <w:sz w:val="18"/>
          <w:szCs w:val="18"/>
          <w:lang w:val="fr-CA"/>
        </w:rPr>
        <w:t>: les femmes trans y ont leur place</w:t>
      </w:r>
      <w:r w:rsidR="00595E85">
        <w:rPr>
          <w:rFonts w:ascii="Arial" w:hAnsi="Arial" w:cs="Arial"/>
          <w:sz w:val="18"/>
          <w:szCs w:val="18"/>
          <w:lang w:val="fr-CA"/>
        </w:rPr>
        <w:t> </w:t>
      </w:r>
      <w:r w:rsidR="00AD71F7" w:rsidRPr="00BD22C2">
        <w:rPr>
          <w:rFonts w:ascii="Arial" w:hAnsi="Arial" w:cs="Arial"/>
          <w:sz w:val="18"/>
          <w:szCs w:val="18"/>
          <w:lang w:val="fr-CA"/>
        </w:rPr>
        <w:t xml:space="preserve">», </w:t>
      </w:r>
      <w:r w:rsidR="00AD71F7" w:rsidRPr="00BD22C2">
        <w:rPr>
          <w:rFonts w:ascii="Arial" w:hAnsi="Arial" w:cs="Arial"/>
          <w:i/>
          <w:iCs/>
          <w:sz w:val="18"/>
          <w:szCs w:val="18"/>
          <w:lang w:val="fr-CA"/>
        </w:rPr>
        <w:t>Le Quotidien</w:t>
      </w:r>
      <w:r w:rsidR="00AD71F7" w:rsidRPr="00BD22C2">
        <w:rPr>
          <w:rFonts w:ascii="Arial" w:hAnsi="Arial" w:cs="Arial"/>
          <w:sz w:val="18"/>
          <w:szCs w:val="18"/>
          <w:lang w:val="fr-CA"/>
        </w:rPr>
        <w:t>, 1</w:t>
      </w:r>
      <w:r w:rsidR="00AD71F7" w:rsidRPr="00BD22C2">
        <w:rPr>
          <w:rFonts w:ascii="Arial" w:hAnsi="Arial" w:cs="Arial"/>
          <w:sz w:val="18"/>
          <w:szCs w:val="18"/>
          <w:vertAlign w:val="superscript"/>
          <w:lang w:val="fr-CA"/>
        </w:rPr>
        <w:t>er</w:t>
      </w:r>
      <w:r w:rsidR="00762FE8">
        <w:rPr>
          <w:rFonts w:ascii="Arial" w:hAnsi="Arial" w:cs="Arial"/>
          <w:sz w:val="18"/>
          <w:szCs w:val="18"/>
          <w:lang w:val="fr-CA"/>
        </w:rPr>
        <w:t> </w:t>
      </w:r>
      <w:r w:rsidR="00AD71F7" w:rsidRPr="00BD22C2">
        <w:rPr>
          <w:rFonts w:ascii="Arial" w:hAnsi="Arial" w:cs="Arial"/>
          <w:sz w:val="18"/>
          <w:szCs w:val="18"/>
          <w:lang w:val="fr-CA"/>
        </w:rPr>
        <w:t xml:space="preserve">février 2023, [En ligne]. </w:t>
      </w:r>
      <w:hyperlink r:id="rId123" w:history="1">
        <w:r w:rsidR="008E26CB" w:rsidRPr="0085310E">
          <w:rPr>
            <w:rStyle w:val="Lienhypertexte"/>
            <w:rFonts w:ascii="Arial" w:hAnsi="Arial" w:cs="Arial"/>
            <w:sz w:val="18"/>
            <w:szCs w:val="18"/>
          </w:rPr>
          <w:t>https://www.lesoleil.com/2023/02/02/maisons-dhebergement-les-femmes-trans-y-ont-leur-place-9ee4ea2233c6189d5f91a238074b817c/</w:t>
        </w:r>
      </w:hyperlink>
      <w:r w:rsidR="008E26CB" w:rsidRPr="0085310E">
        <w:rPr>
          <w:rFonts w:ascii="Arial" w:hAnsi="Arial" w:cs="Arial"/>
          <w:sz w:val="18"/>
          <w:szCs w:val="18"/>
        </w:rPr>
        <w:t xml:space="preserve"> </w:t>
      </w:r>
    </w:p>
  </w:endnote>
  <w:endnote w:id="389">
    <w:p w14:paraId="0A509953" w14:textId="17F1B117" w:rsidR="00841C18" w:rsidRPr="00BD22C2" w:rsidRDefault="00841C1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Style w:val="NotesBasPageCar"/>
          <w:lang w:val="fr-CA"/>
        </w:rPr>
        <w:t xml:space="preserve">, </w:t>
      </w:r>
      <w:r w:rsidRPr="00BD22C2">
        <w:rPr>
          <w:rFonts w:ascii="Arial" w:hAnsi="Arial" w:cs="Arial"/>
          <w:sz w:val="18"/>
          <w:szCs w:val="18"/>
          <w:lang w:val="fr-CA"/>
        </w:rPr>
        <w:t xml:space="preserve">2022, </w:t>
      </w:r>
      <w:r w:rsidR="00591D3E" w:rsidRPr="00BD22C2">
        <w:rPr>
          <w:rFonts w:ascii="Arial" w:hAnsi="Arial" w:cs="Arial"/>
          <w:sz w:val="18"/>
          <w:szCs w:val="18"/>
          <w:lang w:val="fr-CA"/>
        </w:rPr>
        <w:t>préc., note</w:t>
      </w:r>
      <w:r w:rsidR="00CE1914">
        <w:rPr>
          <w:rFonts w:ascii="Arial" w:hAnsi="Arial" w:cs="Arial"/>
          <w:sz w:val="18"/>
          <w:szCs w:val="18"/>
          <w:lang w:val="fr-CA"/>
        </w:rPr>
        <w:t> </w:t>
      </w:r>
      <w:r w:rsidR="001F2EAB" w:rsidRPr="00BD22C2">
        <w:rPr>
          <w:rFonts w:ascii="Arial" w:hAnsi="Arial" w:cs="Arial"/>
          <w:sz w:val="18"/>
          <w:szCs w:val="18"/>
          <w:lang w:val="fr-CA"/>
        </w:rPr>
        <w:fldChar w:fldCharType="begin"/>
      </w:r>
      <w:r w:rsidR="001F2EAB" w:rsidRPr="00BD22C2">
        <w:rPr>
          <w:rFonts w:ascii="Arial" w:hAnsi="Arial" w:cs="Arial"/>
          <w:sz w:val="18"/>
          <w:szCs w:val="18"/>
          <w:lang w:val="fr-CA"/>
        </w:rPr>
        <w:instrText xml:space="preserve"> NOTEREF _Ref167286065 \h </w:instrText>
      </w:r>
      <w:r w:rsidR="001F2EAB" w:rsidRPr="00BD22C2">
        <w:rPr>
          <w:rFonts w:ascii="Arial" w:hAnsi="Arial" w:cs="Arial"/>
          <w:sz w:val="18"/>
          <w:szCs w:val="18"/>
          <w:lang w:val="fr-CA"/>
        </w:rPr>
      </w:r>
      <w:r w:rsidR="001F2EAB" w:rsidRPr="00BD22C2">
        <w:rPr>
          <w:rFonts w:ascii="Arial" w:hAnsi="Arial" w:cs="Arial"/>
          <w:sz w:val="18"/>
          <w:szCs w:val="18"/>
          <w:lang w:val="fr-CA"/>
        </w:rPr>
        <w:fldChar w:fldCharType="separate"/>
      </w:r>
      <w:r w:rsidR="004B4881">
        <w:rPr>
          <w:rFonts w:ascii="Arial" w:hAnsi="Arial" w:cs="Arial"/>
          <w:sz w:val="18"/>
          <w:szCs w:val="18"/>
          <w:lang w:val="fr-CA"/>
        </w:rPr>
        <w:t>14</w:t>
      </w:r>
      <w:r w:rsidR="001F2EAB" w:rsidRPr="00BD22C2">
        <w:rPr>
          <w:rFonts w:ascii="Arial" w:hAnsi="Arial" w:cs="Arial"/>
          <w:sz w:val="18"/>
          <w:szCs w:val="18"/>
          <w:lang w:val="fr-CA"/>
        </w:rPr>
        <w:fldChar w:fldCharType="end"/>
      </w:r>
      <w:r w:rsidR="00591D3E" w:rsidRPr="00BD22C2">
        <w:rPr>
          <w:rFonts w:ascii="Arial" w:hAnsi="Arial" w:cs="Arial"/>
          <w:sz w:val="18"/>
          <w:szCs w:val="18"/>
          <w:lang w:val="fr-CA"/>
        </w:rPr>
        <w:t xml:space="preserve">, </w:t>
      </w:r>
      <w:r w:rsidRPr="00BD22C2">
        <w:rPr>
          <w:rFonts w:ascii="Arial" w:hAnsi="Arial" w:cs="Arial"/>
          <w:sz w:val="18"/>
          <w:szCs w:val="18"/>
          <w:lang w:val="fr-CA"/>
        </w:rPr>
        <w:t>p.</w:t>
      </w:r>
      <w:r w:rsidR="00CE1914">
        <w:rPr>
          <w:rFonts w:ascii="Arial" w:hAnsi="Arial" w:cs="Arial"/>
          <w:sz w:val="18"/>
          <w:szCs w:val="18"/>
          <w:lang w:val="fr-CA"/>
        </w:rPr>
        <w:t> </w:t>
      </w:r>
      <w:r w:rsidRPr="00BD22C2">
        <w:rPr>
          <w:rFonts w:ascii="Arial" w:hAnsi="Arial" w:cs="Arial"/>
          <w:sz w:val="18"/>
          <w:szCs w:val="18"/>
          <w:lang w:val="fr-CA"/>
        </w:rPr>
        <w:t xml:space="preserve">91, s’appuyant notamment sur le </w:t>
      </w:r>
      <w:r w:rsidR="005D4850" w:rsidRPr="00BD22C2">
        <w:rPr>
          <w:rFonts w:ascii="Arial" w:hAnsi="Arial" w:cs="Arial"/>
          <w:sz w:val="18"/>
          <w:szCs w:val="18"/>
          <w:lang w:val="fr-CA"/>
        </w:rPr>
        <w:t>j</w:t>
      </w:r>
      <w:r w:rsidRPr="00BD22C2">
        <w:rPr>
          <w:rFonts w:ascii="Arial" w:hAnsi="Arial" w:cs="Arial"/>
          <w:sz w:val="18"/>
          <w:szCs w:val="18"/>
          <w:lang w:val="fr-CA"/>
        </w:rPr>
        <w:t xml:space="preserve">ugement </w:t>
      </w:r>
      <w:r w:rsidRPr="00BD22C2">
        <w:rPr>
          <w:rFonts w:ascii="Arial" w:hAnsi="Arial" w:cs="Arial"/>
          <w:i/>
          <w:sz w:val="18"/>
          <w:szCs w:val="18"/>
          <w:lang w:val="fr-CA"/>
        </w:rPr>
        <w:t>Centre de lutte contre l’oppression des genres</w:t>
      </w:r>
      <w:r w:rsidR="00A44FCF" w:rsidRPr="00BD22C2">
        <w:rPr>
          <w:rFonts w:ascii="Arial" w:hAnsi="Arial" w:cs="Arial"/>
          <w:sz w:val="18"/>
          <w:szCs w:val="18"/>
          <w:lang w:val="fr-CA"/>
        </w:rPr>
        <w:t> </w:t>
      </w:r>
      <w:r w:rsidR="00581694" w:rsidRPr="00BD22C2">
        <w:rPr>
          <w:rFonts w:ascii="Arial" w:hAnsi="Arial" w:cs="Arial"/>
          <w:sz w:val="18"/>
          <w:szCs w:val="18"/>
          <w:lang w:val="fr-CA"/>
        </w:rPr>
        <w:t>c.</w:t>
      </w:r>
      <w:r w:rsidR="00A44FCF" w:rsidRPr="00BD22C2">
        <w:rPr>
          <w:rFonts w:ascii="Arial" w:hAnsi="Arial" w:cs="Arial"/>
          <w:sz w:val="18"/>
          <w:szCs w:val="18"/>
          <w:lang w:val="fr-CA"/>
        </w:rPr>
        <w:t xml:space="preserve"> </w:t>
      </w:r>
      <w:r w:rsidR="00A44FCF" w:rsidRPr="00BD22C2">
        <w:rPr>
          <w:rFonts w:ascii="Arial" w:hAnsi="Arial" w:cs="Arial"/>
          <w:i/>
          <w:sz w:val="18"/>
          <w:szCs w:val="18"/>
          <w:lang w:val="fr-CA"/>
        </w:rPr>
        <w:t>Procureur général du Québec</w:t>
      </w:r>
      <w:r w:rsidR="000A27F0" w:rsidRPr="00BD22C2">
        <w:rPr>
          <w:rFonts w:ascii="Arial" w:hAnsi="Arial" w:cs="Arial"/>
          <w:sz w:val="18"/>
          <w:szCs w:val="18"/>
          <w:lang w:val="fr-CA"/>
        </w:rPr>
        <w:t>,</w:t>
      </w:r>
      <w:r w:rsidR="00556577" w:rsidRPr="00BD22C2">
        <w:rPr>
          <w:rFonts w:ascii="Arial" w:hAnsi="Arial" w:cs="Arial"/>
          <w:sz w:val="18"/>
          <w:szCs w:val="18"/>
          <w:lang w:val="fr-CA"/>
        </w:rPr>
        <w:t xml:space="preserve"> </w:t>
      </w:r>
      <w:r w:rsidR="00A44FCF" w:rsidRPr="00BD22C2">
        <w:rPr>
          <w:rFonts w:ascii="Arial" w:hAnsi="Arial" w:cs="Arial"/>
          <w:sz w:val="18"/>
          <w:szCs w:val="18"/>
          <w:lang w:val="fr-CA"/>
        </w:rPr>
        <w:t>préc., note</w:t>
      </w:r>
      <w:r w:rsidR="00CE1914">
        <w:rPr>
          <w:rFonts w:ascii="Arial" w:hAnsi="Arial" w:cs="Arial"/>
          <w:sz w:val="18"/>
          <w:szCs w:val="18"/>
          <w:lang w:val="fr-CA"/>
        </w:rPr>
        <w:t> </w:t>
      </w:r>
      <w:r w:rsidR="001461A4" w:rsidRPr="00BD22C2">
        <w:rPr>
          <w:rFonts w:ascii="Arial" w:hAnsi="Arial" w:cs="Arial"/>
          <w:sz w:val="18"/>
          <w:szCs w:val="18"/>
          <w:lang w:val="fr-CA"/>
        </w:rPr>
        <w:fldChar w:fldCharType="begin"/>
      </w:r>
      <w:r w:rsidR="001461A4" w:rsidRPr="00BD22C2">
        <w:rPr>
          <w:rFonts w:ascii="Arial" w:hAnsi="Arial" w:cs="Arial"/>
          <w:sz w:val="18"/>
          <w:szCs w:val="18"/>
          <w:lang w:val="fr-CA"/>
        </w:rPr>
        <w:instrText xml:space="preserve"> NOTEREF _Ref166756816 \h </w:instrText>
      </w:r>
      <w:r w:rsidR="001461A4" w:rsidRPr="00BD22C2">
        <w:rPr>
          <w:rFonts w:ascii="Arial" w:hAnsi="Arial" w:cs="Arial"/>
          <w:sz w:val="18"/>
          <w:szCs w:val="18"/>
          <w:lang w:val="fr-CA"/>
        </w:rPr>
      </w:r>
      <w:r w:rsidR="001461A4" w:rsidRPr="00BD22C2">
        <w:rPr>
          <w:rFonts w:ascii="Arial" w:hAnsi="Arial" w:cs="Arial"/>
          <w:sz w:val="18"/>
          <w:szCs w:val="18"/>
          <w:lang w:val="fr-CA"/>
        </w:rPr>
        <w:fldChar w:fldCharType="separate"/>
      </w:r>
      <w:r w:rsidR="004B4881">
        <w:rPr>
          <w:rFonts w:ascii="Arial" w:hAnsi="Arial" w:cs="Arial"/>
          <w:sz w:val="18"/>
          <w:szCs w:val="18"/>
          <w:lang w:val="fr-CA"/>
        </w:rPr>
        <w:t>113</w:t>
      </w:r>
      <w:r w:rsidR="001461A4" w:rsidRPr="00BD22C2">
        <w:rPr>
          <w:rFonts w:ascii="Arial" w:hAnsi="Arial" w:cs="Arial"/>
          <w:sz w:val="18"/>
          <w:szCs w:val="18"/>
          <w:lang w:val="fr-CA"/>
        </w:rPr>
        <w:fldChar w:fldCharType="end"/>
      </w:r>
      <w:r w:rsidR="00A44FCF" w:rsidRPr="00BD22C2">
        <w:rPr>
          <w:rFonts w:ascii="Arial" w:hAnsi="Arial" w:cs="Arial"/>
          <w:sz w:val="18"/>
          <w:szCs w:val="18"/>
          <w:lang w:val="fr-CA"/>
        </w:rPr>
        <w:t xml:space="preserve">, </w:t>
      </w:r>
      <w:r w:rsidRPr="00BD22C2">
        <w:rPr>
          <w:rFonts w:ascii="Arial" w:hAnsi="Arial" w:cs="Arial"/>
          <w:sz w:val="18"/>
          <w:szCs w:val="18"/>
          <w:lang w:val="fr-CA"/>
        </w:rPr>
        <w:t xml:space="preserve">par. 17. </w:t>
      </w:r>
    </w:p>
  </w:endnote>
  <w:endnote w:id="390">
    <w:p w14:paraId="5116C896" w14:textId="218320D8" w:rsidR="00841C18" w:rsidRPr="00BD22C2" w:rsidRDefault="00841C1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Québec (Commission des droits de la personne et des droits de la jeunesse)</w:t>
      </w:r>
      <w:r w:rsidRPr="00BD22C2">
        <w:rPr>
          <w:rFonts w:ascii="Arial" w:hAnsi="Arial" w:cs="Arial"/>
          <w:sz w:val="18"/>
          <w:szCs w:val="18"/>
          <w:lang w:val="fr-CA"/>
        </w:rPr>
        <w:t xml:space="preserve"> c. </w:t>
      </w:r>
      <w:r w:rsidRPr="00BD22C2">
        <w:rPr>
          <w:rFonts w:ascii="Arial" w:hAnsi="Arial" w:cs="Arial"/>
          <w:i/>
          <w:sz w:val="18"/>
          <w:szCs w:val="18"/>
          <w:lang w:val="fr-CA"/>
        </w:rPr>
        <w:t>Bombardier Inc. (Bombardier Aéronautique Centre de formation)</w:t>
      </w:r>
      <w:r w:rsidRPr="00BD22C2">
        <w:rPr>
          <w:rFonts w:ascii="Arial" w:hAnsi="Arial" w:cs="Arial"/>
          <w:sz w:val="18"/>
          <w:szCs w:val="18"/>
          <w:lang w:val="fr-CA"/>
        </w:rPr>
        <w:t>,</w:t>
      </w:r>
      <w:r w:rsidR="006A4C40" w:rsidRPr="00BD22C2">
        <w:rPr>
          <w:rFonts w:ascii="Arial" w:hAnsi="Arial" w:cs="Arial"/>
          <w:sz w:val="18"/>
          <w:szCs w:val="18"/>
          <w:lang w:val="fr-CA"/>
        </w:rPr>
        <w:t xml:space="preserve"> préc.</w:t>
      </w:r>
      <w:r w:rsidR="001A79D2">
        <w:rPr>
          <w:rFonts w:ascii="Arial" w:hAnsi="Arial" w:cs="Arial"/>
          <w:sz w:val="18"/>
          <w:szCs w:val="18"/>
          <w:lang w:val="fr-CA"/>
        </w:rPr>
        <w:t>,</w:t>
      </w:r>
      <w:r w:rsidR="006A4C40" w:rsidRPr="00BD22C2">
        <w:rPr>
          <w:rFonts w:ascii="Arial" w:hAnsi="Arial" w:cs="Arial"/>
          <w:sz w:val="18"/>
          <w:szCs w:val="18"/>
          <w:lang w:val="fr-CA"/>
        </w:rPr>
        <w:t xml:space="preserve"> note</w:t>
      </w:r>
      <w:r w:rsidR="00CE1914">
        <w:rPr>
          <w:rFonts w:ascii="Arial" w:hAnsi="Arial" w:cs="Arial"/>
          <w:sz w:val="18"/>
          <w:szCs w:val="18"/>
          <w:lang w:val="fr-CA"/>
        </w:rPr>
        <w:t> </w:t>
      </w:r>
      <w:r w:rsidR="00F24C4A" w:rsidRPr="00BD22C2">
        <w:rPr>
          <w:rFonts w:ascii="Arial" w:hAnsi="Arial" w:cs="Arial"/>
          <w:sz w:val="18"/>
          <w:szCs w:val="18"/>
          <w:lang w:val="fr-CA"/>
        </w:rPr>
        <w:fldChar w:fldCharType="begin"/>
      </w:r>
      <w:r w:rsidR="00F24C4A" w:rsidRPr="00BD22C2">
        <w:rPr>
          <w:rFonts w:ascii="Arial" w:hAnsi="Arial" w:cs="Arial"/>
          <w:sz w:val="18"/>
          <w:szCs w:val="18"/>
          <w:lang w:val="fr-CA"/>
        </w:rPr>
        <w:instrText xml:space="preserve"> NOTEREF _Ref167438360 \h </w:instrText>
      </w:r>
      <w:r w:rsidR="00F24C4A" w:rsidRPr="00BD22C2">
        <w:rPr>
          <w:rFonts w:ascii="Arial" w:hAnsi="Arial" w:cs="Arial"/>
          <w:sz w:val="18"/>
          <w:szCs w:val="18"/>
          <w:lang w:val="fr-CA"/>
        </w:rPr>
      </w:r>
      <w:r w:rsidR="00F24C4A" w:rsidRPr="00BD22C2">
        <w:rPr>
          <w:rFonts w:ascii="Arial" w:hAnsi="Arial" w:cs="Arial"/>
          <w:sz w:val="18"/>
          <w:szCs w:val="18"/>
          <w:lang w:val="fr-CA"/>
        </w:rPr>
        <w:fldChar w:fldCharType="separate"/>
      </w:r>
      <w:r w:rsidR="004B4881">
        <w:rPr>
          <w:rFonts w:ascii="Arial" w:hAnsi="Arial" w:cs="Arial"/>
          <w:sz w:val="18"/>
          <w:szCs w:val="18"/>
          <w:lang w:val="fr-CA"/>
        </w:rPr>
        <w:t>162</w:t>
      </w:r>
      <w:r w:rsidR="00F24C4A" w:rsidRPr="00BD22C2">
        <w:rPr>
          <w:rFonts w:ascii="Arial" w:hAnsi="Arial" w:cs="Arial"/>
          <w:sz w:val="18"/>
          <w:szCs w:val="18"/>
          <w:lang w:val="fr-CA"/>
        </w:rPr>
        <w:fldChar w:fldCharType="end"/>
      </w:r>
      <w:r w:rsidRPr="00BD22C2">
        <w:rPr>
          <w:rFonts w:ascii="Arial" w:hAnsi="Arial" w:cs="Arial"/>
          <w:sz w:val="18"/>
          <w:szCs w:val="18"/>
          <w:lang w:val="fr-CA"/>
        </w:rPr>
        <w:t>, par. 37.</w:t>
      </w:r>
    </w:p>
  </w:endnote>
  <w:endnote w:id="391">
    <w:p w14:paraId="101D6E4E" w14:textId="2E72EB7F" w:rsidR="00BA0E30" w:rsidRPr="00E16C03" w:rsidRDefault="00BA0E3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Stuart J.</w:t>
      </w:r>
      <w:r w:rsidR="000B7F36" w:rsidRPr="00BD22C2">
        <w:rPr>
          <w:rFonts w:ascii="Arial" w:hAnsi="Arial" w:cs="Arial"/>
          <w:sz w:val="18"/>
          <w:szCs w:val="18"/>
          <w:lang w:val="fr-CA"/>
        </w:rPr>
        <w:t> </w:t>
      </w:r>
      <w:r w:rsidRPr="00BD22C2">
        <w:rPr>
          <w:rFonts w:ascii="Arial" w:hAnsi="Arial" w:cs="Arial"/>
          <w:smallCaps/>
          <w:sz w:val="18"/>
          <w:szCs w:val="18"/>
          <w:lang w:val="fr-CA"/>
        </w:rPr>
        <w:t>Turnbull-Dugarte</w:t>
      </w:r>
      <w:r w:rsidRPr="00BD22C2">
        <w:rPr>
          <w:rFonts w:ascii="Arial" w:hAnsi="Arial" w:cs="Arial"/>
          <w:sz w:val="18"/>
          <w:szCs w:val="18"/>
          <w:lang w:val="fr-CA"/>
        </w:rPr>
        <w:t xml:space="preserve"> et Fraser </w:t>
      </w:r>
      <w:r w:rsidRPr="00BD22C2">
        <w:rPr>
          <w:rFonts w:ascii="Arial" w:hAnsi="Arial" w:cs="Arial"/>
          <w:smallCaps/>
          <w:sz w:val="18"/>
          <w:szCs w:val="18"/>
          <w:lang w:val="fr-CA"/>
        </w:rPr>
        <w:t>McMillan</w:t>
      </w:r>
      <w:r w:rsidRPr="00BD22C2">
        <w:rPr>
          <w:rFonts w:ascii="Arial" w:hAnsi="Arial" w:cs="Arial"/>
          <w:sz w:val="18"/>
          <w:szCs w:val="18"/>
          <w:lang w:val="fr-CA"/>
        </w:rPr>
        <w:t>, «</w:t>
      </w:r>
      <w:r w:rsidR="0051216B" w:rsidRPr="00BD22C2">
        <w:rPr>
          <w:rFonts w:ascii="Arial" w:hAnsi="Arial" w:cs="Arial"/>
          <w:sz w:val="18"/>
          <w:szCs w:val="18"/>
          <w:lang w:val="fr-CA"/>
        </w:rPr>
        <w:t> </w:t>
      </w:r>
      <w:r w:rsidRPr="00BD22C2">
        <w:rPr>
          <w:rFonts w:ascii="Arial" w:hAnsi="Arial" w:cs="Arial"/>
          <w:sz w:val="18"/>
          <w:szCs w:val="18"/>
          <w:lang w:val="fr-CA"/>
        </w:rPr>
        <w:t xml:space="preserve">“Protect the women!” </w:t>
      </w:r>
      <w:r w:rsidRPr="00E16C03">
        <w:rPr>
          <w:rFonts w:ascii="Arial" w:hAnsi="Arial" w:cs="Arial"/>
          <w:sz w:val="18"/>
          <w:szCs w:val="18"/>
          <w:lang w:val="en-CA"/>
        </w:rPr>
        <w:t>Trans-exclusionary feminist issue framing and support for transgender rights</w:t>
      </w:r>
      <w:r w:rsidR="0056005D" w:rsidRPr="00E16C03">
        <w:rPr>
          <w:rFonts w:ascii="Arial" w:hAnsi="Arial" w:cs="Arial"/>
          <w:sz w:val="18"/>
          <w:szCs w:val="18"/>
          <w:lang w:val="en-CA"/>
        </w:rPr>
        <w:t> </w:t>
      </w:r>
      <w:r w:rsidRPr="00E16C03">
        <w:rPr>
          <w:rFonts w:ascii="Arial" w:hAnsi="Arial" w:cs="Arial"/>
          <w:sz w:val="18"/>
          <w:szCs w:val="18"/>
          <w:lang w:val="en-CA"/>
        </w:rPr>
        <w:t xml:space="preserve">», (2022) </w:t>
      </w:r>
      <w:r w:rsidRPr="00E16C03">
        <w:rPr>
          <w:rFonts w:ascii="Arial" w:hAnsi="Arial" w:cs="Arial"/>
          <w:i/>
          <w:sz w:val="18"/>
          <w:szCs w:val="18"/>
          <w:lang w:val="en-CA"/>
        </w:rPr>
        <w:t>Policy Studies Journal</w:t>
      </w:r>
      <w:r w:rsidRPr="00E16C03">
        <w:rPr>
          <w:rFonts w:ascii="Arial" w:hAnsi="Arial" w:cs="Arial"/>
          <w:sz w:val="18"/>
          <w:szCs w:val="18"/>
          <w:lang w:val="en-CA"/>
        </w:rPr>
        <w:t>, p. 6</w:t>
      </w:r>
      <w:r w:rsidR="00B76628">
        <w:rPr>
          <w:rFonts w:ascii="Arial" w:hAnsi="Arial" w:cs="Arial"/>
          <w:sz w:val="18"/>
          <w:szCs w:val="18"/>
          <w:lang w:val="en-CA"/>
        </w:rPr>
        <w:t xml:space="preserve"> à </w:t>
      </w:r>
      <w:r w:rsidRPr="00E16C03">
        <w:rPr>
          <w:rFonts w:ascii="Arial" w:hAnsi="Arial" w:cs="Arial"/>
          <w:sz w:val="18"/>
          <w:szCs w:val="18"/>
          <w:lang w:val="en-CA"/>
        </w:rPr>
        <w:t xml:space="preserve">8, </w:t>
      </w:r>
      <w:hyperlink r:id="rId124" w:history="1">
        <w:r w:rsidRPr="00E16C03">
          <w:rPr>
            <w:rStyle w:val="Lienhypertexte"/>
            <w:rFonts w:ascii="Arial" w:hAnsi="Arial" w:cs="Arial"/>
            <w:sz w:val="18"/>
            <w:szCs w:val="18"/>
            <w:lang w:val="en-CA"/>
          </w:rPr>
          <w:t>https://doi.org/10.1111/psj.12484</w:t>
        </w:r>
      </w:hyperlink>
      <w:r w:rsidRPr="00E16C03">
        <w:rPr>
          <w:rFonts w:ascii="Arial" w:hAnsi="Arial" w:cs="Arial"/>
          <w:sz w:val="18"/>
          <w:szCs w:val="18"/>
          <w:lang w:val="en-CA"/>
        </w:rPr>
        <w:t xml:space="preserve"> </w:t>
      </w:r>
    </w:p>
  </w:endnote>
  <w:endnote w:id="392">
    <w:p w14:paraId="541D4ECC" w14:textId="77777777"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 7.</w:t>
      </w:r>
    </w:p>
  </w:endnote>
  <w:endnote w:id="393">
    <w:p w14:paraId="7EE03507" w14:textId="51743BB4" w:rsidR="00BA0E30" w:rsidRPr="0085310E" w:rsidRDefault="00BA0E30"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Le Gouvernement du Québec définit par exemple les stéréotypes comme suit : « Les stéréotypes sont des caractéristiques que la société attribue à un groupe de personnes pour les classer instinctivement, par exemple selon leur âge, leur poids, leur métier, leur couleur de peau ou leur sexe. », </w:t>
      </w:r>
      <w:r w:rsidRPr="00BD22C2">
        <w:rPr>
          <w:rFonts w:ascii="Arial" w:hAnsi="Arial" w:cs="Arial"/>
          <w:smallCaps/>
          <w:sz w:val="18"/>
          <w:szCs w:val="18"/>
          <w:lang w:val="fr-CA"/>
        </w:rPr>
        <w:t xml:space="preserve">Gouvernement du </w:t>
      </w:r>
      <w:r w:rsidR="00CF6CCC" w:rsidRPr="00BD22C2">
        <w:rPr>
          <w:rFonts w:ascii="Arial" w:hAnsi="Arial" w:cs="Arial"/>
          <w:smallCaps/>
          <w:sz w:val="18"/>
          <w:szCs w:val="18"/>
          <w:lang w:val="fr-CA"/>
        </w:rPr>
        <w:t>Québec</w:t>
      </w:r>
      <w:r w:rsidRPr="00BD22C2">
        <w:rPr>
          <w:rFonts w:ascii="Arial" w:hAnsi="Arial" w:cs="Arial"/>
          <w:sz w:val="18"/>
          <w:szCs w:val="18"/>
          <w:lang w:val="fr-CA"/>
        </w:rPr>
        <w:t xml:space="preserve">, </w:t>
      </w:r>
      <w:r w:rsidRPr="00BD22C2">
        <w:rPr>
          <w:rFonts w:ascii="Arial" w:hAnsi="Arial" w:cs="Arial"/>
          <w:i/>
          <w:sz w:val="18"/>
          <w:szCs w:val="18"/>
          <w:lang w:val="fr-CA"/>
        </w:rPr>
        <w:t>Conséquences de stéréotypes sur le développement</w:t>
      </w:r>
      <w:r w:rsidRPr="00BD22C2">
        <w:rPr>
          <w:rFonts w:ascii="Arial" w:hAnsi="Arial" w:cs="Arial"/>
          <w:sz w:val="18"/>
          <w:szCs w:val="18"/>
          <w:lang w:val="fr-CA"/>
        </w:rPr>
        <w:t xml:space="preserve">, 2021, [En ligne]. </w:t>
      </w:r>
      <w:r>
        <w:fldChar w:fldCharType="begin"/>
      </w:r>
      <w:r w:rsidRPr="003E3312">
        <w:rPr>
          <w:lang w:val="fr-CA"/>
        </w:rPr>
        <w:instrText>HYPERLINK "https://www.quebec.ca/famille-et-soutien-aux-personnes/enfance/developpement-des-enfants/consequences-stereotypes-developpement"</w:instrText>
      </w:r>
      <w:r>
        <w:fldChar w:fldCharType="separate"/>
      </w:r>
      <w:r w:rsidRPr="0085310E">
        <w:rPr>
          <w:rStyle w:val="Lienhypertexte"/>
          <w:rFonts w:ascii="Arial" w:hAnsi="Arial" w:cs="Arial"/>
          <w:sz w:val="18"/>
          <w:szCs w:val="18"/>
        </w:rPr>
        <w:t>https://www.quebec.ca/famille-et-soutien-aux-personnes/enfance/developpement-des-enfants/consequences-stereotypes-developpement</w:t>
      </w:r>
      <w:r>
        <w:rPr>
          <w:rStyle w:val="Lienhypertexte"/>
          <w:rFonts w:ascii="Arial" w:hAnsi="Arial" w:cs="Arial"/>
          <w:sz w:val="18"/>
          <w:szCs w:val="18"/>
        </w:rPr>
        <w:fldChar w:fldCharType="end"/>
      </w:r>
      <w:r w:rsidRPr="0085310E">
        <w:rPr>
          <w:rFonts w:ascii="Arial" w:hAnsi="Arial" w:cs="Arial"/>
          <w:sz w:val="18"/>
          <w:szCs w:val="18"/>
        </w:rPr>
        <w:t xml:space="preserve"> </w:t>
      </w:r>
    </w:p>
  </w:endnote>
  <w:endnote w:id="394">
    <w:p w14:paraId="223F5478" w14:textId="2DB8C030" w:rsidR="00BA0E30" w:rsidRPr="00F11979" w:rsidRDefault="00BA0E3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475019" w:rsidRPr="00E16C03">
        <w:rPr>
          <w:rFonts w:ascii="Arial" w:hAnsi="Arial" w:cs="Arial"/>
          <w:sz w:val="18"/>
          <w:szCs w:val="18"/>
          <w:lang w:val="en-CA"/>
        </w:rPr>
        <w:tab/>
      </w:r>
      <w:r w:rsidR="00B87109" w:rsidRPr="00E16C03">
        <w:rPr>
          <w:rFonts w:ascii="Arial" w:hAnsi="Arial" w:cs="Arial"/>
          <w:smallCaps/>
          <w:sz w:val="18"/>
          <w:szCs w:val="18"/>
          <w:lang w:val="en-CA"/>
        </w:rPr>
        <w:t>American C</w:t>
      </w:r>
      <w:r w:rsidR="00DF3FC6" w:rsidRPr="00E16C03">
        <w:rPr>
          <w:rFonts w:ascii="Arial" w:hAnsi="Arial" w:cs="Arial"/>
          <w:smallCaps/>
          <w:sz w:val="18"/>
          <w:szCs w:val="18"/>
          <w:lang w:val="en-CA"/>
        </w:rPr>
        <w:t>ivil</w:t>
      </w:r>
      <w:r w:rsidR="00B87109" w:rsidRPr="00E16C03">
        <w:rPr>
          <w:rFonts w:ascii="Arial" w:hAnsi="Arial" w:cs="Arial"/>
          <w:smallCaps/>
          <w:sz w:val="18"/>
          <w:szCs w:val="18"/>
          <w:lang w:val="en-CA"/>
        </w:rPr>
        <w:t xml:space="preserve"> Liberties Union, </w:t>
      </w:r>
      <w:r w:rsidR="00AA2AA9" w:rsidRPr="00E16C03">
        <w:rPr>
          <w:rFonts w:ascii="Arial" w:hAnsi="Arial" w:cs="Arial"/>
          <w:sz w:val="18"/>
          <w:szCs w:val="18"/>
          <w:lang w:val="en-CA"/>
        </w:rPr>
        <w:t xml:space="preserve">préc., note </w:t>
      </w:r>
      <w:r w:rsidR="00AA2AA9" w:rsidRPr="00F11979">
        <w:rPr>
          <w:rFonts w:ascii="Arial" w:hAnsi="Arial" w:cs="Arial"/>
          <w:sz w:val="18"/>
          <w:szCs w:val="18"/>
          <w:lang w:val="fr-CA"/>
        </w:rPr>
        <w:fldChar w:fldCharType="begin"/>
      </w:r>
      <w:r w:rsidR="00AA2AA9" w:rsidRPr="00E16C03">
        <w:rPr>
          <w:rFonts w:ascii="Arial" w:hAnsi="Arial" w:cs="Arial"/>
          <w:sz w:val="18"/>
          <w:szCs w:val="18"/>
          <w:lang w:val="en-CA"/>
        </w:rPr>
        <w:instrText xml:space="preserve"> NOTEREF _Ref166838942 \h </w:instrText>
      </w:r>
      <w:r w:rsidR="00AA2AA9" w:rsidRPr="00F11979">
        <w:rPr>
          <w:rFonts w:ascii="Arial" w:hAnsi="Arial" w:cs="Arial"/>
          <w:sz w:val="18"/>
          <w:szCs w:val="18"/>
          <w:lang w:val="fr-CA"/>
        </w:rPr>
      </w:r>
      <w:r w:rsidR="00AA2AA9" w:rsidRPr="00F11979">
        <w:rPr>
          <w:rFonts w:ascii="Arial" w:hAnsi="Arial" w:cs="Arial"/>
          <w:sz w:val="18"/>
          <w:szCs w:val="18"/>
          <w:lang w:val="fr-CA"/>
        </w:rPr>
        <w:fldChar w:fldCharType="separate"/>
      </w:r>
      <w:r w:rsidR="004B4881">
        <w:rPr>
          <w:rFonts w:ascii="Arial" w:hAnsi="Arial" w:cs="Arial"/>
          <w:sz w:val="18"/>
          <w:szCs w:val="18"/>
          <w:lang w:val="en-CA"/>
        </w:rPr>
        <w:t>36</w:t>
      </w:r>
      <w:r w:rsidR="00AA2AA9" w:rsidRPr="00F11979">
        <w:rPr>
          <w:rFonts w:ascii="Arial" w:hAnsi="Arial" w:cs="Arial"/>
          <w:sz w:val="18"/>
          <w:szCs w:val="18"/>
          <w:lang w:val="fr-CA"/>
        </w:rPr>
        <w:fldChar w:fldCharType="end"/>
      </w:r>
      <w:r w:rsidR="00AA2AA9" w:rsidRPr="00E16C03">
        <w:rPr>
          <w:rFonts w:ascii="Arial" w:hAnsi="Arial" w:cs="Arial"/>
          <w:sz w:val="18"/>
          <w:szCs w:val="18"/>
          <w:lang w:val="en-CA"/>
        </w:rPr>
        <w:t>.</w:t>
      </w:r>
      <w:r w:rsidR="00DF3FC6" w:rsidRPr="00F11979">
        <w:rPr>
          <w:rFonts w:ascii="Arial" w:hAnsi="Arial" w:cs="Arial"/>
          <w:sz w:val="18"/>
          <w:szCs w:val="18"/>
          <w:lang w:val="en-CA"/>
        </w:rPr>
        <w:t xml:space="preserve"> </w:t>
      </w:r>
    </w:p>
  </w:endnote>
  <w:endnote w:id="395">
    <w:p w14:paraId="729836F7" w14:textId="69F9A8D5" w:rsidR="00BA0E30" w:rsidRPr="00E16C03" w:rsidRDefault="00BA0E30"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475019" w:rsidRPr="00E16C03">
        <w:rPr>
          <w:rFonts w:ascii="Arial" w:hAnsi="Arial" w:cs="Arial"/>
          <w:sz w:val="18"/>
          <w:szCs w:val="18"/>
          <w:lang w:val="en-CA"/>
        </w:rPr>
        <w:tab/>
      </w:r>
      <w:r w:rsidR="00360F03" w:rsidRPr="00E16C03">
        <w:rPr>
          <w:rFonts w:ascii="Arial" w:hAnsi="Arial" w:cs="Arial"/>
          <w:sz w:val="18"/>
          <w:szCs w:val="18"/>
          <w:lang w:val="en-CA"/>
        </w:rPr>
        <w:t xml:space="preserve">H.B. 257 </w:t>
      </w:r>
      <w:r w:rsidR="00360F03" w:rsidRPr="00E16C03">
        <w:rPr>
          <w:rFonts w:ascii="Arial" w:hAnsi="Arial" w:cs="Arial"/>
          <w:i/>
          <w:sz w:val="18"/>
          <w:szCs w:val="18"/>
          <w:lang w:val="en-CA"/>
        </w:rPr>
        <w:t>Sex-based Designations for Privacy, Anti-bullying, and Women's Opportunities</w:t>
      </w:r>
    </w:p>
  </w:endnote>
  <w:endnote w:id="396">
    <w:p w14:paraId="40D9E0AB" w14:textId="76B9357F" w:rsidR="00BA0E30" w:rsidRPr="00BD22C2" w:rsidRDefault="00BA0E30"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Style w:val="NotesBasPageCar"/>
          <w:lang w:val="fr-CA"/>
        </w:rPr>
        <w:t>, 2015,</w:t>
      </w:r>
      <w:r w:rsidR="00744E1C" w:rsidRPr="00BD22C2">
        <w:rPr>
          <w:rStyle w:val="NotesBasPageCar"/>
          <w:lang w:val="fr-CA"/>
        </w:rPr>
        <w:t xml:space="preserve"> préc., note</w:t>
      </w:r>
      <w:r w:rsidR="00CE1914">
        <w:rPr>
          <w:rStyle w:val="NotesBasPageCar"/>
          <w:lang w:val="fr-CA"/>
        </w:rPr>
        <w:t> </w:t>
      </w:r>
      <w:r w:rsidR="008452D1" w:rsidRPr="00BD22C2">
        <w:rPr>
          <w:rStyle w:val="NotesBasPageCar"/>
          <w:lang w:val="fr-CA"/>
        </w:rPr>
        <w:fldChar w:fldCharType="begin"/>
      </w:r>
      <w:r w:rsidR="008452D1" w:rsidRPr="00BD22C2">
        <w:rPr>
          <w:rStyle w:val="NotesBasPageCar"/>
          <w:lang w:val="fr-CA"/>
        </w:rPr>
        <w:instrText xml:space="preserve"> NOTEREF _Ref167286065 \h </w:instrText>
      </w:r>
      <w:r w:rsidR="008452D1" w:rsidRPr="00BD22C2">
        <w:rPr>
          <w:rStyle w:val="NotesBasPageCar"/>
          <w:lang w:val="fr-CA"/>
        </w:rPr>
      </w:r>
      <w:r w:rsidR="008452D1" w:rsidRPr="00BD22C2">
        <w:rPr>
          <w:rStyle w:val="NotesBasPageCar"/>
          <w:lang w:val="fr-CA"/>
        </w:rPr>
        <w:fldChar w:fldCharType="separate"/>
      </w:r>
      <w:r w:rsidR="004B4881">
        <w:rPr>
          <w:rStyle w:val="NotesBasPageCar"/>
          <w:lang w:val="fr-CA"/>
        </w:rPr>
        <w:t>14</w:t>
      </w:r>
      <w:r w:rsidR="008452D1" w:rsidRPr="00BD22C2">
        <w:rPr>
          <w:rStyle w:val="NotesBasPageCar"/>
          <w:lang w:val="fr-CA"/>
        </w:rPr>
        <w:fldChar w:fldCharType="end"/>
      </w:r>
      <w:r w:rsidR="00744E1C" w:rsidRPr="00BD22C2">
        <w:rPr>
          <w:rStyle w:val="NotesBasPageCar"/>
          <w:lang w:val="fr-CA"/>
        </w:rPr>
        <w:t>,</w:t>
      </w:r>
      <w:r w:rsidRPr="00BD22C2">
        <w:rPr>
          <w:rStyle w:val="NotesBasPageCar"/>
          <w:lang w:val="fr-CA"/>
        </w:rPr>
        <w:t xml:space="preserve"> p.</w:t>
      </w:r>
      <w:r w:rsidR="00F915F8" w:rsidRPr="00BD22C2">
        <w:rPr>
          <w:rStyle w:val="NotesBasPageCar"/>
          <w:lang w:val="fr-CA"/>
        </w:rPr>
        <w:t> </w:t>
      </w:r>
      <w:r w:rsidRPr="00BD22C2">
        <w:rPr>
          <w:rStyle w:val="NotesBasPageCar"/>
          <w:lang w:val="fr-CA"/>
        </w:rPr>
        <w:t>5</w:t>
      </w:r>
      <w:r w:rsidR="002B21BE">
        <w:rPr>
          <w:rStyle w:val="NotesBasPageCar"/>
          <w:lang w:val="fr-CA"/>
        </w:rPr>
        <w:t xml:space="preserve"> à </w:t>
      </w:r>
      <w:r w:rsidRPr="00BD22C2">
        <w:rPr>
          <w:rStyle w:val="NotesBasPageCar"/>
          <w:lang w:val="fr-CA"/>
        </w:rPr>
        <w:t>6</w:t>
      </w:r>
      <w:r w:rsidR="00DE10C8" w:rsidRPr="00BD22C2">
        <w:rPr>
          <w:rStyle w:val="NotesBasPageCar"/>
          <w:lang w:val="fr-CA"/>
        </w:rPr>
        <w:t>.</w:t>
      </w:r>
    </w:p>
  </w:endnote>
  <w:endnote w:id="397">
    <w:p w14:paraId="018CD552" w14:textId="34982A71" w:rsidR="00BA0E30" w:rsidRPr="00BD22C2" w:rsidRDefault="00BA0E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Style w:val="NotesBasPageCar"/>
          <w:lang w:val="fr-CA"/>
        </w:rPr>
        <w:t xml:space="preserve">, </w:t>
      </w:r>
      <w:r w:rsidR="00675495" w:rsidRPr="00BD22C2">
        <w:rPr>
          <w:rStyle w:val="NotesBasPageCar"/>
          <w:lang w:val="fr-CA"/>
        </w:rPr>
        <w:t>2022, préc., note</w:t>
      </w:r>
      <w:r w:rsidR="00CE1914">
        <w:rPr>
          <w:rStyle w:val="NotesBasPageCar"/>
          <w:lang w:val="fr-CA"/>
        </w:rPr>
        <w:t> </w:t>
      </w:r>
      <w:r w:rsidR="00675495" w:rsidRPr="00BD22C2">
        <w:rPr>
          <w:rStyle w:val="NotesBasPageCar"/>
          <w:lang w:val="fr-CA"/>
        </w:rPr>
        <w:fldChar w:fldCharType="begin"/>
      </w:r>
      <w:r w:rsidR="00675495" w:rsidRPr="00BD22C2">
        <w:rPr>
          <w:rStyle w:val="NotesBasPageCar"/>
          <w:lang w:val="fr-CA"/>
        </w:rPr>
        <w:instrText xml:space="preserve"> NOTEREF _Ref167286065 \h </w:instrText>
      </w:r>
      <w:r w:rsidR="000A536F" w:rsidRPr="00BD22C2">
        <w:rPr>
          <w:rStyle w:val="NotesBasPageCar"/>
          <w:lang w:val="fr-CA"/>
        </w:rPr>
        <w:instrText xml:space="preserve"> \* MERGEFORMAT </w:instrText>
      </w:r>
      <w:r w:rsidR="00675495" w:rsidRPr="00BD22C2">
        <w:rPr>
          <w:rStyle w:val="NotesBasPageCar"/>
          <w:lang w:val="fr-CA"/>
        </w:rPr>
      </w:r>
      <w:r w:rsidR="00675495" w:rsidRPr="00BD22C2">
        <w:rPr>
          <w:rStyle w:val="NotesBasPageCar"/>
          <w:lang w:val="fr-CA"/>
        </w:rPr>
        <w:fldChar w:fldCharType="separate"/>
      </w:r>
      <w:r w:rsidR="004B4881">
        <w:rPr>
          <w:rStyle w:val="NotesBasPageCar"/>
          <w:lang w:val="fr-CA"/>
        </w:rPr>
        <w:t>14</w:t>
      </w:r>
      <w:r w:rsidR="00675495" w:rsidRPr="00BD22C2">
        <w:rPr>
          <w:rStyle w:val="NotesBasPageCar"/>
          <w:lang w:val="fr-CA"/>
        </w:rPr>
        <w:fldChar w:fldCharType="end"/>
      </w:r>
      <w:r w:rsidRPr="00BD22C2">
        <w:rPr>
          <w:rFonts w:ascii="Arial" w:hAnsi="Arial" w:cs="Arial"/>
          <w:sz w:val="18"/>
          <w:szCs w:val="18"/>
          <w:lang w:val="fr-CA"/>
        </w:rPr>
        <w:t>, p.</w:t>
      </w:r>
      <w:r w:rsidR="00F915F8" w:rsidRPr="00BD22C2">
        <w:rPr>
          <w:rFonts w:ascii="Arial" w:hAnsi="Arial" w:cs="Arial"/>
          <w:sz w:val="18"/>
          <w:szCs w:val="18"/>
          <w:lang w:val="fr-CA"/>
        </w:rPr>
        <w:t> </w:t>
      </w:r>
      <w:r w:rsidRPr="00BD22C2">
        <w:rPr>
          <w:rFonts w:ascii="Arial" w:hAnsi="Arial" w:cs="Arial"/>
          <w:sz w:val="18"/>
          <w:szCs w:val="18"/>
          <w:lang w:val="fr-CA"/>
        </w:rPr>
        <w:t>89</w:t>
      </w:r>
      <w:r w:rsidR="00675495" w:rsidRPr="00BD22C2">
        <w:rPr>
          <w:rFonts w:ascii="Arial" w:hAnsi="Arial" w:cs="Arial"/>
          <w:sz w:val="18"/>
          <w:szCs w:val="18"/>
          <w:lang w:val="fr-CA"/>
        </w:rPr>
        <w:t>.</w:t>
      </w:r>
    </w:p>
  </w:endnote>
  <w:endnote w:id="398">
    <w:p w14:paraId="2F3A5710" w14:textId="56939C60" w:rsidR="006710F7" w:rsidRPr="00BD22C2" w:rsidRDefault="006710F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962FC0" w:rsidRPr="00BD22C2">
        <w:rPr>
          <w:rFonts w:ascii="Arial" w:hAnsi="Arial" w:cs="Arial"/>
          <w:sz w:val="18"/>
          <w:szCs w:val="18"/>
          <w:lang w:val="fr-CA"/>
        </w:rPr>
        <w:t xml:space="preserve">Principes de </w:t>
      </w:r>
      <w:r w:rsidR="002B11CE" w:rsidRPr="00BD22C2">
        <w:rPr>
          <w:rFonts w:ascii="Arial" w:hAnsi="Arial" w:cs="Arial"/>
          <w:sz w:val="18"/>
          <w:szCs w:val="18"/>
          <w:lang w:val="fr-CA"/>
        </w:rPr>
        <w:t xml:space="preserve">Jogjakarta, </w:t>
      </w:r>
      <w:r w:rsidR="00FA3A3B" w:rsidRPr="00BD22C2">
        <w:rPr>
          <w:rFonts w:ascii="Arial" w:hAnsi="Arial" w:cs="Arial"/>
          <w:sz w:val="18"/>
          <w:szCs w:val="18"/>
          <w:lang w:val="fr-CA"/>
        </w:rPr>
        <w:t>2007</w:t>
      </w:r>
      <w:r w:rsidR="00614F61" w:rsidRPr="00BD22C2">
        <w:rPr>
          <w:rFonts w:ascii="Arial" w:hAnsi="Arial" w:cs="Arial"/>
          <w:sz w:val="18"/>
          <w:szCs w:val="18"/>
          <w:lang w:val="fr-CA"/>
        </w:rPr>
        <w:t>,</w:t>
      </w:r>
      <w:r w:rsidR="00C83012" w:rsidRPr="00BD22C2">
        <w:rPr>
          <w:rFonts w:ascii="Arial" w:hAnsi="Arial" w:cs="Arial"/>
          <w:sz w:val="18"/>
          <w:szCs w:val="18"/>
          <w:lang w:val="fr-CA"/>
        </w:rPr>
        <w:t xml:space="preserve"> préc.</w:t>
      </w:r>
      <w:r w:rsidR="003276C7" w:rsidRPr="00BD22C2">
        <w:rPr>
          <w:rFonts w:ascii="Arial" w:hAnsi="Arial" w:cs="Arial"/>
          <w:sz w:val="18"/>
          <w:szCs w:val="18"/>
          <w:lang w:val="fr-CA"/>
        </w:rPr>
        <w:t>,</w:t>
      </w:r>
      <w:r w:rsidR="00C83012" w:rsidRPr="00BD22C2">
        <w:rPr>
          <w:rFonts w:ascii="Arial" w:hAnsi="Arial" w:cs="Arial"/>
          <w:sz w:val="18"/>
          <w:szCs w:val="18"/>
          <w:lang w:val="fr-CA"/>
        </w:rPr>
        <w:t xml:space="preserve"> note</w:t>
      </w:r>
      <w:r w:rsidR="00CE1914">
        <w:rPr>
          <w:rFonts w:ascii="Arial" w:hAnsi="Arial" w:cs="Arial"/>
          <w:sz w:val="18"/>
          <w:szCs w:val="18"/>
          <w:lang w:val="fr-CA"/>
        </w:rPr>
        <w:t> </w:t>
      </w:r>
      <w:r w:rsidR="00C83012" w:rsidRPr="00BD22C2">
        <w:rPr>
          <w:rFonts w:ascii="Arial" w:hAnsi="Arial" w:cs="Arial"/>
          <w:sz w:val="18"/>
          <w:szCs w:val="18"/>
          <w:lang w:val="fr-CA"/>
        </w:rPr>
        <w:fldChar w:fldCharType="begin"/>
      </w:r>
      <w:r w:rsidR="00C83012" w:rsidRPr="00BD22C2">
        <w:rPr>
          <w:rFonts w:ascii="Arial" w:hAnsi="Arial" w:cs="Arial"/>
          <w:sz w:val="18"/>
          <w:szCs w:val="18"/>
          <w:lang w:val="fr-CA"/>
        </w:rPr>
        <w:instrText xml:space="preserve"> NOTEREF _Ref167356438 \h </w:instrText>
      </w:r>
      <w:r w:rsidR="00C83012" w:rsidRPr="00BD22C2">
        <w:rPr>
          <w:rFonts w:ascii="Arial" w:hAnsi="Arial" w:cs="Arial"/>
          <w:sz w:val="18"/>
          <w:szCs w:val="18"/>
          <w:lang w:val="fr-CA"/>
        </w:rPr>
      </w:r>
      <w:r w:rsidR="00C83012" w:rsidRPr="00BD22C2">
        <w:rPr>
          <w:rFonts w:ascii="Arial" w:hAnsi="Arial" w:cs="Arial"/>
          <w:sz w:val="18"/>
          <w:szCs w:val="18"/>
          <w:lang w:val="fr-CA"/>
        </w:rPr>
        <w:fldChar w:fldCharType="separate"/>
      </w:r>
      <w:r w:rsidR="004B4881">
        <w:rPr>
          <w:rFonts w:ascii="Arial" w:hAnsi="Arial" w:cs="Arial"/>
          <w:sz w:val="18"/>
          <w:szCs w:val="18"/>
          <w:lang w:val="fr-CA"/>
        </w:rPr>
        <w:t>271</w:t>
      </w:r>
      <w:r w:rsidR="00C83012" w:rsidRPr="00BD22C2">
        <w:rPr>
          <w:rFonts w:ascii="Arial" w:hAnsi="Arial" w:cs="Arial"/>
          <w:sz w:val="18"/>
          <w:szCs w:val="18"/>
          <w:lang w:val="fr-CA"/>
        </w:rPr>
        <w:fldChar w:fldCharType="end"/>
      </w:r>
      <w:r w:rsidR="00C83012" w:rsidRPr="00BD22C2">
        <w:rPr>
          <w:rFonts w:ascii="Arial" w:hAnsi="Arial" w:cs="Arial"/>
          <w:sz w:val="18"/>
          <w:szCs w:val="18"/>
          <w:lang w:val="fr-CA"/>
        </w:rPr>
        <w:t>.</w:t>
      </w:r>
    </w:p>
  </w:endnote>
  <w:endnote w:id="399">
    <w:p w14:paraId="12E04C0F" w14:textId="55E43337" w:rsidR="00BA0E30" w:rsidRPr="00BD22C2" w:rsidRDefault="00BA0E30" w:rsidP="00B36D7C">
      <w:pPr>
        <w:pStyle w:val="Notedefin"/>
        <w:tabs>
          <w:tab w:val="left" w:pos="709"/>
        </w:tabs>
        <w:spacing w:after="120" w:line="240" w:lineRule="auto"/>
        <w:ind w:left="709" w:hanging="709"/>
        <w:rPr>
          <w:rStyle w:val="NotesBasPageCar"/>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DD1959" w:rsidRPr="00BD22C2">
        <w:rPr>
          <w:rStyle w:val="NotesBasPageCar"/>
          <w:i/>
          <w:lang w:val="fr-CA"/>
        </w:rPr>
        <w:t>Id.,</w:t>
      </w:r>
      <w:r w:rsidR="00DD7675" w:rsidRPr="00BD22C2">
        <w:rPr>
          <w:rStyle w:val="NotesBasPageCar"/>
          <w:lang w:val="fr-CA"/>
        </w:rPr>
        <w:t xml:space="preserve"> </w:t>
      </w:r>
      <w:r w:rsidRPr="00BD22C2">
        <w:rPr>
          <w:rStyle w:val="NotesBasPageCar"/>
          <w:lang w:val="fr-CA"/>
        </w:rPr>
        <w:t>principe</w:t>
      </w:r>
      <w:r w:rsidR="00F915F8" w:rsidRPr="00BD22C2">
        <w:rPr>
          <w:rStyle w:val="NotesBasPageCar"/>
          <w:lang w:val="fr-CA"/>
        </w:rPr>
        <w:t> </w:t>
      </w:r>
      <w:r w:rsidRPr="00BD22C2">
        <w:rPr>
          <w:rStyle w:val="NotesBasPageCar"/>
          <w:lang w:val="fr-CA"/>
        </w:rPr>
        <w:t xml:space="preserve">3. Voir également les </w:t>
      </w:r>
      <w:r w:rsidRPr="00BD22C2">
        <w:rPr>
          <w:rStyle w:val="NotesBasPageCar"/>
          <w:i/>
          <w:lang w:val="fr-CA"/>
        </w:rPr>
        <w:t>Principes de Jogjakarta</w:t>
      </w:r>
      <w:r w:rsidRPr="00BD22C2">
        <w:rPr>
          <w:rStyle w:val="NotesBasPageCar"/>
          <w:lang w:val="fr-CA"/>
        </w:rPr>
        <w:t xml:space="preserve"> </w:t>
      </w:r>
      <w:r w:rsidRPr="00BD22C2">
        <w:rPr>
          <w:rStyle w:val="NotesBasPageCar"/>
          <w:i/>
          <w:lang w:val="fr-CA"/>
        </w:rPr>
        <w:t>plus 10</w:t>
      </w:r>
      <w:r w:rsidRPr="00BD22C2">
        <w:rPr>
          <w:rStyle w:val="NotesBasPageCar"/>
          <w:lang w:val="fr-CA"/>
        </w:rPr>
        <w:t xml:space="preserve">, </w:t>
      </w:r>
      <w:r w:rsidR="00DD1959" w:rsidRPr="00BD22C2">
        <w:rPr>
          <w:rStyle w:val="NotesBasPageCar"/>
          <w:lang w:val="fr-CA"/>
        </w:rPr>
        <w:t>préc., note</w:t>
      </w:r>
      <w:r w:rsidR="00CE1914">
        <w:rPr>
          <w:rStyle w:val="NotesBasPageCar"/>
          <w:lang w:val="fr-CA"/>
        </w:rPr>
        <w:t> </w:t>
      </w:r>
      <w:r w:rsidR="00DD1959" w:rsidRPr="00BD22C2">
        <w:rPr>
          <w:rStyle w:val="NotesBasPageCar"/>
          <w:lang w:val="fr-CA"/>
        </w:rPr>
        <w:fldChar w:fldCharType="begin"/>
      </w:r>
      <w:r w:rsidR="00DD1959" w:rsidRPr="00BD22C2">
        <w:rPr>
          <w:rStyle w:val="NotesBasPageCar"/>
          <w:lang w:val="fr-CA"/>
        </w:rPr>
        <w:instrText xml:space="preserve"> NOTEREF _Ref166844712 \h </w:instrText>
      </w:r>
      <w:r w:rsidR="00DD1959" w:rsidRPr="00BD22C2">
        <w:rPr>
          <w:rStyle w:val="NotesBasPageCar"/>
          <w:lang w:val="fr-CA"/>
        </w:rPr>
      </w:r>
      <w:r w:rsidR="00DD1959" w:rsidRPr="00BD22C2">
        <w:rPr>
          <w:rStyle w:val="NotesBasPageCar"/>
          <w:lang w:val="fr-CA"/>
        </w:rPr>
        <w:fldChar w:fldCharType="separate"/>
      </w:r>
      <w:r w:rsidR="004B4881">
        <w:rPr>
          <w:rStyle w:val="NotesBasPageCar"/>
          <w:lang w:val="fr-CA"/>
        </w:rPr>
        <w:t>121</w:t>
      </w:r>
      <w:r w:rsidR="00DD1959" w:rsidRPr="00BD22C2">
        <w:rPr>
          <w:rStyle w:val="NotesBasPageCar"/>
          <w:lang w:val="fr-CA"/>
        </w:rPr>
        <w:fldChar w:fldCharType="end"/>
      </w:r>
      <w:r w:rsidR="00DD1959" w:rsidRPr="00BD22C2">
        <w:rPr>
          <w:rStyle w:val="NotesBasPageCar"/>
          <w:lang w:val="fr-CA"/>
        </w:rPr>
        <w:t xml:space="preserve">, </w:t>
      </w:r>
      <w:r w:rsidRPr="00BD22C2">
        <w:rPr>
          <w:rStyle w:val="NotesBasPageCar"/>
          <w:lang w:val="fr-CA"/>
        </w:rPr>
        <w:t>principe</w:t>
      </w:r>
      <w:r w:rsidR="00F915F8" w:rsidRPr="00BD22C2">
        <w:rPr>
          <w:rStyle w:val="NotesBasPageCar"/>
          <w:lang w:val="fr-CA"/>
        </w:rPr>
        <w:t> </w:t>
      </w:r>
      <w:r w:rsidRPr="00BD22C2">
        <w:rPr>
          <w:rStyle w:val="NotesBasPageCar"/>
          <w:lang w:val="fr-CA"/>
        </w:rPr>
        <w:t>31.</w:t>
      </w:r>
    </w:p>
  </w:endnote>
  <w:endnote w:id="400">
    <w:p w14:paraId="099853D3" w14:textId="0926FA92" w:rsidR="0063721C" w:rsidRPr="00BD22C2" w:rsidRDefault="0063721C"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F11B6" w:rsidRPr="00BD22C2">
        <w:rPr>
          <w:rFonts w:ascii="Arial" w:hAnsi="Arial" w:cs="Arial"/>
          <w:smallCaps/>
          <w:sz w:val="18"/>
          <w:szCs w:val="18"/>
          <w:lang w:val="fr-CA"/>
        </w:rPr>
        <w:t>Blackett</w:t>
      </w:r>
      <w:r w:rsidR="00F54401" w:rsidRPr="00BD22C2">
        <w:rPr>
          <w:rFonts w:ascii="Arial" w:hAnsi="Arial" w:cs="Arial"/>
          <w:sz w:val="18"/>
          <w:szCs w:val="18"/>
          <w:lang w:val="fr-CA"/>
        </w:rPr>
        <w:t xml:space="preserve">, </w:t>
      </w:r>
      <w:r w:rsidR="002C6675" w:rsidRPr="00BD22C2">
        <w:rPr>
          <w:rFonts w:ascii="Arial" w:hAnsi="Arial" w:cs="Arial"/>
          <w:iCs/>
          <w:sz w:val="18"/>
          <w:szCs w:val="18"/>
          <w:lang w:val="fr-CA"/>
        </w:rPr>
        <w:t xml:space="preserve">préc., note </w:t>
      </w:r>
      <w:r w:rsidR="002C6675" w:rsidRPr="00F11979">
        <w:rPr>
          <w:rFonts w:ascii="Arial" w:hAnsi="Arial" w:cs="Arial"/>
          <w:iCs/>
          <w:sz w:val="18"/>
          <w:szCs w:val="18"/>
          <w:lang w:val="fr-CA"/>
        </w:rPr>
        <w:fldChar w:fldCharType="begin"/>
      </w:r>
      <w:r w:rsidR="002C6675" w:rsidRPr="00BD22C2">
        <w:rPr>
          <w:rFonts w:ascii="Arial" w:hAnsi="Arial" w:cs="Arial"/>
          <w:iCs/>
          <w:sz w:val="18"/>
          <w:szCs w:val="18"/>
          <w:lang w:val="fr-CA"/>
        </w:rPr>
        <w:instrText xml:space="preserve"> NOTEREF _Ref167364551 \h </w:instrText>
      </w:r>
      <w:r w:rsidR="002C6675" w:rsidRPr="00F11979">
        <w:rPr>
          <w:rFonts w:ascii="Arial" w:hAnsi="Arial" w:cs="Arial"/>
          <w:iCs/>
          <w:sz w:val="18"/>
          <w:szCs w:val="18"/>
          <w:lang w:val="fr-CA"/>
        </w:rPr>
      </w:r>
      <w:r w:rsidR="002C6675" w:rsidRPr="00F11979">
        <w:rPr>
          <w:rFonts w:ascii="Arial" w:hAnsi="Arial" w:cs="Arial"/>
          <w:iCs/>
          <w:sz w:val="18"/>
          <w:szCs w:val="18"/>
          <w:lang w:val="fr-CA"/>
        </w:rPr>
        <w:fldChar w:fldCharType="separate"/>
      </w:r>
      <w:r w:rsidR="004B4881">
        <w:rPr>
          <w:rFonts w:ascii="Arial" w:hAnsi="Arial" w:cs="Arial"/>
          <w:iCs/>
          <w:sz w:val="18"/>
          <w:szCs w:val="18"/>
          <w:lang w:val="fr-CA"/>
        </w:rPr>
        <w:t>64</w:t>
      </w:r>
      <w:r w:rsidR="002C6675" w:rsidRPr="00F11979">
        <w:rPr>
          <w:rFonts w:ascii="Arial" w:hAnsi="Arial" w:cs="Arial"/>
          <w:iCs/>
          <w:sz w:val="18"/>
          <w:szCs w:val="18"/>
          <w:lang w:val="fr-CA"/>
        </w:rPr>
        <w:fldChar w:fldCharType="end"/>
      </w:r>
      <w:r w:rsidR="00E81778" w:rsidRPr="00BD22C2">
        <w:rPr>
          <w:rFonts w:ascii="Arial" w:hAnsi="Arial" w:cs="Arial"/>
          <w:sz w:val="18"/>
          <w:szCs w:val="18"/>
          <w:lang w:val="fr-CA"/>
        </w:rPr>
        <w:t>, p.</w:t>
      </w:r>
      <w:r w:rsidR="00CE1914">
        <w:rPr>
          <w:rFonts w:ascii="Arial" w:hAnsi="Arial" w:cs="Arial"/>
          <w:sz w:val="18"/>
          <w:szCs w:val="18"/>
          <w:lang w:val="fr-CA"/>
        </w:rPr>
        <w:t> </w:t>
      </w:r>
      <w:r w:rsidR="00FF10E1" w:rsidRPr="00BD22C2">
        <w:rPr>
          <w:rFonts w:ascii="Arial" w:hAnsi="Arial" w:cs="Arial"/>
          <w:sz w:val="18"/>
          <w:szCs w:val="18"/>
          <w:lang w:val="fr-CA"/>
        </w:rPr>
        <w:t xml:space="preserve">187. </w:t>
      </w:r>
    </w:p>
  </w:endnote>
  <w:endnote w:id="401">
    <w:p w14:paraId="288C31B1" w14:textId="597C4B20" w:rsidR="000F38D0" w:rsidRPr="00BD22C2" w:rsidRDefault="000F38D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23398" w:rsidRPr="00BD22C2">
        <w:rPr>
          <w:rFonts w:ascii="Arial" w:hAnsi="Arial" w:cs="Arial"/>
          <w:sz w:val="18"/>
          <w:szCs w:val="18"/>
          <w:lang w:val="fr-CA"/>
        </w:rPr>
        <w:t xml:space="preserve">Décret 750-2024, </w:t>
      </w:r>
      <w:r w:rsidRPr="00BD22C2">
        <w:rPr>
          <w:rFonts w:ascii="Arial" w:hAnsi="Arial" w:cs="Arial"/>
          <w:i/>
          <w:sz w:val="18"/>
          <w:szCs w:val="18"/>
          <w:lang w:val="fr-CA"/>
        </w:rPr>
        <w:t>Directive du ministre de l’Éducation concernant l’aménagement des toilettes et des vestiaires dans les bâtiments des centres de services scolaires où sont dispensés les services d’enseignement</w:t>
      </w:r>
      <w:r w:rsidRPr="00BD22C2">
        <w:rPr>
          <w:rFonts w:ascii="Arial" w:hAnsi="Arial" w:cs="Arial"/>
          <w:sz w:val="18"/>
          <w:szCs w:val="18"/>
          <w:lang w:val="fr-CA"/>
        </w:rPr>
        <w:t xml:space="preserve">, </w:t>
      </w:r>
      <w:r w:rsidR="00CA4DE7" w:rsidRPr="00BD22C2">
        <w:rPr>
          <w:rFonts w:ascii="Arial" w:hAnsi="Arial" w:cs="Arial"/>
          <w:sz w:val="18"/>
          <w:szCs w:val="18"/>
          <w:lang w:val="fr-CA"/>
        </w:rPr>
        <w:t>(</w:t>
      </w:r>
      <w:r w:rsidRPr="00BD22C2">
        <w:rPr>
          <w:rFonts w:ascii="Arial" w:hAnsi="Arial" w:cs="Arial"/>
          <w:sz w:val="18"/>
          <w:szCs w:val="18"/>
          <w:lang w:val="fr-CA"/>
        </w:rPr>
        <w:t>2024</w:t>
      </w:r>
      <w:r w:rsidR="00CA4DE7" w:rsidRPr="00BD22C2">
        <w:rPr>
          <w:rFonts w:ascii="Arial" w:hAnsi="Arial" w:cs="Arial"/>
          <w:sz w:val="18"/>
          <w:szCs w:val="18"/>
          <w:lang w:val="fr-CA"/>
        </w:rPr>
        <w:t>)</w:t>
      </w:r>
      <w:r w:rsidRPr="00BD22C2">
        <w:rPr>
          <w:rFonts w:ascii="Arial" w:hAnsi="Arial" w:cs="Arial"/>
          <w:sz w:val="18"/>
          <w:szCs w:val="18"/>
          <w:lang w:val="fr-CA"/>
        </w:rPr>
        <w:t xml:space="preserve"> G.O.</w:t>
      </w:r>
      <w:r w:rsidR="00CE1914">
        <w:rPr>
          <w:rFonts w:ascii="Arial" w:hAnsi="Arial" w:cs="Arial"/>
          <w:sz w:val="18"/>
          <w:szCs w:val="18"/>
          <w:lang w:val="fr-CA"/>
        </w:rPr>
        <w:t> </w:t>
      </w:r>
      <w:r w:rsidR="00CA4DE7" w:rsidRPr="00BD22C2">
        <w:rPr>
          <w:rFonts w:ascii="Arial" w:hAnsi="Arial" w:cs="Arial"/>
          <w:sz w:val="18"/>
          <w:szCs w:val="18"/>
          <w:lang w:val="fr-CA"/>
        </w:rPr>
        <w:t>II</w:t>
      </w:r>
      <w:r w:rsidRPr="00BD22C2">
        <w:rPr>
          <w:rFonts w:ascii="Arial" w:hAnsi="Arial" w:cs="Arial"/>
          <w:sz w:val="18"/>
          <w:szCs w:val="18"/>
          <w:lang w:val="fr-CA"/>
        </w:rPr>
        <w:t xml:space="preserve"> </w:t>
      </w:r>
      <w:r w:rsidR="003B32D3" w:rsidRPr="00BD22C2">
        <w:rPr>
          <w:rFonts w:ascii="Arial" w:hAnsi="Arial" w:cs="Arial"/>
          <w:sz w:val="18"/>
          <w:szCs w:val="18"/>
          <w:lang w:val="fr-CA"/>
        </w:rPr>
        <w:t xml:space="preserve">2683. </w:t>
      </w:r>
    </w:p>
  </w:endnote>
  <w:endnote w:id="402">
    <w:p w14:paraId="7270C6DF" w14:textId="13A9B514" w:rsidR="000271F3" w:rsidRPr="0085310E" w:rsidRDefault="000271F3"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Gabriel </w:t>
      </w:r>
      <w:r w:rsidRPr="00BD22C2">
        <w:rPr>
          <w:rFonts w:ascii="Arial" w:hAnsi="Arial" w:cs="Arial"/>
          <w:smallCaps/>
          <w:sz w:val="18"/>
          <w:szCs w:val="18"/>
          <w:lang w:val="fr-CA"/>
        </w:rPr>
        <w:t>Poirier</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Toilettes mixtes</w:t>
      </w:r>
      <w:r w:rsidR="00E8063A" w:rsidRPr="00BD22C2">
        <w:rPr>
          <w:rFonts w:ascii="Arial" w:hAnsi="Arial" w:cs="Arial"/>
          <w:sz w:val="18"/>
          <w:szCs w:val="18"/>
          <w:lang w:val="fr-CA"/>
        </w:rPr>
        <w:t> </w:t>
      </w:r>
      <w:r w:rsidRPr="00BD22C2">
        <w:rPr>
          <w:rFonts w:ascii="Arial" w:hAnsi="Arial" w:cs="Arial"/>
          <w:sz w:val="18"/>
          <w:szCs w:val="18"/>
          <w:lang w:val="fr-CA"/>
        </w:rPr>
        <w:t xml:space="preserve">: </w:t>
      </w:r>
      <w:r w:rsidR="005C381C">
        <w:rPr>
          <w:rFonts w:ascii="Arial" w:hAnsi="Arial" w:cs="Arial"/>
          <w:sz w:val="18"/>
          <w:szCs w:val="18"/>
          <w:lang w:val="fr-CA"/>
        </w:rPr>
        <w:t>“</w:t>
      </w:r>
      <w:r w:rsidRPr="00BD22C2">
        <w:rPr>
          <w:rFonts w:ascii="Arial" w:hAnsi="Arial" w:cs="Arial"/>
          <w:sz w:val="18"/>
          <w:szCs w:val="18"/>
          <w:lang w:val="fr-CA"/>
        </w:rPr>
        <w:t>L’école doit rectifier le tir</w:t>
      </w:r>
      <w:r w:rsidR="005C381C">
        <w:rPr>
          <w:rFonts w:ascii="Arial" w:hAnsi="Arial" w:cs="Arial"/>
          <w:sz w:val="18"/>
          <w:szCs w:val="18"/>
          <w:lang w:val="fr-CA"/>
        </w:rPr>
        <w:t>”</w:t>
      </w:r>
      <w:r w:rsidRPr="00BD22C2">
        <w:rPr>
          <w:rFonts w:ascii="Arial" w:hAnsi="Arial" w:cs="Arial"/>
          <w:sz w:val="18"/>
          <w:szCs w:val="18"/>
          <w:lang w:val="fr-CA"/>
        </w:rPr>
        <w:t>, estime Bernard Drainville</w:t>
      </w:r>
      <w:r w:rsidR="00595E85">
        <w:rPr>
          <w:rFonts w:ascii="Arial" w:hAnsi="Arial" w:cs="Arial"/>
          <w:sz w:val="18"/>
          <w:szCs w:val="18"/>
          <w:lang w:val="fr-CA"/>
        </w:rPr>
        <w:t> </w:t>
      </w:r>
      <w:r w:rsidR="00B84517">
        <w:rPr>
          <w:rFonts w:ascii="Arial" w:hAnsi="Arial" w:cs="Arial"/>
          <w:sz w:val="18"/>
          <w:szCs w:val="18"/>
          <w:lang w:val="fr-CA"/>
        </w:rPr>
        <w:t>»</w:t>
      </w:r>
      <w:r w:rsidRPr="00BD22C2">
        <w:rPr>
          <w:rFonts w:ascii="Arial" w:hAnsi="Arial" w:cs="Arial"/>
          <w:sz w:val="18"/>
          <w:szCs w:val="18"/>
          <w:lang w:val="fr-CA"/>
        </w:rPr>
        <w:t xml:space="preserve">, </w:t>
      </w:r>
      <w:r w:rsidRPr="00BD22C2">
        <w:rPr>
          <w:rFonts w:ascii="Arial" w:hAnsi="Arial" w:cs="Arial"/>
          <w:i/>
          <w:sz w:val="18"/>
          <w:szCs w:val="18"/>
          <w:lang w:val="fr-CA"/>
        </w:rPr>
        <w:t>Radio-Canada</w:t>
      </w:r>
      <w:r w:rsidRPr="00BD22C2">
        <w:rPr>
          <w:rFonts w:ascii="Arial" w:hAnsi="Arial" w:cs="Arial"/>
          <w:sz w:val="18"/>
          <w:szCs w:val="18"/>
          <w:lang w:val="fr-CA"/>
        </w:rPr>
        <w:t>, 12</w:t>
      </w:r>
      <w:r w:rsidR="00762FE8">
        <w:rPr>
          <w:rFonts w:ascii="Arial" w:hAnsi="Arial" w:cs="Arial"/>
          <w:sz w:val="18"/>
          <w:szCs w:val="18"/>
          <w:lang w:val="fr-CA"/>
        </w:rPr>
        <w:t> </w:t>
      </w:r>
      <w:r w:rsidRPr="00BD22C2">
        <w:rPr>
          <w:rFonts w:ascii="Arial" w:hAnsi="Arial" w:cs="Arial"/>
          <w:sz w:val="18"/>
          <w:szCs w:val="18"/>
          <w:lang w:val="fr-CA"/>
        </w:rPr>
        <w:t xml:space="preserve">septembre 2023, [En ligne]. </w:t>
      </w:r>
      <w:r>
        <w:fldChar w:fldCharType="begin"/>
      </w:r>
      <w:r w:rsidRPr="003E3312">
        <w:rPr>
          <w:lang w:val="fr-CA"/>
        </w:rPr>
        <w:instrText>HYPERLINK "https://ici.radio-canada.ca/nouvelle/2009789/abitibi-identite-genre-secontaire-toilettes-mixtes"</w:instrText>
      </w:r>
      <w:r>
        <w:fldChar w:fldCharType="separate"/>
      </w:r>
      <w:r w:rsidRPr="0085310E">
        <w:rPr>
          <w:rStyle w:val="Lienhypertexte"/>
          <w:rFonts w:ascii="Arial" w:hAnsi="Arial" w:cs="Arial"/>
          <w:sz w:val="18"/>
          <w:szCs w:val="18"/>
        </w:rPr>
        <w:t>https://ici.radio-canada.ca/nouvelle/2009789/abitibi-identite-genre-secontaire-toilettes-mixtes</w:t>
      </w:r>
      <w:r>
        <w:rPr>
          <w:rStyle w:val="Lienhypertexte"/>
          <w:rFonts w:ascii="Arial" w:hAnsi="Arial" w:cs="Arial"/>
          <w:sz w:val="18"/>
          <w:szCs w:val="18"/>
        </w:rPr>
        <w:fldChar w:fldCharType="end"/>
      </w:r>
      <w:r w:rsidRPr="0085310E">
        <w:rPr>
          <w:rFonts w:ascii="Arial" w:hAnsi="Arial" w:cs="Arial"/>
          <w:sz w:val="18"/>
          <w:szCs w:val="18"/>
        </w:rPr>
        <w:t xml:space="preserve"> </w:t>
      </w:r>
    </w:p>
  </w:endnote>
  <w:endnote w:id="403">
    <w:p w14:paraId="6B8A4249" w14:textId="77777777" w:rsidR="000271F3" w:rsidRPr="00BD22C2" w:rsidRDefault="000271F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p>
  </w:endnote>
  <w:endnote w:id="404">
    <w:p w14:paraId="321DCC4D" w14:textId="0B14C718" w:rsidR="000271F3" w:rsidRPr="0085310E" w:rsidRDefault="000271F3"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Daphnée </w:t>
      </w:r>
      <w:r w:rsidRPr="00BD22C2">
        <w:rPr>
          <w:rFonts w:ascii="Arial" w:hAnsi="Arial" w:cs="Arial"/>
          <w:smallCaps/>
          <w:sz w:val="18"/>
          <w:szCs w:val="18"/>
          <w:lang w:val="fr-CA"/>
        </w:rPr>
        <w:t>Dion-Viens</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Des toilettes mixtes dans de nouvelles écoles primaires à Québec, alors que Drainville veut les interdire</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Le Journal de Québec</w:t>
      </w:r>
      <w:r w:rsidRPr="00BD22C2">
        <w:rPr>
          <w:rFonts w:ascii="Arial" w:hAnsi="Arial" w:cs="Arial"/>
          <w:sz w:val="18"/>
          <w:szCs w:val="18"/>
          <w:lang w:val="fr-CA"/>
        </w:rPr>
        <w:t>, 19</w:t>
      </w:r>
      <w:r w:rsidR="00762FE8">
        <w:rPr>
          <w:rFonts w:ascii="Arial" w:hAnsi="Arial" w:cs="Arial"/>
          <w:sz w:val="18"/>
          <w:szCs w:val="18"/>
          <w:lang w:val="fr-CA"/>
        </w:rPr>
        <w:t> </w:t>
      </w:r>
      <w:r w:rsidRPr="00BD22C2">
        <w:rPr>
          <w:rFonts w:ascii="Arial" w:hAnsi="Arial" w:cs="Arial"/>
          <w:sz w:val="18"/>
          <w:szCs w:val="18"/>
          <w:lang w:val="fr-CA"/>
        </w:rPr>
        <w:t xml:space="preserve">mars 2024, [En ligne]. </w:t>
      </w:r>
      <w:r>
        <w:fldChar w:fldCharType="begin"/>
      </w:r>
      <w:r w:rsidRPr="003E3312">
        <w:rPr>
          <w:lang w:val="fr-CA"/>
        </w:rPr>
        <w:instrText>HYPERLINK "https://www.journaldequebec.com/2024/03/19/des-toilettes-mixtes-dans-de-nouvelles-ecoles-primaires"</w:instrText>
      </w:r>
      <w:r>
        <w:fldChar w:fldCharType="separate"/>
      </w:r>
      <w:r w:rsidRPr="0085310E">
        <w:rPr>
          <w:rStyle w:val="Lienhypertexte"/>
          <w:rFonts w:ascii="Arial" w:hAnsi="Arial" w:cs="Arial"/>
          <w:sz w:val="18"/>
          <w:szCs w:val="18"/>
        </w:rPr>
        <w:t>https://www.journaldequebec.com/2024/03/19/des-toilettes-mixtes-dans-de-nouvelles-ecoles-primaires</w:t>
      </w:r>
      <w:r>
        <w:rPr>
          <w:rStyle w:val="Lienhypertexte"/>
          <w:rFonts w:ascii="Arial" w:hAnsi="Arial" w:cs="Arial"/>
          <w:sz w:val="18"/>
          <w:szCs w:val="18"/>
        </w:rPr>
        <w:fldChar w:fldCharType="end"/>
      </w:r>
      <w:r w:rsidRPr="0085310E">
        <w:rPr>
          <w:rFonts w:ascii="Arial" w:hAnsi="Arial" w:cs="Arial"/>
          <w:sz w:val="18"/>
          <w:szCs w:val="18"/>
        </w:rPr>
        <w:t xml:space="preserve"> </w:t>
      </w:r>
    </w:p>
  </w:endnote>
  <w:endnote w:id="405">
    <w:p w14:paraId="3C338176" w14:textId="5F8B9EF0" w:rsidR="000271F3" w:rsidRPr="0085310E" w:rsidRDefault="000271F3"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Ministère de l’Éducation</w:t>
      </w:r>
      <w:r w:rsidRPr="00BD22C2">
        <w:rPr>
          <w:rFonts w:ascii="Arial" w:hAnsi="Arial" w:cs="Arial"/>
          <w:sz w:val="18"/>
          <w:szCs w:val="18"/>
          <w:lang w:val="fr-CA"/>
        </w:rPr>
        <w:t xml:space="preserve">, </w:t>
      </w:r>
      <w:r w:rsidRPr="00BD22C2">
        <w:rPr>
          <w:rFonts w:ascii="Arial" w:hAnsi="Arial" w:cs="Arial"/>
          <w:i/>
          <w:sz w:val="18"/>
          <w:szCs w:val="18"/>
          <w:lang w:val="fr-CA"/>
        </w:rPr>
        <w:t>Pour une meilleure prise en compte de la diversité sexuelle et de genre : guide à l’intention des milieux scolaires</w:t>
      </w:r>
      <w:r w:rsidRPr="00BD22C2">
        <w:rPr>
          <w:rFonts w:ascii="Arial" w:hAnsi="Arial" w:cs="Arial"/>
          <w:sz w:val="18"/>
          <w:szCs w:val="18"/>
          <w:lang w:val="fr-CA"/>
        </w:rPr>
        <w:t xml:space="preserve">, </w:t>
      </w:r>
      <w:r w:rsidR="00491C25" w:rsidRPr="00BD22C2">
        <w:rPr>
          <w:rFonts w:ascii="Arial" w:hAnsi="Arial" w:cs="Arial"/>
          <w:sz w:val="18"/>
          <w:szCs w:val="18"/>
          <w:lang w:val="fr-CA"/>
        </w:rPr>
        <w:t>Gouvernement du Québec,</w:t>
      </w:r>
      <w:r w:rsidR="00F5225E" w:rsidRPr="00BD22C2">
        <w:rPr>
          <w:rFonts w:ascii="Arial" w:hAnsi="Arial" w:cs="Arial"/>
          <w:sz w:val="18"/>
          <w:szCs w:val="18"/>
          <w:lang w:val="fr-CA"/>
        </w:rPr>
        <w:t xml:space="preserve"> </w:t>
      </w:r>
      <w:r w:rsidRPr="00BD22C2">
        <w:rPr>
          <w:rFonts w:ascii="Arial" w:hAnsi="Arial" w:cs="Arial"/>
          <w:sz w:val="18"/>
          <w:szCs w:val="18"/>
          <w:lang w:val="fr-CA"/>
        </w:rPr>
        <w:t>2021, p.</w:t>
      </w:r>
      <w:r w:rsidR="00F915F8" w:rsidRPr="00BD22C2">
        <w:rPr>
          <w:rFonts w:ascii="Arial" w:hAnsi="Arial" w:cs="Arial"/>
          <w:sz w:val="18"/>
          <w:szCs w:val="18"/>
          <w:lang w:val="fr-CA"/>
        </w:rPr>
        <w:t> </w:t>
      </w:r>
      <w:r w:rsidRPr="00BD22C2">
        <w:rPr>
          <w:rFonts w:ascii="Arial" w:hAnsi="Arial" w:cs="Arial"/>
          <w:sz w:val="18"/>
          <w:szCs w:val="18"/>
          <w:lang w:val="fr-CA"/>
        </w:rPr>
        <w:t xml:space="preserve">13, [En ligne]. </w:t>
      </w:r>
      <w:r>
        <w:fldChar w:fldCharType="begin"/>
      </w:r>
      <w:r w:rsidRPr="003E3312">
        <w:rPr>
          <w:lang w:val="fr-CA"/>
        </w:rPr>
        <w:instrText>HYPERLINK "https://www.education.gouv.qc.ca/fileadmin/site_web/documents/education/jeunes/Guide-diversite.pdf"</w:instrText>
      </w:r>
      <w:r>
        <w:fldChar w:fldCharType="separate"/>
      </w:r>
      <w:r w:rsidRPr="0085310E">
        <w:rPr>
          <w:rStyle w:val="Lienhypertexte"/>
          <w:rFonts w:ascii="Arial" w:hAnsi="Arial" w:cs="Arial"/>
          <w:sz w:val="18"/>
          <w:szCs w:val="18"/>
        </w:rPr>
        <w:t>https://www.education.gouv.qc.ca/fileadmin/site_web/documents/education/jeunes/Guide-diversite.pdf</w:t>
      </w:r>
      <w:r>
        <w:rPr>
          <w:rStyle w:val="Lienhypertexte"/>
          <w:rFonts w:ascii="Arial" w:hAnsi="Arial" w:cs="Arial"/>
          <w:sz w:val="18"/>
          <w:szCs w:val="18"/>
        </w:rPr>
        <w:fldChar w:fldCharType="end"/>
      </w:r>
      <w:r w:rsidRPr="0085310E">
        <w:rPr>
          <w:rFonts w:ascii="Arial" w:hAnsi="Arial" w:cs="Arial"/>
          <w:sz w:val="18"/>
          <w:szCs w:val="18"/>
        </w:rPr>
        <w:t xml:space="preserve"> </w:t>
      </w:r>
    </w:p>
  </w:endnote>
  <w:endnote w:id="406">
    <w:p w14:paraId="1EFA5D64" w14:textId="35B0123B" w:rsidR="000271F3" w:rsidRPr="0085310E" w:rsidRDefault="000271F3"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Hugo </w:t>
      </w:r>
      <w:r w:rsidRPr="00BD22C2">
        <w:rPr>
          <w:rFonts w:ascii="Arial" w:hAnsi="Arial" w:cs="Arial"/>
          <w:smallCaps/>
          <w:sz w:val="18"/>
          <w:szCs w:val="18"/>
          <w:lang w:val="fr-CA"/>
        </w:rPr>
        <w:t>Pilon-Larose</w:t>
      </w:r>
      <w:r w:rsidRPr="00BD22C2">
        <w:rPr>
          <w:rFonts w:ascii="Arial" w:hAnsi="Arial" w:cs="Arial"/>
          <w:sz w:val="18"/>
          <w:szCs w:val="18"/>
          <w:lang w:val="fr-CA"/>
        </w:rPr>
        <w:t>, «</w:t>
      </w:r>
      <w:r w:rsidR="0056005D" w:rsidRPr="00BD22C2">
        <w:rPr>
          <w:rFonts w:ascii="Arial" w:hAnsi="Arial" w:cs="Arial"/>
          <w:sz w:val="18"/>
          <w:szCs w:val="18"/>
          <w:lang w:val="fr-CA"/>
        </w:rPr>
        <w:t> </w:t>
      </w:r>
      <w:r w:rsidRPr="00BD22C2">
        <w:rPr>
          <w:rFonts w:ascii="Arial" w:hAnsi="Arial" w:cs="Arial"/>
          <w:sz w:val="18"/>
          <w:szCs w:val="18"/>
          <w:lang w:val="fr-CA"/>
        </w:rPr>
        <w:t>Drainville exige le maintien de toilettes non mixtes</w:t>
      </w:r>
      <w:r w:rsidR="0056005D"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La Presse</w:t>
      </w:r>
      <w:r w:rsidRPr="00BD22C2">
        <w:rPr>
          <w:rFonts w:ascii="Arial" w:hAnsi="Arial" w:cs="Arial"/>
          <w:sz w:val="18"/>
          <w:szCs w:val="18"/>
          <w:lang w:val="fr-CA"/>
        </w:rPr>
        <w:t>, 12</w:t>
      </w:r>
      <w:r w:rsidR="00762FE8">
        <w:rPr>
          <w:rFonts w:ascii="Arial" w:hAnsi="Arial" w:cs="Arial"/>
          <w:sz w:val="18"/>
          <w:szCs w:val="18"/>
          <w:lang w:val="fr-CA"/>
        </w:rPr>
        <w:t> </w:t>
      </w:r>
      <w:r w:rsidRPr="00BD22C2">
        <w:rPr>
          <w:rFonts w:ascii="Arial" w:hAnsi="Arial" w:cs="Arial"/>
          <w:sz w:val="18"/>
          <w:szCs w:val="18"/>
          <w:lang w:val="fr-CA"/>
        </w:rPr>
        <w:t xml:space="preserve">septembre 2023, [En ligne]. </w:t>
      </w:r>
      <w:r>
        <w:fldChar w:fldCharType="begin"/>
      </w:r>
      <w:r w:rsidRPr="003E3312">
        <w:rPr>
          <w:lang w:val="fr-CA"/>
        </w:rPr>
        <w:instrText>HYPERLINK "https://www.lapresse.ca/actualites/education/2023-09-12/blocs-sanitaires-dans-les-ecoles/drainville-exige-le-maintien-de-toilettes-non-mixtes.php"</w:instrText>
      </w:r>
      <w:r>
        <w:fldChar w:fldCharType="separate"/>
      </w:r>
      <w:r w:rsidRPr="0085310E">
        <w:rPr>
          <w:rStyle w:val="Lienhypertexte"/>
          <w:rFonts w:ascii="Arial" w:hAnsi="Arial" w:cs="Arial"/>
          <w:sz w:val="18"/>
          <w:szCs w:val="18"/>
        </w:rPr>
        <w:t>https://www.lapresse.ca/actualites/education/2023-09-12/blocs-sanitaires-dans-les-ecoles/drainville-exige-le-maintien-de-toilettes-non-mixtes.php</w:t>
      </w:r>
      <w:r>
        <w:rPr>
          <w:rStyle w:val="Lienhypertexte"/>
          <w:rFonts w:ascii="Arial" w:hAnsi="Arial" w:cs="Arial"/>
          <w:sz w:val="18"/>
          <w:szCs w:val="18"/>
        </w:rPr>
        <w:fldChar w:fldCharType="end"/>
      </w:r>
      <w:r w:rsidRPr="0085310E">
        <w:rPr>
          <w:rFonts w:ascii="Arial" w:hAnsi="Arial" w:cs="Arial"/>
          <w:sz w:val="18"/>
          <w:szCs w:val="18"/>
        </w:rPr>
        <w:t xml:space="preserve"> </w:t>
      </w:r>
    </w:p>
  </w:endnote>
  <w:endnote w:id="407">
    <w:p w14:paraId="6F1ADA7D" w14:textId="3DDAB1B0" w:rsidR="007853FF" w:rsidRPr="00BD22C2" w:rsidRDefault="007853F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F7A55" w:rsidRPr="00BD22C2">
        <w:rPr>
          <w:rFonts w:ascii="Arial" w:hAnsi="Arial" w:cs="Arial"/>
          <w:sz w:val="18"/>
          <w:szCs w:val="18"/>
          <w:lang w:val="fr-CA"/>
        </w:rPr>
        <w:t>Préc., note</w:t>
      </w:r>
      <w:r w:rsidR="00CE1914">
        <w:rPr>
          <w:rFonts w:ascii="Arial" w:hAnsi="Arial" w:cs="Arial"/>
          <w:sz w:val="18"/>
          <w:szCs w:val="18"/>
          <w:lang w:val="fr-CA"/>
        </w:rPr>
        <w:t> </w:t>
      </w:r>
      <w:r w:rsidR="001F7A55" w:rsidRPr="00BD22C2">
        <w:rPr>
          <w:rFonts w:ascii="Arial" w:hAnsi="Arial" w:cs="Arial"/>
          <w:sz w:val="18"/>
          <w:szCs w:val="18"/>
          <w:lang w:val="fr-CA"/>
        </w:rPr>
        <w:fldChar w:fldCharType="begin"/>
      </w:r>
      <w:r w:rsidR="001F7A55" w:rsidRPr="00BD22C2">
        <w:rPr>
          <w:rFonts w:ascii="Arial" w:hAnsi="Arial" w:cs="Arial"/>
          <w:sz w:val="18"/>
          <w:szCs w:val="18"/>
          <w:lang w:val="fr-CA"/>
        </w:rPr>
        <w:instrText xml:space="preserve"> NOTEREF _Ref166855090 \h </w:instrText>
      </w:r>
      <w:r w:rsidR="001F7A55" w:rsidRPr="00BD22C2">
        <w:rPr>
          <w:rFonts w:ascii="Arial" w:hAnsi="Arial" w:cs="Arial"/>
          <w:sz w:val="18"/>
          <w:szCs w:val="18"/>
          <w:lang w:val="fr-CA"/>
        </w:rPr>
      </w:r>
      <w:r w:rsidR="001F7A55" w:rsidRPr="00BD22C2">
        <w:rPr>
          <w:rFonts w:ascii="Arial" w:hAnsi="Arial" w:cs="Arial"/>
          <w:sz w:val="18"/>
          <w:szCs w:val="18"/>
          <w:lang w:val="fr-CA"/>
        </w:rPr>
        <w:fldChar w:fldCharType="separate"/>
      </w:r>
      <w:r w:rsidR="004B4881">
        <w:rPr>
          <w:rFonts w:ascii="Arial" w:hAnsi="Arial" w:cs="Arial"/>
          <w:sz w:val="18"/>
          <w:szCs w:val="18"/>
          <w:lang w:val="fr-CA"/>
        </w:rPr>
        <w:t>400</w:t>
      </w:r>
      <w:r w:rsidR="001F7A55" w:rsidRPr="00BD22C2">
        <w:rPr>
          <w:rFonts w:ascii="Arial" w:hAnsi="Arial" w:cs="Arial"/>
          <w:sz w:val="18"/>
          <w:szCs w:val="18"/>
          <w:lang w:val="fr-CA"/>
        </w:rPr>
        <w:fldChar w:fldCharType="end"/>
      </w:r>
      <w:r w:rsidR="001F7A55" w:rsidRPr="00BD22C2">
        <w:rPr>
          <w:rFonts w:ascii="Arial" w:hAnsi="Arial" w:cs="Arial"/>
          <w:sz w:val="18"/>
          <w:szCs w:val="18"/>
          <w:lang w:val="fr-CA"/>
        </w:rPr>
        <w:t>.</w:t>
      </w:r>
      <w:r w:rsidR="00D52F94" w:rsidRPr="00BD22C2">
        <w:rPr>
          <w:rFonts w:ascii="Arial" w:hAnsi="Arial" w:cs="Arial"/>
          <w:sz w:val="18"/>
          <w:szCs w:val="18"/>
          <w:lang w:val="fr-CA"/>
        </w:rPr>
        <w:t xml:space="preserve"> </w:t>
      </w:r>
    </w:p>
  </w:endnote>
  <w:endnote w:id="408">
    <w:p w14:paraId="6DA09246" w14:textId="2A93E851" w:rsidR="00155A50" w:rsidRPr="00BD22C2" w:rsidRDefault="00155A50" w:rsidP="00B36D7C">
      <w:pPr>
        <w:pStyle w:val="Notedefin"/>
        <w:tabs>
          <w:tab w:val="left" w:pos="709"/>
        </w:tabs>
        <w:spacing w:after="120" w:line="240" w:lineRule="auto"/>
        <w:ind w:left="709" w:hanging="709"/>
        <w:rPr>
          <w:rFonts w:ascii="Arial" w:hAnsi="Arial" w:cs="Arial"/>
          <w:sz w:val="18"/>
          <w:szCs w:val="18"/>
          <w:u w:val="single"/>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F7A55" w:rsidRPr="00BD22C2">
        <w:rPr>
          <w:rFonts w:ascii="Arial" w:hAnsi="Arial" w:cs="Arial"/>
          <w:i/>
          <w:iCs/>
          <w:sz w:val="18"/>
          <w:szCs w:val="18"/>
          <w:lang w:val="fr-CA"/>
        </w:rPr>
        <w:t>Id.</w:t>
      </w:r>
    </w:p>
  </w:endnote>
  <w:endnote w:id="409">
    <w:p w14:paraId="32FB32C9" w14:textId="6F5F53D3" w:rsidR="00F66CB9" w:rsidRPr="0085310E" w:rsidRDefault="00F66CB9"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D53866" w:rsidRPr="00BD22C2">
        <w:rPr>
          <w:rFonts w:ascii="Arial" w:hAnsi="Arial" w:cs="Arial"/>
          <w:sz w:val="18"/>
          <w:szCs w:val="18"/>
          <w:lang w:val="fr-CA"/>
        </w:rPr>
        <w:t xml:space="preserve">Sylvie </w:t>
      </w:r>
      <w:r w:rsidR="00D53866" w:rsidRPr="00BD22C2">
        <w:rPr>
          <w:rFonts w:ascii="Arial" w:hAnsi="Arial" w:cs="Arial"/>
          <w:smallCaps/>
          <w:sz w:val="18"/>
          <w:szCs w:val="18"/>
          <w:lang w:val="fr-CA"/>
        </w:rPr>
        <w:t>Parent</w:t>
      </w:r>
      <w:r w:rsidR="00D53866" w:rsidRPr="00BD22C2">
        <w:rPr>
          <w:rFonts w:ascii="Arial" w:hAnsi="Arial" w:cs="Arial"/>
          <w:sz w:val="18"/>
          <w:szCs w:val="18"/>
          <w:lang w:val="fr-CA"/>
        </w:rPr>
        <w:t xml:space="preserve"> et Kristine </w:t>
      </w:r>
      <w:r w:rsidR="00D53866" w:rsidRPr="00BD22C2">
        <w:rPr>
          <w:rFonts w:ascii="Arial" w:hAnsi="Arial" w:cs="Arial"/>
          <w:smallCaps/>
          <w:sz w:val="18"/>
          <w:szCs w:val="18"/>
          <w:lang w:val="fr-CA"/>
        </w:rPr>
        <w:t>Fortier</w:t>
      </w:r>
      <w:r w:rsidR="00D53866" w:rsidRPr="00BD22C2">
        <w:rPr>
          <w:rFonts w:ascii="Arial" w:hAnsi="Arial" w:cs="Arial"/>
          <w:sz w:val="18"/>
          <w:szCs w:val="18"/>
          <w:lang w:val="fr-CA"/>
        </w:rPr>
        <w:t xml:space="preserve">, </w:t>
      </w:r>
      <w:r w:rsidR="000E0B03" w:rsidRPr="00BD22C2">
        <w:rPr>
          <w:rFonts w:ascii="Arial" w:hAnsi="Arial" w:cs="Arial"/>
          <w:sz w:val="18"/>
          <w:szCs w:val="18"/>
          <w:lang w:val="fr-CA"/>
        </w:rPr>
        <w:t>«</w:t>
      </w:r>
      <w:r w:rsidR="00595E85">
        <w:rPr>
          <w:rFonts w:ascii="Arial" w:hAnsi="Arial" w:cs="Arial"/>
          <w:sz w:val="18"/>
          <w:szCs w:val="18"/>
          <w:lang w:val="fr-CA"/>
        </w:rPr>
        <w:t> </w:t>
      </w:r>
      <w:r w:rsidR="00D53866" w:rsidRPr="00BD22C2">
        <w:rPr>
          <w:rFonts w:ascii="Arial" w:hAnsi="Arial" w:cs="Arial"/>
          <w:sz w:val="18"/>
          <w:szCs w:val="18"/>
          <w:lang w:val="fr-CA"/>
        </w:rPr>
        <w:t>La violence envers les athlètes dans un contexte sportif</w:t>
      </w:r>
      <w:r w:rsidR="00595E85">
        <w:rPr>
          <w:rFonts w:ascii="Arial" w:hAnsi="Arial" w:cs="Arial"/>
          <w:sz w:val="18"/>
          <w:szCs w:val="18"/>
          <w:lang w:val="fr-CA"/>
        </w:rPr>
        <w:t> </w:t>
      </w:r>
      <w:r w:rsidR="000E0B03" w:rsidRPr="00BD22C2">
        <w:rPr>
          <w:rFonts w:ascii="Arial" w:hAnsi="Arial" w:cs="Arial"/>
          <w:sz w:val="18"/>
          <w:szCs w:val="18"/>
          <w:lang w:val="fr-CA"/>
        </w:rPr>
        <w:t>»</w:t>
      </w:r>
      <w:r w:rsidR="00D53866" w:rsidRPr="00BD22C2">
        <w:rPr>
          <w:rFonts w:ascii="Arial" w:hAnsi="Arial" w:cs="Arial"/>
          <w:i/>
          <w:iCs/>
          <w:sz w:val="18"/>
          <w:szCs w:val="18"/>
          <w:lang w:val="fr-CA"/>
        </w:rPr>
        <w:t xml:space="preserve">, </w:t>
      </w:r>
      <w:r w:rsidR="000E0B03" w:rsidRPr="00BD22C2">
        <w:rPr>
          <w:rFonts w:ascii="Arial" w:hAnsi="Arial" w:cs="Arial"/>
          <w:sz w:val="18"/>
          <w:szCs w:val="18"/>
          <w:lang w:val="fr-CA"/>
        </w:rPr>
        <w:t xml:space="preserve">dans </w:t>
      </w:r>
      <w:r w:rsidR="001A3DDB" w:rsidRPr="00BD22C2">
        <w:rPr>
          <w:rFonts w:ascii="Arial" w:hAnsi="Arial" w:cs="Arial"/>
          <w:sz w:val="18"/>
          <w:szCs w:val="18"/>
          <w:lang w:val="fr-CA"/>
        </w:rPr>
        <w:t xml:space="preserve">Julie </w:t>
      </w:r>
      <w:r w:rsidR="001A3DDB" w:rsidRPr="00BD22C2">
        <w:rPr>
          <w:rFonts w:ascii="Arial" w:hAnsi="Arial" w:cs="Arial"/>
          <w:smallCaps/>
          <w:sz w:val="18"/>
          <w:szCs w:val="18"/>
          <w:lang w:val="fr-CA"/>
        </w:rPr>
        <w:t>Laforest</w:t>
      </w:r>
      <w:r w:rsidR="001A3DDB" w:rsidRPr="00BD22C2">
        <w:rPr>
          <w:rFonts w:ascii="Arial" w:hAnsi="Arial" w:cs="Arial"/>
          <w:sz w:val="18"/>
          <w:szCs w:val="18"/>
          <w:lang w:val="fr-CA"/>
        </w:rPr>
        <w:t xml:space="preserve"> et al., </w:t>
      </w:r>
      <w:r w:rsidR="000E0B03" w:rsidRPr="00BD22C2">
        <w:rPr>
          <w:rFonts w:ascii="Arial" w:hAnsi="Arial" w:cs="Arial"/>
          <w:i/>
          <w:iCs/>
          <w:sz w:val="18"/>
          <w:szCs w:val="18"/>
          <w:lang w:val="fr-CA"/>
        </w:rPr>
        <w:t xml:space="preserve">Rapport </w:t>
      </w:r>
      <w:r w:rsidR="001A3DDB" w:rsidRPr="00BD22C2">
        <w:rPr>
          <w:rFonts w:ascii="Arial" w:hAnsi="Arial" w:cs="Arial"/>
          <w:i/>
          <w:iCs/>
          <w:sz w:val="18"/>
          <w:szCs w:val="18"/>
          <w:lang w:val="fr-CA"/>
        </w:rPr>
        <w:t>québécois</w:t>
      </w:r>
      <w:r w:rsidR="000E0B03" w:rsidRPr="00BD22C2">
        <w:rPr>
          <w:rFonts w:ascii="Arial" w:hAnsi="Arial" w:cs="Arial"/>
          <w:i/>
          <w:iCs/>
          <w:sz w:val="18"/>
          <w:szCs w:val="18"/>
          <w:lang w:val="fr-CA"/>
        </w:rPr>
        <w:t xml:space="preserve"> sur la violence et la santé, </w:t>
      </w:r>
      <w:r w:rsidR="00BA0E0C" w:rsidRPr="00BD22C2">
        <w:rPr>
          <w:rFonts w:ascii="Arial" w:hAnsi="Arial" w:cs="Arial"/>
          <w:sz w:val="18"/>
          <w:szCs w:val="18"/>
          <w:lang w:val="fr-CA"/>
        </w:rPr>
        <w:t>Québec</w:t>
      </w:r>
      <w:r w:rsidR="00BA0E0C" w:rsidRPr="00BD22C2">
        <w:rPr>
          <w:rFonts w:ascii="Arial" w:hAnsi="Arial" w:cs="Arial"/>
          <w:i/>
          <w:iCs/>
          <w:sz w:val="18"/>
          <w:szCs w:val="18"/>
          <w:lang w:val="fr-CA"/>
        </w:rPr>
        <w:t xml:space="preserve">, </w:t>
      </w:r>
      <w:r w:rsidR="001A3DDB" w:rsidRPr="00BD22C2">
        <w:rPr>
          <w:rFonts w:ascii="Arial" w:hAnsi="Arial" w:cs="Arial"/>
          <w:sz w:val="18"/>
          <w:szCs w:val="18"/>
          <w:lang w:val="fr-CA"/>
        </w:rPr>
        <w:t>Institut national</w:t>
      </w:r>
      <w:r w:rsidR="003A2518" w:rsidRPr="00BD22C2">
        <w:rPr>
          <w:rFonts w:ascii="Arial" w:hAnsi="Arial" w:cs="Arial"/>
          <w:sz w:val="18"/>
          <w:szCs w:val="18"/>
          <w:lang w:val="fr-CA"/>
        </w:rPr>
        <w:t xml:space="preserve"> de santé publique, 2018, chapitre</w:t>
      </w:r>
      <w:r w:rsidR="00CE1914">
        <w:rPr>
          <w:rFonts w:ascii="Arial" w:hAnsi="Arial" w:cs="Arial"/>
          <w:sz w:val="18"/>
          <w:szCs w:val="18"/>
          <w:lang w:val="fr-CA"/>
        </w:rPr>
        <w:t> </w:t>
      </w:r>
      <w:r w:rsidR="003A2518" w:rsidRPr="00BD22C2">
        <w:rPr>
          <w:rFonts w:ascii="Arial" w:hAnsi="Arial" w:cs="Arial"/>
          <w:sz w:val="18"/>
          <w:szCs w:val="18"/>
          <w:lang w:val="fr-CA"/>
        </w:rPr>
        <w:t>8, [En ligne].</w:t>
      </w:r>
      <w:r w:rsidR="000E0B03" w:rsidRPr="00BD22C2">
        <w:rPr>
          <w:rFonts w:ascii="Arial" w:hAnsi="Arial" w:cs="Arial"/>
          <w:i/>
          <w:iCs/>
          <w:sz w:val="18"/>
          <w:szCs w:val="18"/>
          <w:lang w:val="fr-CA"/>
        </w:rPr>
        <w:t xml:space="preserve"> </w:t>
      </w:r>
      <w:r>
        <w:fldChar w:fldCharType="begin"/>
      </w:r>
      <w:r w:rsidRPr="003E3312">
        <w:rPr>
          <w:lang w:val="fr-CA"/>
        </w:rPr>
        <w:instrText>HYPERLINK "https://www.inspq.qc.ca/rapport-quebecois-sur-la-violence-et-la-sante/la-violence-envers-les-athletes-dans-un-contexte-sportif"</w:instrText>
      </w:r>
      <w:r>
        <w:fldChar w:fldCharType="separate"/>
      </w:r>
      <w:r w:rsidRPr="00BD22C2">
        <w:rPr>
          <w:rStyle w:val="Lienhypertexte"/>
          <w:rFonts w:ascii="Arial" w:hAnsi="Arial" w:cs="Arial"/>
          <w:sz w:val="18"/>
          <w:szCs w:val="18"/>
          <w:lang w:val="fr-CA"/>
        </w:rPr>
        <w:t>https://www.inspq.qc.ca/rapport-quebecois-sur-la-violence-et-la-sante/la-violence-envers-les-athletes-dans-un-contexte-sportif</w:t>
      </w:r>
      <w:r>
        <w:rPr>
          <w:rStyle w:val="Lienhypertexte"/>
          <w:rFonts w:ascii="Arial" w:hAnsi="Arial" w:cs="Arial"/>
          <w:sz w:val="18"/>
          <w:szCs w:val="18"/>
          <w:lang w:val="fr-CA"/>
        </w:rPr>
        <w:fldChar w:fldCharType="end"/>
      </w:r>
      <w:r w:rsidRPr="00BD22C2">
        <w:rPr>
          <w:rFonts w:ascii="Arial" w:hAnsi="Arial" w:cs="Arial"/>
          <w:sz w:val="18"/>
          <w:szCs w:val="18"/>
          <w:lang w:val="fr-CA"/>
        </w:rPr>
        <w:t xml:space="preserve"> </w:t>
      </w:r>
      <w:r w:rsidR="00A27BC6" w:rsidRPr="00BD22C2">
        <w:rPr>
          <w:rFonts w:ascii="Arial" w:hAnsi="Arial" w:cs="Arial"/>
          <w:sz w:val="18"/>
          <w:szCs w:val="18"/>
          <w:lang w:val="fr-CA"/>
        </w:rPr>
        <w:t xml:space="preserve">; </w:t>
      </w:r>
      <w:r w:rsidR="0066689A" w:rsidRPr="00BD22C2">
        <w:rPr>
          <w:rFonts w:ascii="Arial" w:hAnsi="Arial" w:cs="Arial"/>
          <w:sz w:val="18"/>
          <w:szCs w:val="18"/>
          <w:lang w:val="fr-CA"/>
        </w:rPr>
        <w:t xml:space="preserve">Voir aussi </w:t>
      </w:r>
      <w:r w:rsidR="00F1415D" w:rsidRPr="00BD22C2">
        <w:rPr>
          <w:rFonts w:ascii="Arial" w:hAnsi="Arial" w:cs="Arial"/>
          <w:smallCaps/>
          <w:sz w:val="18"/>
          <w:szCs w:val="18"/>
          <w:lang w:val="fr-CA"/>
        </w:rPr>
        <w:t>Institut de la statistique du Québec</w:t>
      </w:r>
      <w:r w:rsidR="00F1415D" w:rsidRPr="00BD22C2">
        <w:rPr>
          <w:rFonts w:ascii="Arial" w:hAnsi="Arial" w:cs="Arial"/>
          <w:sz w:val="18"/>
          <w:szCs w:val="18"/>
          <w:lang w:val="fr-CA"/>
        </w:rPr>
        <w:t xml:space="preserve">, </w:t>
      </w:r>
      <w:r w:rsidR="00294DDE" w:rsidRPr="00BD22C2">
        <w:rPr>
          <w:rFonts w:ascii="Arial" w:hAnsi="Arial" w:cs="Arial"/>
          <w:i/>
          <w:iCs/>
          <w:sz w:val="18"/>
          <w:szCs w:val="18"/>
          <w:lang w:val="fr-CA"/>
        </w:rPr>
        <w:t>Violence vécue par les adolescents et adolescentes dans les milieux sportifs au Québec</w:t>
      </w:r>
      <w:r w:rsidR="00294DDE" w:rsidRPr="00BD22C2">
        <w:rPr>
          <w:rFonts w:ascii="Arial" w:hAnsi="Arial" w:cs="Arial"/>
          <w:sz w:val="18"/>
          <w:szCs w:val="18"/>
          <w:lang w:val="fr-CA"/>
        </w:rPr>
        <w:t>, 9</w:t>
      </w:r>
      <w:r w:rsidR="00762FE8">
        <w:rPr>
          <w:rFonts w:ascii="Arial" w:hAnsi="Arial" w:cs="Arial"/>
          <w:sz w:val="18"/>
          <w:szCs w:val="18"/>
          <w:lang w:val="fr-CA"/>
        </w:rPr>
        <w:t> </w:t>
      </w:r>
      <w:r w:rsidR="00294DDE" w:rsidRPr="00BD22C2">
        <w:rPr>
          <w:rFonts w:ascii="Arial" w:hAnsi="Arial" w:cs="Arial"/>
          <w:sz w:val="18"/>
          <w:szCs w:val="18"/>
          <w:lang w:val="fr-CA"/>
        </w:rPr>
        <w:t xml:space="preserve">mai 2024, [En ligne]. </w:t>
      </w:r>
      <w:hyperlink r:id="rId125" w:history="1">
        <w:r w:rsidR="000A531F" w:rsidRPr="0085310E">
          <w:rPr>
            <w:rStyle w:val="Lienhypertexte"/>
            <w:rFonts w:ascii="Arial" w:hAnsi="Arial" w:cs="Arial"/>
            <w:sz w:val="18"/>
            <w:szCs w:val="18"/>
          </w:rPr>
          <w:t>https://statistique.quebec.ca/fr/document/violence-adolescent-sport-quebec/publication/violence-adolescents-adolescentes-milieux-sportifs-quebec</w:t>
        </w:r>
      </w:hyperlink>
      <w:r w:rsidR="000A531F" w:rsidRPr="0085310E">
        <w:rPr>
          <w:rFonts w:ascii="Arial" w:hAnsi="Arial" w:cs="Arial"/>
          <w:sz w:val="18"/>
          <w:szCs w:val="18"/>
        </w:rPr>
        <w:t xml:space="preserve"> </w:t>
      </w:r>
    </w:p>
  </w:endnote>
  <w:endnote w:id="410">
    <w:p w14:paraId="5A865D76" w14:textId="58387CD7" w:rsidR="00F66CB9" w:rsidRPr="00BD22C2" w:rsidRDefault="00F66CB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Institut national de santé publique</w:t>
      </w:r>
      <w:r w:rsidRPr="00BD22C2">
        <w:rPr>
          <w:rFonts w:ascii="Arial" w:hAnsi="Arial" w:cs="Arial"/>
          <w:sz w:val="18"/>
          <w:szCs w:val="18"/>
          <w:lang w:val="fr-CA"/>
        </w:rPr>
        <w:t xml:space="preserve">, </w:t>
      </w:r>
      <w:r w:rsidRPr="00BD22C2">
        <w:rPr>
          <w:rFonts w:ascii="Arial" w:hAnsi="Arial" w:cs="Arial"/>
          <w:i/>
          <w:sz w:val="18"/>
          <w:szCs w:val="18"/>
          <w:lang w:val="fr-CA"/>
        </w:rPr>
        <w:t>L’intimidation vécue par les jeunes</w:t>
      </w:r>
      <w:r w:rsidRPr="00BD22C2">
        <w:rPr>
          <w:rFonts w:ascii="Arial" w:hAnsi="Arial" w:cs="Arial"/>
          <w:sz w:val="18"/>
          <w:szCs w:val="18"/>
          <w:lang w:val="fr-CA"/>
        </w:rPr>
        <w:t>, 2020 [En ligne]</w:t>
      </w:r>
      <w:r w:rsidR="00BA0E0C" w:rsidRPr="00BD22C2">
        <w:rPr>
          <w:rFonts w:ascii="Arial" w:hAnsi="Arial" w:cs="Arial"/>
          <w:sz w:val="18"/>
          <w:szCs w:val="18"/>
          <w:lang w:val="fr-CA"/>
        </w:rPr>
        <w:t>.</w:t>
      </w:r>
      <w:r w:rsidRPr="00BD22C2">
        <w:rPr>
          <w:rFonts w:ascii="Arial" w:hAnsi="Arial" w:cs="Arial"/>
          <w:sz w:val="18"/>
          <w:szCs w:val="18"/>
          <w:lang w:val="fr-CA"/>
        </w:rPr>
        <w:t xml:space="preserve"> </w:t>
      </w:r>
      <w:r>
        <w:fldChar w:fldCharType="begin"/>
      </w:r>
      <w:r w:rsidRPr="003E3312">
        <w:rPr>
          <w:lang w:val="fr-CA"/>
        </w:rPr>
        <w:instrText>HYPERLINK "https://www.inspq.qc.ca/intimidation/jeunes"</w:instrText>
      </w:r>
      <w:r>
        <w:fldChar w:fldCharType="separate"/>
      </w:r>
      <w:r w:rsidRPr="00BD22C2">
        <w:rPr>
          <w:rStyle w:val="Lienhypertexte"/>
          <w:rFonts w:ascii="Arial" w:hAnsi="Arial" w:cs="Arial"/>
          <w:sz w:val="18"/>
          <w:szCs w:val="18"/>
          <w:lang w:val="fr-CA"/>
        </w:rPr>
        <w:t>https://www.inspq.qc.ca/intimidation/jeunes</w:t>
      </w:r>
      <w:r>
        <w:rPr>
          <w:rStyle w:val="Lienhypertexte"/>
          <w:rFonts w:ascii="Arial" w:hAnsi="Arial" w:cs="Arial"/>
          <w:sz w:val="18"/>
          <w:szCs w:val="18"/>
          <w:lang w:val="fr-CA"/>
        </w:rPr>
        <w:fldChar w:fldCharType="end"/>
      </w:r>
      <w:r w:rsidRPr="00BD22C2">
        <w:rPr>
          <w:rFonts w:ascii="Arial" w:hAnsi="Arial" w:cs="Arial"/>
          <w:sz w:val="18"/>
          <w:szCs w:val="18"/>
          <w:lang w:val="fr-CA"/>
        </w:rPr>
        <w:t>, citant</w:t>
      </w:r>
      <w:r w:rsidR="007B6158" w:rsidRPr="00BD22C2">
        <w:rPr>
          <w:rFonts w:ascii="Arial" w:hAnsi="Arial" w:cs="Arial"/>
          <w:sz w:val="18"/>
          <w:szCs w:val="18"/>
          <w:lang w:val="fr-CA"/>
        </w:rPr>
        <w:t> </w:t>
      </w:r>
      <w:r w:rsidR="007B6158" w:rsidRPr="00BD22C2">
        <w:rPr>
          <w:rFonts w:ascii="Arial" w:hAnsi="Arial" w:cs="Arial"/>
          <w:color w:val="2F2F2F"/>
          <w:sz w:val="18"/>
          <w:szCs w:val="18"/>
          <w:lang w:val="fr-CA"/>
        </w:rPr>
        <w:t>:</w:t>
      </w:r>
      <w:r w:rsidR="0051216B" w:rsidRPr="00BD22C2">
        <w:rPr>
          <w:rFonts w:ascii="Arial" w:hAnsi="Arial" w:cs="Arial"/>
          <w:color w:val="2F2F2F"/>
          <w:sz w:val="18"/>
          <w:szCs w:val="18"/>
          <w:lang w:val="fr-CA"/>
        </w:rPr>
        <w:t xml:space="preserve"> </w:t>
      </w:r>
      <w:r w:rsidRPr="00BD22C2">
        <w:rPr>
          <w:rFonts w:ascii="Arial" w:hAnsi="Arial" w:cs="Arial"/>
          <w:sz w:val="18"/>
          <w:szCs w:val="18"/>
          <w:lang w:val="fr-CA"/>
        </w:rPr>
        <w:t>Claire</w:t>
      </w:r>
      <w:r w:rsidRPr="00BD22C2">
        <w:rPr>
          <w:rFonts w:ascii="Arial" w:hAnsi="Arial" w:cs="Arial"/>
          <w:smallCaps/>
          <w:sz w:val="18"/>
          <w:szCs w:val="18"/>
          <w:lang w:val="fr-CA"/>
        </w:rPr>
        <w:t xml:space="preserve"> Beaumont, </w:t>
      </w:r>
      <w:r w:rsidRPr="00BD22C2">
        <w:rPr>
          <w:rFonts w:ascii="Arial" w:hAnsi="Arial" w:cs="Arial"/>
          <w:sz w:val="18"/>
          <w:szCs w:val="18"/>
          <w:lang w:val="fr-CA"/>
        </w:rPr>
        <w:t>Danielle</w:t>
      </w:r>
      <w:r w:rsidRPr="00BD22C2">
        <w:rPr>
          <w:rFonts w:ascii="Arial" w:hAnsi="Arial" w:cs="Arial"/>
          <w:smallCaps/>
          <w:sz w:val="18"/>
          <w:szCs w:val="18"/>
          <w:lang w:val="fr-CA"/>
        </w:rPr>
        <w:t xml:space="preserve"> Leclerc, </w:t>
      </w:r>
      <w:r w:rsidRPr="00BD22C2">
        <w:rPr>
          <w:rFonts w:ascii="Arial" w:hAnsi="Arial" w:cs="Arial"/>
          <w:sz w:val="18"/>
          <w:szCs w:val="18"/>
          <w:lang w:val="fr-CA"/>
        </w:rPr>
        <w:t>Eric</w:t>
      </w:r>
      <w:r w:rsidRPr="00BD22C2">
        <w:rPr>
          <w:rFonts w:ascii="Arial" w:hAnsi="Arial" w:cs="Arial"/>
          <w:smallCaps/>
          <w:sz w:val="18"/>
          <w:szCs w:val="18"/>
          <w:lang w:val="fr-CA"/>
        </w:rPr>
        <w:t xml:space="preserve"> Frenette</w:t>
      </w:r>
      <w:r w:rsidRPr="00BD22C2">
        <w:rPr>
          <w:rFonts w:ascii="Arial" w:hAnsi="Arial" w:cs="Arial"/>
          <w:sz w:val="18"/>
          <w:szCs w:val="18"/>
          <w:lang w:val="fr-CA"/>
        </w:rPr>
        <w:t xml:space="preserve">, </w:t>
      </w:r>
      <w:r w:rsidRPr="00BD22C2">
        <w:rPr>
          <w:rFonts w:ascii="Arial" w:hAnsi="Arial" w:cs="Arial"/>
          <w:i/>
          <w:sz w:val="18"/>
          <w:szCs w:val="18"/>
          <w:lang w:val="fr-CA"/>
        </w:rPr>
        <w:t>Portrait de la violence dans les établissements d’enseignement au Québec</w:t>
      </w:r>
      <w:r w:rsidR="007B6158" w:rsidRPr="00BD22C2">
        <w:rPr>
          <w:rFonts w:ascii="Arial" w:hAnsi="Arial" w:cs="Arial"/>
          <w:i/>
          <w:sz w:val="18"/>
          <w:szCs w:val="18"/>
          <w:lang w:val="fr-CA"/>
        </w:rPr>
        <w:t>,</w:t>
      </w:r>
      <w:r w:rsidRPr="00BD22C2">
        <w:rPr>
          <w:rStyle w:val="Accentuation"/>
          <w:rFonts w:ascii="Arial" w:hAnsi="Arial" w:cs="Arial"/>
          <w:sz w:val="18"/>
          <w:szCs w:val="18"/>
          <w:lang w:val="fr-CA"/>
        </w:rPr>
        <w:t xml:space="preserve"> Évolution de divers aspects associés à la violence dans les écoles</w:t>
      </w:r>
      <w:r w:rsidR="00CE1914">
        <w:rPr>
          <w:rStyle w:val="Accentuation"/>
          <w:rFonts w:ascii="Arial" w:hAnsi="Arial" w:cs="Arial"/>
          <w:sz w:val="18"/>
          <w:szCs w:val="18"/>
          <w:lang w:val="fr-CA"/>
        </w:rPr>
        <w:t> </w:t>
      </w:r>
      <w:r w:rsidRPr="00BD22C2">
        <w:rPr>
          <w:rStyle w:val="Accentuation"/>
          <w:rFonts w:ascii="Arial" w:hAnsi="Arial" w:cs="Arial"/>
          <w:sz w:val="18"/>
          <w:szCs w:val="18"/>
          <w:lang w:val="fr-CA"/>
        </w:rPr>
        <w:t>2013-2015-2017</w:t>
      </w:r>
      <w:r w:rsidR="00BA0E0C" w:rsidRPr="00BD22C2">
        <w:rPr>
          <w:rFonts w:ascii="Arial" w:hAnsi="Arial" w:cs="Arial"/>
          <w:sz w:val="18"/>
          <w:szCs w:val="18"/>
          <w:lang w:val="fr-CA"/>
        </w:rPr>
        <w:t>,</w:t>
      </w:r>
      <w:r w:rsidRPr="00BD22C2">
        <w:rPr>
          <w:rFonts w:ascii="Arial" w:hAnsi="Arial" w:cs="Arial"/>
          <w:sz w:val="18"/>
          <w:szCs w:val="18"/>
          <w:lang w:val="fr-CA"/>
        </w:rPr>
        <w:t xml:space="preserve"> Québec</w:t>
      </w:r>
      <w:r w:rsidR="007B6158" w:rsidRPr="00BD22C2">
        <w:rPr>
          <w:rFonts w:ascii="Arial" w:hAnsi="Arial" w:cs="Arial"/>
          <w:sz w:val="18"/>
          <w:szCs w:val="18"/>
          <w:lang w:val="fr-CA"/>
        </w:rPr>
        <w:t>,</w:t>
      </w:r>
      <w:r w:rsidRPr="00BD22C2">
        <w:rPr>
          <w:rFonts w:ascii="Arial" w:hAnsi="Arial" w:cs="Arial"/>
          <w:sz w:val="18"/>
          <w:szCs w:val="18"/>
          <w:lang w:val="fr-CA"/>
        </w:rPr>
        <w:t xml:space="preserve"> Chaire de recherche sur la sécurité et la violence en milieu éducatif (SÉVEQ), Université Laval, 2018.</w:t>
      </w:r>
    </w:p>
  </w:endnote>
  <w:endnote w:id="411">
    <w:p w14:paraId="6FBC5C7E" w14:textId="539C48E1" w:rsidR="00F66CB9" w:rsidRPr="00BD22C2" w:rsidRDefault="00F66CB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Claire</w:t>
      </w:r>
      <w:r w:rsidRPr="00BD22C2">
        <w:rPr>
          <w:rFonts w:ascii="Arial" w:hAnsi="Arial" w:cs="Arial"/>
          <w:smallCaps/>
          <w:sz w:val="18"/>
          <w:szCs w:val="18"/>
          <w:lang w:val="fr-CA"/>
        </w:rPr>
        <w:t xml:space="preserve"> Beaumont, </w:t>
      </w:r>
      <w:r w:rsidRPr="00BD22C2">
        <w:rPr>
          <w:rFonts w:ascii="Arial" w:hAnsi="Arial" w:cs="Arial"/>
          <w:sz w:val="18"/>
          <w:szCs w:val="18"/>
          <w:lang w:val="fr-CA"/>
        </w:rPr>
        <w:t>Danielle</w:t>
      </w:r>
      <w:r w:rsidRPr="00BD22C2">
        <w:rPr>
          <w:rFonts w:ascii="Arial" w:hAnsi="Arial" w:cs="Arial"/>
          <w:smallCaps/>
          <w:sz w:val="18"/>
          <w:szCs w:val="18"/>
          <w:lang w:val="fr-CA"/>
        </w:rPr>
        <w:t xml:space="preserve"> Leclerc, </w:t>
      </w:r>
      <w:r w:rsidRPr="00BD22C2">
        <w:rPr>
          <w:rFonts w:ascii="Arial" w:hAnsi="Arial" w:cs="Arial"/>
          <w:sz w:val="18"/>
          <w:szCs w:val="18"/>
          <w:lang w:val="fr-CA"/>
        </w:rPr>
        <w:t>Eric</w:t>
      </w:r>
      <w:r w:rsidRPr="00BD22C2">
        <w:rPr>
          <w:rFonts w:ascii="Arial" w:hAnsi="Arial" w:cs="Arial"/>
          <w:smallCaps/>
          <w:sz w:val="18"/>
          <w:szCs w:val="18"/>
          <w:lang w:val="fr-CA"/>
        </w:rPr>
        <w:t xml:space="preserve"> Frenette</w:t>
      </w:r>
      <w:r w:rsidRPr="00BD22C2">
        <w:rPr>
          <w:rFonts w:ascii="Arial" w:hAnsi="Arial" w:cs="Arial"/>
          <w:sz w:val="18"/>
          <w:szCs w:val="18"/>
          <w:lang w:val="fr-CA"/>
        </w:rPr>
        <w:t xml:space="preserve">, </w:t>
      </w:r>
      <w:r w:rsidRPr="00BD22C2">
        <w:rPr>
          <w:rFonts w:ascii="Arial" w:hAnsi="Arial" w:cs="Arial"/>
          <w:i/>
          <w:sz w:val="18"/>
          <w:szCs w:val="18"/>
          <w:lang w:val="fr-CA"/>
        </w:rPr>
        <w:t xml:space="preserve">Portrait de la violence dans les établissements d’enseignement au Québec, </w:t>
      </w:r>
      <w:r w:rsidR="007B6158" w:rsidRPr="00BD22C2">
        <w:rPr>
          <w:rStyle w:val="Accentuation"/>
          <w:rFonts w:ascii="Arial" w:hAnsi="Arial" w:cs="Arial"/>
          <w:sz w:val="18"/>
          <w:szCs w:val="18"/>
          <w:lang w:val="fr-CA"/>
        </w:rPr>
        <w:t>Évolution de divers aspects associés à la violence dans les écoles</w:t>
      </w:r>
      <w:r w:rsidR="00CE1914">
        <w:rPr>
          <w:rStyle w:val="Accentuation"/>
          <w:rFonts w:ascii="Arial" w:hAnsi="Arial" w:cs="Arial"/>
          <w:sz w:val="18"/>
          <w:szCs w:val="18"/>
          <w:lang w:val="fr-CA"/>
        </w:rPr>
        <w:t> </w:t>
      </w:r>
      <w:r w:rsidR="007B6158" w:rsidRPr="00BD22C2">
        <w:rPr>
          <w:rStyle w:val="Accentuation"/>
          <w:rFonts w:ascii="Arial" w:hAnsi="Arial" w:cs="Arial"/>
          <w:sz w:val="18"/>
          <w:szCs w:val="18"/>
          <w:lang w:val="fr-CA"/>
        </w:rPr>
        <w:t>2013-2015-2017</w:t>
      </w:r>
      <w:r w:rsidR="007B6158" w:rsidRPr="00BD22C2">
        <w:rPr>
          <w:rFonts w:ascii="Arial" w:hAnsi="Arial" w:cs="Arial"/>
          <w:sz w:val="18"/>
          <w:szCs w:val="18"/>
          <w:lang w:val="fr-CA"/>
        </w:rPr>
        <w:t>. Québec, Chaire de recherche sur la sécurité et la violence en milieu éducatif (SÉVEQ), Université Laval, 2018</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34</w:t>
      </w:r>
      <w:r w:rsidR="00805E98">
        <w:rPr>
          <w:rFonts w:ascii="Arial" w:hAnsi="Arial" w:cs="Arial"/>
          <w:sz w:val="18"/>
          <w:szCs w:val="18"/>
          <w:lang w:val="fr-CA"/>
        </w:rPr>
        <w:t xml:space="preserve"> à </w:t>
      </w:r>
      <w:r w:rsidRPr="00BD22C2">
        <w:rPr>
          <w:rFonts w:ascii="Arial" w:hAnsi="Arial" w:cs="Arial"/>
          <w:sz w:val="18"/>
          <w:szCs w:val="18"/>
          <w:lang w:val="fr-CA"/>
        </w:rPr>
        <w:t xml:space="preserve">37. </w:t>
      </w:r>
    </w:p>
  </w:endnote>
  <w:endnote w:id="412">
    <w:p w14:paraId="7E4C70F6" w14:textId="2879ED63" w:rsidR="00F66CB9" w:rsidRPr="0085310E" w:rsidRDefault="00F66CB9"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82143" w:rsidRPr="00BD22C2">
        <w:rPr>
          <w:rFonts w:ascii="Arial" w:hAnsi="Arial" w:cs="Arial"/>
          <w:smallCaps/>
          <w:sz w:val="18"/>
          <w:szCs w:val="18"/>
          <w:lang w:val="fr-CA"/>
        </w:rPr>
        <w:t xml:space="preserve">Commission ontarienne </w:t>
      </w:r>
      <w:r w:rsidR="00685D17" w:rsidRPr="00BD22C2">
        <w:rPr>
          <w:rFonts w:ascii="Arial" w:hAnsi="Arial" w:cs="Arial"/>
          <w:smallCaps/>
          <w:sz w:val="18"/>
          <w:szCs w:val="18"/>
          <w:lang w:val="fr-CA"/>
        </w:rPr>
        <w:t>des droits de la personne</w:t>
      </w:r>
      <w:r w:rsidR="00685D17" w:rsidRPr="00BD22C2">
        <w:rPr>
          <w:rFonts w:ascii="Arial" w:hAnsi="Arial" w:cs="Arial"/>
          <w:sz w:val="18"/>
          <w:szCs w:val="18"/>
          <w:lang w:val="fr-CA"/>
        </w:rPr>
        <w:t xml:space="preserve">, </w:t>
      </w:r>
      <w:r w:rsidRPr="00BD22C2">
        <w:rPr>
          <w:rFonts w:ascii="Arial" w:hAnsi="Arial" w:cs="Arial"/>
          <w:i/>
          <w:sz w:val="18"/>
          <w:szCs w:val="18"/>
          <w:lang w:val="fr-CA"/>
        </w:rPr>
        <w:t>Politique sur la prévention de la discrimination fondée sur l</w:t>
      </w:r>
      <w:r w:rsidR="0051216B" w:rsidRPr="00BD22C2">
        <w:rPr>
          <w:rFonts w:ascii="Arial" w:hAnsi="Arial" w:cs="Arial"/>
          <w:i/>
          <w:sz w:val="18"/>
          <w:szCs w:val="18"/>
          <w:lang w:val="fr-CA"/>
        </w:rPr>
        <w:t>’</w:t>
      </w:r>
      <w:r w:rsidRPr="00BD22C2">
        <w:rPr>
          <w:rFonts w:ascii="Arial" w:hAnsi="Arial" w:cs="Arial"/>
          <w:i/>
          <w:sz w:val="18"/>
          <w:szCs w:val="18"/>
          <w:lang w:val="fr-CA"/>
        </w:rPr>
        <w:t>Id</w:t>
      </w:r>
      <w:r w:rsidR="003A4491" w:rsidRPr="00BD22C2">
        <w:rPr>
          <w:rFonts w:ascii="Arial" w:hAnsi="Arial" w:cs="Arial"/>
          <w:i/>
          <w:sz w:val="18"/>
          <w:szCs w:val="18"/>
          <w:lang w:val="fr-CA"/>
        </w:rPr>
        <w:t>e</w:t>
      </w:r>
      <w:r w:rsidRPr="00BD22C2">
        <w:rPr>
          <w:rFonts w:ascii="Arial" w:hAnsi="Arial" w:cs="Arial"/>
          <w:i/>
          <w:sz w:val="18"/>
          <w:szCs w:val="18"/>
          <w:lang w:val="fr-CA"/>
        </w:rPr>
        <w:t>ntité sexuelle et l</w:t>
      </w:r>
      <w:r w:rsidR="0051216B" w:rsidRPr="00BD22C2">
        <w:rPr>
          <w:rFonts w:ascii="Arial" w:hAnsi="Arial" w:cs="Arial"/>
          <w:i/>
          <w:sz w:val="18"/>
          <w:szCs w:val="18"/>
          <w:lang w:val="fr-CA"/>
        </w:rPr>
        <w:t>’</w:t>
      </w:r>
      <w:r w:rsidRPr="00BD22C2">
        <w:rPr>
          <w:rFonts w:ascii="Arial" w:hAnsi="Arial" w:cs="Arial"/>
          <w:i/>
          <w:sz w:val="18"/>
          <w:szCs w:val="18"/>
          <w:lang w:val="fr-CA"/>
        </w:rPr>
        <w:t>Expression de l</w:t>
      </w:r>
      <w:r w:rsidR="0051216B" w:rsidRPr="00BD22C2">
        <w:rPr>
          <w:rFonts w:ascii="Arial" w:hAnsi="Arial" w:cs="Arial"/>
          <w:i/>
          <w:sz w:val="18"/>
          <w:szCs w:val="18"/>
          <w:lang w:val="fr-CA"/>
        </w:rPr>
        <w:t>’</w:t>
      </w:r>
      <w:r w:rsidRPr="00BD22C2">
        <w:rPr>
          <w:rFonts w:ascii="Arial" w:hAnsi="Arial" w:cs="Arial"/>
          <w:i/>
          <w:sz w:val="18"/>
          <w:szCs w:val="18"/>
          <w:lang w:val="fr-CA"/>
        </w:rPr>
        <w:t>Identité sexuelle</w:t>
      </w:r>
      <w:r w:rsidR="00B74C88" w:rsidRPr="00BD22C2">
        <w:rPr>
          <w:rFonts w:ascii="Arial" w:hAnsi="Arial" w:cs="Arial"/>
          <w:sz w:val="18"/>
          <w:szCs w:val="18"/>
          <w:lang w:val="fr-CA"/>
        </w:rPr>
        <w:t xml:space="preserve">, </w:t>
      </w:r>
      <w:r w:rsidR="002438A2" w:rsidRPr="00BD22C2">
        <w:rPr>
          <w:rFonts w:ascii="Arial" w:hAnsi="Arial" w:cs="Arial"/>
          <w:sz w:val="18"/>
          <w:szCs w:val="18"/>
          <w:lang w:val="fr-CA"/>
        </w:rPr>
        <w:t xml:space="preserve">2014, </w:t>
      </w:r>
      <w:r w:rsidR="00AB4D5E" w:rsidRPr="00BD22C2">
        <w:rPr>
          <w:rFonts w:ascii="Arial" w:hAnsi="Arial" w:cs="Arial"/>
          <w:sz w:val="18"/>
          <w:szCs w:val="18"/>
          <w:lang w:val="fr-CA"/>
        </w:rPr>
        <w:t>p.</w:t>
      </w:r>
      <w:r w:rsidR="003D2E26">
        <w:rPr>
          <w:rFonts w:ascii="Arial" w:hAnsi="Arial" w:cs="Arial"/>
          <w:sz w:val="18"/>
          <w:szCs w:val="18"/>
          <w:lang w:val="fr-CA"/>
        </w:rPr>
        <w:t> </w:t>
      </w:r>
      <w:r w:rsidR="00AB4D5E" w:rsidRPr="00BD22C2">
        <w:rPr>
          <w:rFonts w:ascii="Arial" w:hAnsi="Arial" w:cs="Arial"/>
          <w:sz w:val="18"/>
          <w:szCs w:val="18"/>
          <w:lang w:val="fr-CA"/>
        </w:rPr>
        <w:t>45</w:t>
      </w:r>
      <w:r w:rsidR="00E11B1D">
        <w:rPr>
          <w:rFonts w:ascii="Arial" w:hAnsi="Arial" w:cs="Arial"/>
          <w:sz w:val="18"/>
          <w:szCs w:val="18"/>
          <w:lang w:val="fr-CA"/>
        </w:rPr>
        <w:t xml:space="preserve"> et </w:t>
      </w:r>
      <w:r w:rsidR="00AB4D5E" w:rsidRPr="00BD22C2">
        <w:rPr>
          <w:rFonts w:ascii="Arial" w:hAnsi="Arial" w:cs="Arial"/>
          <w:sz w:val="18"/>
          <w:szCs w:val="18"/>
          <w:lang w:val="fr-CA"/>
        </w:rPr>
        <w:t xml:space="preserve">46, </w:t>
      </w:r>
      <w:r w:rsidR="002438A2" w:rsidRPr="00BD22C2">
        <w:rPr>
          <w:rFonts w:ascii="Arial" w:hAnsi="Arial" w:cs="Arial"/>
          <w:sz w:val="18"/>
          <w:szCs w:val="18"/>
          <w:lang w:val="fr-CA"/>
        </w:rPr>
        <w:t>[En ligne]</w:t>
      </w:r>
      <w:r w:rsidR="009C17E3" w:rsidRPr="00BD22C2">
        <w:rPr>
          <w:rFonts w:ascii="Arial" w:hAnsi="Arial" w:cs="Arial"/>
          <w:sz w:val="18"/>
          <w:szCs w:val="18"/>
          <w:lang w:val="fr-CA"/>
        </w:rPr>
        <w:t>.</w:t>
      </w:r>
      <w:r w:rsidR="00DA5A4C" w:rsidRPr="00BD22C2">
        <w:rPr>
          <w:rFonts w:ascii="Arial" w:hAnsi="Arial" w:cs="Arial"/>
          <w:sz w:val="18"/>
          <w:szCs w:val="18"/>
          <w:lang w:val="fr-CA"/>
        </w:rPr>
        <w:t xml:space="preserve"> </w:t>
      </w:r>
      <w:r w:rsidR="00DA5A4C">
        <w:fldChar w:fldCharType="begin"/>
      </w:r>
      <w:r w:rsidR="00DA5A4C" w:rsidRPr="003E3312">
        <w:rPr>
          <w:lang w:val="fr-CA"/>
        </w:rPr>
        <w:instrText>HYPERLINK "https://www3.ohrc.on.ca/sites/default/files/Policy%20on%20preventing%20discrimination%20because%20of%20gender%20identity%20and%20gender%20expression_FR.pdf"</w:instrText>
      </w:r>
      <w:r w:rsidR="00DA5A4C">
        <w:fldChar w:fldCharType="separate"/>
      </w:r>
      <w:r w:rsidR="00DA5A4C" w:rsidRPr="0085310E">
        <w:rPr>
          <w:rStyle w:val="Lienhypertexte"/>
          <w:rFonts w:ascii="Arial" w:hAnsi="Arial" w:cs="Arial"/>
          <w:sz w:val="18"/>
          <w:szCs w:val="18"/>
        </w:rPr>
        <w:t>https://www3.ohrc.on.ca/sites/default/files/Policy%20on%20preventing%20discrimination%20because%20of%20gender%20identity%20and%20gender%20expression_FR.pdf</w:t>
      </w:r>
      <w:r w:rsidR="00DA5A4C">
        <w:rPr>
          <w:rStyle w:val="Lienhypertexte"/>
          <w:rFonts w:ascii="Arial" w:hAnsi="Arial" w:cs="Arial"/>
          <w:sz w:val="18"/>
          <w:szCs w:val="18"/>
        </w:rPr>
        <w:fldChar w:fldCharType="end"/>
      </w:r>
      <w:r w:rsidR="00DA5A4C" w:rsidRPr="0085310E">
        <w:rPr>
          <w:rFonts w:ascii="Arial" w:hAnsi="Arial" w:cs="Arial"/>
          <w:sz w:val="18"/>
          <w:szCs w:val="18"/>
        </w:rPr>
        <w:t xml:space="preserve"> </w:t>
      </w:r>
    </w:p>
  </w:endnote>
  <w:endnote w:id="413">
    <w:p w14:paraId="0D03FA32" w14:textId="2D308C4C" w:rsidR="00F66CB9" w:rsidRPr="003D6F7B" w:rsidRDefault="00F66CB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00A854AB" w:rsidRPr="00E16C03">
        <w:rPr>
          <w:rFonts w:ascii="Arial" w:hAnsi="Arial" w:cs="Arial"/>
          <w:sz w:val="18"/>
          <w:szCs w:val="18"/>
          <w:lang w:val="en-CA"/>
        </w:rPr>
        <w:tab/>
      </w:r>
      <w:r w:rsidR="00B75720" w:rsidRPr="00E16C03">
        <w:rPr>
          <w:rFonts w:ascii="Arial" w:hAnsi="Arial" w:cs="Arial"/>
          <w:sz w:val="18"/>
          <w:szCs w:val="18"/>
          <w:lang w:val="en-CA"/>
        </w:rPr>
        <w:t xml:space="preserve">Justin Evan </w:t>
      </w:r>
      <w:r w:rsidR="00B75720" w:rsidRPr="00E16C03">
        <w:rPr>
          <w:rFonts w:ascii="Arial" w:hAnsi="Arial" w:cs="Arial"/>
          <w:smallCaps/>
          <w:sz w:val="18"/>
          <w:szCs w:val="18"/>
          <w:lang w:val="en-CA"/>
        </w:rPr>
        <w:t>Lerner</w:t>
      </w:r>
      <w:r w:rsidR="00B75720" w:rsidRPr="00E16C03">
        <w:rPr>
          <w:rFonts w:ascii="Arial" w:hAnsi="Arial" w:cs="Arial"/>
          <w:sz w:val="18"/>
          <w:szCs w:val="18"/>
          <w:lang w:val="en-CA"/>
        </w:rPr>
        <w:t>, «</w:t>
      </w:r>
      <w:r w:rsidR="00595E85">
        <w:rPr>
          <w:rFonts w:ascii="Arial" w:hAnsi="Arial" w:cs="Arial"/>
          <w:sz w:val="18"/>
          <w:szCs w:val="18"/>
          <w:lang w:val="en-CA"/>
        </w:rPr>
        <w:t> </w:t>
      </w:r>
      <w:r w:rsidR="00B75720" w:rsidRPr="00E16C03">
        <w:rPr>
          <w:rFonts w:ascii="Arial" w:hAnsi="Arial" w:cs="Arial"/>
          <w:sz w:val="18"/>
          <w:szCs w:val="18"/>
          <w:lang w:val="en-CA"/>
        </w:rPr>
        <w:t>Having to</w:t>
      </w:r>
      <w:r w:rsidR="00F07A0E" w:rsidRPr="00E16C03">
        <w:rPr>
          <w:rFonts w:ascii="Arial" w:hAnsi="Arial" w:cs="Arial"/>
          <w:sz w:val="18"/>
          <w:szCs w:val="18"/>
          <w:lang w:val="en-CA"/>
        </w:rPr>
        <w:t>’Hold It’: Factors That Influence the Avoidance of Using Public Bathrooms among Transgender People”</w:t>
      </w:r>
      <w:r w:rsidR="008A57AA" w:rsidRPr="00E16C03">
        <w:rPr>
          <w:rFonts w:ascii="Arial" w:hAnsi="Arial" w:cs="Arial"/>
          <w:sz w:val="18"/>
          <w:szCs w:val="18"/>
          <w:lang w:val="en-CA"/>
        </w:rPr>
        <w:t xml:space="preserve">, </w:t>
      </w:r>
      <w:r w:rsidR="00F47B57" w:rsidRPr="00E16C03">
        <w:rPr>
          <w:rFonts w:ascii="Arial" w:hAnsi="Arial" w:cs="Arial"/>
          <w:i/>
          <w:sz w:val="18"/>
          <w:szCs w:val="18"/>
          <w:lang w:val="en-CA"/>
        </w:rPr>
        <w:t xml:space="preserve">Health &amp; Social </w:t>
      </w:r>
      <w:r w:rsidR="002D3574" w:rsidRPr="00E16C03">
        <w:rPr>
          <w:rFonts w:ascii="Arial" w:hAnsi="Arial" w:cs="Arial"/>
          <w:i/>
          <w:sz w:val="18"/>
          <w:szCs w:val="18"/>
          <w:lang w:val="en-CA"/>
        </w:rPr>
        <w:t>Work</w:t>
      </w:r>
      <w:r w:rsidR="002D3574" w:rsidRPr="00E16C03">
        <w:rPr>
          <w:rFonts w:ascii="Arial" w:hAnsi="Arial" w:cs="Arial"/>
          <w:sz w:val="18"/>
          <w:szCs w:val="18"/>
          <w:lang w:val="en-CA"/>
        </w:rPr>
        <w:t>, 46</w:t>
      </w:r>
      <w:r w:rsidR="00804804" w:rsidRPr="00E16C03">
        <w:rPr>
          <w:rFonts w:ascii="Arial" w:hAnsi="Arial" w:cs="Arial"/>
          <w:sz w:val="18"/>
          <w:szCs w:val="18"/>
          <w:lang w:val="en-CA"/>
        </w:rPr>
        <w:t xml:space="preserve"> (4) 2021, p.</w:t>
      </w:r>
      <w:r w:rsidR="003D2E26">
        <w:rPr>
          <w:rFonts w:ascii="Arial" w:hAnsi="Arial" w:cs="Arial"/>
          <w:sz w:val="18"/>
          <w:szCs w:val="18"/>
          <w:lang w:val="en-CA"/>
        </w:rPr>
        <w:t> </w:t>
      </w:r>
      <w:r w:rsidR="00804804" w:rsidRPr="00E16C03">
        <w:rPr>
          <w:rFonts w:ascii="Arial" w:hAnsi="Arial" w:cs="Arial"/>
          <w:sz w:val="18"/>
          <w:szCs w:val="18"/>
          <w:lang w:val="en-CA"/>
        </w:rPr>
        <w:t>260</w:t>
      </w:r>
      <w:r w:rsidR="009913D3">
        <w:rPr>
          <w:rFonts w:ascii="Arial" w:hAnsi="Arial" w:cs="Arial"/>
          <w:sz w:val="18"/>
          <w:szCs w:val="18"/>
          <w:lang w:val="en-CA"/>
        </w:rPr>
        <w:t xml:space="preserve"> à </w:t>
      </w:r>
      <w:r w:rsidR="00804804" w:rsidRPr="00E16C03">
        <w:rPr>
          <w:rFonts w:ascii="Arial" w:hAnsi="Arial" w:cs="Arial"/>
          <w:sz w:val="18"/>
          <w:szCs w:val="18"/>
          <w:lang w:val="en-CA"/>
        </w:rPr>
        <w:t>267</w:t>
      </w:r>
      <w:r w:rsidR="007D541F" w:rsidRPr="00E16C03">
        <w:rPr>
          <w:rFonts w:ascii="Arial" w:hAnsi="Arial" w:cs="Arial"/>
          <w:sz w:val="18"/>
          <w:szCs w:val="18"/>
          <w:lang w:val="en-CA"/>
        </w:rPr>
        <w:t>, [En ligne]</w:t>
      </w:r>
      <w:r w:rsidR="005830D0">
        <w:rPr>
          <w:rFonts w:ascii="Arial" w:hAnsi="Arial" w:cs="Arial"/>
          <w:sz w:val="18"/>
          <w:szCs w:val="18"/>
          <w:lang w:val="en-CA"/>
        </w:rPr>
        <w:t>.</w:t>
      </w:r>
      <w:r w:rsidR="00F47B57" w:rsidRPr="00E16C03">
        <w:rPr>
          <w:rFonts w:ascii="Arial" w:hAnsi="Arial" w:cs="Arial"/>
          <w:sz w:val="18"/>
          <w:szCs w:val="18"/>
          <w:lang w:val="en-CA"/>
        </w:rPr>
        <w:t xml:space="preserve"> </w:t>
      </w:r>
      <w:hyperlink r:id="rId126" w:history="1">
        <w:r w:rsidR="002D3574" w:rsidRPr="003D6F7B">
          <w:rPr>
            <w:rStyle w:val="Lienhypertexte"/>
            <w:rFonts w:ascii="Arial" w:hAnsi="Arial" w:cs="Arial"/>
            <w:sz w:val="18"/>
            <w:szCs w:val="18"/>
            <w:lang w:val="fr-CA"/>
          </w:rPr>
          <w:t>https://academic.oup.com/hsw/article-abstract/46/4/260/6378750?login=false</w:t>
        </w:r>
      </w:hyperlink>
      <w:r w:rsidRPr="003D6F7B">
        <w:rPr>
          <w:rFonts w:ascii="Arial" w:hAnsi="Arial" w:cs="Arial"/>
          <w:sz w:val="18"/>
          <w:szCs w:val="18"/>
          <w:lang w:val="fr-CA"/>
        </w:rPr>
        <w:t xml:space="preserve"> </w:t>
      </w:r>
    </w:p>
  </w:endnote>
  <w:endnote w:id="414">
    <w:p w14:paraId="41EB32FC" w14:textId="4F24289A" w:rsidR="00F66CB9" w:rsidRPr="0085310E" w:rsidRDefault="00F66CB9"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A854AB" w:rsidRPr="00BD22C2">
        <w:rPr>
          <w:rFonts w:ascii="Arial" w:hAnsi="Arial" w:cs="Arial"/>
          <w:sz w:val="18"/>
          <w:szCs w:val="18"/>
          <w:lang w:val="fr-CA"/>
        </w:rPr>
        <w:tab/>
      </w:r>
      <w:r w:rsidR="003D6989" w:rsidRPr="00BD22C2">
        <w:rPr>
          <w:rFonts w:ascii="Arial" w:hAnsi="Arial" w:cs="Arial"/>
          <w:smallCaps/>
          <w:sz w:val="18"/>
          <w:szCs w:val="18"/>
          <w:lang w:val="fr-CA"/>
        </w:rPr>
        <w:t>Line Chamberland et al</w:t>
      </w:r>
      <w:r w:rsidR="003D6989" w:rsidRPr="00BD22C2">
        <w:rPr>
          <w:rFonts w:ascii="Arial" w:hAnsi="Arial" w:cs="Arial"/>
          <w:sz w:val="18"/>
          <w:szCs w:val="18"/>
          <w:lang w:val="fr-CA"/>
        </w:rPr>
        <w:t xml:space="preserve">., </w:t>
      </w:r>
      <w:r w:rsidR="003D6989" w:rsidRPr="00BD22C2">
        <w:rPr>
          <w:rFonts w:ascii="Arial" w:hAnsi="Arial" w:cs="Arial"/>
          <w:i/>
          <w:sz w:val="18"/>
          <w:szCs w:val="18"/>
          <w:lang w:val="fr-CA"/>
        </w:rPr>
        <w:t>La transphobie en milie</w:t>
      </w:r>
      <w:r w:rsidR="00BE33A7" w:rsidRPr="00BD22C2">
        <w:rPr>
          <w:rFonts w:ascii="Arial" w:hAnsi="Arial" w:cs="Arial"/>
          <w:i/>
          <w:sz w:val="18"/>
          <w:szCs w:val="18"/>
          <w:lang w:val="fr-CA"/>
        </w:rPr>
        <w:t>u scolaire au Québec, rapport de recherche</w:t>
      </w:r>
      <w:r w:rsidR="00BE33A7" w:rsidRPr="00BD22C2">
        <w:rPr>
          <w:rFonts w:ascii="Arial" w:hAnsi="Arial" w:cs="Arial"/>
          <w:sz w:val="18"/>
          <w:szCs w:val="18"/>
          <w:lang w:val="fr-CA"/>
        </w:rPr>
        <w:t xml:space="preserve">, </w:t>
      </w:r>
      <w:r w:rsidR="00C003A7" w:rsidRPr="00BD22C2">
        <w:rPr>
          <w:rFonts w:ascii="Arial" w:hAnsi="Arial" w:cs="Arial"/>
          <w:sz w:val="18"/>
          <w:szCs w:val="18"/>
          <w:lang w:val="fr-CA"/>
        </w:rPr>
        <w:t xml:space="preserve">2011, </w:t>
      </w:r>
      <w:r w:rsidR="00DD588C" w:rsidRPr="00BD22C2">
        <w:rPr>
          <w:rFonts w:ascii="Arial" w:hAnsi="Arial" w:cs="Arial"/>
          <w:sz w:val="18"/>
          <w:szCs w:val="18"/>
          <w:lang w:val="fr-CA"/>
        </w:rPr>
        <w:t>39</w:t>
      </w:r>
      <w:r w:rsidR="00B32B61">
        <w:rPr>
          <w:rFonts w:ascii="Arial" w:hAnsi="Arial" w:cs="Arial"/>
          <w:sz w:val="18"/>
          <w:szCs w:val="18"/>
          <w:lang w:val="fr-CA"/>
        </w:rPr>
        <w:t> </w:t>
      </w:r>
      <w:r w:rsidR="00DD588C" w:rsidRPr="00BD22C2">
        <w:rPr>
          <w:rFonts w:ascii="Arial" w:hAnsi="Arial" w:cs="Arial"/>
          <w:sz w:val="18"/>
          <w:szCs w:val="18"/>
          <w:lang w:val="fr-CA"/>
        </w:rPr>
        <w:t>p., [En ligne]</w:t>
      </w:r>
      <w:r w:rsidR="003A0C95" w:rsidRPr="00BD22C2">
        <w:rPr>
          <w:rFonts w:ascii="Arial" w:hAnsi="Arial" w:cs="Arial"/>
          <w:sz w:val="18"/>
          <w:szCs w:val="18"/>
          <w:lang w:val="fr-CA"/>
        </w:rPr>
        <w:t>.</w:t>
      </w:r>
      <w:r w:rsidR="00DD588C" w:rsidRPr="00BD22C2">
        <w:rPr>
          <w:rFonts w:ascii="Arial" w:hAnsi="Arial" w:cs="Arial"/>
          <w:sz w:val="18"/>
          <w:szCs w:val="18"/>
          <w:lang w:val="fr-CA"/>
        </w:rPr>
        <w:t xml:space="preserve"> </w:t>
      </w:r>
      <w:r w:rsidR="003A0C95">
        <w:fldChar w:fldCharType="begin"/>
      </w:r>
      <w:r w:rsidR="003A0C95" w:rsidRPr="003E3312">
        <w:rPr>
          <w:lang w:val="fr-CA"/>
        </w:rPr>
        <w:instrText>HYPERLINK "https://eduq.info/xmlui/bitstream/handle/11515/37839/chamberland-et-al-transphobie-milieu-scolaire-quebec-uqam-2011.pdf?sequence=2&amp;isAllowed=y"</w:instrText>
      </w:r>
      <w:r w:rsidR="003A0C95">
        <w:fldChar w:fldCharType="separate"/>
      </w:r>
      <w:r w:rsidR="003A0C95" w:rsidRPr="0085310E">
        <w:rPr>
          <w:rStyle w:val="Lienhypertexte"/>
          <w:rFonts w:ascii="Arial" w:hAnsi="Arial" w:cs="Arial"/>
          <w:sz w:val="18"/>
          <w:szCs w:val="18"/>
        </w:rPr>
        <w:t>https://eduq.info/xmlui/bitstream/handle/11515/37839/chamberland-et-al-transphobie-milieu-scolaire-quebec-uqam-2011.pdf?sequence=2&amp;isAllowed=y</w:t>
      </w:r>
      <w:r w:rsidR="003A0C95">
        <w:rPr>
          <w:rStyle w:val="Lienhypertexte"/>
          <w:rFonts w:ascii="Arial" w:hAnsi="Arial" w:cs="Arial"/>
          <w:sz w:val="18"/>
          <w:szCs w:val="18"/>
        </w:rPr>
        <w:fldChar w:fldCharType="end"/>
      </w:r>
      <w:r w:rsidR="003A0C95" w:rsidRPr="0085310E">
        <w:rPr>
          <w:rFonts w:ascii="Arial" w:hAnsi="Arial" w:cs="Arial"/>
          <w:sz w:val="18"/>
          <w:szCs w:val="18"/>
        </w:rPr>
        <w:t xml:space="preserve"> </w:t>
      </w:r>
    </w:p>
  </w:endnote>
  <w:endnote w:id="415">
    <w:p w14:paraId="1F8C06F5" w14:textId="77772707" w:rsidR="000271F3" w:rsidRPr="00BD22C2" w:rsidRDefault="000271F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I</w:t>
      </w:r>
      <w:r w:rsidR="00761F95" w:rsidRPr="00BD22C2">
        <w:rPr>
          <w:rFonts w:ascii="Arial" w:hAnsi="Arial" w:cs="Arial"/>
          <w:smallCaps/>
          <w:sz w:val="18"/>
          <w:szCs w:val="18"/>
          <w:lang w:val="fr-CA"/>
        </w:rPr>
        <w:t>nstitut du nouveau monde</w:t>
      </w:r>
      <w:r w:rsidRPr="00BD22C2">
        <w:rPr>
          <w:rFonts w:ascii="Arial" w:hAnsi="Arial" w:cs="Arial"/>
          <w:sz w:val="18"/>
          <w:szCs w:val="18"/>
          <w:lang w:val="fr-CA"/>
        </w:rPr>
        <w:t xml:space="preserve">, </w:t>
      </w:r>
      <w:r w:rsidR="00761F95" w:rsidRPr="00BD22C2">
        <w:rPr>
          <w:rFonts w:ascii="Arial" w:hAnsi="Arial" w:cs="Arial"/>
          <w:sz w:val="18"/>
          <w:szCs w:val="18"/>
          <w:lang w:val="fr-CA"/>
        </w:rPr>
        <w:t>préc., note</w:t>
      </w:r>
      <w:r w:rsidR="003D2E26">
        <w:rPr>
          <w:rFonts w:ascii="Arial" w:hAnsi="Arial" w:cs="Arial"/>
          <w:sz w:val="18"/>
          <w:szCs w:val="18"/>
          <w:lang w:val="fr-CA"/>
        </w:rPr>
        <w:t> </w:t>
      </w:r>
      <w:r w:rsidR="00761F95" w:rsidRPr="00BD22C2">
        <w:rPr>
          <w:rFonts w:ascii="Arial" w:hAnsi="Arial" w:cs="Arial"/>
          <w:sz w:val="18"/>
          <w:szCs w:val="18"/>
          <w:lang w:val="fr-CA"/>
        </w:rPr>
        <w:fldChar w:fldCharType="begin"/>
      </w:r>
      <w:r w:rsidR="00761F95" w:rsidRPr="00BD22C2">
        <w:rPr>
          <w:rFonts w:ascii="Arial" w:hAnsi="Arial" w:cs="Arial"/>
          <w:sz w:val="18"/>
          <w:szCs w:val="18"/>
          <w:lang w:val="fr-CA"/>
        </w:rPr>
        <w:instrText xml:space="preserve"> NOTEREF _Ref167185441 \h </w:instrText>
      </w:r>
      <w:r w:rsidR="00761F95" w:rsidRPr="00BD22C2">
        <w:rPr>
          <w:rFonts w:ascii="Arial" w:hAnsi="Arial" w:cs="Arial"/>
          <w:sz w:val="18"/>
          <w:szCs w:val="18"/>
          <w:lang w:val="fr-CA"/>
        </w:rPr>
      </w:r>
      <w:r w:rsidR="00761F95" w:rsidRPr="00BD22C2">
        <w:rPr>
          <w:rFonts w:ascii="Arial" w:hAnsi="Arial" w:cs="Arial"/>
          <w:sz w:val="18"/>
          <w:szCs w:val="18"/>
          <w:lang w:val="fr-CA"/>
        </w:rPr>
        <w:fldChar w:fldCharType="separate"/>
      </w:r>
      <w:r w:rsidR="004B4881">
        <w:rPr>
          <w:rFonts w:ascii="Arial" w:hAnsi="Arial" w:cs="Arial"/>
          <w:sz w:val="18"/>
          <w:szCs w:val="18"/>
          <w:lang w:val="fr-CA"/>
        </w:rPr>
        <w:t>104</w:t>
      </w:r>
      <w:r w:rsidR="00761F95" w:rsidRPr="00BD22C2">
        <w:rPr>
          <w:rFonts w:ascii="Arial" w:hAnsi="Arial" w:cs="Arial"/>
          <w:sz w:val="18"/>
          <w:szCs w:val="18"/>
          <w:lang w:val="fr-CA"/>
        </w:rPr>
        <w:fldChar w:fldCharType="end"/>
      </w:r>
      <w:r w:rsidR="00761F95" w:rsidRPr="00BD22C2">
        <w:rPr>
          <w:rFonts w:ascii="Arial" w:hAnsi="Arial" w:cs="Arial"/>
          <w:sz w:val="18"/>
          <w:szCs w:val="18"/>
          <w:lang w:val="fr-CA"/>
        </w:rPr>
        <w:t xml:space="preserve">, </w:t>
      </w:r>
      <w:r w:rsidRPr="00BD22C2">
        <w:rPr>
          <w:rFonts w:ascii="Arial" w:hAnsi="Arial" w:cs="Arial"/>
          <w:sz w:val="18"/>
          <w:szCs w:val="18"/>
          <w:lang w:val="fr-CA"/>
        </w:rPr>
        <w:t>p.</w:t>
      </w:r>
      <w:r w:rsidR="003D2E26">
        <w:rPr>
          <w:rFonts w:ascii="Arial" w:hAnsi="Arial" w:cs="Arial"/>
          <w:sz w:val="18"/>
          <w:szCs w:val="18"/>
          <w:lang w:val="fr-CA"/>
        </w:rPr>
        <w:t> </w:t>
      </w:r>
      <w:r w:rsidRPr="00BD22C2">
        <w:rPr>
          <w:rFonts w:ascii="Arial" w:hAnsi="Arial" w:cs="Arial"/>
          <w:sz w:val="18"/>
          <w:szCs w:val="18"/>
          <w:lang w:val="fr-CA"/>
        </w:rPr>
        <w:t>27</w:t>
      </w:r>
      <w:r w:rsidR="00CC5714">
        <w:rPr>
          <w:rFonts w:ascii="Arial" w:hAnsi="Arial" w:cs="Arial"/>
          <w:sz w:val="18"/>
          <w:szCs w:val="18"/>
          <w:lang w:val="fr-CA"/>
        </w:rPr>
        <w:t xml:space="preserve"> et </w:t>
      </w:r>
      <w:r w:rsidRPr="00BD22C2">
        <w:rPr>
          <w:rFonts w:ascii="Arial" w:hAnsi="Arial" w:cs="Arial"/>
          <w:sz w:val="18"/>
          <w:szCs w:val="18"/>
          <w:lang w:val="fr-CA"/>
        </w:rPr>
        <w:t>28.</w:t>
      </w:r>
    </w:p>
  </w:endnote>
  <w:endnote w:id="416">
    <w:p w14:paraId="6094ADBA" w14:textId="40FB7C86" w:rsidR="005B7DDD" w:rsidRPr="00E16C03" w:rsidRDefault="005B7DDD"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t xml:space="preserve">Voir notamment : </w:t>
      </w:r>
      <w:r w:rsidRPr="00E16C03">
        <w:rPr>
          <w:rFonts w:ascii="Arial" w:hAnsi="Arial" w:cs="Arial"/>
          <w:i/>
          <w:sz w:val="18"/>
          <w:szCs w:val="18"/>
          <w:lang w:val="en-CA"/>
        </w:rPr>
        <w:t>Sheridan</w:t>
      </w:r>
      <w:r w:rsidRPr="00E16C03">
        <w:rPr>
          <w:rFonts w:ascii="Arial" w:hAnsi="Arial" w:cs="Arial"/>
          <w:sz w:val="18"/>
          <w:szCs w:val="18"/>
          <w:lang w:val="en-CA"/>
        </w:rPr>
        <w:t xml:space="preserve"> v. </w:t>
      </w:r>
      <w:r w:rsidRPr="00E16C03">
        <w:rPr>
          <w:rFonts w:ascii="Arial" w:hAnsi="Arial" w:cs="Arial"/>
          <w:i/>
          <w:sz w:val="18"/>
          <w:szCs w:val="18"/>
          <w:lang w:val="en-CA"/>
        </w:rPr>
        <w:t>Sanctuary Investments Ltd. (No.</w:t>
      </w:r>
      <w:r w:rsidR="003D2E26">
        <w:rPr>
          <w:rFonts w:ascii="Arial" w:hAnsi="Arial" w:cs="Arial"/>
          <w:i/>
          <w:sz w:val="18"/>
          <w:szCs w:val="18"/>
          <w:lang w:val="en-CA"/>
        </w:rPr>
        <w:t> </w:t>
      </w:r>
      <w:r w:rsidRPr="00E16C03">
        <w:rPr>
          <w:rFonts w:ascii="Arial" w:hAnsi="Arial" w:cs="Arial"/>
          <w:i/>
          <w:sz w:val="18"/>
          <w:szCs w:val="18"/>
          <w:lang w:val="en-CA"/>
        </w:rPr>
        <w:t>3),</w:t>
      </w:r>
      <w:r w:rsidRPr="00E16C03">
        <w:rPr>
          <w:rFonts w:ascii="Arial" w:hAnsi="Arial" w:cs="Arial"/>
          <w:sz w:val="18"/>
          <w:szCs w:val="18"/>
          <w:lang w:val="en-CA"/>
        </w:rPr>
        <w:t xml:space="preserve"> </w:t>
      </w:r>
      <w:r w:rsidR="005E2C57" w:rsidRPr="00E16C03">
        <w:rPr>
          <w:rFonts w:ascii="Arial" w:hAnsi="Arial" w:cs="Arial"/>
          <w:color w:val="212529"/>
          <w:sz w:val="18"/>
          <w:szCs w:val="18"/>
          <w:shd w:val="clear" w:color="auto" w:fill="FFFFFF"/>
          <w:lang w:val="en-CA"/>
        </w:rPr>
        <w:t>préc., note</w:t>
      </w:r>
      <w:r w:rsidR="003D2E26">
        <w:rPr>
          <w:rFonts w:ascii="Arial" w:hAnsi="Arial" w:cs="Arial"/>
          <w:color w:val="212529"/>
          <w:sz w:val="18"/>
          <w:szCs w:val="18"/>
          <w:shd w:val="clear" w:color="auto" w:fill="FFFFFF"/>
          <w:lang w:val="en-CA"/>
        </w:rPr>
        <w:t> </w:t>
      </w:r>
      <w:r w:rsidR="005E2C57" w:rsidRPr="00BD22C2">
        <w:rPr>
          <w:rFonts w:ascii="Arial" w:hAnsi="Arial" w:cs="Arial"/>
          <w:color w:val="212529"/>
          <w:sz w:val="18"/>
          <w:szCs w:val="18"/>
          <w:shd w:val="clear" w:color="auto" w:fill="FFFFFF"/>
          <w:lang w:val="fr-CA"/>
        </w:rPr>
        <w:fldChar w:fldCharType="begin"/>
      </w:r>
      <w:r w:rsidR="005E2C57" w:rsidRPr="00E16C03">
        <w:rPr>
          <w:rFonts w:ascii="Arial" w:hAnsi="Arial" w:cs="Arial"/>
          <w:color w:val="212529"/>
          <w:sz w:val="18"/>
          <w:szCs w:val="18"/>
          <w:shd w:val="clear" w:color="auto" w:fill="FFFFFF"/>
          <w:lang w:val="en-CA"/>
        </w:rPr>
        <w:instrText xml:space="preserve"> NOTEREF _Ref166845391 \h </w:instrText>
      </w:r>
      <w:r w:rsidR="005E2C57" w:rsidRPr="00BD22C2">
        <w:rPr>
          <w:rFonts w:ascii="Arial" w:hAnsi="Arial" w:cs="Arial"/>
          <w:color w:val="212529"/>
          <w:sz w:val="18"/>
          <w:szCs w:val="18"/>
          <w:shd w:val="clear" w:color="auto" w:fill="FFFFFF"/>
          <w:lang w:val="fr-CA"/>
        </w:rPr>
      </w:r>
      <w:r w:rsidR="005E2C57" w:rsidRPr="00BD22C2">
        <w:rPr>
          <w:rFonts w:ascii="Arial" w:hAnsi="Arial" w:cs="Arial"/>
          <w:color w:val="212529"/>
          <w:sz w:val="18"/>
          <w:szCs w:val="18"/>
          <w:shd w:val="clear" w:color="auto" w:fill="FFFFFF"/>
          <w:lang w:val="fr-CA"/>
        </w:rPr>
        <w:fldChar w:fldCharType="separate"/>
      </w:r>
      <w:r w:rsidR="004B4881">
        <w:rPr>
          <w:rFonts w:ascii="Arial" w:hAnsi="Arial" w:cs="Arial"/>
          <w:color w:val="212529"/>
          <w:sz w:val="18"/>
          <w:szCs w:val="18"/>
          <w:shd w:val="clear" w:color="auto" w:fill="FFFFFF"/>
          <w:lang w:val="en-CA"/>
        </w:rPr>
        <w:t>111</w:t>
      </w:r>
      <w:r w:rsidR="005E2C57" w:rsidRPr="00BD22C2">
        <w:rPr>
          <w:rFonts w:ascii="Arial" w:hAnsi="Arial" w:cs="Arial"/>
          <w:color w:val="212529"/>
          <w:sz w:val="18"/>
          <w:szCs w:val="18"/>
          <w:shd w:val="clear" w:color="auto" w:fill="FFFFFF"/>
          <w:lang w:val="fr-CA"/>
        </w:rPr>
        <w:fldChar w:fldCharType="end"/>
      </w:r>
      <w:r w:rsidR="00B41D67" w:rsidRPr="00E16C03">
        <w:rPr>
          <w:rFonts w:ascii="Arial" w:hAnsi="Arial" w:cs="Arial"/>
          <w:sz w:val="18"/>
          <w:szCs w:val="18"/>
          <w:lang w:val="en-CA"/>
        </w:rPr>
        <w:t> </w:t>
      </w:r>
      <w:r w:rsidRPr="00E16C03">
        <w:rPr>
          <w:rFonts w:ascii="Arial" w:hAnsi="Arial" w:cs="Arial"/>
          <w:sz w:val="18"/>
          <w:szCs w:val="18"/>
          <w:lang w:val="en-CA"/>
        </w:rPr>
        <w:t xml:space="preserve">; </w:t>
      </w:r>
      <w:r w:rsidR="000478CB" w:rsidRPr="00E16C03">
        <w:rPr>
          <w:rFonts w:ascii="Arial" w:hAnsi="Arial" w:cs="Arial"/>
          <w:i/>
          <w:color w:val="212529"/>
          <w:sz w:val="18"/>
          <w:szCs w:val="18"/>
          <w:shd w:val="clear" w:color="auto" w:fill="FFFFFF"/>
          <w:lang w:val="en-CA"/>
        </w:rPr>
        <w:t>Lewis</w:t>
      </w:r>
      <w:r w:rsidR="000478CB" w:rsidRPr="00E16C03">
        <w:rPr>
          <w:rFonts w:ascii="Arial" w:hAnsi="Arial" w:cs="Arial"/>
          <w:color w:val="212529"/>
          <w:sz w:val="18"/>
          <w:szCs w:val="18"/>
          <w:shd w:val="clear" w:color="auto" w:fill="FFFFFF"/>
          <w:lang w:val="en-CA"/>
        </w:rPr>
        <w:t xml:space="preserve"> v. </w:t>
      </w:r>
      <w:r w:rsidR="000478CB" w:rsidRPr="00E16C03">
        <w:rPr>
          <w:rFonts w:ascii="Arial" w:hAnsi="Arial" w:cs="Arial"/>
          <w:i/>
          <w:color w:val="212529"/>
          <w:sz w:val="18"/>
          <w:szCs w:val="18"/>
          <w:shd w:val="clear" w:color="auto" w:fill="FFFFFF"/>
          <w:lang w:val="en-CA"/>
        </w:rPr>
        <w:t>Sugar Daddys Nightclub</w:t>
      </w:r>
      <w:r w:rsidR="000478CB" w:rsidRPr="00E16C03">
        <w:rPr>
          <w:rFonts w:ascii="Arial" w:hAnsi="Arial" w:cs="Arial"/>
          <w:color w:val="212529"/>
          <w:sz w:val="18"/>
          <w:szCs w:val="18"/>
          <w:shd w:val="clear" w:color="auto" w:fill="FFFFFF"/>
          <w:lang w:val="en-CA"/>
        </w:rPr>
        <w:t xml:space="preserve">, </w:t>
      </w:r>
      <w:r w:rsidR="0078169D" w:rsidRPr="00E16C03">
        <w:rPr>
          <w:rFonts w:ascii="Arial" w:hAnsi="Arial" w:cs="Arial"/>
          <w:color w:val="212529"/>
          <w:sz w:val="18"/>
          <w:szCs w:val="18"/>
          <w:shd w:val="clear" w:color="auto" w:fill="FFFFFF"/>
          <w:lang w:val="en-CA"/>
        </w:rPr>
        <w:t>préc., note</w:t>
      </w:r>
      <w:r w:rsidR="003D2E26">
        <w:rPr>
          <w:rFonts w:ascii="Arial" w:hAnsi="Arial" w:cs="Arial"/>
          <w:color w:val="212529"/>
          <w:sz w:val="18"/>
          <w:szCs w:val="18"/>
          <w:shd w:val="clear" w:color="auto" w:fill="FFFFFF"/>
          <w:lang w:val="en-CA"/>
        </w:rPr>
        <w:t> </w:t>
      </w:r>
      <w:r w:rsidR="0078169D" w:rsidRPr="00BD22C2">
        <w:rPr>
          <w:rFonts w:ascii="Arial" w:hAnsi="Arial" w:cs="Arial"/>
          <w:color w:val="212529"/>
          <w:sz w:val="18"/>
          <w:szCs w:val="18"/>
          <w:shd w:val="clear" w:color="auto" w:fill="FFFFFF"/>
          <w:lang w:val="fr-CA"/>
        </w:rPr>
        <w:fldChar w:fldCharType="begin"/>
      </w:r>
      <w:r w:rsidR="0078169D" w:rsidRPr="00E16C03">
        <w:rPr>
          <w:rFonts w:ascii="Arial" w:hAnsi="Arial" w:cs="Arial"/>
          <w:color w:val="212529"/>
          <w:sz w:val="18"/>
          <w:szCs w:val="18"/>
          <w:shd w:val="clear" w:color="auto" w:fill="FFFFFF"/>
          <w:lang w:val="en-CA"/>
        </w:rPr>
        <w:instrText xml:space="preserve"> NOTEREF _Ref166845391 \h </w:instrText>
      </w:r>
      <w:r w:rsidR="0078169D" w:rsidRPr="00BD22C2">
        <w:rPr>
          <w:rFonts w:ascii="Arial" w:hAnsi="Arial" w:cs="Arial"/>
          <w:color w:val="212529"/>
          <w:sz w:val="18"/>
          <w:szCs w:val="18"/>
          <w:shd w:val="clear" w:color="auto" w:fill="FFFFFF"/>
          <w:lang w:val="fr-CA"/>
        </w:rPr>
      </w:r>
      <w:r w:rsidR="0078169D" w:rsidRPr="00BD22C2">
        <w:rPr>
          <w:rFonts w:ascii="Arial" w:hAnsi="Arial" w:cs="Arial"/>
          <w:color w:val="212529"/>
          <w:sz w:val="18"/>
          <w:szCs w:val="18"/>
          <w:shd w:val="clear" w:color="auto" w:fill="FFFFFF"/>
          <w:lang w:val="fr-CA"/>
        </w:rPr>
        <w:fldChar w:fldCharType="separate"/>
      </w:r>
      <w:r w:rsidR="004B4881">
        <w:rPr>
          <w:rFonts w:ascii="Arial" w:hAnsi="Arial" w:cs="Arial"/>
          <w:color w:val="212529"/>
          <w:sz w:val="18"/>
          <w:szCs w:val="18"/>
          <w:shd w:val="clear" w:color="auto" w:fill="FFFFFF"/>
          <w:lang w:val="en-CA"/>
        </w:rPr>
        <w:t>111</w:t>
      </w:r>
      <w:r w:rsidR="0078169D" w:rsidRPr="00BD22C2">
        <w:rPr>
          <w:rFonts w:ascii="Arial" w:hAnsi="Arial" w:cs="Arial"/>
          <w:color w:val="212529"/>
          <w:sz w:val="18"/>
          <w:szCs w:val="18"/>
          <w:shd w:val="clear" w:color="auto" w:fill="FFFFFF"/>
          <w:lang w:val="fr-CA"/>
        </w:rPr>
        <w:fldChar w:fldCharType="end"/>
      </w:r>
      <w:r w:rsidR="0078169D" w:rsidRPr="00E16C03">
        <w:rPr>
          <w:rFonts w:ascii="Arial" w:hAnsi="Arial" w:cs="Arial"/>
          <w:color w:val="212529"/>
          <w:sz w:val="18"/>
          <w:szCs w:val="18"/>
          <w:shd w:val="clear" w:color="auto" w:fill="FFFFFF"/>
          <w:lang w:val="en-CA"/>
        </w:rPr>
        <w:t>.</w:t>
      </w:r>
    </w:p>
  </w:endnote>
  <w:endnote w:id="417">
    <w:p w14:paraId="3F5A878E" w14:textId="01A9B596" w:rsidR="00173638" w:rsidRPr="00BD22C2" w:rsidRDefault="0017363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Voir par exemple : </w:t>
      </w:r>
      <w:r w:rsidRPr="00BD22C2">
        <w:rPr>
          <w:rFonts w:ascii="Arial" w:hAnsi="Arial" w:cs="Arial"/>
          <w:smallCaps/>
          <w:sz w:val="18"/>
          <w:szCs w:val="18"/>
          <w:lang w:val="fr-CA"/>
        </w:rPr>
        <w:t>Commission ontarienne des droits de la personne</w:t>
      </w:r>
      <w:r w:rsidRPr="00BD22C2">
        <w:rPr>
          <w:rFonts w:ascii="Arial" w:hAnsi="Arial" w:cs="Arial"/>
          <w:sz w:val="18"/>
          <w:szCs w:val="18"/>
          <w:lang w:val="fr-CA"/>
        </w:rPr>
        <w:t>, préc.</w:t>
      </w:r>
      <w:r w:rsidR="00CB4CF7">
        <w:rPr>
          <w:rFonts w:ascii="Arial" w:hAnsi="Arial" w:cs="Arial"/>
          <w:sz w:val="18"/>
          <w:szCs w:val="18"/>
          <w:lang w:val="fr-CA"/>
        </w:rPr>
        <w:t>,</w:t>
      </w:r>
      <w:r w:rsidRPr="00BD22C2">
        <w:rPr>
          <w:rFonts w:ascii="Arial" w:hAnsi="Arial" w:cs="Arial"/>
          <w:sz w:val="18"/>
          <w:szCs w:val="18"/>
          <w:lang w:val="fr-CA"/>
        </w:rPr>
        <w:t xml:space="preserve"> note</w:t>
      </w:r>
      <w:r w:rsidR="003D2E26">
        <w:rPr>
          <w:rFonts w:ascii="Arial" w:hAnsi="Arial" w:cs="Arial"/>
          <w:sz w:val="18"/>
          <w:szCs w:val="18"/>
          <w:lang w:val="fr-CA"/>
        </w:rPr>
        <w:t> </w:t>
      </w:r>
      <w:r w:rsidR="006E0147" w:rsidRPr="00BD22C2">
        <w:rPr>
          <w:rFonts w:ascii="Arial" w:hAnsi="Arial" w:cs="Arial"/>
          <w:sz w:val="18"/>
          <w:szCs w:val="18"/>
          <w:lang w:val="fr-CA"/>
        </w:rPr>
        <w:fldChar w:fldCharType="begin"/>
      </w:r>
      <w:r w:rsidR="006E0147" w:rsidRPr="00BD22C2">
        <w:rPr>
          <w:rFonts w:ascii="Arial" w:hAnsi="Arial" w:cs="Arial"/>
          <w:sz w:val="18"/>
          <w:szCs w:val="18"/>
          <w:lang w:val="fr-CA"/>
        </w:rPr>
        <w:instrText xml:space="preserve"> NOTEREF _Ref166844712 \h </w:instrText>
      </w:r>
      <w:r w:rsidR="00F74B7C" w:rsidRPr="00BD22C2">
        <w:rPr>
          <w:rFonts w:ascii="Arial" w:hAnsi="Arial" w:cs="Arial"/>
          <w:sz w:val="18"/>
          <w:szCs w:val="18"/>
          <w:lang w:val="fr-CA"/>
        </w:rPr>
        <w:instrText xml:space="preserve"> \* MERGEFORMAT </w:instrText>
      </w:r>
      <w:r w:rsidR="006E0147" w:rsidRPr="00BD22C2">
        <w:rPr>
          <w:rFonts w:ascii="Arial" w:hAnsi="Arial" w:cs="Arial"/>
          <w:sz w:val="18"/>
          <w:szCs w:val="18"/>
          <w:lang w:val="fr-CA"/>
        </w:rPr>
      </w:r>
      <w:r w:rsidR="006E0147" w:rsidRPr="00BD22C2">
        <w:rPr>
          <w:rFonts w:ascii="Arial" w:hAnsi="Arial" w:cs="Arial"/>
          <w:sz w:val="18"/>
          <w:szCs w:val="18"/>
          <w:lang w:val="fr-CA"/>
        </w:rPr>
        <w:fldChar w:fldCharType="separate"/>
      </w:r>
      <w:r w:rsidR="004B4881">
        <w:rPr>
          <w:rFonts w:ascii="Arial" w:hAnsi="Arial" w:cs="Arial"/>
          <w:sz w:val="18"/>
          <w:szCs w:val="18"/>
          <w:lang w:val="fr-CA"/>
        </w:rPr>
        <w:t>121</w:t>
      </w:r>
      <w:r w:rsidR="006E0147" w:rsidRPr="00BD22C2">
        <w:rPr>
          <w:rFonts w:ascii="Arial" w:hAnsi="Arial" w:cs="Arial"/>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46</w:t>
      </w:r>
      <w:r w:rsidR="00935790" w:rsidRPr="00BD22C2">
        <w:rPr>
          <w:rFonts w:ascii="Arial" w:hAnsi="Arial" w:cs="Arial"/>
          <w:sz w:val="18"/>
          <w:szCs w:val="18"/>
          <w:lang w:val="fr-CA"/>
        </w:rPr>
        <w:t xml:space="preserve"> et </w:t>
      </w:r>
      <w:r w:rsidR="00935790" w:rsidRPr="00BD22C2">
        <w:rPr>
          <w:rFonts w:ascii="Arial" w:hAnsi="Arial" w:cs="Arial"/>
          <w:smallCaps/>
          <w:sz w:val="18"/>
          <w:szCs w:val="18"/>
          <w:lang w:val="fr-CA"/>
        </w:rPr>
        <w:t>Commissaire aux droits de l’homme</w:t>
      </w:r>
      <w:r w:rsidR="00563491" w:rsidRPr="00BD22C2">
        <w:rPr>
          <w:rFonts w:ascii="Arial" w:hAnsi="Arial" w:cs="Arial"/>
          <w:smallCaps/>
          <w:sz w:val="18"/>
          <w:szCs w:val="18"/>
          <w:lang w:val="fr-CA"/>
        </w:rPr>
        <w:t xml:space="preserve"> — Conseil de l’Europe</w:t>
      </w:r>
      <w:r w:rsidR="00935790" w:rsidRPr="00BD22C2">
        <w:rPr>
          <w:rFonts w:ascii="Arial" w:hAnsi="Arial" w:cs="Arial"/>
          <w:sz w:val="18"/>
          <w:szCs w:val="18"/>
          <w:lang w:val="fr-CA"/>
        </w:rPr>
        <w:t xml:space="preserve">, </w:t>
      </w:r>
      <w:r w:rsidR="00563491" w:rsidRPr="00BD22C2">
        <w:rPr>
          <w:rFonts w:ascii="Arial" w:hAnsi="Arial" w:cs="Arial"/>
          <w:sz w:val="18"/>
          <w:szCs w:val="18"/>
          <w:lang w:val="fr-CA"/>
        </w:rPr>
        <w:t>préc., note</w:t>
      </w:r>
      <w:r w:rsidR="003D2E26">
        <w:rPr>
          <w:rFonts w:ascii="Arial" w:hAnsi="Arial" w:cs="Arial"/>
          <w:sz w:val="18"/>
          <w:szCs w:val="18"/>
          <w:lang w:val="fr-CA"/>
        </w:rPr>
        <w:t> </w:t>
      </w:r>
      <w:r w:rsidR="00563491" w:rsidRPr="00BD22C2">
        <w:rPr>
          <w:rFonts w:ascii="Arial" w:hAnsi="Arial" w:cs="Arial"/>
          <w:sz w:val="18"/>
          <w:szCs w:val="18"/>
          <w:lang w:val="fr-CA"/>
        </w:rPr>
        <w:fldChar w:fldCharType="begin"/>
      </w:r>
      <w:r w:rsidR="00563491" w:rsidRPr="00BD22C2">
        <w:rPr>
          <w:rFonts w:ascii="Arial" w:hAnsi="Arial" w:cs="Arial"/>
          <w:sz w:val="18"/>
          <w:szCs w:val="18"/>
          <w:lang w:val="fr-CA"/>
        </w:rPr>
        <w:instrText xml:space="preserve"> NOTEREF _Ref166751055 \h </w:instrText>
      </w:r>
      <w:r w:rsidR="00563491" w:rsidRPr="00BD22C2">
        <w:rPr>
          <w:rFonts w:ascii="Arial" w:hAnsi="Arial" w:cs="Arial"/>
          <w:sz w:val="18"/>
          <w:szCs w:val="18"/>
          <w:lang w:val="fr-CA"/>
        </w:rPr>
      </w:r>
      <w:r w:rsidR="00563491" w:rsidRPr="00BD22C2">
        <w:rPr>
          <w:rFonts w:ascii="Arial" w:hAnsi="Arial" w:cs="Arial"/>
          <w:sz w:val="18"/>
          <w:szCs w:val="18"/>
          <w:lang w:val="fr-CA"/>
        </w:rPr>
        <w:fldChar w:fldCharType="separate"/>
      </w:r>
      <w:r w:rsidR="004B4881">
        <w:rPr>
          <w:rFonts w:ascii="Arial" w:hAnsi="Arial" w:cs="Arial"/>
          <w:sz w:val="18"/>
          <w:szCs w:val="18"/>
          <w:lang w:val="fr-CA"/>
        </w:rPr>
        <w:t>304</w:t>
      </w:r>
      <w:r w:rsidR="00563491" w:rsidRPr="00BD22C2">
        <w:rPr>
          <w:rFonts w:ascii="Arial" w:hAnsi="Arial" w:cs="Arial"/>
          <w:sz w:val="18"/>
          <w:szCs w:val="18"/>
          <w:lang w:val="fr-CA"/>
        </w:rPr>
        <w:fldChar w:fldCharType="end"/>
      </w:r>
      <w:r w:rsidR="00935790" w:rsidRPr="00BD22C2">
        <w:rPr>
          <w:rFonts w:ascii="Arial" w:hAnsi="Arial" w:cs="Arial"/>
          <w:sz w:val="18"/>
          <w:szCs w:val="18"/>
          <w:lang w:val="fr-CA"/>
        </w:rPr>
        <w:t>, p.</w:t>
      </w:r>
      <w:r w:rsidR="003D2E26">
        <w:rPr>
          <w:rFonts w:ascii="Arial" w:hAnsi="Arial" w:cs="Arial"/>
          <w:sz w:val="18"/>
          <w:szCs w:val="18"/>
          <w:lang w:val="fr-CA"/>
        </w:rPr>
        <w:t> </w:t>
      </w:r>
      <w:r w:rsidR="00935790" w:rsidRPr="00BD22C2">
        <w:rPr>
          <w:rFonts w:ascii="Arial" w:hAnsi="Arial" w:cs="Arial"/>
          <w:sz w:val="18"/>
          <w:szCs w:val="18"/>
          <w:lang w:val="fr-CA"/>
        </w:rPr>
        <w:t>9</w:t>
      </w:r>
      <w:r w:rsidR="001512CC" w:rsidRPr="00BD22C2">
        <w:rPr>
          <w:rFonts w:ascii="Arial" w:hAnsi="Arial" w:cs="Arial"/>
          <w:sz w:val="18"/>
          <w:szCs w:val="18"/>
          <w:lang w:val="fr-CA"/>
        </w:rPr>
        <w:t>3</w:t>
      </w:r>
      <w:r w:rsidR="00E75137" w:rsidRPr="00BD22C2">
        <w:rPr>
          <w:rFonts w:ascii="Arial" w:hAnsi="Arial" w:cs="Arial"/>
          <w:sz w:val="18"/>
          <w:szCs w:val="18"/>
          <w:lang w:val="fr-CA"/>
        </w:rPr>
        <w:t>.</w:t>
      </w:r>
    </w:p>
  </w:endnote>
  <w:endnote w:id="418">
    <w:p w14:paraId="55A0FD57" w14:textId="5114CDF6" w:rsidR="00AD50AD" w:rsidRPr="00BD22C2" w:rsidRDefault="00AD50AD" w:rsidP="00707395">
      <w:pPr>
        <w:pStyle w:val="Notedefin"/>
        <w:spacing w:after="120" w:line="240" w:lineRule="auto"/>
        <w:ind w:left="709" w:hanging="709"/>
        <w:rPr>
          <w:sz w:val="18"/>
          <w:szCs w:val="18"/>
          <w:lang w:val="fr-CA"/>
        </w:rPr>
      </w:pPr>
      <w:r w:rsidRPr="00BD22C2">
        <w:rPr>
          <w:rStyle w:val="Appeldenotedefin"/>
          <w:lang w:val="fr-CA"/>
        </w:rPr>
        <w:endnoteRef/>
      </w:r>
      <w:r w:rsidRPr="00BD22C2">
        <w:rPr>
          <w:lang w:val="fr-CA"/>
        </w:rPr>
        <w:t xml:space="preserve"> </w:t>
      </w:r>
      <w:r w:rsidR="00A239AE" w:rsidRPr="00BD22C2">
        <w:rPr>
          <w:lang w:val="fr-CA"/>
        </w:rPr>
        <w:tab/>
      </w:r>
      <w:r w:rsidR="00A239AE" w:rsidRPr="00BD22C2">
        <w:rPr>
          <w:rFonts w:ascii="Arial" w:hAnsi="Arial" w:cs="Arial"/>
          <w:smallCaps/>
          <w:sz w:val="18"/>
          <w:szCs w:val="18"/>
          <w:lang w:val="fr-CA"/>
        </w:rPr>
        <w:t>Conseil québécois LGBT</w:t>
      </w:r>
      <w:r w:rsidR="00A239AE" w:rsidRPr="00BD22C2">
        <w:rPr>
          <w:rFonts w:ascii="Arial" w:hAnsi="Arial" w:cs="Arial"/>
          <w:sz w:val="18"/>
          <w:szCs w:val="18"/>
          <w:lang w:val="fr-CA"/>
        </w:rPr>
        <w:t xml:space="preserve">, </w:t>
      </w:r>
      <w:r w:rsidR="00A239AE" w:rsidRPr="00BD22C2">
        <w:rPr>
          <w:rFonts w:ascii="Arial" w:hAnsi="Arial" w:cs="Arial"/>
          <w:i/>
          <w:sz w:val="18"/>
          <w:szCs w:val="18"/>
          <w:lang w:val="fr-CA"/>
        </w:rPr>
        <w:t>Inclusion LGBTQ+ dans l’environnement bâti, Guide à l’attention des professionnel·les de l’aménagement et de la construction pour la prise en compte des diversités corporelle, sexuelle et de genre dans la gestion de projets d’aménagement au Québec</w:t>
      </w:r>
      <w:r w:rsidR="00A239AE" w:rsidRPr="00BD22C2">
        <w:rPr>
          <w:rFonts w:ascii="Arial" w:hAnsi="Arial" w:cs="Arial"/>
          <w:sz w:val="18"/>
          <w:szCs w:val="18"/>
          <w:lang w:val="fr-CA"/>
        </w:rPr>
        <w:t>, 2024, 50</w:t>
      </w:r>
      <w:r w:rsidR="00B32B61">
        <w:rPr>
          <w:rFonts w:ascii="Arial" w:hAnsi="Arial" w:cs="Arial"/>
          <w:sz w:val="18"/>
          <w:szCs w:val="18"/>
          <w:lang w:val="fr-CA"/>
        </w:rPr>
        <w:t> </w:t>
      </w:r>
      <w:r w:rsidR="00A239AE" w:rsidRPr="00BD22C2">
        <w:rPr>
          <w:rFonts w:ascii="Arial" w:hAnsi="Arial" w:cs="Arial"/>
          <w:sz w:val="18"/>
          <w:szCs w:val="18"/>
          <w:lang w:val="fr-CA"/>
        </w:rPr>
        <w:t>p., [En ligne]</w:t>
      </w:r>
      <w:r w:rsidR="00FF7263" w:rsidRPr="00BD22C2">
        <w:rPr>
          <w:rFonts w:ascii="Arial" w:hAnsi="Arial" w:cs="Arial"/>
          <w:sz w:val="18"/>
          <w:szCs w:val="18"/>
          <w:lang w:val="fr-CA"/>
        </w:rPr>
        <w:t>.</w:t>
      </w:r>
      <w:r w:rsidR="00A239AE" w:rsidRPr="00BD22C2">
        <w:rPr>
          <w:rFonts w:ascii="Arial" w:hAnsi="Arial" w:cs="Arial"/>
          <w:sz w:val="18"/>
          <w:szCs w:val="18"/>
          <w:lang w:val="fr-CA"/>
        </w:rPr>
        <w:t xml:space="preserve"> </w:t>
      </w:r>
      <w:r w:rsidR="00EB34B8">
        <w:fldChar w:fldCharType="begin"/>
      </w:r>
      <w:r w:rsidR="00EB34B8" w:rsidRPr="003E3312">
        <w:rPr>
          <w:lang w:val="fr-CA"/>
        </w:rPr>
        <w:instrText>HYPERLINK "http://www.conseil-lgbt.ca/architecture"</w:instrText>
      </w:r>
      <w:r w:rsidR="00EB34B8">
        <w:fldChar w:fldCharType="separate"/>
      </w:r>
      <w:r w:rsidR="00EB34B8" w:rsidRPr="00BD22C2">
        <w:rPr>
          <w:rStyle w:val="Lienhypertexte"/>
          <w:rFonts w:ascii="Arial" w:hAnsi="Arial" w:cs="Arial"/>
          <w:sz w:val="18"/>
          <w:szCs w:val="18"/>
          <w:lang w:val="fr-CA"/>
        </w:rPr>
        <w:t>www.conseil-lgbt.ca/architecture</w:t>
      </w:r>
      <w:r w:rsidR="00EB34B8">
        <w:rPr>
          <w:rStyle w:val="Lienhypertexte"/>
          <w:rFonts w:ascii="Arial" w:hAnsi="Arial" w:cs="Arial"/>
          <w:sz w:val="18"/>
          <w:szCs w:val="18"/>
          <w:lang w:val="fr-CA"/>
        </w:rPr>
        <w:fldChar w:fldCharType="end"/>
      </w:r>
      <w:r w:rsidR="00EB34B8" w:rsidRPr="00BD22C2">
        <w:rPr>
          <w:sz w:val="18"/>
          <w:szCs w:val="18"/>
          <w:lang w:val="fr-CA"/>
        </w:rPr>
        <w:t xml:space="preserve"> </w:t>
      </w:r>
    </w:p>
  </w:endnote>
  <w:endnote w:id="419">
    <w:p w14:paraId="4BD48022" w14:textId="534A2674" w:rsidR="00340C40" w:rsidRPr="00BD22C2" w:rsidRDefault="00340C4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La directive interdit en effet d</w:t>
      </w:r>
      <w:r w:rsidR="00FD4130" w:rsidRPr="00BD22C2">
        <w:rPr>
          <w:rFonts w:ascii="Arial" w:hAnsi="Arial" w:cs="Arial"/>
          <w:sz w:val="18"/>
          <w:szCs w:val="18"/>
          <w:lang w:val="fr-CA"/>
        </w:rPr>
        <w:t xml:space="preserve">e </w:t>
      </w:r>
      <w:r w:rsidR="006B35E7" w:rsidRPr="00BD22C2">
        <w:rPr>
          <w:rFonts w:ascii="Arial" w:hAnsi="Arial" w:cs="Arial"/>
          <w:sz w:val="18"/>
          <w:szCs w:val="18"/>
          <w:lang w:val="fr-CA"/>
        </w:rPr>
        <w:t>prévoir la construction de toilettes ou vestiaires mixtes</w:t>
      </w:r>
      <w:r w:rsidR="00E007A8" w:rsidRPr="00BD22C2">
        <w:rPr>
          <w:rFonts w:ascii="Arial" w:hAnsi="Arial" w:cs="Arial"/>
          <w:sz w:val="18"/>
          <w:szCs w:val="18"/>
          <w:lang w:val="fr-CA"/>
        </w:rPr>
        <w:t>, sans égard à l</w:t>
      </w:r>
      <w:r w:rsidR="002923DB" w:rsidRPr="00BD22C2">
        <w:rPr>
          <w:rFonts w:ascii="Arial" w:hAnsi="Arial" w:cs="Arial"/>
          <w:sz w:val="18"/>
          <w:szCs w:val="18"/>
          <w:lang w:val="fr-CA"/>
        </w:rPr>
        <w:t>’aménagement retenu pour ceux-ci</w:t>
      </w:r>
      <w:r w:rsidR="008A0AE6" w:rsidRPr="00BD22C2">
        <w:rPr>
          <w:rFonts w:ascii="Arial" w:hAnsi="Arial" w:cs="Arial"/>
          <w:sz w:val="18"/>
          <w:szCs w:val="18"/>
          <w:lang w:val="fr-CA"/>
        </w:rPr>
        <w:t> : Directive, p</w:t>
      </w:r>
      <w:r w:rsidR="00FF7263" w:rsidRPr="00BD22C2">
        <w:rPr>
          <w:rFonts w:ascii="Arial" w:hAnsi="Arial" w:cs="Arial"/>
          <w:sz w:val="18"/>
          <w:szCs w:val="18"/>
          <w:lang w:val="fr-CA"/>
        </w:rPr>
        <w:t>réc., note</w:t>
      </w:r>
      <w:r w:rsidR="003D2E26">
        <w:rPr>
          <w:rFonts w:ascii="Arial" w:hAnsi="Arial" w:cs="Arial"/>
          <w:sz w:val="18"/>
          <w:szCs w:val="18"/>
          <w:lang w:val="fr-CA"/>
        </w:rPr>
        <w:t> </w:t>
      </w:r>
      <w:r w:rsidR="00FF7263" w:rsidRPr="00BD22C2">
        <w:rPr>
          <w:rFonts w:ascii="Arial" w:hAnsi="Arial" w:cs="Arial"/>
          <w:sz w:val="18"/>
          <w:szCs w:val="18"/>
          <w:lang w:val="fr-CA"/>
        </w:rPr>
        <w:fldChar w:fldCharType="begin"/>
      </w:r>
      <w:r w:rsidR="00FF7263" w:rsidRPr="00BD22C2">
        <w:rPr>
          <w:rFonts w:ascii="Arial" w:hAnsi="Arial" w:cs="Arial"/>
          <w:sz w:val="18"/>
          <w:szCs w:val="18"/>
          <w:lang w:val="fr-CA"/>
        </w:rPr>
        <w:instrText xml:space="preserve"> NOTEREF _Ref166855090 \h </w:instrText>
      </w:r>
      <w:r w:rsidR="00FF7263" w:rsidRPr="00BD22C2">
        <w:rPr>
          <w:rFonts w:ascii="Arial" w:hAnsi="Arial" w:cs="Arial"/>
          <w:sz w:val="18"/>
          <w:szCs w:val="18"/>
          <w:lang w:val="fr-CA"/>
        </w:rPr>
      </w:r>
      <w:r w:rsidR="00FF7263" w:rsidRPr="00BD22C2">
        <w:rPr>
          <w:rFonts w:ascii="Arial" w:hAnsi="Arial" w:cs="Arial"/>
          <w:sz w:val="18"/>
          <w:szCs w:val="18"/>
          <w:lang w:val="fr-CA"/>
        </w:rPr>
        <w:fldChar w:fldCharType="separate"/>
      </w:r>
      <w:r w:rsidR="004B4881">
        <w:rPr>
          <w:rFonts w:ascii="Arial" w:hAnsi="Arial" w:cs="Arial"/>
          <w:sz w:val="18"/>
          <w:szCs w:val="18"/>
          <w:lang w:val="fr-CA"/>
        </w:rPr>
        <w:t>400</w:t>
      </w:r>
      <w:r w:rsidR="00FF7263" w:rsidRPr="00BD22C2">
        <w:rPr>
          <w:rFonts w:ascii="Arial" w:hAnsi="Arial" w:cs="Arial"/>
          <w:sz w:val="18"/>
          <w:szCs w:val="18"/>
          <w:lang w:val="fr-CA"/>
        </w:rPr>
        <w:fldChar w:fldCharType="end"/>
      </w:r>
      <w:r w:rsidR="00460AC7" w:rsidRPr="00BD22C2">
        <w:rPr>
          <w:rFonts w:ascii="Arial" w:hAnsi="Arial" w:cs="Arial"/>
          <w:sz w:val="18"/>
          <w:szCs w:val="18"/>
          <w:lang w:val="fr-CA"/>
        </w:rPr>
        <w:t xml:space="preserve">, </w:t>
      </w:r>
      <w:r w:rsidR="00FF5F88" w:rsidRPr="00BD22C2">
        <w:rPr>
          <w:rFonts w:ascii="Arial" w:hAnsi="Arial" w:cs="Arial"/>
          <w:sz w:val="18"/>
          <w:szCs w:val="18"/>
          <w:lang w:val="fr-CA"/>
        </w:rPr>
        <w:t>art.1, 2</w:t>
      </w:r>
      <w:r w:rsidR="00FF5F88" w:rsidRPr="00BD22C2">
        <w:rPr>
          <w:rFonts w:ascii="Arial" w:hAnsi="Arial" w:cs="Arial"/>
          <w:sz w:val="18"/>
          <w:szCs w:val="18"/>
          <w:vertAlign w:val="superscript"/>
          <w:lang w:val="fr-CA"/>
        </w:rPr>
        <w:t>e</w:t>
      </w:r>
      <w:r w:rsidR="00B32B61">
        <w:rPr>
          <w:rFonts w:ascii="Arial" w:hAnsi="Arial" w:cs="Arial"/>
          <w:sz w:val="18"/>
          <w:szCs w:val="18"/>
          <w:lang w:val="fr-CA"/>
        </w:rPr>
        <w:t> </w:t>
      </w:r>
      <w:r w:rsidR="00FF5F88" w:rsidRPr="00BD22C2">
        <w:rPr>
          <w:rFonts w:ascii="Arial" w:hAnsi="Arial" w:cs="Arial"/>
          <w:sz w:val="18"/>
          <w:szCs w:val="18"/>
          <w:lang w:val="fr-CA"/>
        </w:rPr>
        <w:t>alinéa</w:t>
      </w:r>
      <w:r w:rsidRPr="00BD22C2">
        <w:rPr>
          <w:rFonts w:ascii="Arial" w:hAnsi="Arial" w:cs="Arial"/>
          <w:sz w:val="18"/>
          <w:szCs w:val="18"/>
          <w:lang w:val="fr-CA"/>
        </w:rPr>
        <w:t>.</w:t>
      </w:r>
    </w:p>
  </w:endnote>
  <w:endnote w:id="420">
    <w:p w14:paraId="74A77FFF" w14:textId="70694604" w:rsidR="00D01A24" w:rsidRPr="00BD22C2" w:rsidRDefault="00D01A2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Voir par exemple : </w:t>
      </w:r>
      <w:r w:rsidRPr="00BD22C2">
        <w:rPr>
          <w:rFonts w:ascii="Arial" w:hAnsi="Arial" w:cs="Arial"/>
          <w:smallCaps/>
          <w:sz w:val="18"/>
          <w:szCs w:val="18"/>
          <w:lang w:val="fr-CA"/>
        </w:rPr>
        <w:t xml:space="preserve">Commission ontarienne des droits de la personne, </w:t>
      </w:r>
      <w:r w:rsidR="00D7477B" w:rsidRPr="00BD22C2">
        <w:rPr>
          <w:rFonts w:ascii="Arial" w:hAnsi="Arial" w:cs="Arial"/>
          <w:sz w:val="18"/>
          <w:szCs w:val="18"/>
          <w:lang w:val="fr-CA"/>
        </w:rPr>
        <w:t>préc., note</w:t>
      </w:r>
      <w:r w:rsidR="003D2E26">
        <w:rPr>
          <w:rFonts w:ascii="Arial" w:hAnsi="Arial" w:cs="Arial"/>
          <w:sz w:val="18"/>
          <w:szCs w:val="18"/>
          <w:lang w:val="fr-CA"/>
        </w:rPr>
        <w:t> </w:t>
      </w:r>
      <w:r w:rsidR="00D7477B" w:rsidRPr="00BD22C2">
        <w:rPr>
          <w:rFonts w:ascii="Arial" w:hAnsi="Arial" w:cs="Arial"/>
          <w:sz w:val="18"/>
          <w:szCs w:val="18"/>
          <w:lang w:val="fr-CA"/>
        </w:rPr>
        <w:fldChar w:fldCharType="begin"/>
      </w:r>
      <w:r w:rsidR="00D7477B" w:rsidRPr="00BD22C2">
        <w:rPr>
          <w:rFonts w:ascii="Arial" w:hAnsi="Arial" w:cs="Arial"/>
          <w:sz w:val="18"/>
          <w:szCs w:val="18"/>
          <w:lang w:val="fr-CA"/>
        </w:rPr>
        <w:instrText xml:space="preserve"> NOTEREF _Ref166844712 \h </w:instrText>
      </w:r>
      <w:r w:rsidR="00D7477B" w:rsidRPr="00BD22C2">
        <w:rPr>
          <w:rFonts w:ascii="Arial" w:hAnsi="Arial" w:cs="Arial"/>
          <w:sz w:val="18"/>
          <w:szCs w:val="18"/>
          <w:lang w:val="fr-CA"/>
        </w:rPr>
      </w:r>
      <w:r w:rsidR="00D7477B" w:rsidRPr="00BD22C2">
        <w:rPr>
          <w:rFonts w:ascii="Arial" w:hAnsi="Arial" w:cs="Arial"/>
          <w:sz w:val="18"/>
          <w:szCs w:val="18"/>
          <w:lang w:val="fr-CA"/>
        </w:rPr>
        <w:fldChar w:fldCharType="separate"/>
      </w:r>
      <w:r w:rsidR="004B4881">
        <w:rPr>
          <w:rFonts w:ascii="Arial" w:hAnsi="Arial" w:cs="Arial"/>
          <w:sz w:val="18"/>
          <w:szCs w:val="18"/>
          <w:lang w:val="fr-CA"/>
        </w:rPr>
        <w:t>121</w:t>
      </w:r>
      <w:r w:rsidR="00D7477B" w:rsidRPr="00BD22C2">
        <w:rPr>
          <w:rFonts w:ascii="Arial" w:hAnsi="Arial" w:cs="Arial"/>
          <w:sz w:val="18"/>
          <w:szCs w:val="18"/>
          <w:lang w:val="fr-CA"/>
        </w:rPr>
        <w:fldChar w:fldCharType="end"/>
      </w:r>
      <w:r w:rsidR="001C4844" w:rsidRPr="00BD22C2">
        <w:rPr>
          <w:rFonts w:ascii="Arial" w:hAnsi="Arial" w:cs="Arial"/>
          <w:sz w:val="18"/>
          <w:szCs w:val="18"/>
          <w:lang w:val="fr-CA"/>
        </w:rPr>
        <w:t>,</w:t>
      </w:r>
      <w:r w:rsidR="00F34F27" w:rsidRPr="00BD22C2">
        <w:rPr>
          <w:rFonts w:ascii="Arial" w:hAnsi="Arial" w:cs="Arial"/>
          <w:sz w:val="18"/>
          <w:szCs w:val="18"/>
          <w:lang w:val="fr-CA"/>
        </w:rPr>
        <w:t xml:space="preserve"> </w:t>
      </w:r>
      <w:r w:rsidR="002D10BB" w:rsidRPr="00BD22C2">
        <w:rPr>
          <w:rFonts w:ascii="Arial" w:hAnsi="Arial" w:cs="Arial"/>
          <w:sz w:val="18"/>
          <w:szCs w:val="18"/>
          <w:lang w:val="fr-CA"/>
        </w:rPr>
        <w:t>p.</w:t>
      </w:r>
      <w:r w:rsidR="003D2E26">
        <w:rPr>
          <w:rFonts w:ascii="Arial" w:hAnsi="Arial" w:cs="Arial"/>
          <w:sz w:val="18"/>
          <w:szCs w:val="18"/>
          <w:lang w:val="fr-CA"/>
        </w:rPr>
        <w:t> </w:t>
      </w:r>
      <w:r w:rsidR="002D10BB" w:rsidRPr="00BD22C2">
        <w:rPr>
          <w:rFonts w:ascii="Arial" w:hAnsi="Arial" w:cs="Arial"/>
          <w:sz w:val="18"/>
          <w:szCs w:val="18"/>
          <w:lang w:val="fr-CA"/>
        </w:rPr>
        <w:t xml:space="preserve">44 et </w:t>
      </w:r>
      <w:r w:rsidR="008A0AE6" w:rsidRPr="00BD22C2">
        <w:rPr>
          <w:rFonts w:ascii="Arial" w:hAnsi="Arial" w:cs="Arial"/>
          <w:sz w:val="18"/>
          <w:szCs w:val="18"/>
          <w:lang w:val="fr-CA"/>
        </w:rPr>
        <w:t>s</w:t>
      </w:r>
      <w:r w:rsidR="004177A3" w:rsidRPr="00BD22C2">
        <w:rPr>
          <w:rFonts w:ascii="Arial" w:hAnsi="Arial" w:cs="Arial"/>
          <w:sz w:val="18"/>
          <w:szCs w:val="18"/>
          <w:lang w:val="fr-CA"/>
        </w:rPr>
        <w:t>uiv</w:t>
      </w:r>
      <w:r w:rsidR="008A0AE6" w:rsidRPr="00BD22C2">
        <w:rPr>
          <w:rFonts w:ascii="Arial" w:hAnsi="Arial" w:cs="Arial"/>
          <w:sz w:val="18"/>
          <w:szCs w:val="18"/>
          <w:lang w:val="fr-CA"/>
        </w:rPr>
        <w:t>.</w:t>
      </w:r>
    </w:p>
  </w:endnote>
  <w:endnote w:id="421">
    <w:p w14:paraId="4B4DA4CA" w14:textId="263A0B33" w:rsidR="00CD6DEB" w:rsidRPr="00BD22C2" w:rsidRDefault="00CD6DE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5C1D7C" w:rsidRPr="00BD22C2">
        <w:rPr>
          <w:rFonts w:ascii="Arial" w:hAnsi="Arial" w:cs="Arial"/>
          <w:sz w:val="18"/>
          <w:szCs w:val="18"/>
          <w:lang w:val="fr-CA"/>
        </w:rPr>
        <w:tab/>
      </w:r>
      <w:r w:rsidR="0090583A" w:rsidRPr="00BD22C2">
        <w:rPr>
          <w:rFonts w:ascii="Arial" w:hAnsi="Arial" w:cs="Arial"/>
          <w:smallCaps/>
          <w:sz w:val="18"/>
          <w:szCs w:val="18"/>
          <w:lang w:val="fr-CA"/>
        </w:rPr>
        <w:t>Commission scolaire de Montréal</w:t>
      </w:r>
      <w:r w:rsidR="0090583A" w:rsidRPr="00BD22C2">
        <w:rPr>
          <w:rFonts w:ascii="Arial" w:hAnsi="Arial" w:cs="Arial"/>
          <w:i/>
          <w:sz w:val="18"/>
          <w:szCs w:val="18"/>
          <w:lang w:val="fr-CA"/>
        </w:rPr>
        <w:t xml:space="preserve">, </w:t>
      </w:r>
      <w:r w:rsidR="006E1E4C" w:rsidRPr="00BD22C2">
        <w:rPr>
          <w:rFonts w:ascii="Arial" w:hAnsi="Arial" w:cs="Arial"/>
          <w:i/>
          <w:sz w:val="18"/>
          <w:szCs w:val="18"/>
          <w:lang w:val="fr-CA"/>
        </w:rPr>
        <w:t>Lignes directrices relatives aux él</w:t>
      </w:r>
      <w:r w:rsidR="00943A0D" w:rsidRPr="00BD22C2">
        <w:rPr>
          <w:rFonts w:ascii="Arial" w:hAnsi="Arial" w:cs="Arial"/>
          <w:i/>
          <w:sz w:val="18"/>
          <w:szCs w:val="18"/>
          <w:lang w:val="fr-CA"/>
        </w:rPr>
        <w:t>èves transgenres de la Commission scolaire de Montréal</w:t>
      </w:r>
      <w:r w:rsidR="00943A0D" w:rsidRPr="00BD22C2">
        <w:rPr>
          <w:rFonts w:ascii="Arial" w:hAnsi="Arial" w:cs="Arial"/>
          <w:sz w:val="18"/>
          <w:szCs w:val="18"/>
          <w:lang w:val="fr-CA"/>
        </w:rPr>
        <w:t>,</w:t>
      </w:r>
      <w:r w:rsidR="00EB34B8" w:rsidRPr="00BD22C2">
        <w:rPr>
          <w:rFonts w:ascii="Arial" w:hAnsi="Arial" w:cs="Arial"/>
          <w:sz w:val="18"/>
          <w:szCs w:val="18"/>
          <w:lang w:val="fr-CA"/>
        </w:rPr>
        <w:t xml:space="preserve"> </w:t>
      </w:r>
      <w:r w:rsidR="00943A0D" w:rsidRPr="00BD22C2">
        <w:rPr>
          <w:rFonts w:ascii="Arial" w:hAnsi="Arial" w:cs="Arial"/>
          <w:sz w:val="18"/>
          <w:szCs w:val="18"/>
          <w:lang w:val="fr-CA"/>
        </w:rPr>
        <w:t>2016</w:t>
      </w:r>
      <w:r w:rsidR="00612293" w:rsidRPr="00BD22C2">
        <w:rPr>
          <w:rFonts w:ascii="Arial" w:hAnsi="Arial" w:cs="Arial"/>
          <w:sz w:val="18"/>
          <w:szCs w:val="18"/>
          <w:lang w:val="fr-CA"/>
        </w:rPr>
        <w:t xml:space="preserve"> (mise à jour</w:t>
      </w:r>
      <w:r w:rsidR="003D2E26">
        <w:rPr>
          <w:rFonts w:ascii="Arial" w:hAnsi="Arial" w:cs="Arial"/>
          <w:sz w:val="18"/>
          <w:szCs w:val="18"/>
          <w:lang w:val="fr-CA"/>
        </w:rPr>
        <w:t> </w:t>
      </w:r>
      <w:r w:rsidR="00612293" w:rsidRPr="00BD22C2">
        <w:rPr>
          <w:rFonts w:ascii="Arial" w:hAnsi="Arial" w:cs="Arial"/>
          <w:sz w:val="18"/>
          <w:szCs w:val="18"/>
          <w:lang w:val="fr-CA"/>
        </w:rPr>
        <w:t>2017),</w:t>
      </w:r>
      <w:r w:rsidR="00EB34B8" w:rsidRPr="00BD22C2">
        <w:rPr>
          <w:rFonts w:ascii="Arial" w:hAnsi="Arial" w:cs="Arial"/>
          <w:sz w:val="18"/>
          <w:szCs w:val="18"/>
          <w:lang w:val="fr-CA"/>
        </w:rPr>
        <w:t xml:space="preserve"> </w:t>
      </w:r>
      <w:r w:rsidR="00CB4ECB" w:rsidRPr="00BD22C2">
        <w:rPr>
          <w:rFonts w:ascii="Arial" w:hAnsi="Arial" w:cs="Arial"/>
          <w:sz w:val="18"/>
          <w:szCs w:val="18"/>
          <w:lang w:val="fr-CA"/>
        </w:rPr>
        <w:t>p.</w:t>
      </w:r>
      <w:r w:rsidR="003D2E26">
        <w:rPr>
          <w:rFonts w:ascii="Arial" w:hAnsi="Arial" w:cs="Arial"/>
          <w:sz w:val="18"/>
          <w:szCs w:val="18"/>
          <w:lang w:val="fr-CA"/>
        </w:rPr>
        <w:t> </w:t>
      </w:r>
      <w:r w:rsidR="00CB4ECB" w:rsidRPr="00BD22C2">
        <w:rPr>
          <w:rFonts w:ascii="Arial" w:hAnsi="Arial" w:cs="Arial"/>
          <w:sz w:val="18"/>
          <w:szCs w:val="18"/>
          <w:lang w:val="fr-CA"/>
        </w:rPr>
        <w:t xml:space="preserve">15, en ligne : </w:t>
      </w:r>
      <w:hyperlink r:id="rId127" w:history="1">
        <w:r w:rsidR="004A4624" w:rsidRPr="00BD22C2">
          <w:rPr>
            <w:rStyle w:val="Lienhypertexte"/>
            <w:rFonts w:ascii="Arial" w:hAnsi="Arial" w:cs="Arial"/>
            <w:sz w:val="18"/>
            <w:szCs w:val="18"/>
            <w:lang w:val="fr-CA"/>
          </w:rPr>
          <w:t>https://www.cssdm.gouv.qc.ca/wp-content/uploads/lignes-directrices- transgenres.pdf</w:t>
        </w:r>
      </w:hyperlink>
      <w:r w:rsidR="004A4624" w:rsidRPr="00BD22C2">
        <w:rPr>
          <w:rFonts w:ascii="Arial" w:hAnsi="Arial" w:cs="Arial"/>
          <w:sz w:val="18"/>
          <w:szCs w:val="18"/>
          <w:lang w:val="fr-CA"/>
        </w:rPr>
        <w:t xml:space="preserve"> </w:t>
      </w:r>
    </w:p>
  </w:endnote>
  <w:endnote w:id="422">
    <w:p w14:paraId="238B2A8F" w14:textId="3E4D72C5" w:rsidR="00352877" w:rsidRPr="00E16C03" w:rsidRDefault="00352877"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smallCaps/>
          <w:sz w:val="18"/>
          <w:szCs w:val="18"/>
          <w:lang w:val="en-CA"/>
        </w:rPr>
        <w:t>Amira Hasenbush., Andrew R. Flores et Jody. L. Herman</w:t>
      </w:r>
      <w:r w:rsidRPr="00E16C03">
        <w:rPr>
          <w:rFonts w:ascii="Arial" w:hAnsi="Arial" w:cs="Arial"/>
          <w:sz w:val="18"/>
          <w:szCs w:val="18"/>
          <w:lang w:val="en-CA"/>
        </w:rPr>
        <w:t xml:space="preserve">, « Gender Identity Nondiscrimination Laws in Public Accommodations: a Review of Evidence Regarding Safety and Privacy in Public Restrooms, Locker Rooms, and Changing Rooms », (2019) 16-1 </w:t>
      </w:r>
      <w:r w:rsidRPr="00E16C03">
        <w:rPr>
          <w:rFonts w:ascii="Arial" w:hAnsi="Arial" w:cs="Arial"/>
          <w:i/>
          <w:sz w:val="18"/>
          <w:szCs w:val="18"/>
          <w:lang w:val="en-CA"/>
        </w:rPr>
        <w:t>Sexuality Research and Social Policy</w:t>
      </w:r>
      <w:r w:rsidRPr="00E16C03">
        <w:rPr>
          <w:rFonts w:ascii="Arial" w:hAnsi="Arial" w:cs="Arial"/>
          <w:sz w:val="18"/>
          <w:szCs w:val="18"/>
          <w:lang w:val="en-CA"/>
        </w:rPr>
        <w:t xml:space="preserve"> 70</w:t>
      </w:r>
      <w:r w:rsidR="0051216B" w:rsidRPr="00E16C03">
        <w:rPr>
          <w:rFonts w:ascii="Arial" w:hAnsi="Arial" w:cs="Arial"/>
          <w:sz w:val="18"/>
          <w:szCs w:val="18"/>
          <w:lang w:val="en-CA"/>
        </w:rPr>
        <w:t>–</w:t>
      </w:r>
      <w:r w:rsidRPr="00E16C03">
        <w:rPr>
          <w:rFonts w:ascii="Arial" w:hAnsi="Arial" w:cs="Arial"/>
          <w:sz w:val="18"/>
          <w:szCs w:val="18"/>
          <w:lang w:val="en-CA"/>
        </w:rPr>
        <w:t xml:space="preserve">83, doi: 10.1007/s13178-018-0335-z. </w:t>
      </w:r>
    </w:p>
  </w:endnote>
  <w:endnote w:id="423">
    <w:p w14:paraId="2CEC6DC4" w14:textId="0DDB7D5E" w:rsidR="00352877" w:rsidRPr="00BD22C2" w:rsidRDefault="0035287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 xml:space="preserve">Les pays visés étaient l’Islande, Malte, le Portugal et le Luxembourg. </w:t>
      </w:r>
      <w:r w:rsidRPr="00BD22C2">
        <w:rPr>
          <w:rFonts w:ascii="Arial" w:hAnsi="Arial" w:cs="Arial"/>
          <w:smallCaps/>
          <w:sz w:val="18"/>
          <w:szCs w:val="18"/>
          <w:lang w:val="fr-CA"/>
        </w:rPr>
        <w:t>Commissaire aux droits de l’homme</w:t>
      </w:r>
      <w:r w:rsidR="00F72292" w:rsidRPr="00BD22C2">
        <w:rPr>
          <w:rFonts w:ascii="Arial" w:hAnsi="Arial" w:cs="Arial"/>
          <w:smallCaps/>
          <w:sz w:val="18"/>
          <w:szCs w:val="18"/>
          <w:lang w:val="fr-CA"/>
        </w:rPr>
        <w:t xml:space="preserve"> — Conseil de l’Europe</w:t>
      </w:r>
      <w:r w:rsidRPr="00BD22C2">
        <w:rPr>
          <w:rFonts w:ascii="Arial" w:hAnsi="Arial" w:cs="Arial"/>
          <w:sz w:val="18"/>
          <w:szCs w:val="18"/>
          <w:lang w:val="fr-CA"/>
        </w:rPr>
        <w:t xml:space="preserve">, </w:t>
      </w:r>
      <w:r w:rsidR="00F72292" w:rsidRPr="00BD22C2">
        <w:rPr>
          <w:rFonts w:ascii="Arial" w:hAnsi="Arial" w:cs="Arial"/>
          <w:sz w:val="18"/>
          <w:szCs w:val="18"/>
          <w:lang w:val="fr-CA"/>
        </w:rPr>
        <w:t>préc., note</w:t>
      </w:r>
      <w:r w:rsidR="003D2E26">
        <w:rPr>
          <w:rFonts w:ascii="Arial" w:hAnsi="Arial" w:cs="Arial"/>
          <w:sz w:val="18"/>
          <w:szCs w:val="18"/>
          <w:lang w:val="fr-CA"/>
        </w:rPr>
        <w:t> </w:t>
      </w:r>
      <w:r w:rsidR="00F72292" w:rsidRPr="00BD22C2">
        <w:rPr>
          <w:rFonts w:ascii="Arial" w:hAnsi="Arial" w:cs="Arial"/>
          <w:sz w:val="18"/>
          <w:szCs w:val="18"/>
          <w:lang w:val="fr-CA"/>
        </w:rPr>
        <w:fldChar w:fldCharType="begin"/>
      </w:r>
      <w:r w:rsidR="00F72292" w:rsidRPr="00BD22C2">
        <w:rPr>
          <w:rFonts w:ascii="Arial" w:hAnsi="Arial" w:cs="Arial"/>
          <w:sz w:val="18"/>
          <w:szCs w:val="18"/>
          <w:lang w:val="fr-CA"/>
        </w:rPr>
        <w:instrText xml:space="preserve"> NOTEREF _Ref166751055 \h </w:instrText>
      </w:r>
      <w:r w:rsidR="00F72292" w:rsidRPr="00BD22C2">
        <w:rPr>
          <w:rFonts w:ascii="Arial" w:hAnsi="Arial" w:cs="Arial"/>
          <w:sz w:val="18"/>
          <w:szCs w:val="18"/>
          <w:lang w:val="fr-CA"/>
        </w:rPr>
      </w:r>
      <w:r w:rsidR="00F72292" w:rsidRPr="00BD22C2">
        <w:rPr>
          <w:rFonts w:ascii="Arial" w:hAnsi="Arial" w:cs="Arial"/>
          <w:sz w:val="18"/>
          <w:szCs w:val="18"/>
          <w:lang w:val="fr-CA"/>
        </w:rPr>
        <w:fldChar w:fldCharType="separate"/>
      </w:r>
      <w:r w:rsidR="004B4881">
        <w:rPr>
          <w:rFonts w:ascii="Arial" w:hAnsi="Arial" w:cs="Arial"/>
          <w:sz w:val="18"/>
          <w:szCs w:val="18"/>
          <w:lang w:val="fr-CA"/>
        </w:rPr>
        <w:t>304</w:t>
      </w:r>
      <w:r w:rsidR="00F72292" w:rsidRPr="00BD22C2">
        <w:rPr>
          <w:rFonts w:ascii="Arial" w:hAnsi="Arial" w:cs="Arial"/>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92</w:t>
      </w:r>
      <w:r w:rsidR="00F72292" w:rsidRPr="00BD22C2">
        <w:rPr>
          <w:rFonts w:ascii="Arial" w:hAnsi="Arial" w:cs="Arial"/>
          <w:sz w:val="18"/>
          <w:szCs w:val="18"/>
          <w:lang w:val="fr-CA"/>
        </w:rPr>
        <w:t>.</w:t>
      </w:r>
    </w:p>
  </w:endnote>
  <w:endnote w:id="424">
    <w:p w14:paraId="49A21B0B" w14:textId="1FACBAC5" w:rsidR="00FF731D" w:rsidRPr="00BD22C2" w:rsidRDefault="00FF731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mallCaps/>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115F4F" w:rsidRPr="00BD22C2">
        <w:rPr>
          <w:rFonts w:ascii="Arial" w:hAnsi="Arial" w:cs="Arial"/>
          <w:smallCaps/>
          <w:sz w:val="18"/>
          <w:szCs w:val="18"/>
          <w:lang w:val="fr-CA"/>
        </w:rPr>
        <w:t xml:space="preserve">Commission ontarienne des droits de la personne, </w:t>
      </w:r>
      <w:r w:rsidR="00115F4F" w:rsidRPr="00BD22C2">
        <w:rPr>
          <w:rFonts w:ascii="Arial" w:hAnsi="Arial" w:cs="Arial"/>
          <w:sz w:val="18"/>
          <w:szCs w:val="18"/>
          <w:lang w:val="fr-CA"/>
        </w:rPr>
        <w:t>préc.</w:t>
      </w:r>
      <w:r w:rsidR="00205FD2">
        <w:rPr>
          <w:rFonts w:ascii="Arial" w:hAnsi="Arial" w:cs="Arial"/>
          <w:sz w:val="18"/>
          <w:szCs w:val="18"/>
          <w:lang w:val="fr-CA"/>
        </w:rPr>
        <w:t>,</w:t>
      </w:r>
      <w:r w:rsidR="00D7477B" w:rsidRPr="00BD22C2">
        <w:rPr>
          <w:rFonts w:ascii="Arial" w:hAnsi="Arial" w:cs="Arial"/>
          <w:sz w:val="18"/>
          <w:szCs w:val="18"/>
          <w:lang w:val="fr-CA"/>
        </w:rPr>
        <w:t xml:space="preserve"> note</w:t>
      </w:r>
      <w:r w:rsidR="003D2E26">
        <w:rPr>
          <w:rFonts w:ascii="Arial" w:hAnsi="Arial" w:cs="Arial"/>
          <w:sz w:val="18"/>
          <w:szCs w:val="18"/>
          <w:lang w:val="fr-CA"/>
        </w:rPr>
        <w:t> </w:t>
      </w:r>
      <w:r w:rsidR="00D7477B" w:rsidRPr="00BD22C2">
        <w:rPr>
          <w:rFonts w:ascii="Arial" w:hAnsi="Arial" w:cs="Arial"/>
          <w:sz w:val="18"/>
          <w:szCs w:val="18"/>
          <w:lang w:val="fr-CA"/>
        </w:rPr>
        <w:fldChar w:fldCharType="begin"/>
      </w:r>
      <w:r w:rsidR="00D7477B" w:rsidRPr="00BD22C2">
        <w:rPr>
          <w:rFonts w:ascii="Arial" w:hAnsi="Arial" w:cs="Arial"/>
          <w:sz w:val="18"/>
          <w:szCs w:val="18"/>
          <w:lang w:val="fr-CA"/>
        </w:rPr>
        <w:instrText xml:space="preserve"> NOTEREF _Ref166844712 \h </w:instrText>
      </w:r>
      <w:r w:rsidR="00D7477B" w:rsidRPr="00BD22C2">
        <w:rPr>
          <w:rFonts w:ascii="Arial" w:hAnsi="Arial" w:cs="Arial"/>
          <w:sz w:val="18"/>
          <w:szCs w:val="18"/>
          <w:lang w:val="fr-CA"/>
        </w:rPr>
      </w:r>
      <w:r w:rsidR="00D7477B" w:rsidRPr="00BD22C2">
        <w:rPr>
          <w:rFonts w:ascii="Arial" w:hAnsi="Arial" w:cs="Arial"/>
          <w:sz w:val="18"/>
          <w:szCs w:val="18"/>
          <w:lang w:val="fr-CA"/>
        </w:rPr>
        <w:fldChar w:fldCharType="separate"/>
      </w:r>
      <w:r w:rsidR="004B4881">
        <w:rPr>
          <w:rFonts w:ascii="Arial" w:hAnsi="Arial" w:cs="Arial"/>
          <w:sz w:val="18"/>
          <w:szCs w:val="18"/>
          <w:lang w:val="fr-CA"/>
        </w:rPr>
        <w:t>121</w:t>
      </w:r>
      <w:r w:rsidR="00D7477B" w:rsidRPr="00BD22C2">
        <w:rPr>
          <w:rFonts w:ascii="Arial" w:hAnsi="Arial" w:cs="Arial"/>
          <w:sz w:val="18"/>
          <w:szCs w:val="18"/>
          <w:lang w:val="fr-CA"/>
        </w:rPr>
        <w:fldChar w:fldCharType="end"/>
      </w:r>
      <w:r w:rsidR="00115F4F" w:rsidRPr="00BD22C2">
        <w:rPr>
          <w:rFonts w:ascii="Arial" w:hAnsi="Arial" w:cs="Arial"/>
          <w:sz w:val="18"/>
          <w:szCs w:val="18"/>
          <w:lang w:val="fr-CA"/>
        </w:rPr>
        <w:t xml:space="preserve">, </w:t>
      </w:r>
      <w:r w:rsidR="0063452F" w:rsidRPr="00BD22C2">
        <w:rPr>
          <w:rFonts w:ascii="Arial" w:hAnsi="Arial" w:cs="Arial"/>
          <w:sz w:val="18"/>
          <w:szCs w:val="18"/>
          <w:lang w:val="fr-CA"/>
        </w:rPr>
        <w:t>p.</w:t>
      </w:r>
      <w:r w:rsidR="003D2E26">
        <w:rPr>
          <w:rFonts w:ascii="Arial" w:hAnsi="Arial" w:cs="Arial"/>
          <w:sz w:val="18"/>
          <w:szCs w:val="18"/>
          <w:lang w:val="fr-CA"/>
        </w:rPr>
        <w:t> </w:t>
      </w:r>
      <w:r w:rsidR="00F4250E" w:rsidRPr="00BD22C2">
        <w:rPr>
          <w:rFonts w:ascii="Arial" w:hAnsi="Arial" w:cs="Arial"/>
          <w:sz w:val="18"/>
          <w:szCs w:val="18"/>
          <w:lang w:val="fr-CA"/>
        </w:rPr>
        <w:t>45</w:t>
      </w:r>
      <w:r w:rsidR="00622639" w:rsidRPr="00BD22C2">
        <w:rPr>
          <w:rFonts w:ascii="Arial" w:hAnsi="Arial" w:cs="Arial"/>
          <w:sz w:val="18"/>
          <w:szCs w:val="18"/>
          <w:lang w:val="fr-CA"/>
        </w:rPr>
        <w:t>.</w:t>
      </w:r>
    </w:p>
  </w:endnote>
  <w:endnote w:id="425">
    <w:p w14:paraId="654F9BA9" w14:textId="6AE1B31A" w:rsidR="00EE1CD6" w:rsidRPr="00BD22C2" w:rsidRDefault="00EE1CD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mallCaps/>
          <w:sz w:val="18"/>
          <w:szCs w:val="18"/>
          <w:lang w:val="fr-CA"/>
        </w:rPr>
        <w:t xml:space="preserve"> </w:t>
      </w:r>
      <w:r w:rsidRPr="00BD22C2">
        <w:rPr>
          <w:rFonts w:ascii="Arial" w:hAnsi="Arial" w:cs="Arial"/>
          <w:sz w:val="18"/>
          <w:szCs w:val="18"/>
          <w:lang w:val="fr-CA"/>
        </w:rPr>
        <w:tab/>
      </w:r>
      <w:r w:rsidR="004F180D" w:rsidRPr="00BD22C2">
        <w:rPr>
          <w:rFonts w:ascii="Arial" w:hAnsi="Arial" w:cs="Arial"/>
          <w:smallCaps/>
          <w:sz w:val="18"/>
          <w:szCs w:val="18"/>
          <w:lang w:val="fr-CA"/>
        </w:rPr>
        <w:t>Commi</w:t>
      </w:r>
      <w:r w:rsidR="00DD2314" w:rsidRPr="00BD22C2">
        <w:rPr>
          <w:rFonts w:ascii="Arial" w:hAnsi="Arial" w:cs="Arial"/>
          <w:smallCaps/>
          <w:sz w:val="18"/>
          <w:szCs w:val="18"/>
          <w:lang w:val="fr-CA"/>
        </w:rPr>
        <w:t xml:space="preserve">ssion des droits de la personne et des droits de la jeunesse, </w:t>
      </w:r>
      <w:r w:rsidRPr="00BD22C2">
        <w:rPr>
          <w:rFonts w:ascii="Arial" w:hAnsi="Arial" w:cs="Arial"/>
          <w:sz w:val="18"/>
          <w:szCs w:val="18"/>
          <w:lang w:val="fr-CA"/>
        </w:rPr>
        <w:t>préc., note</w:t>
      </w:r>
      <w:r w:rsidR="003D2E26">
        <w:rPr>
          <w:rFonts w:ascii="Arial" w:hAnsi="Arial" w:cs="Arial"/>
          <w:sz w:val="18"/>
          <w:szCs w:val="18"/>
          <w:lang w:val="fr-CA"/>
        </w:rPr>
        <w:t> </w:t>
      </w:r>
      <w:r w:rsidR="00DD2314" w:rsidRPr="00BD22C2">
        <w:rPr>
          <w:rFonts w:ascii="Arial" w:hAnsi="Arial" w:cs="Arial"/>
          <w:sz w:val="18"/>
          <w:szCs w:val="18"/>
          <w:lang w:val="fr-CA"/>
        </w:rPr>
        <w:fldChar w:fldCharType="begin"/>
      </w:r>
      <w:r w:rsidR="00DD2314" w:rsidRPr="00BD22C2">
        <w:rPr>
          <w:rFonts w:ascii="Arial" w:hAnsi="Arial" w:cs="Arial"/>
          <w:sz w:val="18"/>
          <w:szCs w:val="18"/>
          <w:lang w:val="fr-CA"/>
        </w:rPr>
        <w:instrText xml:space="preserve"> NOTEREF _Ref166749987 \h </w:instrText>
      </w:r>
      <w:r w:rsidR="00DD2314" w:rsidRPr="00BD22C2">
        <w:rPr>
          <w:rFonts w:ascii="Arial" w:hAnsi="Arial" w:cs="Arial"/>
          <w:sz w:val="18"/>
          <w:szCs w:val="18"/>
          <w:lang w:val="fr-CA"/>
        </w:rPr>
      </w:r>
      <w:r w:rsidR="00DD2314" w:rsidRPr="00BD22C2">
        <w:rPr>
          <w:rFonts w:ascii="Arial" w:hAnsi="Arial" w:cs="Arial"/>
          <w:sz w:val="18"/>
          <w:szCs w:val="18"/>
          <w:lang w:val="fr-CA"/>
        </w:rPr>
        <w:fldChar w:fldCharType="separate"/>
      </w:r>
      <w:r w:rsidR="004B4881">
        <w:rPr>
          <w:rFonts w:ascii="Arial" w:hAnsi="Arial" w:cs="Arial"/>
          <w:sz w:val="18"/>
          <w:szCs w:val="18"/>
          <w:lang w:val="fr-CA"/>
        </w:rPr>
        <w:t>10</w:t>
      </w:r>
      <w:r w:rsidR="00DD2314" w:rsidRPr="00BD22C2">
        <w:rPr>
          <w:rFonts w:ascii="Arial" w:hAnsi="Arial" w:cs="Arial"/>
          <w:sz w:val="18"/>
          <w:szCs w:val="18"/>
          <w:lang w:val="fr-CA"/>
        </w:rPr>
        <w:fldChar w:fldCharType="end"/>
      </w:r>
      <w:r w:rsidR="00DD2314" w:rsidRPr="00BD22C2">
        <w:rPr>
          <w:rFonts w:ascii="Arial" w:hAnsi="Arial" w:cs="Arial"/>
          <w:sz w:val="18"/>
          <w:szCs w:val="18"/>
          <w:lang w:val="fr-CA"/>
        </w:rPr>
        <w:t>,</w:t>
      </w:r>
      <w:r w:rsidRPr="00BD22C2">
        <w:rPr>
          <w:rFonts w:ascii="Arial" w:hAnsi="Arial" w:cs="Arial"/>
          <w:sz w:val="18"/>
          <w:szCs w:val="18"/>
          <w:lang w:val="fr-CA"/>
        </w:rPr>
        <w:t xml:space="preserve"> p.</w:t>
      </w:r>
      <w:r w:rsidRPr="00BD22C2">
        <w:rPr>
          <w:rFonts w:ascii="Arial" w:hAnsi="Arial" w:cs="Arial"/>
          <w:smallCaps/>
          <w:sz w:val="18"/>
          <w:szCs w:val="18"/>
          <w:lang w:val="fr-CA"/>
        </w:rPr>
        <w:t> </w:t>
      </w:r>
      <w:r w:rsidRPr="00BD22C2">
        <w:rPr>
          <w:rFonts w:ascii="Arial" w:hAnsi="Arial" w:cs="Arial"/>
          <w:sz w:val="18"/>
          <w:szCs w:val="18"/>
          <w:lang w:val="fr-CA"/>
        </w:rPr>
        <w:t>57.</w:t>
      </w:r>
    </w:p>
  </w:endnote>
  <w:endnote w:id="426">
    <w:p w14:paraId="2F64E387" w14:textId="4658F3C2" w:rsidR="00EE1CD6" w:rsidRPr="00BD22C2" w:rsidRDefault="00EE1CD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mallCaps/>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w:t>
      </w:r>
      <w:r w:rsidRPr="00BD22C2">
        <w:rPr>
          <w:rFonts w:ascii="Arial" w:hAnsi="Arial" w:cs="Arial"/>
          <w:smallCaps/>
          <w:sz w:val="18"/>
          <w:szCs w:val="18"/>
          <w:lang w:val="fr-CA"/>
        </w:rPr>
        <w:t> </w:t>
      </w:r>
      <w:r w:rsidRPr="00BD22C2">
        <w:rPr>
          <w:rFonts w:ascii="Arial" w:hAnsi="Arial" w:cs="Arial"/>
          <w:sz w:val="18"/>
          <w:szCs w:val="18"/>
          <w:lang w:val="fr-CA"/>
        </w:rPr>
        <w:t>84.</w:t>
      </w:r>
    </w:p>
  </w:endnote>
  <w:endnote w:id="427">
    <w:p w14:paraId="705D9D10" w14:textId="5AEEC970" w:rsidR="00EE1CD6" w:rsidRPr="00BD22C2" w:rsidRDefault="00EE1CD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mallCaps/>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p>
  </w:endnote>
  <w:endnote w:id="428">
    <w:p w14:paraId="4B6B1BE9" w14:textId="2107E3E4" w:rsidR="00EE1CD6" w:rsidRPr="00BD22C2" w:rsidRDefault="00EE1CD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mallCaps/>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Id.</w:t>
      </w:r>
      <w:r w:rsidRPr="00BD22C2">
        <w:rPr>
          <w:rFonts w:ascii="Arial" w:hAnsi="Arial" w:cs="Arial"/>
          <w:sz w:val="18"/>
          <w:szCs w:val="18"/>
          <w:lang w:val="fr-CA"/>
        </w:rPr>
        <w:t>, p.</w:t>
      </w:r>
      <w:r w:rsidRPr="00BD22C2">
        <w:rPr>
          <w:rFonts w:ascii="Arial" w:hAnsi="Arial" w:cs="Arial"/>
          <w:smallCaps/>
          <w:sz w:val="18"/>
          <w:szCs w:val="18"/>
          <w:lang w:val="fr-CA"/>
        </w:rPr>
        <w:t> </w:t>
      </w:r>
      <w:r w:rsidRPr="00BD22C2">
        <w:rPr>
          <w:rFonts w:ascii="Arial" w:hAnsi="Arial" w:cs="Arial"/>
          <w:sz w:val="18"/>
          <w:szCs w:val="18"/>
          <w:lang w:val="fr-CA"/>
        </w:rPr>
        <w:t>85.</w:t>
      </w:r>
    </w:p>
  </w:endnote>
  <w:endnote w:id="429">
    <w:p w14:paraId="19C91069" w14:textId="3F0EB7B5" w:rsidR="00EE1CD6" w:rsidRPr="00BD22C2" w:rsidRDefault="00EE1CD6"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Bien que révélatrices à plusieurs égards, ces données doivent être interprétées avec prudence. Soulignons entre autres qu’elles ne permettent pas de mesurer l’ampleur réelle de la discrimination et du profilage à l’égard des personnes trans et non binaires, de nombreuses raisons pouvant conduire ou non les victimes de profilage à porter plainte devant la Commission.</w:t>
      </w:r>
    </w:p>
  </w:endnote>
  <w:endnote w:id="430">
    <w:p w14:paraId="59DC3E2A" w14:textId="0875F294" w:rsidR="000F742E" w:rsidRPr="00BD22C2" w:rsidRDefault="000F742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mallCaps/>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Gouvernement du Québec</w:t>
      </w:r>
      <w:r w:rsidRPr="00BD22C2">
        <w:rPr>
          <w:rFonts w:ascii="Arial" w:hAnsi="Arial" w:cs="Arial"/>
          <w:sz w:val="18"/>
          <w:szCs w:val="18"/>
          <w:lang w:val="fr-CA"/>
        </w:rPr>
        <w:t xml:space="preserve">, </w:t>
      </w:r>
      <w:r w:rsidR="00D41583" w:rsidRPr="00BD22C2">
        <w:rPr>
          <w:rFonts w:ascii="Arial" w:hAnsi="Arial" w:cs="Arial"/>
          <w:iCs/>
          <w:sz w:val="18"/>
          <w:szCs w:val="18"/>
          <w:lang w:val="fr-CA"/>
        </w:rPr>
        <w:t>préc., note</w:t>
      </w:r>
      <w:r w:rsidR="003D2E26">
        <w:rPr>
          <w:rFonts w:ascii="Arial" w:hAnsi="Arial" w:cs="Arial"/>
          <w:iCs/>
          <w:sz w:val="18"/>
          <w:szCs w:val="18"/>
          <w:lang w:val="fr-CA"/>
        </w:rPr>
        <w:t> </w:t>
      </w:r>
      <w:r w:rsidR="00D41583" w:rsidRPr="00BD22C2">
        <w:rPr>
          <w:rFonts w:ascii="Arial" w:hAnsi="Arial" w:cs="Arial"/>
          <w:iCs/>
          <w:sz w:val="18"/>
          <w:szCs w:val="18"/>
          <w:lang w:val="fr-CA"/>
        </w:rPr>
        <w:fldChar w:fldCharType="begin"/>
      </w:r>
      <w:r w:rsidR="00D41583" w:rsidRPr="00BD22C2">
        <w:rPr>
          <w:rFonts w:ascii="Arial" w:hAnsi="Arial" w:cs="Arial"/>
          <w:iCs/>
          <w:sz w:val="18"/>
          <w:szCs w:val="18"/>
          <w:lang w:val="fr-CA"/>
        </w:rPr>
        <w:instrText xml:space="preserve"> NOTEREF _Ref166750289 \h </w:instrText>
      </w:r>
      <w:r w:rsidR="00D41583" w:rsidRPr="00BD22C2">
        <w:rPr>
          <w:rFonts w:ascii="Arial" w:hAnsi="Arial" w:cs="Arial"/>
          <w:iCs/>
          <w:sz w:val="18"/>
          <w:szCs w:val="18"/>
          <w:lang w:val="fr-CA"/>
        </w:rPr>
      </w:r>
      <w:r w:rsidR="00D41583" w:rsidRPr="00BD22C2">
        <w:rPr>
          <w:rFonts w:ascii="Arial" w:hAnsi="Arial" w:cs="Arial"/>
          <w:iCs/>
          <w:sz w:val="18"/>
          <w:szCs w:val="18"/>
          <w:lang w:val="fr-CA"/>
        </w:rPr>
        <w:fldChar w:fldCharType="separate"/>
      </w:r>
      <w:r w:rsidR="004B4881">
        <w:rPr>
          <w:rFonts w:ascii="Arial" w:hAnsi="Arial" w:cs="Arial"/>
          <w:iCs/>
          <w:sz w:val="18"/>
          <w:szCs w:val="18"/>
          <w:lang w:val="fr-CA"/>
        </w:rPr>
        <w:t>24</w:t>
      </w:r>
      <w:r w:rsidR="00D41583" w:rsidRPr="00BD22C2">
        <w:rPr>
          <w:rFonts w:ascii="Arial" w:hAnsi="Arial" w:cs="Arial"/>
          <w:iCs/>
          <w:sz w:val="18"/>
          <w:szCs w:val="18"/>
          <w:lang w:val="fr-CA"/>
        </w:rPr>
        <w:fldChar w:fldCharType="end"/>
      </w:r>
      <w:r w:rsidRPr="00BD22C2">
        <w:rPr>
          <w:rFonts w:ascii="Arial" w:hAnsi="Arial" w:cs="Arial"/>
          <w:sz w:val="18"/>
          <w:szCs w:val="18"/>
          <w:lang w:val="fr-CA"/>
        </w:rPr>
        <w:t>, p.</w:t>
      </w:r>
      <w:r w:rsidR="001B3B2E" w:rsidRPr="00BD22C2">
        <w:rPr>
          <w:rFonts w:ascii="Arial" w:hAnsi="Arial" w:cs="Arial"/>
          <w:sz w:val="18"/>
          <w:szCs w:val="18"/>
          <w:lang w:val="fr-CA"/>
        </w:rPr>
        <w:t> </w:t>
      </w:r>
      <w:r w:rsidRPr="00BD22C2">
        <w:rPr>
          <w:rFonts w:ascii="Arial" w:hAnsi="Arial" w:cs="Arial"/>
          <w:sz w:val="18"/>
          <w:szCs w:val="18"/>
          <w:lang w:val="fr-CA"/>
        </w:rPr>
        <w:t>15</w:t>
      </w:r>
      <w:r w:rsidR="00D41583" w:rsidRPr="00BD22C2">
        <w:rPr>
          <w:rFonts w:ascii="Arial" w:hAnsi="Arial" w:cs="Arial"/>
          <w:sz w:val="18"/>
          <w:szCs w:val="18"/>
          <w:lang w:val="fr-CA"/>
        </w:rPr>
        <w:t>.</w:t>
      </w:r>
    </w:p>
  </w:endnote>
  <w:endnote w:id="431">
    <w:p w14:paraId="31BAF24C" w14:textId="6C8954AC" w:rsidR="00D63015" w:rsidRPr="00BD22C2" w:rsidRDefault="00D63015"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mallCaps/>
          <w:sz w:val="18"/>
          <w:szCs w:val="18"/>
          <w:lang w:val="fr-CA"/>
        </w:rPr>
        <w:endnoteRef/>
      </w:r>
      <w:r w:rsidRPr="00BD22C2">
        <w:rPr>
          <w:rFonts w:ascii="Arial" w:hAnsi="Arial" w:cs="Arial"/>
          <w:sz w:val="18"/>
          <w:szCs w:val="18"/>
          <w:lang w:val="fr-CA"/>
        </w:rPr>
        <w:t xml:space="preserve"> </w:t>
      </w:r>
      <w:r w:rsidR="002E0280" w:rsidRPr="00BD22C2">
        <w:rPr>
          <w:rFonts w:ascii="Arial" w:hAnsi="Arial" w:cs="Arial"/>
          <w:sz w:val="18"/>
          <w:szCs w:val="18"/>
          <w:lang w:val="fr-CA"/>
        </w:rPr>
        <w:tab/>
        <w:t>Voir, par exemple</w:t>
      </w:r>
      <w:r w:rsidR="00F2757A" w:rsidRPr="00BD22C2">
        <w:rPr>
          <w:rFonts w:ascii="Arial" w:hAnsi="Arial" w:cs="Arial"/>
          <w:sz w:val="18"/>
          <w:szCs w:val="18"/>
          <w:lang w:val="fr-CA"/>
        </w:rPr>
        <w:t xml:space="preserve"> : </w:t>
      </w:r>
      <w:r w:rsidR="002E0280" w:rsidRPr="00BD22C2">
        <w:rPr>
          <w:rFonts w:ascii="Arial" w:hAnsi="Arial" w:cs="Arial"/>
          <w:i/>
          <w:sz w:val="18"/>
          <w:szCs w:val="18"/>
          <w:lang w:val="fr-CA"/>
        </w:rPr>
        <w:t>Dawson</w:t>
      </w:r>
      <w:r w:rsidR="002E0280" w:rsidRPr="00BD22C2">
        <w:rPr>
          <w:rFonts w:ascii="Arial" w:hAnsi="Arial" w:cs="Arial"/>
          <w:sz w:val="18"/>
          <w:szCs w:val="18"/>
          <w:lang w:val="fr-CA"/>
        </w:rPr>
        <w:t xml:space="preserve"> v. </w:t>
      </w:r>
      <w:r w:rsidR="002E0280" w:rsidRPr="00BD22C2">
        <w:rPr>
          <w:rFonts w:ascii="Arial" w:hAnsi="Arial" w:cs="Arial"/>
          <w:i/>
          <w:sz w:val="18"/>
          <w:szCs w:val="18"/>
          <w:lang w:val="fr-CA"/>
        </w:rPr>
        <w:t>Vancouver Police Board</w:t>
      </w:r>
      <w:r w:rsidR="002E0280" w:rsidRPr="00BD22C2">
        <w:rPr>
          <w:rFonts w:ascii="Arial" w:hAnsi="Arial" w:cs="Arial"/>
          <w:sz w:val="18"/>
          <w:szCs w:val="18"/>
          <w:lang w:val="fr-CA"/>
        </w:rPr>
        <w:t>, 2015</w:t>
      </w:r>
      <w:r w:rsidR="00B32B61">
        <w:rPr>
          <w:rFonts w:ascii="Arial" w:hAnsi="Arial" w:cs="Arial"/>
          <w:sz w:val="18"/>
          <w:szCs w:val="18"/>
          <w:lang w:val="fr-CA"/>
        </w:rPr>
        <w:t> </w:t>
      </w:r>
      <w:r w:rsidR="002E0280" w:rsidRPr="00BD22C2">
        <w:rPr>
          <w:rFonts w:ascii="Arial" w:hAnsi="Arial" w:cs="Arial"/>
          <w:sz w:val="18"/>
          <w:szCs w:val="18"/>
          <w:lang w:val="fr-CA"/>
        </w:rPr>
        <w:t>BCHRT</w:t>
      </w:r>
      <w:r w:rsidR="001B3B2E" w:rsidRPr="00BD22C2">
        <w:rPr>
          <w:rFonts w:ascii="Arial" w:hAnsi="Arial" w:cs="Arial"/>
          <w:sz w:val="18"/>
          <w:szCs w:val="18"/>
          <w:lang w:val="fr-CA"/>
        </w:rPr>
        <w:t> </w:t>
      </w:r>
      <w:r w:rsidR="002E0280" w:rsidRPr="00BD22C2">
        <w:rPr>
          <w:rFonts w:ascii="Arial" w:hAnsi="Arial" w:cs="Arial"/>
          <w:sz w:val="18"/>
          <w:szCs w:val="18"/>
          <w:lang w:val="fr-CA"/>
        </w:rPr>
        <w:t>54</w:t>
      </w:r>
      <w:r w:rsidR="00F2757A" w:rsidRPr="00BD22C2">
        <w:rPr>
          <w:rFonts w:ascii="Arial" w:hAnsi="Arial" w:cs="Arial"/>
          <w:sz w:val="18"/>
          <w:szCs w:val="18"/>
          <w:lang w:val="fr-CA"/>
        </w:rPr>
        <w:t xml:space="preserve">; </w:t>
      </w:r>
      <w:r w:rsidR="00F2757A" w:rsidRPr="00BD22C2">
        <w:rPr>
          <w:rFonts w:ascii="Arial" w:hAnsi="Arial" w:cs="Arial"/>
          <w:i/>
          <w:sz w:val="18"/>
          <w:szCs w:val="18"/>
          <w:lang w:val="fr-CA"/>
        </w:rPr>
        <w:t>Forrester</w:t>
      </w:r>
      <w:r w:rsidR="00F2757A" w:rsidRPr="00BD22C2">
        <w:rPr>
          <w:rFonts w:ascii="Arial" w:hAnsi="Arial" w:cs="Arial"/>
          <w:sz w:val="18"/>
          <w:szCs w:val="18"/>
          <w:lang w:val="fr-CA"/>
        </w:rPr>
        <w:t xml:space="preserve"> </w:t>
      </w:r>
      <w:r w:rsidR="00C02AA8" w:rsidRPr="00BD22C2">
        <w:rPr>
          <w:rFonts w:ascii="Arial" w:hAnsi="Arial" w:cs="Arial"/>
          <w:sz w:val="18"/>
          <w:szCs w:val="18"/>
          <w:lang w:val="fr-CA"/>
        </w:rPr>
        <w:t xml:space="preserve">v. </w:t>
      </w:r>
      <w:r w:rsidR="00C02AA8" w:rsidRPr="00BD22C2">
        <w:rPr>
          <w:rFonts w:ascii="Arial" w:hAnsi="Arial" w:cs="Arial"/>
          <w:i/>
          <w:sz w:val="18"/>
          <w:szCs w:val="18"/>
          <w:lang w:val="fr-CA"/>
        </w:rPr>
        <w:t>Peel</w:t>
      </w:r>
      <w:r w:rsidR="00C02AA8" w:rsidRPr="00BD22C2">
        <w:rPr>
          <w:rFonts w:ascii="Arial" w:hAnsi="Arial" w:cs="Arial"/>
          <w:sz w:val="18"/>
          <w:szCs w:val="18"/>
          <w:lang w:val="fr-CA"/>
        </w:rPr>
        <w:t xml:space="preserve"> </w:t>
      </w:r>
      <w:r w:rsidR="00C02AA8" w:rsidRPr="00BD22C2">
        <w:rPr>
          <w:rFonts w:ascii="Arial" w:hAnsi="Arial" w:cs="Arial"/>
          <w:i/>
          <w:sz w:val="18"/>
          <w:szCs w:val="18"/>
          <w:lang w:val="fr-CA"/>
        </w:rPr>
        <w:t>(Regional Municipality) Police Services Board</w:t>
      </w:r>
      <w:r w:rsidR="00A1270A" w:rsidRPr="00BD22C2">
        <w:rPr>
          <w:rFonts w:ascii="Arial" w:hAnsi="Arial" w:cs="Arial"/>
          <w:i/>
          <w:sz w:val="18"/>
          <w:szCs w:val="18"/>
          <w:lang w:val="fr-CA"/>
        </w:rPr>
        <w:t xml:space="preserve"> et al</w:t>
      </w:r>
      <w:r w:rsidR="00A1270A" w:rsidRPr="00BD22C2">
        <w:rPr>
          <w:rFonts w:ascii="Arial" w:hAnsi="Arial" w:cs="Arial"/>
          <w:sz w:val="18"/>
          <w:szCs w:val="18"/>
          <w:lang w:val="fr-CA"/>
        </w:rPr>
        <w:t>., 2006 HRTO 13</w:t>
      </w:r>
      <w:r w:rsidR="004C069B" w:rsidRPr="00BD22C2">
        <w:rPr>
          <w:rFonts w:ascii="Arial" w:hAnsi="Arial" w:cs="Arial"/>
          <w:sz w:val="18"/>
          <w:szCs w:val="18"/>
          <w:lang w:val="fr-CA"/>
        </w:rPr>
        <w:t>.</w:t>
      </w:r>
    </w:p>
  </w:endnote>
  <w:endnote w:id="432">
    <w:p w14:paraId="5FA61018" w14:textId="7E364DC0" w:rsidR="00A37AD1" w:rsidRPr="00BD22C2" w:rsidRDefault="00A37AD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Boulachanis</w:t>
      </w:r>
      <w:r w:rsidRPr="00BD22C2">
        <w:rPr>
          <w:rFonts w:ascii="Arial" w:hAnsi="Arial" w:cs="Arial"/>
          <w:sz w:val="18"/>
          <w:szCs w:val="18"/>
          <w:lang w:val="fr-CA"/>
        </w:rPr>
        <w:t xml:space="preserve"> c. </w:t>
      </w:r>
      <w:r w:rsidRPr="00BD22C2">
        <w:rPr>
          <w:rFonts w:ascii="Arial" w:hAnsi="Arial" w:cs="Arial"/>
          <w:i/>
          <w:sz w:val="18"/>
          <w:szCs w:val="18"/>
          <w:lang w:val="fr-CA"/>
        </w:rPr>
        <w:t>Thibodeau</w:t>
      </w:r>
      <w:r w:rsidRPr="00BD22C2">
        <w:rPr>
          <w:rFonts w:ascii="Arial" w:hAnsi="Arial" w:cs="Arial"/>
          <w:sz w:val="18"/>
          <w:szCs w:val="18"/>
          <w:lang w:val="fr-CA"/>
        </w:rPr>
        <w:t>, 2020</w:t>
      </w:r>
      <w:r w:rsidR="00B32B61">
        <w:rPr>
          <w:rFonts w:ascii="Arial" w:hAnsi="Arial" w:cs="Arial"/>
          <w:sz w:val="18"/>
          <w:szCs w:val="18"/>
          <w:lang w:val="fr-CA"/>
        </w:rPr>
        <w:t> </w:t>
      </w:r>
      <w:r w:rsidRPr="00BD22C2">
        <w:rPr>
          <w:rFonts w:ascii="Arial" w:hAnsi="Arial" w:cs="Arial"/>
          <w:sz w:val="18"/>
          <w:szCs w:val="18"/>
          <w:lang w:val="fr-CA"/>
        </w:rPr>
        <w:t>QCCS</w:t>
      </w:r>
      <w:r w:rsidR="001B3B2E" w:rsidRPr="00BD22C2">
        <w:rPr>
          <w:rFonts w:ascii="Arial" w:hAnsi="Arial" w:cs="Arial"/>
          <w:sz w:val="18"/>
          <w:szCs w:val="18"/>
          <w:lang w:val="fr-CA"/>
        </w:rPr>
        <w:t> </w:t>
      </w:r>
      <w:r w:rsidRPr="00BD22C2">
        <w:rPr>
          <w:rFonts w:ascii="Arial" w:hAnsi="Arial" w:cs="Arial"/>
          <w:sz w:val="18"/>
          <w:szCs w:val="18"/>
          <w:lang w:val="fr-CA"/>
        </w:rPr>
        <w:t>1020</w:t>
      </w:r>
      <w:r w:rsidR="00B41D67"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i/>
          <w:sz w:val="18"/>
          <w:szCs w:val="18"/>
          <w:lang w:val="fr-CA"/>
        </w:rPr>
        <w:t>Canada (Procureur général)</w:t>
      </w:r>
      <w:r w:rsidRPr="00BD22C2">
        <w:rPr>
          <w:rFonts w:ascii="Arial" w:hAnsi="Arial" w:cs="Arial"/>
          <w:sz w:val="18"/>
          <w:szCs w:val="18"/>
          <w:lang w:val="fr-CA"/>
        </w:rPr>
        <w:t xml:space="preserve"> c. </w:t>
      </w:r>
      <w:r w:rsidRPr="00BD22C2">
        <w:rPr>
          <w:rFonts w:ascii="Arial" w:hAnsi="Arial" w:cs="Arial"/>
          <w:i/>
          <w:sz w:val="18"/>
          <w:szCs w:val="18"/>
          <w:lang w:val="fr-CA"/>
        </w:rPr>
        <w:t>Boulachanis</w:t>
      </w:r>
      <w:r w:rsidRPr="00BD22C2">
        <w:rPr>
          <w:rFonts w:ascii="Arial" w:hAnsi="Arial" w:cs="Arial"/>
          <w:sz w:val="18"/>
          <w:szCs w:val="18"/>
          <w:lang w:val="fr-CA"/>
        </w:rPr>
        <w:t>, 2019 CAF 100</w:t>
      </w:r>
    </w:p>
  </w:endnote>
  <w:endnote w:id="433">
    <w:p w14:paraId="1C8F7718" w14:textId="0CDCCC47" w:rsidR="000A7638" w:rsidRPr="00BD22C2" w:rsidRDefault="000A763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mallCaps/>
          <w:sz w:val="18"/>
          <w:szCs w:val="18"/>
          <w:lang w:val="fr-CA"/>
        </w:rPr>
        <w:endnoteRef/>
      </w:r>
      <w:r w:rsidRPr="00BD22C2">
        <w:rPr>
          <w:rFonts w:ascii="Arial" w:hAnsi="Arial" w:cs="Arial"/>
          <w:sz w:val="18"/>
          <w:szCs w:val="18"/>
          <w:lang w:val="fr-CA"/>
        </w:rPr>
        <w:t xml:space="preserve"> </w:t>
      </w:r>
      <w:r w:rsidR="00BA5704" w:rsidRPr="00BD22C2">
        <w:rPr>
          <w:rFonts w:ascii="Arial" w:hAnsi="Arial" w:cs="Arial"/>
          <w:sz w:val="18"/>
          <w:szCs w:val="18"/>
          <w:lang w:val="fr-CA"/>
        </w:rPr>
        <w:tab/>
      </w:r>
      <w:r w:rsidR="002F276B" w:rsidRPr="00BD22C2">
        <w:rPr>
          <w:rFonts w:ascii="Arial" w:hAnsi="Arial" w:cs="Arial"/>
          <w:i/>
          <w:sz w:val="18"/>
          <w:szCs w:val="18"/>
          <w:shd w:val="clear" w:color="auto" w:fill="FFFFFF"/>
          <w:lang w:val="fr-CA"/>
        </w:rPr>
        <w:t>R</w:t>
      </w:r>
      <w:r w:rsidR="002F276B" w:rsidRPr="00BD22C2">
        <w:rPr>
          <w:rFonts w:ascii="Arial" w:hAnsi="Arial" w:cs="Arial"/>
          <w:sz w:val="18"/>
          <w:szCs w:val="18"/>
          <w:shd w:val="clear" w:color="auto" w:fill="FFFFFF"/>
          <w:lang w:val="fr-CA"/>
        </w:rPr>
        <w:t xml:space="preserve"> v</w:t>
      </w:r>
      <w:r w:rsidR="00D00CFD" w:rsidRPr="00BD22C2">
        <w:rPr>
          <w:rFonts w:ascii="Arial" w:hAnsi="Arial" w:cs="Arial"/>
          <w:sz w:val="18"/>
          <w:szCs w:val="18"/>
          <w:shd w:val="clear" w:color="auto" w:fill="FFFFFF"/>
          <w:lang w:val="fr-CA"/>
        </w:rPr>
        <w:t>.</w:t>
      </w:r>
      <w:r w:rsidR="002F276B" w:rsidRPr="00BD22C2">
        <w:rPr>
          <w:rFonts w:ascii="Arial" w:hAnsi="Arial" w:cs="Arial"/>
          <w:sz w:val="18"/>
          <w:szCs w:val="18"/>
          <w:shd w:val="clear" w:color="auto" w:fill="FFFFFF"/>
          <w:lang w:val="fr-CA"/>
        </w:rPr>
        <w:t xml:space="preserve"> </w:t>
      </w:r>
      <w:r w:rsidR="002F276B" w:rsidRPr="00BD22C2">
        <w:rPr>
          <w:rFonts w:ascii="Arial" w:hAnsi="Arial" w:cs="Arial"/>
          <w:i/>
          <w:sz w:val="18"/>
          <w:szCs w:val="18"/>
          <w:shd w:val="clear" w:color="auto" w:fill="FFFFFF"/>
          <w:lang w:val="fr-CA"/>
        </w:rPr>
        <w:t>HF</w:t>
      </w:r>
      <w:r w:rsidR="002F276B" w:rsidRPr="00BD22C2">
        <w:rPr>
          <w:rFonts w:ascii="Arial" w:hAnsi="Arial" w:cs="Arial"/>
          <w:sz w:val="18"/>
          <w:szCs w:val="18"/>
          <w:shd w:val="clear" w:color="auto" w:fill="FFFFFF"/>
          <w:lang w:val="fr-CA"/>
        </w:rPr>
        <w:t>, 2021 ABPC 68, par. 77.</w:t>
      </w:r>
    </w:p>
  </w:endnote>
  <w:endnote w:id="434">
    <w:p w14:paraId="2EB3A5F7" w14:textId="6CABC154" w:rsidR="00B348A2" w:rsidRPr="003D6F7B" w:rsidRDefault="00B348A2"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mallCaps/>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C30D25" w:rsidRPr="00BD22C2">
        <w:rPr>
          <w:rFonts w:ascii="Arial" w:hAnsi="Arial" w:cs="Arial"/>
          <w:i/>
          <w:sz w:val="18"/>
          <w:szCs w:val="18"/>
          <w:lang w:val="fr-CA"/>
        </w:rPr>
        <w:t>Loi modifiant la Loi canadienne sur les droits de la personne et le Code criminel</w:t>
      </w:r>
      <w:r w:rsidR="00492C80" w:rsidRPr="00BD22C2">
        <w:rPr>
          <w:rFonts w:ascii="Arial" w:hAnsi="Arial" w:cs="Arial"/>
          <w:sz w:val="18"/>
          <w:szCs w:val="18"/>
          <w:lang w:val="fr-CA"/>
        </w:rPr>
        <w:t xml:space="preserve">, </w:t>
      </w:r>
      <w:r w:rsidR="00081CB5" w:rsidRPr="00BD22C2">
        <w:rPr>
          <w:rFonts w:ascii="Arial" w:hAnsi="Arial" w:cs="Arial"/>
          <w:sz w:val="18"/>
          <w:szCs w:val="18"/>
          <w:lang w:val="fr-CA"/>
        </w:rPr>
        <w:t>L.C. 2017, c.</w:t>
      </w:r>
      <w:r w:rsidR="003D2E26">
        <w:rPr>
          <w:rFonts w:ascii="Arial" w:hAnsi="Arial" w:cs="Arial"/>
          <w:sz w:val="18"/>
          <w:szCs w:val="18"/>
          <w:lang w:val="fr-CA"/>
        </w:rPr>
        <w:t> </w:t>
      </w:r>
      <w:r w:rsidR="00081CB5" w:rsidRPr="00BD22C2">
        <w:rPr>
          <w:rFonts w:ascii="Arial" w:hAnsi="Arial" w:cs="Arial"/>
          <w:sz w:val="18"/>
          <w:szCs w:val="18"/>
          <w:lang w:val="fr-CA"/>
        </w:rPr>
        <w:t>13</w:t>
      </w:r>
      <w:r w:rsidR="00B41D67" w:rsidRPr="00BD22C2">
        <w:rPr>
          <w:rFonts w:ascii="Arial" w:hAnsi="Arial" w:cs="Arial"/>
          <w:sz w:val="18"/>
          <w:szCs w:val="18"/>
          <w:lang w:val="fr-CA"/>
        </w:rPr>
        <w:t> </w:t>
      </w:r>
      <w:r w:rsidR="00081CB5" w:rsidRPr="00BD22C2">
        <w:rPr>
          <w:rFonts w:ascii="Arial" w:hAnsi="Arial" w:cs="Arial"/>
          <w:sz w:val="18"/>
          <w:szCs w:val="18"/>
          <w:lang w:val="fr-CA"/>
        </w:rPr>
        <w:t xml:space="preserve">; </w:t>
      </w:r>
      <w:r w:rsidR="00A703DB" w:rsidRPr="00BD22C2">
        <w:rPr>
          <w:rFonts w:ascii="Arial" w:hAnsi="Arial" w:cs="Arial"/>
          <w:i/>
          <w:sz w:val="18"/>
          <w:szCs w:val="18"/>
          <w:lang w:val="fr-CA"/>
        </w:rPr>
        <w:t>Loi sur le système correctionnel et la mise en libertés sous condition</w:t>
      </w:r>
      <w:r w:rsidR="00152ADB" w:rsidRPr="00BD22C2">
        <w:rPr>
          <w:rFonts w:ascii="Arial" w:hAnsi="Arial" w:cs="Arial"/>
          <w:sz w:val="18"/>
          <w:szCs w:val="18"/>
          <w:lang w:val="fr-CA"/>
        </w:rPr>
        <w:t>, L.C. 1992, c.</w:t>
      </w:r>
      <w:r w:rsidR="001B3B2E" w:rsidRPr="00BD22C2">
        <w:rPr>
          <w:rFonts w:ascii="Arial" w:hAnsi="Arial" w:cs="Arial"/>
          <w:sz w:val="18"/>
          <w:szCs w:val="18"/>
          <w:lang w:val="fr-CA"/>
        </w:rPr>
        <w:t> </w:t>
      </w:r>
      <w:r w:rsidR="00152ADB" w:rsidRPr="00BD22C2">
        <w:rPr>
          <w:rFonts w:ascii="Arial" w:hAnsi="Arial" w:cs="Arial"/>
          <w:sz w:val="18"/>
          <w:szCs w:val="18"/>
          <w:lang w:val="fr-CA"/>
        </w:rPr>
        <w:t xml:space="preserve">20, art. </w:t>
      </w:r>
      <w:r w:rsidR="002C35FC" w:rsidRPr="00BD22C2">
        <w:rPr>
          <w:rFonts w:ascii="Arial" w:hAnsi="Arial" w:cs="Arial"/>
          <w:sz w:val="18"/>
          <w:szCs w:val="18"/>
          <w:lang w:val="fr-CA"/>
        </w:rPr>
        <w:t>4</w:t>
      </w:r>
      <w:r w:rsidR="00762FE8">
        <w:rPr>
          <w:rFonts w:ascii="Arial" w:hAnsi="Arial" w:cs="Arial"/>
          <w:sz w:val="18"/>
          <w:szCs w:val="18"/>
          <w:lang w:val="fr-CA"/>
        </w:rPr>
        <w:t> </w:t>
      </w:r>
      <w:r w:rsidR="00C66C6B" w:rsidRPr="00BD22C2">
        <w:rPr>
          <w:rFonts w:ascii="Arial" w:hAnsi="Arial" w:cs="Arial"/>
          <w:sz w:val="18"/>
          <w:szCs w:val="18"/>
          <w:lang w:val="fr-CA"/>
        </w:rPr>
        <w:t>g)</w:t>
      </w:r>
      <w:r w:rsidR="002C35FC" w:rsidRPr="00BD22C2">
        <w:rPr>
          <w:rFonts w:ascii="Arial" w:hAnsi="Arial" w:cs="Arial"/>
          <w:sz w:val="18"/>
          <w:szCs w:val="18"/>
          <w:lang w:val="fr-CA"/>
        </w:rPr>
        <w:t>;</w:t>
      </w:r>
      <w:r w:rsidR="00CA7589" w:rsidRPr="00BD22C2">
        <w:rPr>
          <w:rFonts w:ascii="Arial" w:hAnsi="Arial" w:cs="Arial"/>
          <w:sz w:val="18"/>
          <w:szCs w:val="18"/>
          <w:lang w:val="fr-CA"/>
        </w:rPr>
        <w:t xml:space="preserve"> </w:t>
      </w:r>
      <w:r w:rsidR="00CA7589" w:rsidRPr="00BD22C2">
        <w:rPr>
          <w:rFonts w:ascii="Arial" w:hAnsi="Arial" w:cs="Arial"/>
          <w:i/>
          <w:sz w:val="18"/>
          <w:szCs w:val="18"/>
          <w:lang w:val="fr-CA"/>
        </w:rPr>
        <w:t>D</w:t>
      </w:r>
      <w:r w:rsidR="0068071A" w:rsidRPr="00BD22C2">
        <w:rPr>
          <w:rFonts w:ascii="Arial" w:hAnsi="Arial" w:cs="Arial"/>
          <w:i/>
          <w:iCs/>
          <w:sz w:val="18"/>
          <w:szCs w:val="18"/>
          <w:lang w:val="fr-CA"/>
        </w:rPr>
        <w:t>irective du commissaire</w:t>
      </w:r>
      <w:r w:rsidR="007F18F7" w:rsidRPr="00BD22C2">
        <w:rPr>
          <w:rFonts w:ascii="Arial" w:hAnsi="Arial" w:cs="Arial"/>
          <w:i/>
          <w:iCs/>
          <w:sz w:val="18"/>
          <w:szCs w:val="18"/>
          <w:lang w:val="fr-CA"/>
        </w:rPr>
        <w:t xml:space="preserve"> (</w:t>
      </w:r>
      <w:r w:rsidR="00CA7589" w:rsidRPr="00BD22C2">
        <w:rPr>
          <w:rFonts w:ascii="Arial" w:hAnsi="Arial" w:cs="Arial"/>
          <w:i/>
          <w:sz w:val="18"/>
          <w:szCs w:val="18"/>
          <w:lang w:val="fr-CA"/>
        </w:rPr>
        <w:t>DC</w:t>
      </w:r>
      <w:r w:rsidR="007F18F7" w:rsidRPr="00BD22C2">
        <w:rPr>
          <w:rFonts w:ascii="Arial" w:hAnsi="Arial" w:cs="Arial"/>
          <w:i/>
          <w:iCs/>
          <w:sz w:val="18"/>
          <w:szCs w:val="18"/>
          <w:lang w:val="fr-CA"/>
        </w:rPr>
        <w:t>)</w:t>
      </w:r>
      <w:r w:rsidR="007279F2" w:rsidRPr="00BD22C2">
        <w:rPr>
          <w:rFonts w:ascii="Arial" w:hAnsi="Arial" w:cs="Arial"/>
          <w:i/>
          <w:iCs/>
          <w:sz w:val="18"/>
          <w:szCs w:val="18"/>
          <w:lang w:val="fr-CA"/>
        </w:rPr>
        <w:t xml:space="preserve"> </w:t>
      </w:r>
      <w:r w:rsidR="0051216B" w:rsidRPr="00BD22C2">
        <w:rPr>
          <w:rFonts w:ascii="Arial" w:hAnsi="Arial" w:cs="Arial"/>
          <w:i/>
          <w:sz w:val="18"/>
          <w:szCs w:val="18"/>
          <w:lang w:val="fr-CA"/>
        </w:rPr>
        <w:t>—</w:t>
      </w:r>
      <w:r w:rsidR="00CA7589" w:rsidRPr="00BD22C2">
        <w:rPr>
          <w:rFonts w:ascii="Arial" w:hAnsi="Arial" w:cs="Arial"/>
          <w:i/>
          <w:sz w:val="18"/>
          <w:szCs w:val="18"/>
          <w:lang w:val="fr-CA"/>
        </w:rPr>
        <w:t>100</w:t>
      </w:r>
      <w:r w:rsidR="00B32B61">
        <w:rPr>
          <w:rFonts w:ascii="Arial" w:hAnsi="Arial" w:cs="Arial"/>
          <w:i/>
          <w:sz w:val="18"/>
          <w:szCs w:val="18"/>
          <w:lang w:val="fr-CA"/>
        </w:rPr>
        <w:t> </w:t>
      </w:r>
      <w:r w:rsidR="00CA7589" w:rsidRPr="00BD22C2">
        <w:rPr>
          <w:rFonts w:ascii="Arial" w:hAnsi="Arial" w:cs="Arial"/>
          <w:i/>
          <w:sz w:val="18"/>
          <w:szCs w:val="18"/>
          <w:lang w:val="fr-CA"/>
        </w:rPr>
        <w:t>Délinquants de diverses identités de genre</w:t>
      </w:r>
      <w:r w:rsidR="004C0590" w:rsidRPr="00BD22C2">
        <w:rPr>
          <w:rFonts w:ascii="Arial" w:hAnsi="Arial" w:cs="Arial"/>
          <w:sz w:val="18"/>
          <w:szCs w:val="18"/>
          <w:lang w:val="fr-CA"/>
        </w:rPr>
        <w:t>, 9</w:t>
      </w:r>
      <w:r w:rsidR="00762FE8">
        <w:rPr>
          <w:rFonts w:ascii="Arial" w:hAnsi="Arial" w:cs="Arial"/>
          <w:sz w:val="18"/>
          <w:szCs w:val="18"/>
          <w:lang w:val="fr-CA"/>
        </w:rPr>
        <w:t> </w:t>
      </w:r>
      <w:r w:rsidR="004C0590" w:rsidRPr="00BD22C2">
        <w:rPr>
          <w:rFonts w:ascii="Arial" w:hAnsi="Arial" w:cs="Arial"/>
          <w:sz w:val="18"/>
          <w:szCs w:val="18"/>
          <w:lang w:val="fr-CA"/>
        </w:rPr>
        <w:t>mai 2022</w:t>
      </w:r>
      <w:r w:rsidR="00B41D67" w:rsidRPr="00BD22C2">
        <w:rPr>
          <w:rFonts w:ascii="Arial" w:hAnsi="Arial" w:cs="Arial"/>
          <w:sz w:val="18"/>
          <w:szCs w:val="18"/>
          <w:lang w:val="fr-CA"/>
        </w:rPr>
        <w:t> </w:t>
      </w:r>
      <w:r w:rsidR="004C0590" w:rsidRPr="00BD22C2">
        <w:rPr>
          <w:rFonts w:ascii="Arial" w:hAnsi="Arial" w:cs="Arial"/>
          <w:sz w:val="18"/>
          <w:szCs w:val="18"/>
          <w:lang w:val="fr-CA"/>
        </w:rPr>
        <w:t xml:space="preserve">; </w:t>
      </w:r>
      <w:r w:rsidR="004C0590" w:rsidRPr="00BD22C2">
        <w:rPr>
          <w:rFonts w:ascii="Arial" w:hAnsi="Arial" w:cs="Arial"/>
          <w:i/>
          <w:sz w:val="18"/>
          <w:szCs w:val="18"/>
          <w:lang w:val="fr-CA"/>
        </w:rPr>
        <w:t>Bulletin politique</w:t>
      </w:r>
      <w:r w:rsidR="001B3B2E" w:rsidRPr="00BD22C2">
        <w:rPr>
          <w:rFonts w:ascii="Arial" w:hAnsi="Arial" w:cs="Arial"/>
          <w:i/>
          <w:sz w:val="18"/>
          <w:szCs w:val="18"/>
          <w:lang w:val="fr-CA"/>
        </w:rPr>
        <w:t> </w:t>
      </w:r>
      <w:r w:rsidR="004C0590" w:rsidRPr="00BD22C2">
        <w:rPr>
          <w:rFonts w:ascii="Arial" w:hAnsi="Arial" w:cs="Arial"/>
          <w:i/>
          <w:sz w:val="18"/>
          <w:szCs w:val="18"/>
          <w:lang w:val="fr-CA"/>
        </w:rPr>
        <w:t>685</w:t>
      </w:r>
      <w:r w:rsidR="004C0590" w:rsidRPr="00BD22C2">
        <w:rPr>
          <w:rFonts w:ascii="Arial" w:hAnsi="Arial" w:cs="Arial"/>
          <w:sz w:val="18"/>
          <w:szCs w:val="18"/>
          <w:lang w:val="fr-CA"/>
        </w:rPr>
        <w:t>, 9</w:t>
      </w:r>
      <w:r w:rsidR="00762FE8">
        <w:rPr>
          <w:rFonts w:ascii="Arial" w:hAnsi="Arial" w:cs="Arial"/>
          <w:sz w:val="18"/>
          <w:szCs w:val="18"/>
          <w:lang w:val="fr-CA"/>
        </w:rPr>
        <w:t> </w:t>
      </w:r>
      <w:r w:rsidR="004C0590" w:rsidRPr="00BD22C2">
        <w:rPr>
          <w:rFonts w:ascii="Arial" w:hAnsi="Arial" w:cs="Arial"/>
          <w:sz w:val="18"/>
          <w:szCs w:val="18"/>
          <w:lang w:val="fr-CA"/>
        </w:rPr>
        <w:t>mai 2022</w:t>
      </w:r>
      <w:r w:rsidR="00B41D67" w:rsidRPr="00BD22C2">
        <w:rPr>
          <w:rFonts w:ascii="Arial" w:hAnsi="Arial" w:cs="Arial"/>
          <w:sz w:val="18"/>
          <w:szCs w:val="18"/>
          <w:lang w:val="fr-CA"/>
        </w:rPr>
        <w:t> </w:t>
      </w:r>
      <w:r w:rsidR="004C0590" w:rsidRPr="00BD22C2">
        <w:rPr>
          <w:rFonts w:ascii="Arial" w:hAnsi="Arial" w:cs="Arial"/>
          <w:sz w:val="18"/>
          <w:szCs w:val="18"/>
          <w:lang w:val="fr-CA"/>
        </w:rPr>
        <w:t>;</w:t>
      </w:r>
      <w:r w:rsidR="00C66C6B" w:rsidRPr="00BD22C2">
        <w:rPr>
          <w:rFonts w:ascii="Arial" w:hAnsi="Arial" w:cs="Arial"/>
          <w:sz w:val="18"/>
          <w:szCs w:val="18"/>
          <w:lang w:val="fr-CA"/>
        </w:rPr>
        <w:t xml:space="preserve"> </w:t>
      </w:r>
      <w:r w:rsidR="00C66C6B" w:rsidRPr="00BD22C2">
        <w:rPr>
          <w:rFonts w:ascii="Arial" w:hAnsi="Arial" w:cs="Arial"/>
          <w:i/>
          <w:sz w:val="18"/>
          <w:szCs w:val="18"/>
          <w:lang w:val="fr-CA"/>
        </w:rPr>
        <w:t>Bulletin politique provisoire</w:t>
      </w:r>
      <w:r w:rsidR="001B3B2E" w:rsidRPr="00BD22C2">
        <w:rPr>
          <w:rFonts w:ascii="Arial" w:hAnsi="Arial" w:cs="Arial"/>
          <w:i/>
          <w:sz w:val="18"/>
          <w:szCs w:val="18"/>
          <w:lang w:val="fr-CA"/>
        </w:rPr>
        <w:t> </w:t>
      </w:r>
      <w:r w:rsidR="00C66C6B" w:rsidRPr="00BD22C2">
        <w:rPr>
          <w:rFonts w:ascii="Arial" w:hAnsi="Arial" w:cs="Arial"/>
          <w:i/>
          <w:sz w:val="18"/>
          <w:szCs w:val="18"/>
          <w:lang w:val="fr-CA"/>
        </w:rPr>
        <w:t>584</w:t>
      </w:r>
      <w:r w:rsidR="00C66C6B" w:rsidRPr="00BD22C2">
        <w:rPr>
          <w:rFonts w:ascii="Arial" w:hAnsi="Arial" w:cs="Arial"/>
          <w:sz w:val="18"/>
          <w:szCs w:val="18"/>
          <w:lang w:val="fr-CA"/>
        </w:rPr>
        <w:t>, 2017</w:t>
      </w:r>
      <w:r w:rsidR="00B41D67" w:rsidRPr="00BD22C2">
        <w:rPr>
          <w:rFonts w:ascii="Arial" w:hAnsi="Arial" w:cs="Arial"/>
          <w:sz w:val="18"/>
          <w:szCs w:val="18"/>
          <w:lang w:val="fr-CA"/>
        </w:rPr>
        <w:t> </w:t>
      </w:r>
      <w:r w:rsidR="00C66C6B" w:rsidRPr="00BD22C2">
        <w:rPr>
          <w:rFonts w:ascii="Arial" w:hAnsi="Arial" w:cs="Arial"/>
          <w:sz w:val="18"/>
          <w:szCs w:val="18"/>
          <w:lang w:val="fr-CA"/>
        </w:rPr>
        <w:t>;</w:t>
      </w:r>
      <w:r w:rsidR="00152ADB" w:rsidRPr="00BD22C2">
        <w:rPr>
          <w:rFonts w:ascii="Arial" w:hAnsi="Arial" w:cs="Arial"/>
          <w:sz w:val="18"/>
          <w:szCs w:val="18"/>
          <w:lang w:val="fr-CA"/>
        </w:rPr>
        <w:t xml:space="preserve"> </w:t>
      </w:r>
      <w:r w:rsidR="0097377D" w:rsidRPr="00BD22C2">
        <w:rPr>
          <w:rFonts w:ascii="Arial" w:hAnsi="Arial" w:cs="Arial"/>
          <w:sz w:val="18"/>
          <w:szCs w:val="18"/>
          <w:lang w:val="fr-CA"/>
        </w:rPr>
        <w:t xml:space="preserve">William </w:t>
      </w:r>
      <w:r w:rsidR="0097377D" w:rsidRPr="00BD22C2">
        <w:rPr>
          <w:rFonts w:ascii="Arial" w:hAnsi="Arial" w:cs="Arial"/>
          <w:smallCaps/>
          <w:sz w:val="18"/>
          <w:szCs w:val="18"/>
          <w:lang w:val="fr-CA"/>
        </w:rPr>
        <w:t>Hébert</w:t>
      </w:r>
      <w:r w:rsidR="0097377D" w:rsidRPr="00BD22C2">
        <w:rPr>
          <w:rFonts w:ascii="Arial" w:hAnsi="Arial" w:cs="Arial"/>
          <w:sz w:val="18"/>
          <w:szCs w:val="18"/>
          <w:lang w:val="fr-CA"/>
        </w:rPr>
        <w:t xml:space="preserve"> et al., </w:t>
      </w:r>
      <w:r w:rsidR="0097377D" w:rsidRPr="00BD22C2">
        <w:rPr>
          <w:rFonts w:ascii="Arial" w:hAnsi="Arial" w:cs="Arial"/>
          <w:i/>
          <w:sz w:val="18"/>
          <w:szCs w:val="18"/>
          <w:lang w:val="fr-CA"/>
        </w:rPr>
        <w:t>Un regard qualitatif sur les problèmes juridiques graves : Les personnes trans, bispirituelles et non binaires au Canada</w:t>
      </w:r>
      <w:r w:rsidR="0097377D" w:rsidRPr="00BD22C2">
        <w:rPr>
          <w:rFonts w:ascii="Arial" w:hAnsi="Arial" w:cs="Arial"/>
          <w:sz w:val="18"/>
          <w:szCs w:val="18"/>
          <w:lang w:val="fr-CA"/>
        </w:rPr>
        <w:t>, Ministère de la Justice Canada, 2022, p.</w:t>
      </w:r>
      <w:r w:rsidR="001B3B2E" w:rsidRPr="00BD22C2">
        <w:rPr>
          <w:rFonts w:ascii="Arial" w:hAnsi="Arial" w:cs="Arial"/>
          <w:sz w:val="18"/>
          <w:szCs w:val="18"/>
          <w:lang w:val="fr-CA"/>
        </w:rPr>
        <w:t> </w:t>
      </w:r>
      <w:r w:rsidR="0097377D" w:rsidRPr="00BD22C2">
        <w:rPr>
          <w:rFonts w:ascii="Arial" w:hAnsi="Arial" w:cs="Arial"/>
          <w:sz w:val="18"/>
          <w:szCs w:val="18"/>
          <w:lang w:val="fr-CA"/>
        </w:rPr>
        <w:t xml:space="preserve">9, [En ligne]. </w:t>
      </w:r>
      <w:r w:rsidR="00405F2C">
        <w:fldChar w:fldCharType="begin"/>
      </w:r>
      <w:r w:rsidR="00405F2C" w:rsidRPr="003E3312">
        <w:rPr>
          <w:lang w:val="fr-CA"/>
        </w:rPr>
        <w:instrText>HYPERLINK "https://www.justice.gc.ca/fra/pr-rp/jr/rqpjgptbnc-qlslpttnpc/pdf/RSD_2022_Trans_2spirit_non_binary_qualitative_report_FR2.pdf"</w:instrText>
      </w:r>
      <w:r w:rsidR="00405F2C">
        <w:fldChar w:fldCharType="separate"/>
      </w:r>
      <w:r w:rsidR="00405F2C" w:rsidRPr="003D6F7B">
        <w:rPr>
          <w:rStyle w:val="Lienhypertexte"/>
          <w:rFonts w:ascii="Arial" w:hAnsi="Arial" w:cs="Arial"/>
          <w:sz w:val="18"/>
          <w:szCs w:val="18"/>
        </w:rPr>
        <w:t>https://www.justice.gc.ca/fra/pr-rp/jr/rqpjgptbnc-qlslpttnpc/pdf/RSD_2022_Trans_2spirit_non_binary_qualitative_report_FR2.pdf</w:t>
      </w:r>
      <w:r w:rsidR="00405F2C">
        <w:rPr>
          <w:rStyle w:val="Lienhypertexte"/>
          <w:rFonts w:ascii="Arial" w:hAnsi="Arial" w:cs="Arial"/>
          <w:sz w:val="18"/>
          <w:szCs w:val="18"/>
        </w:rPr>
        <w:fldChar w:fldCharType="end"/>
      </w:r>
      <w:r w:rsidR="00405F2C" w:rsidRPr="003D6F7B">
        <w:rPr>
          <w:rFonts w:ascii="Arial" w:hAnsi="Arial" w:cs="Arial"/>
          <w:sz w:val="18"/>
          <w:szCs w:val="18"/>
        </w:rPr>
        <w:t xml:space="preserve"> </w:t>
      </w:r>
    </w:p>
  </w:endnote>
  <w:endnote w:id="435">
    <w:p w14:paraId="2EC6C920" w14:textId="5C354C70" w:rsidR="00F35C52" w:rsidRPr="003D6F7B" w:rsidRDefault="00F35C52" w:rsidP="00B36D7C">
      <w:pPr>
        <w:pStyle w:val="Notedefin"/>
        <w:tabs>
          <w:tab w:val="left" w:pos="709"/>
        </w:tabs>
        <w:spacing w:after="120" w:line="240" w:lineRule="auto"/>
        <w:ind w:left="709" w:hanging="709"/>
        <w:rPr>
          <w:rFonts w:ascii="Arial" w:hAnsi="Arial" w:cs="Arial"/>
          <w:smallCaps/>
          <w:sz w:val="18"/>
          <w:szCs w:val="18"/>
        </w:rPr>
      </w:pPr>
      <w:r w:rsidRPr="00BD22C2">
        <w:rPr>
          <w:rStyle w:val="Appeldenotedefin"/>
          <w:rFonts w:ascii="Arial" w:hAnsi="Arial" w:cs="Arial"/>
          <w:smallCaps/>
          <w:sz w:val="18"/>
          <w:szCs w:val="18"/>
          <w:lang w:val="fr-CA"/>
        </w:rPr>
        <w:endnoteRef/>
      </w:r>
      <w:r w:rsidRPr="00BD22C2">
        <w:rPr>
          <w:rFonts w:ascii="Arial" w:hAnsi="Arial" w:cs="Arial"/>
          <w:smallCaps/>
          <w:sz w:val="18"/>
          <w:szCs w:val="18"/>
          <w:lang w:val="fr-CA"/>
        </w:rPr>
        <w:t xml:space="preserve"> </w:t>
      </w:r>
      <w:r w:rsidR="003001F0" w:rsidRPr="00BD22C2">
        <w:rPr>
          <w:rFonts w:ascii="Arial" w:hAnsi="Arial" w:cs="Arial"/>
          <w:smallCaps/>
          <w:sz w:val="18"/>
          <w:szCs w:val="18"/>
          <w:lang w:val="fr-CA"/>
        </w:rPr>
        <w:tab/>
        <w:t xml:space="preserve">Commission </w:t>
      </w:r>
      <w:r w:rsidR="00405F2C">
        <w:rPr>
          <w:rFonts w:ascii="Arial" w:hAnsi="Arial" w:cs="Arial"/>
          <w:smallCaps/>
          <w:sz w:val="18"/>
          <w:szCs w:val="18"/>
          <w:lang w:val="fr-CA"/>
        </w:rPr>
        <w:t>ca</w:t>
      </w:r>
      <w:r w:rsidR="003001F0" w:rsidRPr="00BD22C2">
        <w:rPr>
          <w:rFonts w:ascii="Arial" w:hAnsi="Arial" w:cs="Arial"/>
          <w:smallCaps/>
          <w:sz w:val="18"/>
          <w:szCs w:val="18"/>
          <w:lang w:val="fr-CA"/>
        </w:rPr>
        <w:t xml:space="preserve">nadienne des droits de la personne, </w:t>
      </w:r>
      <w:r w:rsidR="006162FF" w:rsidRPr="00BD22C2">
        <w:rPr>
          <w:rFonts w:ascii="Arial" w:hAnsi="Arial" w:cs="Arial"/>
          <w:i/>
          <w:sz w:val="18"/>
          <w:szCs w:val="18"/>
          <w:lang w:val="fr-CA"/>
        </w:rPr>
        <w:t>Des changements aux mesures d’adaptation pour les détenus transgenres dans le système carcéral fédéral</w:t>
      </w:r>
      <w:r w:rsidR="006162FF" w:rsidRPr="00BD22C2">
        <w:rPr>
          <w:rFonts w:ascii="Arial" w:hAnsi="Arial" w:cs="Arial"/>
          <w:sz w:val="18"/>
          <w:szCs w:val="18"/>
          <w:lang w:val="fr-CA"/>
        </w:rPr>
        <w:t>, 31</w:t>
      </w:r>
      <w:r w:rsidR="00762FE8">
        <w:rPr>
          <w:rFonts w:ascii="Arial" w:hAnsi="Arial" w:cs="Arial"/>
          <w:sz w:val="18"/>
          <w:szCs w:val="18"/>
          <w:lang w:val="fr-CA"/>
        </w:rPr>
        <w:t> </w:t>
      </w:r>
      <w:r w:rsidR="006162FF" w:rsidRPr="00BD22C2">
        <w:rPr>
          <w:rFonts w:ascii="Arial" w:hAnsi="Arial" w:cs="Arial"/>
          <w:sz w:val="18"/>
          <w:szCs w:val="18"/>
          <w:lang w:val="fr-CA"/>
        </w:rPr>
        <w:t xml:space="preserve">janvier 2018, [En ligne]. </w:t>
      </w:r>
      <w:r w:rsidR="00D07F1A">
        <w:fldChar w:fldCharType="begin"/>
      </w:r>
      <w:r w:rsidR="00D07F1A" w:rsidRPr="003E3312">
        <w:rPr>
          <w:lang w:val="fr-CA"/>
        </w:rPr>
        <w:instrText>HYPERLINK "https://www.chrc-ccdp.gc.ca/fr/ressources/des-changements-aux-mesures-dadaptation-pour-les-detenus-transgenres-dans-le-systeme"</w:instrText>
      </w:r>
      <w:r w:rsidR="00D07F1A">
        <w:fldChar w:fldCharType="separate"/>
      </w:r>
      <w:r w:rsidR="00D07F1A" w:rsidRPr="003D6F7B">
        <w:rPr>
          <w:rStyle w:val="Lienhypertexte"/>
          <w:rFonts w:ascii="Arial" w:hAnsi="Arial" w:cs="Arial"/>
          <w:sz w:val="18"/>
          <w:szCs w:val="18"/>
        </w:rPr>
        <w:t>https://www.chrc-ccdp.gc.ca/fr/ressources/des-changements-aux-mesures-dadaptation-pour-les-detenus-transgenres-dans-le-systeme</w:t>
      </w:r>
      <w:r w:rsidR="00D07F1A">
        <w:rPr>
          <w:rStyle w:val="Lienhypertexte"/>
          <w:rFonts w:ascii="Arial" w:hAnsi="Arial" w:cs="Arial"/>
          <w:sz w:val="18"/>
          <w:szCs w:val="18"/>
        </w:rPr>
        <w:fldChar w:fldCharType="end"/>
      </w:r>
      <w:r w:rsidR="00D07F1A" w:rsidRPr="003D6F7B">
        <w:rPr>
          <w:rFonts w:ascii="Arial" w:hAnsi="Arial" w:cs="Arial"/>
          <w:sz w:val="18"/>
          <w:szCs w:val="18"/>
        </w:rPr>
        <w:t xml:space="preserve"> </w:t>
      </w:r>
    </w:p>
  </w:endnote>
  <w:endnote w:id="436">
    <w:p w14:paraId="4A09307E" w14:textId="50835495" w:rsidR="00AF1BE8" w:rsidRPr="00BD22C2" w:rsidRDefault="00AF1BE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D</w:t>
      </w:r>
      <w:r w:rsidR="0023404D" w:rsidRPr="00BD22C2">
        <w:rPr>
          <w:rFonts w:ascii="Arial" w:hAnsi="Arial" w:cs="Arial"/>
          <w:sz w:val="18"/>
          <w:szCs w:val="18"/>
          <w:lang w:val="fr-CA"/>
        </w:rPr>
        <w:t>irective du commissaire (</w:t>
      </w:r>
      <w:r w:rsidRPr="00BD22C2">
        <w:rPr>
          <w:rFonts w:ascii="Arial" w:hAnsi="Arial" w:cs="Arial"/>
          <w:sz w:val="18"/>
          <w:szCs w:val="18"/>
          <w:lang w:val="fr-CA"/>
        </w:rPr>
        <w:t>DC</w:t>
      </w:r>
      <w:r w:rsidR="0023404D" w:rsidRPr="00BD22C2">
        <w:rPr>
          <w:rFonts w:ascii="Arial" w:hAnsi="Arial" w:cs="Arial"/>
          <w:sz w:val="18"/>
          <w:szCs w:val="18"/>
          <w:lang w:val="fr-CA"/>
        </w:rPr>
        <w:t xml:space="preserve">) </w:t>
      </w:r>
      <w:r w:rsidR="0051216B" w:rsidRPr="00BD22C2">
        <w:rPr>
          <w:rFonts w:ascii="Arial" w:hAnsi="Arial" w:cs="Arial"/>
          <w:sz w:val="18"/>
          <w:szCs w:val="18"/>
          <w:lang w:val="fr-CA"/>
        </w:rPr>
        <w:t>—</w:t>
      </w:r>
      <w:r w:rsidRPr="00BD22C2">
        <w:rPr>
          <w:rFonts w:ascii="Arial" w:hAnsi="Arial" w:cs="Arial"/>
          <w:sz w:val="18"/>
          <w:szCs w:val="18"/>
          <w:lang w:val="fr-CA"/>
        </w:rPr>
        <w:t>100</w:t>
      </w:r>
      <w:r w:rsidR="007279F2" w:rsidRPr="00BD22C2">
        <w:rPr>
          <w:rFonts w:ascii="Arial" w:hAnsi="Arial" w:cs="Arial"/>
          <w:sz w:val="18"/>
          <w:szCs w:val="18"/>
          <w:lang w:val="fr-CA"/>
        </w:rPr>
        <w:t>, préc., note</w:t>
      </w:r>
      <w:r w:rsidR="003D2E26">
        <w:rPr>
          <w:rFonts w:ascii="Arial" w:hAnsi="Arial" w:cs="Arial"/>
          <w:sz w:val="18"/>
          <w:szCs w:val="18"/>
          <w:lang w:val="fr-CA"/>
        </w:rPr>
        <w:t> </w:t>
      </w:r>
      <w:r w:rsidR="007279F2" w:rsidRPr="00BD22C2">
        <w:rPr>
          <w:rFonts w:ascii="Arial" w:hAnsi="Arial" w:cs="Arial"/>
          <w:sz w:val="18"/>
          <w:szCs w:val="18"/>
          <w:lang w:val="fr-CA"/>
        </w:rPr>
        <w:fldChar w:fldCharType="begin"/>
      </w:r>
      <w:r w:rsidR="007279F2" w:rsidRPr="00BD22C2">
        <w:rPr>
          <w:rFonts w:ascii="Arial" w:hAnsi="Arial" w:cs="Arial"/>
          <w:sz w:val="18"/>
          <w:szCs w:val="18"/>
          <w:lang w:val="fr-CA"/>
        </w:rPr>
        <w:instrText xml:space="preserve"> NOTEREF _Ref166856343 \h </w:instrText>
      </w:r>
      <w:r w:rsidR="007279F2" w:rsidRPr="00BD22C2">
        <w:rPr>
          <w:rFonts w:ascii="Arial" w:hAnsi="Arial" w:cs="Arial"/>
          <w:sz w:val="18"/>
          <w:szCs w:val="18"/>
          <w:lang w:val="fr-CA"/>
        </w:rPr>
      </w:r>
      <w:r w:rsidR="007279F2" w:rsidRPr="00BD22C2">
        <w:rPr>
          <w:rFonts w:ascii="Arial" w:hAnsi="Arial" w:cs="Arial"/>
          <w:sz w:val="18"/>
          <w:szCs w:val="18"/>
          <w:lang w:val="fr-CA"/>
        </w:rPr>
        <w:fldChar w:fldCharType="separate"/>
      </w:r>
      <w:r w:rsidR="004B4881">
        <w:rPr>
          <w:rFonts w:ascii="Arial" w:hAnsi="Arial" w:cs="Arial"/>
          <w:sz w:val="18"/>
          <w:szCs w:val="18"/>
          <w:lang w:val="fr-CA"/>
        </w:rPr>
        <w:t>433</w:t>
      </w:r>
      <w:r w:rsidR="007279F2" w:rsidRPr="00BD22C2">
        <w:rPr>
          <w:rFonts w:ascii="Arial" w:hAnsi="Arial" w:cs="Arial"/>
          <w:sz w:val="18"/>
          <w:szCs w:val="18"/>
          <w:lang w:val="fr-CA"/>
        </w:rPr>
        <w:fldChar w:fldCharType="end"/>
      </w:r>
      <w:r w:rsidRPr="00BD22C2">
        <w:rPr>
          <w:rFonts w:ascii="Arial" w:hAnsi="Arial" w:cs="Arial"/>
          <w:sz w:val="18"/>
          <w:szCs w:val="18"/>
          <w:lang w:val="fr-CA"/>
        </w:rPr>
        <w:t>.</w:t>
      </w:r>
    </w:p>
  </w:endnote>
  <w:endnote w:id="437">
    <w:p w14:paraId="40272164" w14:textId="56EBDBBB" w:rsidR="0038344D" w:rsidRPr="00BD22C2" w:rsidRDefault="003834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CF0E37" w:rsidRPr="00BD22C2">
        <w:rPr>
          <w:rFonts w:ascii="Arial" w:hAnsi="Arial" w:cs="Arial"/>
          <w:smallCaps/>
          <w:sz w:val="18"/>
          <w:szCs w:val="18"/>
          <w:lang w:val="fr-CA"/>
        </w:rPr>
        <w:t>Service correctionnel Canada</w:t>
      </w:r>
      <w:r w:rsidR="00CF0E37" w:rsidRPr="00BD22C2">
        <w:rPr>
          <w:rFonts w:ascii="Arial" w:hAnsi="Arial" w:cs="Arial"/>
          <w:sz w:val="18"/>
          <w:szCs w:val="18"/>
          <w:lang w:val="fr-CA"/>
        </w:rPr>
        <w:t xml:space="preserve">, </w:t>
      </w:r>
      <w:r w:rsidR="00CF0E37" w:rsidRPr="00BD22C2">
        <w:rPr>
          <w:rFonts w:ascii="Arial" w:hAnsi="Arial" w:cs="Arial"/>
          <w:i/>
          <w:sz w:val="18"/>
          <w:szCs w:val="18"/>
          <w:lang w:val="fr-CA"/>
        </w:rPr>
        <w:t>Examen des délinquants de diverses identités de genre</w:t>
      </w:r>
      <w:r w:rsidR="00CF0E37" w:rsidRPr="00BD22C2">
        <w:rPr>
          <w:rFonts w:ascii="Arial" w:hAnsi="Arial" w:cs="Arial"/>
          <w:sz w:val="18"/>
          <w:szCs w:val="18"/>
          <w:lang w:val="fr-CA"/>
        </w:rPr>
        <w:t>, Rapport de recherche, 2022</w:t>
      </w:r>
      <w:r w:rsidR="00FB524D" w:rsidRPr="00BD22C2">
        <w:rPr>
          <w:rFonts w:ascii="Arial" w:hAnsi="Arial" w:cs="Arial"/>
          <w:sz w:val="18"/>
          <w:szCs w:val="18"/>
          <w:lang w:val="fr-CA"/>
        </w:rPr>
        <w:t>, Ottawa</w:t>
      </w:r>
      <w:r w:rsidR="00480F49" w:rsidRPr="00BD22C2">
        <w:rPr>
          <w:rFonts w:ascii="Arial" w:hAnsi="Arial" w:cs="Arial"/>
          <w:sz w:val="18"/>
          <w:szCs w:val="18"/>
          <w:lang w:val="fr-CA"/>
        </w:rPr>
        <w:t xml:space="preserve">, </w:t>
      </w:r>
      <w:r w:rsidR="007C2D3B" w:rsidRPr="00BD22C2">
        <w:rPr>
          <w:rFonts w:ascii="Arial" w:hAnsi="Arial" w:cs="Arial"/>
          <w:sz w:val="18"/>
          <w:szCs w:val="18"/>
          <w:lang w:val="fr-CA"/>
        </w:rPr>
        <w:t>p.</w:t>
      </w:r>
      <w:r w:rsidR="003D2E26">
        <w:rPr>
          <w:rFonts w:ascii="Arial" w:hAnsi="Arial" w:cs="Arial"/>
          <w:sz w:val="18"/>
          <w:szCs w:val="18"/>
          <w:lang w:val="fr-CA"/>
        </w:rPr>
        <w:t> </w:t>
      </w:r>
      <w:r w:rsidR="007C2D3B" w:rsidRPr="00BD22C2">
        <w:rPr>
          <w:rFonts w:ascii="Arial" w:hAnsi="Arial" w:cs="Arial"/>
          <w:sz w:val="18"/>
          <w:szCs w:val="18"/>
          <w:lang w:val="fr-CA"/>
        </w:rPr>
        <w:t>2.</w:t>
      </w:r>
    </w:p>
  </w:endnote>
  <w:endnote w:id="438">
    <w:p w14:paraId="765BEFBD" w14:textId="078BEB7C" w:rsidR="00CF7118" w:rsidRPr="00BD22C2" w:rsidRDefault="00CF7118" w:rsidP="00707395">
      <w:pPr>
        <w:pStyle w:val="Notedebasdepage"/>
        <w:rPr>
          <w:lang w:val="fr-CA"/>
        </w:rPr>
      </w:pPr>
      <w:r w:rsidRPr="00BD22C2">
        <w:rPr>
          <w:rStyle w:val="Appeldenotedefin"/>
          <w:lang w:val="fr-CA"/>
        </w:rPr>
        <w:endnoteRef/>
      </w:r>
      <w:r w:rsidRPr="00BD22C2">
        <w:rPr>
          <w:lang w:val="fr-CA"/>
        </w:rPr>
        <w:t xml:space="preserve"> </w:t>
      </w:r>
      <w:r w:rsidR="00A20121" w:rsidRPr="00BD22C2">
        <w:rPr>
          <w:lang w:val="fr-CA"/>
        </w:rPr>
        <w:tab/>
      </w:r>
      <w:r w:rsidR="00BE7200" w:rsidRPr="00BD22C2">
        <w:rPr>
          <w:lang w:val="fr-CA"/>
        </w:rPr>
        <w:t>Directive du commissaire (</w:t>
      </w:r>
      <w:r w:rsidR="00A20121" w:rsidRPr="00BD22C2">
        <w:rPr>
          <w:lang w:val="fr-CA"/>
        </w:rPr>
        <w:t>DC</w:t>
      </w:r>
      <w:r w:rsidR="00BE7200" w:rsidRPr="00BD22C2">
        <w:rPr>
          <w:lang w:val="fr-CA"/>
        </w:rPr>
        <w:t xml:space="preserve">) </w:t>
      </w:r>
      <w:r w:rsidR="00A20121" w:rsidRPr="00BD22C2">
        <w:rPr>
          <w:lang w:val="fr-CA"/>
        </w:rPr>
        <w:t>—100</w:t>
      </w:r>
      <w:r w:rsidR="00BE7200" w:rsidRPr="00BD22C2">
        <w:rPr>
          <w:lang w:val="fr-CA"/>
        </w:rPr>
        <w:t>, préc., note</w:t>
      </w:r>
      <w:r w:rsidR="003D2E26">
        <w:rPr>
          <w:lang w:val="fr-CA"/>
        </w:rPr>
        <w:t> </w:t>
      </w:r>
      <w:r w:rsidR="00BE7200" w:rsidRPr="00BD22C2">
        <w:rPr>
          <w:lang w:val="fr-CA"/>
        </w:rPr>
        <w:fldChar w:fldCharType="begin"/>
      </w:r>
      <w:r w:rsidR="00BE7200" w:rsidRPr="00BD22C2">
        <w:rPr>
          <w:lang w:val="fr-CA"/>
        </w:rPr>
        <w:instrText xml:space="preserve"> NOTEREF _Ref166856343 \h  \* MERGEFORMAT </w:instrText>
      </w:r>
      <w:r w:rsidR="00BE7200" w:rsidRPr="00BD22C2">
        <w:rPr>
          <w:lang w:val="fr-CA"/>
        </w:rPr>
      </w:r>
      <w:r w:rsidR="00BE7200" w:rsidRPr="00BD22C2">
        <w:rPr>
          <w:lang w:val="fr-CA"/>
        </w:rPr>
        <w:fldChar w:fldCharType="separate"/>
      </w:r>
      <w:r w:rsidR="004B4881">
        <w:rPr>
          <w:lang w:val="fr-CA"/>
        </w:rPr>
        <w:t>433</w:t>
      </w:r>
      <w:r w:rsidR="00BE7200" w:rsidRPr="00BD22C2">
        <w:rPr>
          <w:lang w:val="fr-CA"/>
        </w:rPr>
        <w:fldChar w:fldCharType="end"/>
      </w:r>
      <w:r w:rsidR="00A20121" w:rsidRPr="00BD22C2">
        <w:rPr>
          <w:lang w:val="fr-CA"/>
        </w:rPr>
        <w:t xml:space="preserve">, </w:t>
      </w:r>
      <w:r w:rsidR="002A5283" w:rsidRPr="00BD22C2">
        <w:rPr>
          <w:lang w:val="fr-CA"/>
        </w:rPr>
        <w:t xml:space="preserve">art. </w:t>
      </w:r>
      <w:r w:rsidR="0094407D" w:rsidRPr="00BD22C2">
        <w:rPr>
          <w:lang w:val="fr-CA"/>
        </w:rPr>
        <w:t xml:space="preserve">29, </w:t>
      </w:r>
      <w:r w:rsidR="002A5283" w:rsidRPr="00BD22C2">
        <w:rPr>
          <w:lang w:val="fr-CA"/>
        </w:rPr>
        <w:t>33</w:t>
      </w:r>
      <w:r w:rsidR="005A745F" w:rsidRPr="00BD22C2">
        <w:rPr>
          <w:lang w:val="fr-CA"/>
        </w:rPr>
        <w:t>, 36</w:t>
      </w:r>
      <w:r w:rsidR="0094407D" w:rsidRPr="00BD22C2">
        <w:rPr>
          <w:lang w:val="fr-CA"/>
        </w:rPr>
        <w:t>, 42</w:t>
      </w:r>
      <w:r w:rsidR="00C94C59" w:rsidRPr="00BD22C2">
        <w:rPr>
          <w:lang w:val="fr-CA"/>
        </w:rPr>
        <w:t>. L’annexe A de la directive défini</w:t>
      </w:r>
      <w:r w:rsidR="005E7CEA">
        <w:rPr>
          <w:lang w:val="fr-CA"/>
        </w:rPr>
        <w:t>t</w:t>
      </w:r>
      <w:r w:rsidR="00C94C59" w:rsidRPr="00BD22C2">
        <w:rPr>
          <w:lang w:val="fr-CA"/>
        </w:rPr>
        <w:t xml:space="preserve"> les préoccupations dominantes en matière de santé ou de sécurité comme suit :</w:t>
      </w:r>
      <w:r w:rsidR="00192A9C" w:rsidRPr="00BD22C2">
        <w:rPr>
          <w:lang w:val="fr-CA"/>
        </w:rPr>
        <w:t xml:space="preserve"> «</w:t>
      </w:r>
      <w:r w:rsidR="00595E85">
        <w:rPr>
          <w:lang w:val="fr-CA"/>
        </w:rPr>
        <w:t> </w:t>
      </w:r>
      <w:r w:rsidR="00192A9C" w:rsidRPr="00BD22C2">
        <w:rPr>
          <w:lang w:val="fr-CA"/>
        </w:rPr>
        <w:t>questions</w:t>
      </w:r>
      <w:r w:rsidR="00C94C59" w:rsidRPr="00BD22C2">
        <w:rPr>
          <w:lang w:val="fr-CA"/>
        </w:rPr>
        <w:t>, étayées par des preuves ou de l’information, qui compromettraient la santé ou la sécurité d’un délinquant de diverses identités de genre, des autres délinquants, des membres du personnel ou des membres du public</w:t>
      </w:r>
      <w:r w:rsidR="00595E85">
        <w:rPr>
          <w:lang w:val="fr-CA"/>
        </w:rPr>
        <w:t> </w:t>
      </w:r>
      <w:r w:rsidR="00C94C59" w:rsidRPr="00BD22C2">
        <w:rPr>
          <w:lang w:val="fr-CA"/>
        </w:rPr>
        <w:t>».</w:t>
      </w:r>
    </w:p>
  </w:endnote>
  <w:endnote w:id="439">
    <w:p w14:paraId="43EE53DB" w14:textId="29EFE130" w:rsidR="00360E9D" w:rsidRPr="00BD22C2" w:rsidRDefault="00360E9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mallCaps/>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162FF" w:rsidRPr="00BD22C2">
        <w:rPr>
          <w:rFonts w:ascii="Arial" w:hAnsi="Arial" w:cs="Arial"/>
          <w:sz w:val="18"/>
          <w:szCs w:val="18"/>
          <w:lang w:val="fr-CA"/>
        </w:rPr>
        <w:t xml:space="preserve">William </w:t>
      </w:r>
      <w:r w:rsidR="006162FF" w:rsidRPr="00EB404F">
        <w:rPr>
          <w:rFonts w:ascii="Arial" w:hAnsi="Arial" w:cs="Arial"/>
          <w:smallCaps/>
          <w:sz w:val="18"/>
          <w:szCs w:val="18"/>
          <w:lang w:val="fr-CA"/>
        </w:rPr>
        <w:t>Hébert</w:t>
      </w:r>
      <w:r w:rsidR="006162FF" w:rsidRPr="00BD22C2">
        <w:rPr>
          <w:rFonts w:ascii="Arial" w:hAnsi="Arial" w:cs="Arial"/>
          <w:sz w:val="18"/>
          <w:szCs w:val="18"/>
          <w:lang w:val="fr-CA"/>
        </w:rPr>
        <w:t xml:space="preserve"> et al., préc., note </w:t>
      </w:r>
      <w:r w:rsidR="00BE7200" w:rsidRPr="00BD22C2">
        <w:rPr>
          <w:rFonts w:ascii="Arial" w:hAnsi="Arial" w:cs="Arial"/>
          <w:sz w:val="18"/>
          <w:szCs w:val="18"/>
          <w:highlight w:val="yellow"/>
          <w:lang w:val="fr-CA"/>
        </w:rPr>
        <w:fldChar w:fldCharType="begin"/>
      </w:r>
      <w:r w:rsidR="00BE7200" w:rsidRPr="00BD22C2">
        <w:rPr>
          <w:rFonts w:ascii="Arial" w:hAnsi="Arial" w:cs="Arial"/>
          <w:sz w:val="18"/>
          <w:szCs w:val="18"/>
          <w:lang w:val="fr-CA"/>
        </w:rPr>
        <w:instrText xml:space="preserve"> NOTEREF _Ref166856343 \h </w:instrText>
      </w:r>
      <w:r w:rsidR="00BE7200" w:rsidRPr="00BD22C2">
        <w:rPr>
          <w:rFonts w:ascii="Arial" w:hAnsi="Arial" w:cs="Arial"/>
          <w:sz w:val="18"/>
          <w:szCs w:val="18"/>
          <w:highlight w:val="yellow"/>
          <w:lang w:val="fr-CA"/>
        </w:rPr>
      </w:r>
      <w:r w:rsidR="00BE7200" w:rsidRPr="00BD22C2">
        <w:rPr>
          <w:rFonts w:ascii="Arial" w:hAnsi="Arial" w:cs="Arial"/>
          <w:sz w:val="18"/>
          <w:szCs w:val="18"/>
          <w:highlight w:val="yellow"/>
          <w:lang w:val="fr-CA"/>
        </w:rPr>
        <w:fldChar w:fldCharType="separate"/>
      </w:r>
      <w:r w:rsidR="004B4881">
        <w:rPr>
          <w:rFonts w:ascii="Arial" w:hAnsi="Arial" w:cs="Arial"/>
          <w:sz w:val="18"/>
          <w:szCs w:val="18"/>
          <w:lang w:val="fr-CA"/>
        </w:rPr>
        <w:t>433</w:t>
      </w:r>
      <w:r w:rsidR="00BE7200" w:rsidRPr="00BD22C2">
        <w:rPr>
          <w:rFonts w:ascii="Arial" w:hAnsi="Arial" w:cs="Arial"/>
          <w:sz w:val="18"/>
          <w:szCs w:val="18"/>
          <w:highlight w:val="yellow"/>
          <w:lang w:val="fr-CA"/>
        </w:rPr>
        <w:fldChar w:fldCharType="end"/>
      </w:r>
      <w:r w:rsidR="004177A3" w:rsidRPr="00BD22C2">
        <w:rPr>
          <w:rFonts w:ascii="Arial" w:hAnsi="Arial" w:cs="Arial"/>
          <w:sz w:val="18"/>
          <w:szCs w:val="18"/>
          <w:lang w:val="fr-CA"/>
        </w:rPr>
        <w:t xml:space="preserve">, </w:t>
      </w:r>
      <w:r w:rsidRPr="00BD22C2">
        <w:rPr>
          <w:rFonts w:ascii="Arial" w:hAnsi="Arial" w:cs="Arial"/>
          <w:sz w:val="18"/>
          <w:szCs w:val="18"/>
          <w:lang w:val="fr-CA"/>
        </w:rPr>
        <w:t>p.</w:t>
      </w:r>
      <w:r w:rsidR="001B3B2E" w:rsidRPr="00BD22C2">
        <w:rPr>
          <w:rFonts w:ascii="Arial" w:hAnsi="Arial" w:cs="Arial"/>
          <w:sz w:val="18"/>
          <w:szCs w:val="18"/>
          <w:lang w:val="fr-CA"/>
        </w:rPr>
        <w:t> </w:t>
      </w:r>
      <w:r w:rsidRPr="00BD22C2">
        <w:rPr>
          <w:rFonts w:ascii="Arial" w:hAnsi="Arial" w:cs="Arial"/>
          <w:sz w:val="18"/>
          <w:szCs w:val="18"/>
          <w:lang w:val="fr-CA"/>
        </w:rPr>
        <w:t>47 et suiv.</w:t>
      </w:r>
    </w:p>
  </w:endnote>
  <w:endnote w:id="440">
    <w:p w14:paraId="4939ED94" w14:textId="4DEF5A90" w:rsidR="002913CD" w:rsidRPr="00BD22C2" w:rsidRDefault="002913C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33F5C" w:rsidRPr="00BD22C2">
        <w:rPr>
          <w:rFonts w:ascii="Arial" w:hAnsi="Arial" w:cs="Arial"/>
          <w:sz w:val="18"/>
          <w:szCs w:val="18"/>
          <w:lang w:val="fr-CA"/>
        </w:rPr>
        <w:t>Préc., note</w:t>
      </w:r>
      <w:r w:rsidR="003D2E26">
        <w:rPr>
          <w:rFonts w:ascii="Arial" w:hAnsi="Arial" w:cs="Arial"/>
          <w:sz w:val="18"/>
          <w:szCs w:val="18"/>
          <w:lang w:val="fr-CA"/>
        </w:rPr>
        <w:t> </w:t>
      </w:r>
      <w:r w:rsidR="00633F5C" w:rsidRPr="00BD22C2">
        <w:rPr>
          <w:rFonts w:ascii="Arial" w:hAnsi="Arial" w:cs="Arial"/>
          <w:sz w:val="18"/>
          <w:szCs w:val="18"/>
          <w:lang w:val="fr-CA"/>
        </w:rPr>
        <w:fldChar w:fldCharType="begin"/>
      </w:r>
      <w:r w:rsidR="00633F5C" w:rsidRPr="00BD22C2">
        <w:rPr>
          <w:rFonts w:ascii="Arial" w:hAnsi="Arial" w:cs="Arial"/>
          <w:sz w:val="18"/>
          <w:szCs w:val="18"/>
          <w:lang w:val="fr-CA"/>
        </w:rPr>
        <w:instrText xml:space="preserve"> NOTEREF _Ref166857095 \h </w:instrText>
      </w:r>
      <w:r w:rsidR="00633F5C" w:rsidRPr="00BD22C2">
        <w:rPr>
          <w:rFonts w:ascii="Arial" w:hAnsi="Arial" w:cs="Arial"/>
          <w:sz w:val="18"/>
          <w:szCs w:val="18"/>
          <w:lang w:val="fr-CA"/>
        </w:rPr>
      </w:r>
      <w:r w:rsidR="00633F5C" w:rsidRPr="00BD22C2">
        <w:rPr>
          <w:rFonts w:ascii="Arial" w:hAnsi="Arial" w:cs="Arial"/>
          <w:sz w:val="18"/>
          <w:szCs w:val="18"/>
          <w:lang w:val="fr-CA"/>
        </w:rPr>
        <w:fldChar w:fldCharType="separate"/>
      </w:r>
      <w:r w:rsidR="004B4881">
        <w:rPr>
          <w:rFonts w:ascii="Arial" w:hAnsi="Arial" w:cs="Arial"/>
          <w:sz w:val="18"/>
          <w:szCs w:val="18"/>
          <w:lang w:val="fr-CA"/>
        </w:rPr>
        <w:t>386</w:t>
      </w:r>
      <w:r w:rsidR="00633F5C" w:rsidRPr="00BD22C2">
        <w:rPr>
          <w:rFonts w:ascii="Arial" w:hAnsi="Arial" w:cs="Arial"/>
          <w:sz w:val="18"/>
          <w:szCs w:val="18"/>
          <w:lang w:val="fr-CA"/>
        </w:rPr>
        <w:fldChar w:fldCharType="end"/>
      </w:r>
      <w:r w:rsidR="00633F5C" w:rsidRPr="00BD22C2">
        <w:rPr>
          <w:rFonts w:ascii="Arial" w:hAnsi="Arial" w:cs="Arial"/>
          <w:sz w:val="18"/>
          <w:szCs w:val="18"/>
          <w:lang w:val="fr-CA"/>
        </w:rPr>
        <w:t>.</w:t>
      </w:r>
    </w:p>
  </w:endnote>
  <w:endnote w:id="441">
    <w:p w14:paraId="2F615626" w14:textId="5A45B3F8"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Style w:val="normaltextrun"/>
          <w:rFonts w:ascii="Arial" w:hAnsi="Arial" w:cs="Arial"/>
          <w:smallCaps/>
          <w:color w:val="000000"/>
          <w:sz w:val="18"/>
          <w:szCs w:val="18"/>
          <w:shd w:val="clear" w:color="auto" w:fill="FFFFFF"/>
          <w:lang w:val="fr-CA"/>
        </w:rPr>
        <w:t>Haut-Commissaire des Nations Unies aux droits de l’homme</w:t>
      </w:r>
      <w:r w:rsidRPr="00BD22C2">
        <w:rPr>
          <w:rStyle w:val="normaltextrun"/>
          <w:rFonts w:ascii="Arial" w:hAnsi="Arial" w:cs="Arial"/>
          <w:color w:val="000000"/>
          <w:sz w:val="18"/>
          <w:szCs w:val="18"/>
          <w:shd w:val="clear" w:color="auto" w:fill="FFFFFF"/>
          <w:lang w:val="fr-CA"/>
        </w:rPr>
        <w:t>, </w:t>
      </w:r>
      <w:r w:rsidRPr="00BD22C2">
        <w:rPr>
          <w:rStyle w:val="normaltextrun"/>
          <w:rFonts w:ascii="Arial" w:hAnsi="Arial" w:cs="Arial"/>
          <w:i/>
          <w:color w:val="000000"/>
          <w:sz w:val="18"/>
          <w:szCs w:val="18"/>
          <w:shd w:val="clear" w:color="auto" w:fill="FFFFFF"/>
          <w:lang w:val="fr-CA"/>
        </w:rPr>
        <w:t>L’éducation aux droits de l’homme est un investissement en faveur de la paix et du progrès, </w:t>
      </w:r>
      <w:r w:rsidRPr="00BD22C2">
        <w:rPr>
          <w:rStyle w:val="normaltextrun"/>
          <w:rFonts w:ascii="Arial" w:hAnsi="Arial" w:cs="Arial"/>
          <w:color w:val="000000"/>
          <w:sz w:val="18"/>
          <w:szCs w:val="18"/>
          <w:shd w:val="clear" w:color="auto" w:fill="FFFFFF"/>
          <w:lang w:val="fr-CA"/>
        </w:rPr>
        <w:t>15</w:t>
      </w:r>
      <w:r w:rsidR="00762FE8">
        <w:rPr>
          <w:rStyle w:val="normaltextrun"/>
          <w:rFonts w:ascii="Arial" w:hAnsi="Arial" w:cs="Arial"/>
          <w:color w:val="000000"/>
          <w:sz w:val="18"/>
          <w:szCs w:val="18"/>
          <w:shd w:val="clear" w:color="auto" w:fill="FFFFFF"/>
          <w:lang w:val="fr-CA"/>
        </w:rPr>
        <w:t> </w:t>
      </w:r>
      <w:r w:rsidRPr="00BD22C2">
        <w:rPr>
          <w:rStyle w:val="normaltextrun"/>
          <w:rFonts w:ascii="Arial" w:hAnsi="Arial" w:cs="Arial"/>
          <w:color w:val="000000"/>
          <w:sz w:val="18"/>
          <w:szCs w:val="18"/>
          <w:shd w:val="clear" w:color="auto" w:fill="FFFFFF"/>
          <w:lang w:val="fr-CA"/>
        </w:rPr>
        <w:t>décembre 2023.</w:t>
      </w:r>
    </w:p>
  </w:endnote>
  <w:endnote w:id="442">
    <w:p w14:paraId="328BFE9A" w14:textId="4C777B71" w:rsidR="00716AE2" w:rsidRPr="00BD22C2" w:rsidRDefault="00716AE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210419" w:rsidRPr="00BD22C2">
        <w:rPr>
          <w:rFonts w:ascii="Arial" w:hAnsi="Arial" w:cs="Arial"/>
          <w:sz w:val="18"/>
          <w:szCs w:val="18"/>
          <w:lang w:val="fr-CA"/>
        </w:rPr>
        <w:tab/>
      </w:r>
      <w:r w:rsidR="00210419" w:rsidRPr="00BD22C2">
        <w:rPr>
          <w:rFonts w:ascii="Arial" w:hAnsi="Arial" w:cs="Arial"/>
          <w:smallCaps/>
          <w:sz w:val="18"/>
          <w:szCs w:val="18"/>
          <w:lang w:val="fr-CA"/>
        </w:rPr>
        <w:t>Conseil des droits de l’homme</w:t>
      </w:r>
      <w:r w:rsidR="00210419" w:rsidRPr="00BD22C2">
        <w:rPr>
          <w:rFonts w:ascii="Arial" w:hAnsi="Arial" w:cs="Arial"/>
          <w:sz w:val="18"/>
          <w:szCs w:val="18"/>
          <w:lang w:val="fr-CA"/>
        </w:rPr>
        <w:t xml:space="preserve">, </w:t>
      </w:r>
      <w:r w:rsidR="00210419" w:rsidRPr="00BD22C2">
        <w:rPr>
          <w:rFonts w:ascii="Arial" w:hAnsi="Arial" w:cs="Arial"/>
          <w:i/>
          <w:sz w:val="18"/>
          <w:szCs w:val="18"/>
          <w:lang w:val="fr-CA"/>
        </w:rPr>
        <w:t>Avis des États et d’autres parties prenantes sur les secteurs cibles, les domaines d’intervention ou les questions thématiques relatives aux droits de l’homme pour la cinquième phase du Programme mondial d’éducation dans le domaine des droits de l’homme, Rapport du Haut -Commissariat des Nations Unies aux droits de l’homme</w:t>
      </w:r>
      <w:r w:rsidR="00210419" w:rsidRPr="00BD22C2">
        <w:rPr>
          <w:rFonts w:ascii="Arial" w:hAnsi="Arial" w:cs="Arial"/>
          <w:sz w:val="18"/>
          <w:szCs w:val="18"/>
          <w:lang w:val="fr-CA"/>
        </w:rPr>
        <w:t>, A/HRC/54/37, 4</w:t>
      </w:r>
      <w:r w:rsidR="00762FE8">
        <w:rPr>
          <w:rFonts w:ascii="Arial" w:hAnsi="Arial" w:cs="Arial"/>
          <w:sz w:val="18"/>
          <w:szCs w:val="18"/>
          <w:lang w:val="fr-CA"/>
        </w:rPr>
        <w:t> </w:t>
      </w:r>
      <w:r w:rsidR="00210419" w:rsidRPr="00BD22C2">
        <w:rPr>
          <w:rFonts w:ascii="Arial" w:hAnsi="Arial" w:cs="Arial"/>
          <w:sz w:val="18"/>
          <w:szCs w:val="18"/>
          <w:lang w:val="fr-CA"/>
        </w:rPr>
        <w:t>août 2023.</w:t>
      </w:r>
    </w:p>
  </w:endnote>
  <w:endnote w:id="443">
    <w:p w14:paraId="4432BE68" w14:textId="2033FF3D"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Conférence mondiale sur les droits de l’homme</w:t>
      </w:r>
      <w:r w:rsidRPr="00BD22C2">
        <w:rPr>
          <w:rFonts w:ascii="Arial" w:hAnsi="Arial" w:cs="Arial"/>
          <w:sz w:val="18"/>
          <w:szCs w:val="18"/>
          <w:lang w:val="fr-CA"/>
        </w:rPr>
        <w:t xml:space="preserve">, </w:t>
      </w:r>
      <w:r w:rsidR="000D4D7E" w:rsidRPr="00BD22C2">
        <w:rPr>
          <w:rFonts w:ascii="Arial" w:hAnsi="Arial" w:cs="Arial"/>
          <w:sz w:val="18"/>
          <w:szCs w:val="18"/>
          <w:lang w:val="fr-CA"/>
        </w:rPr>
        <w:t>préc., note</w:t>
      </w:r>
      <w:r w:rsidR="003D2E26">
        <w:rPr>
          <w:rFonts w:ascii="Arial" w:hAnsi="Arial" w:cs="Arial"/>
          <w:sz w:val="18"/>
          <w:szCs w:val="18"/>
          <w:lang w:val="fr-CA"/>
        </w:rPr>
        <w:t> </w:t>
      </w:r>
      <w:r w:rsidR="000D4D7E" w:rsidRPr="00BD22C2">
        <w:rPr>
          <w:rFonts w:ascii="Arial" w:hAnsi="Arial" w:cs="Arial"/>
          <w:sz w:val="18"/>
          <w:szCs w:val="18"/>
          <w:lang w:val="fr-CA"/>
        </w:rPr>
        <w:fldChar w:fldCharType="begin"/>
      </w:r>
      <w:r w:rsidR="000D4D7E" w:rsidRPr="00BD22C2">
        <w:rPr>
          <w:rFonts w:ascii="Arial" w:hAnsi="Arial" w:cs="Arial"/>
          <w:sz w:val="18"/>
          <w:szCs w:val="18"/>
          <w:lang w:val="fr-CA"/>
        </w:rPr>
        <w:instrText xml:space="preserve"> NOTEREF _Ref166748702 \h </w:instrText>
      </w:r>
      <w:r w:rsidR="000D4D7E" w:rsidRPr="00BD22C2">
        <w:rPr>
          <w:rFonts w:ascii="Arial" w:hAnsi="Arial" w:cs="Arial"/>
          <w:sz w:val="18"/>
          <w:szCs w:val="18"/>
          <w:lang w:val="fr-CA"/>
        </w:rPr>
      </w:r>
      <w:r w:rsidR="000D4D7E" w:rsidRPr="00BD22C2">
        <w:rPr>
          <w:rFonts w:ascii="Arial" w:hAnsi="Arial" w:cs="Arial"/>
          <w:sz w:val="18"/>
          <w:szCs w:val="18"/>
          <w:lang w:val="fr-CA"/>
        </w:rPr>
        <w:fldChar w:fldCharType="separate"/>
      </w:r>
      <w:r w:rsidR="004B4881">
        <w:rPr>
          <w:rFonts w:ascii="Arial" w:hAnsi="Arial" w:cs="Arial"/>
          <w:sz w:val="18"/>
          <w:szCs w:val="18"/>
          <w:lang w:val="fr-CA"/>
        </w:rPr>
        <w:t>213</w:t>
      </w:r>
      <w:r w:rsidR="000D4D7E" w:rsidRPr="00BD22C2">
        <w:rPr>
          <w:rFonts w:ascii="Arial" w:hAnsi="Arial" w:cs="Arial"/>
          <w:sz w:val="18"/>
          <w:szCs w:val="18"/>
          <w:lang w:val="fr-CA"/>
        </w:rPr>
        <w:fldChar w:fldCharType="end"/>
      </w:r>
      <w:r w:rsidRPr="00BD22C2">
        <w:rPr>
          <w:rFonts w:ascii="Arial" w:hAnsi="Arial" w:cs="Arial"/>
          <w:sz w:val="18"/>
          <w:szCs w:val="18"/>
          <w:lang w:val="fr-CA"/>
        </w:rPr>
        <w:t>, par. 78 (ou p.</w:t>
      </w:r>
      <w:r w:rsidR="000F68BF" w:rsidRPr="00BD22C2">
        <w:rPr>
          <w:rFonts w:ascii="Arial" w:hAnsi="Arial" w:cs="Arial"/>
          <w:sz w:val="18"/>
          <w:szCs w:val="18"/>
          <w:lang w:val="fr-CA"/>
        </w:rPr>
        <w:t> </w:t>
      </w:r>
      <w:r w:rsidRPr="00BD22C2">
        <w:rPr>
          <w:rFonts w:ascii="Arial" w:hAnsi="Arial" w:cs="Arial"/>
          <w:sz w:val="18"/>
          <w:szCs w:val="18"/>
          <w:lang w:val="fr-CA"/>
        </w:rPr>
        <w:t>27).</w:t>
      </w:r>
    </w:p>
  </w:endnote>
  <w:endnote w:id="444">
    <w:p w14:paraId="69BF6403" w14:textId="287C263A"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Unesco</w:t>
      </w:r>
      <w:r w:rsidRPr="00BD22C2">
        <w:rPr>
          <w:rFonts w:ascii="Arial" w:hAnsi="Arial" w:cs="Arial"/>
          <w:sz w:val="18"/>
          <w:szCs w:val="18"/>
          <w:lang w:val="fr-CA"/>
        </w:rPr>
        <w:t xml:space="preserve"> et </w:t>
      </w:r>
      <w:r w:rsidRPr="00BD22C2">
        <w:rPr>
          <w:rFonts w:ascii="Arial" w:hAnsi="Arial" w:cs="Arial"/>
          <w:smallCaps/>
          <w:sz w:val="18"/>
          <w:szCs w:val="18"/>
          <w:lang w:val="fr-CA"/>
        </w:rPr>
        <w:t>Haut-Commissariat des Nations Unies aux droits de l’homme</w:t>
      </w:r>
      <w:r w:rsidRPr="00BD22C2">
        <w:rPr>
          <w:rFonts w:ascii="Arial" w:hAnsi="Arial" w:cs="Arial"/>
          <w:sz w:val="18"/>
          <w:szCs w:val="18"/>
          <w:lang w:val="fr-CA"/>
        </w:rPr>
        <w:t xml:space="preserve">, </w:t>
      </w:r>
      <w:r w:rsidRPr="00BD22C2">
        <w:rPr>
          <w:rFonts w:ascii="Arial" w:hAnsi="Arial" w:cs="Arial"/>
          <w:i/>
          <w:sz w:val="18"/>
          <w:szCs w:val="18"/>
          <w:lang w:val="fr-CA"/>
        </w:rPr>
        <w:t xml:space="preserve">Plan d’action. Programme mondial en faveur de l’éducation aux droits de l’homme </w:t>
      </w:r>
      <w:r w:rsidR="0051216B" w:rsidRPr="00BD22C2">
        <w:rPr>
          <w:rFonts w:ascii="Arial" w:hAnsi="Arial" w:cs="Arial"/>
          <w:i/>
          <w:sz w:val="18"/>
          <w:szCs w:val="18"/>
          <w:lang w:val="fr-CA"/>
        </w:rPr>
        <w:t>—</w:t>
      </w:r>
      <w:r w:rsidRPr="00BD22C2">
        <w:rPr>
          <w:rFonts w:ascii="Arial" w:hAnsi="Arial" w:cs="Arial"/>
          <w:i/>
          <w:sz w:val="18"/>
          <w:szCs w:val="18"/>
          <w:lang w:val="fr-CA"/>
        </w:rPr>
        <w:t xml:space="preserve"> Première phase</w:t>
      </w:r>
      <w:r w:rsidRPr="00BD22C2">
        <w:rPr>
          <w:rFonts w:ascii="Arial" w:hAnsi="Arial" w:cs="Arial"/>
          <w:sz w:val="18"/>
          <w:szCs w:val="18"/>
          <w:lang w:val="fr-CA"/>
        </w:rPr>
        <w:t>, 2006, p.</w:t>
      </w:r>
      <w:r w:rsidR="000F68BF" w:rsidRPr="00BD22C2">
        <w:rPr>
          <w:rFonts w:ascii="Arial" w:hAnsi="Arial" w:cs="Arial"/>
          <w:sz w:val="18"/>
          <w:szCs w:val="18"/>
          <w:lang w:val="fr-CA"/>
        </w:rPr>
        <w:t> </w:t>
      </w:r>
      <w:r w:rsidRPr="00BD22C2">
        <w:rPr>
          <w:rFonts w:ascii="Arial" w:hAnsi="Arial" w:cs="Arial"/>
          <w:sz w:val="18"/>
          <w:szCs w:val="18"/>
          <w:lang w:val="fr-CA"/>
        </w:rPr>
        <w:t>1.</w:t>
      </w:r>
    </w:p>
  </w:endnote>
  <w:endnote w:id="445">
    <w:p w14:paraId="6E6CA4D3" w14:textId="62B92ABE"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7061AB" w:rsidRPr="00BD22C2">
        <w:rPr>
          <w:rFonts w:ascii="Arial" w:hAnsi="Arial" w:cs="Arial"/>
          <w:i/>
          <w:iCs/>
          <w:sz w:val="18"/>
          <w:szCs w:val="18"/>
          <w:lang w:val="fr-CA"/>
        </w:rPr>
        <w:t>I</w:t>
      </w:r>
      <w:r w:rsidR="000D4D7E" w:rsidRPr="00BD22C2">
        <w:rPr>
          <w:rFonts w:ascii="Arial" w:hAnsi="Arial" w:cs="Arial"/>
          <w:i/>
          <w:iCs/>
          <w:sz w:val="18"/>
          <w:szCs w:val="18"/>
          <w:lang w:val="fr-CA"/>
        </w:rPr>
        <w:t>d</w:t>
      </w:r>
      <w:r w:rsidRPr="00BD22C2">
        <w:rPr>
          <w:rFonts w:ascii="Arial" w:hAnsi="Arial" w:cs="Arial"/>
          <w:sz w:val="18"/>
          <w:szCs w:val="18"/>
          <w:lang w:val="fr-CA"/>
        </w:rPr>
        <w:t>.</w:t>
      </w:r>
    </w:p>
  </w:endnote>
  <w:endnote w:id="446">
    <w:p w14:paraId="58FC1568" w14:textId="68011876"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Assemblée générale des Nations Unies</w:t>
      </w:r>
      <w:r w:rsidRPr="00BD22C2">
        <w:rPr>
          <w:rFonts w:ascii="Arial" w:hAnsi="Arial" w:cs="Arial"/>
          <w:sz w:val="18"/>
          <w:szCs w:val="18"/>
          <w:lang w:val="fr-CA"/>
        </w:rPr>
        <w:t xml:space="preserve">, </w:t>
      </w:r>
      <w:r w:rsidRPr="00BD22C2">
        <w:rPr>
          <w:rFonts w:ascii="Arial" w:hAnsi="Arial" w:cs="Arial"/>
          <w:i/>
          <w:sz w:val="18"/>
          <w:szCs w:val="18"/>
          <w:lang w:val="fr-CA"/>
        </w:rPr>
        <w:t>Projet de plan d’action pour la première phase (2005-2007) du Programme mondial en faveur de l’éducation aux droits de l’homme</w:t>
      </w:r>
      <w:r w:rsidRPr="00BD22C2">
        <w:rPr>
          <w:rFonts w:ascii="Arial" w:hAnsi="Arial" w:cs="Arial"/>
          <w:sz w:val="18"/>
          <w:szCs w:val="18"/>
          <w:lang w:val="fr-CA"/>
        </w:rPr>
        <w:t>, Cinquante-neuvième session, 2</w:t>
      </w:r>
      <w:r w:rsidR="00762FE8">
        <w:rPr>
          <w:rFonts w:ascii="Arial" w:hAnsi="Arial" w:cs="Arial"/>
          <w:sz w:val="18"/>
          <w:szCs w:val="18"/>
          <w:lang w:val="fr-CA"/>
        </w:rPr>
        <w:t> </w:t>
      </w:r>
      <w:r w:rsidRPr="00BD22C2">
        <w:rPr>
          <w:rFonts w:ascii="Arial" w:hAnsi="Arial" w:cs="Arial"/>
          <w:sz w:val="18"/>
          <w:szCs w:val="18"/>
          <w:lang w:val="fr-CA"/>
        </w:rPr>
        <w:t>mars 2005, p.</w:t>
      </w:r>
      <w:r w:rsidR="000F68BF" w:rsidRPr="00BD22C2">
        <w:rPr>
          <w:rFonts w:ascii="Arial" w:hAnsi="Arial" w:cs="Arial"/>
          <w:sz w:val="18"/>
          <w:szCs w:val="18"/>
          <w:lang w:val="fr-CA"/>
        </w:rPr>
        <w:t> </w:t>
      </w:r>
      <w:r w:rsidRPr="00BD22C2">
        <w:rPr>
          <w:rFonts w:ascii="Arial" w:hAnsi="Arial" w:cs="Arial"/>
          <w:sz w:val="18"/>
          <w:szCs w:val="18"/>
          <w:lang w:val="fr-CA"/>
        </w:rPr>
        <w:t>5.</w:t>
      </w:r>
    </w:p>
  </w:endnote>
  <w:endnote w:id="447">
    <w:p w14:paraId="165A6A01" w14:textId="1E1D04FE" w:rsidR="00327199" w:rsidRPr="00BD22C2" w:rsidRDefault="0032719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B53D5" w:rsidRPr="00BD22C2">
        <w:rPr>
          <w:rFonts w:ascii="Arial" w:hAnsi="Arial" w:cs="Arial"/>
          <w:smallCaps/>
          <w:sz w:val="18"/>
          <w:szCs w:val="18"/>
          <w:lang w:val="fr-CA"/>
        </w:rPr>
        <w:t>Gouvernement du Québec</w:t>
      </w:r>
      <w:r w:rsidR="000B53D5" w:rsidRPr="00BD22C2">
        <w:rPr>
          <w:rFonts w:ascii="Arial" w:hAnsi="Arial" w:cs="Arial"/>
          <w:sz w:val="18"/>
          <w:szCs w:val="18"/>
          <w:lang w:val="fr-CA"/>
        </w:rPr>
        <w:t xml:space="preserve">, </w:t>
      </w:r>
      <w:r w:rsidRPr="00BD22C2">
        <w:rPr>
          <w:rFonts w:ascii="Arial" w:hAnsi="Arial" w:cs="Arial"/>
          <w:smallCaps/>
          <w:sz w:val="18"/>
          <w:szCs w:val="18"/>
          <w:lang w:val="fr-CA"/>
        </w:rPr>
        <w:t>Bureau de lutte contre l’homophobie et la transphobie</w:t>
      </w:r>
      <w:r w:rsidRPr="00BD22C2">
        <w:rPr>
          <w:rFonts w:ascii="Arial" w:hAnsi="Arial" w:cs="Arial"/>
          <w:sz w:val="18"/>
          <w:szCs w:val="18"/>
          <w:lang w:val="fr-CA"/>
        </w:rPr>
        <w:t xml:space="preserve">, </w:t>
      </w:r>
      <w:r w:rsidR="000B53D5" w:rsidRPr="00BD22C2">
        <w:rPr>
          <w:rFonts w:ascii="Arial" w:hAnsi="Arial" w:cs="Arial"/>
          <w:sz w:val="18"/>
          <w:szCs w:val="18"/>
          <w:lang w:val="fr-CA"/>
        </w:rPr>
        <w:t>préc., note</w:t>
      </w:r>
      <w:r w:rsidR="003D2E26">
        <w:rPr>
          <w:rFonts w:ascii="Arial" w:hAnsi="Arial" w:cs="Arial"/>
          <w:sz w:val="18"/>
          <w:szCs w:val="18"/>
          <w:lang w:val="fr-CA"/>
        </w:rPr>
        <w:t> </w:t>
      </w:r>
      <w:r w:rsidR="000B53D5" w:rsidRPr="00BD22C2">
        <w:rPr>
          <w:rFonts w:ascii="Arial" w:hAnsi="Arial" w:cs="Arial"/>
          <w:sz w:val="18"/>
          <w:szCs w:val="18"/>
          <w:lang w:val="fr-CA"/>
        </w:rPr>
        <w:fldChar w:fldCharType="begin"/>
      </w:r>
      <w:r w:rsidR="000B53D5" w:rsidRPr="00BD22C2">
        <w:rPr>
          <w:rFonts w:ascii="Arial" w:hAnsi="Arial" w:cs="Arial"/>
          <w:sz w:val="18"/>
          <w:szCs w:val="18"/>
          <w:lang w:val="fr-CA"/>
        </w:rPr>
        <w:instrText xml:space="preserve"> NOTEREF _Ref166748871 \h </w:instrText>
      </w:r>
      <w:r w:rsidR="000B53D5" w:rsidRPr="00BD22C2">
        <w:rPr>
          <w:rFonts w:ascii="Arial" w:hAnsi="Arial" w:cs="Arial"/>
          <w:sz w:val="18"/>
          <w:szCs w:val="18"/>
          <w:lang w:val="fr-CA"/>
        </w:rPr>
      </w:r>
      <w:r w:rsidR="000B53D5" w:rsidRPr="00BD22C2">
        <w:rPr>
          <w:rFonts w:ascii="Arial" w:hAnsi="Arial" w:cs="Arial"/>
          <w:sz w:val="18"/>
          <w:szCs w:val="18"/>
          <w:lang w:val="fr-CA"/>
        </w:rPr>
        <w:fldChar w:fldCharType="separate"/>
      </w:r>
      <w:r w:rsidR="004B4881">
        <w:rPr>
          <w:rFonts w:ascii="Arial" w:hAnsi="Arial" w:cs="Arial"/>
          <w:sz w:val="18"/>
          <w:szCs w:val="18"/>
          <w:lang w:val="fr-CA"/>
        </w:rPr>
        <w:t>131</w:t>
      </w:r>
      <w:r w:rsidR="000B53D5" w:rsidRPr="00BD22C2">
        <w:rPr>
          <w:rFonts w:ascii="Arial" w:hAnsi="Arial" w:cs="Arial"/>
          <w:sz w:val="18"/>
          <w:szCs w:val="18"/>
          <w:lang w:val="fr-CA"/>
        </w:rPr>
        <w:fldChar w:fldCharType="end"/>
      </w:r>
      <w:r w:rsidR="00615962" w:rsidRPr="00BD22C2">
        <w:rPr>
          <w:rFonts w:ascii="Arial" w:hAnsi="Arial" w:cs="Arial"/>
          <w:sz w:val="18"/>
          <w:szCs w:val="18"/>
          <w:lang w:val="fr-CA"/>
        </w:rPr>
        <w:t>.</w:t>
      </w:r>
    </w:p>
  </w:endnote>
  <w:endnote w:id="448">
    <w:p w14:paraId="2DD71F90" w14:textId="18E81CA2" w:rsidR="00892FD0" w:rsidRPr="00BD22C2" w:rsidRDefault="00892FD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 xml:space="preserve">Conseil des droits de l’homme, </w:t>
      </w:r>
      <w:r w:rsidR="004554B7" w:rsidRPr="00BD22C2">
        <w:rPr>
          <w:rFonts w:ascii="Arial" w:hAnsi="Arial" w:cs="Arial"/>
          <w:i/>
          <w:sz w:val="18"/>
          <w:szCs w:val="18"/>
          <w:lang w:val="fr-CA"/>
        </w:rPr>
        <w:t>Programme mondial d’éducation dans le domaine des droits de l’homme</w:t>
      </w:r>
      <w:r w:rsidR="0051216B" w:rsidRPr="00BD22C2">
        <w:rPr>
          <w:rFonts w:ascii="Arial" w:hAnsi="Arial" w:cs="Arial"/>
          <w:i/>
          <w:sz w:val="18"/>
          <w:szCs w:val="18"/>
          <w:lang w:val="fr-CA"/>
        </w:rPr>
        <w:t> </w:t>
      </w:r>
      <w:r w:rsidR="004554B7" w:rsidRPr="00BD22C2">
        <w:rPr>
          <w:rFonts w:ascii="Arial" w:hAnsi="Arial" w:cs="Arial"/>
          <w:i/>
          <w:sz w:val="18"/>
          <w:szCs w:val="18"/>
          <w:lang w:val="fr-CA"/>
        </w:rPr>
        <w:t>: adoption du plan d’action pour la quatrième phase</w:t>
      </w:r>
      <w:r w:rsidR="004554B7" w:rsidRPr="00BD22C2">
        <w:rPr>
          <w:rFonts w:ascii="Arial" w:hAnsi="Arial" w:cs="Arial"/>
          <w:sz w:val="18"/>
          <w:szCs w:val="18"/>
          <w:lang w:val="fr-CA"/>
        </w:rPr>
        <w:t xml:space="preserve">, </w:t>
      </w:r>
      <w:r w:rsidR="00C20293" w:rsidRPr="00BD22C2">
        <w:rPr>
          <w:rFonts w:ascii="Arial" w:hAnsi="Arial" w:cs="Arial"/>
          <w:sz w:val="18"/>
          <w:szCs w:val="18"/>
          <w:lang w:val="fr-CA"/>
        </w:rPr>
        <w:t>Résolution adoptée par le Conseil des droits de l’homme le 26</w:t>
      </w:r>
      <w:r w:rsidR="00762FE8">
        <w:rPr>
          <w:rFonts w:ascii="Arial" w:hAnsi="Arial" w:cs="Arial"/>
          <w:sz w:val="18"/>
          <w:szCs w:val="18"/>
          <w:lang w:val="fr-CA"/>
        </w:rPr>
        <w:t> </w:t>
      </w:r>
      <w:r w:rsidR="00C20293" w:rsidRPr="00BD22C2">
        <w:rPr>
          <w:rFonts w:ascii="Arial" w:hAnsi="Arial" w:cs="Arial"/>
          <w:sz w:val="18"/>
          <w:szCs w:val="18"/>
          <w:lang w:val="fr-CA"/>
        </w:rPr>
        <w:t>septembre 2019</w:t>
      </w:r>
      <w:r w:rsidR="00635026" w:rsidRPr="00BD22C2">
        <w:rPr>
          <w:rFonts w:ascii="Arial" w:hAnsi="Arial" w:cs="Arial"/>
          <w:sz w:val="18"/>
          <w:szCs w:val="18"/>
          <w:lang w:val="fr-CA"/>
        </w:rPr>
        <w:t xml:space="preserve">, A/HRC/RES/42/7, </w:t>
      </w:r>
      <w:r w:rsidR="0084092A" w:rsidRPr="00BD22C2">
        <w:rPr>
          <w:rFonts w:ascii="Arial" w:hAnsi="Arial" w:cs="Arial"/>
          <w:sz w:val="18"/>
          <w:szCs w:val="18"/>
          <w:lang w:val="fr-CA"/>
        </w:rPr>
        <w:t>42</w:t>
      </w:r>
      <w:r w:rsidR="0084092A" w:rsidRPr="00BD22C2">
        <w:rPr>
          <w:rFonts w:ascii="Arial" w:hAnsi="Arial" w:cs="Arial"/>
          <w:sz w:val="18"/>
          <w:szCs w:val="18"/>
          <w:vertAlign w:val="superscript"/>
          <w:lang w:val="fr-CA"/>
        </w:rPr>
        <w:t>e</w:t>
      </w:r>
      <w:r w:rsidR="0084092A" w:rsidRPr="00BD22C2">
        <w:rPr>
          <w:rFonts w:ascii="Arial" w:hAnsi="Arial" w:cs="Arial"/>
          <w:sz w:val="18"/>
          <w:szCs w:val="18"/>
          <w:lang w:val="fr-CA"/>
        </w:rPr>
        <w:t xml:space="preserve"> sess., </w:t>
      </w:r>
      <w:r w:rsidR="00635026" w:rsidRPr="00BD22C2">
        <w:rPr>
          <w:rFonts w:ascii="Arial" w:hAnsi="Arial" w:cs="Arial"/>
          <w:sz w:val="18"/>
          <w:szCs w:val="18"/>
          <w:lang w:val="fr-CA"/>
        </w:rPr>
        <w:t>4</w:t>
      </w:r>
      <w:r w:rsidR="00762FE8">
        <w:rPr>
          <w:rFonts w:ascii="Arial" w:hAnsi="Arial" w:cs="Arial"/>
          <w:sz w:val="18"/>
          <w:szCs w:val="18"/>
          <w:lang w:val="fr-CA"/>
        </w:rPr>
        <w:t> </w:t>
      </w:r>
      <w:r w:rsidR="00635026" w:rsidRPr="00BD22C2">
        <w:rPr>
          <w:rFonts w:ascii="Arial" w:hAnsi="Arial" w:cs="Arial"/>
          <w:sz w:val="18"/>
          <w:szCs w:val="18"/>
          <w:lang w:val="fr-CA"/>
        </w:rPr>
        <w:t>octobre 2019.</w:t>
      </w:r>
      <w:r w:rsidR="00756B4B" w:rsidRPr="00BD22C2">
        <w:rPr>
          <w:rFonts w:ascii="Arial" w:hAnsi="Arial" w:cs="Arial"/>
          <w:sz w:val="18"/>
          <w:szCs w:val="18"/>
          <w:lang w:val="fr-CA"/>
        </w:rPr>
        <w:t xml:space="preserve"> </w:t>
      </w:r>
    </w:p>
    <w:p w14:paraId="1546500D" w14:textId="12E3CB71" w:rsidR="00892FD0" w:rsidRPr="00BD22C2" w:rsidRDefault="00756B4B" w:rsidP="00B36D7C">
      <w:pPr>
        <w:pStyle w:val="Notedefin"/>
        <w:tabs>
          <w:tab w:val="left" w:pos="709"/>
        </w:tabs>
        <w:spacing w:after="120" w:line="240" w:lineRule="auto"/>
        <w:ind w:left="709" w:hanging="709"/>
        <w:rPr>
          <w:rFonts w:ascii="Arial" w:hAnsi="Arial" w:cs="Arial"/>
          <w:sz w:val="18"/>
          <w:szCs w:val="18"/>
          <w:lang w:val="fr-CA"/>
        </w:rPr>
      </w:pPr>
      <w:r w:rsidRPr="00BD22C2">
        <w:rPr>
          <w:rFonts w:ascii="Arial" w:hAnsi="Arial" w:cs="Arial"/>
          <w:sz w:val="18"/>
          <w:szCs w:val="18"/>
          <w:lang w:val="fr-CA"/>
        </w:rPr>
        <w:tab/>
      </w:r>
      <w:r w:rsidRPr="00BD22C2">
        <w:rPr>
          <w:rStyle w:val="normaltextrun"/>
          <w:rFonts w:ascii="Arial" w:hAnsi="Arial" w:cs="Arial"/>
          <w:sz w:val="18"/>
          <w:szCs w:val="18"/>
          <w:lang w:val="fr-CA"/>
        </w:rPr>
        <w:t>Une cinquième phase est en cours de développement et pourrait s’orienter «</w:t>
      </w:r>
      <w:r w:rsidR="0051216B" w:rsidRPr="00BD22C2">
        <w:rPr>
          <w:rStyle w:val="normaltextrun"/>
          <w:rFonts w:ascii="Arial" w:hAnsi="Arial" w:cs="Arial"/>
          <w:sz w:val="18"/>
          <w:szCs w:val="18"/>
          <w:lang w:val="fr-CA"/>
        </w:rPr>
        <w:t> </w:t>
      </w:r>
      <w:r w:rsidRPr="00BD22C2">
        <w:rPr>
          <w:rStyle w:val="normaltextrun"/>
          <w:rFonts w:ascii="Arial" w:hAnsi="Arial" w:cs="Arial"/>
          <w:sz w:val="18"/>
          <w:szCs w:val="18"/>
          <w:lang w:val="fr-CA"/>
        </w:rPr>
        <w:t>vers certains défis mondiaux à relever d’urgence, en particulier les droits de l’homme dans l’espace numérique, les droits environnementaux et les changements climatiques, et l’égalité des sexes</w:t>
      </w:r>
      <w:r w:rsidR="0051216B" w:rsidRPr="00BD22C2">
        <w:rPr>
          <w:rStyle w:val="normaltextrun"/>
          <w:rFonts w:ascii="Arial" w:hAnsi="Arial" w:cs="Arial"/>
          <w:sz w:val="18"/>
          <w:szCs w:val="18"/>
          <w:lang w:val="fr-CA"/>
        </w:rPr>
        <w:t> </w:t>
      </w:r>
      <w:r w:rsidRPr="00BD22C2">
        <w:rPr>
          <w:rStyle w:val="normaltextrun"/>
          <w:rFonts w:ascii="Arial" w:hAnsi="Arial" w:cs="Arial"/>
          <w:sz w:val="18"/>
          <w:szCs w:val="18"/>
          <w:lang w:val="fr-CA"/>
        </w:rPr>
        <w:t xml:space="preserve">» </w:t>
      </w:r>
      <w:r w:rsidRPr="00BD22C2">
        <w:rPr>
          <w:rFonts w:ascii="Arial" w:hAnsi="Arial" w:cs="Arial"/>
          <w:smallCaps/>
          <w:sz w:val="18"/>
          <w:szCs w:val="18"/>
          <w:lang w:val="fr-CA"/>
        </w:rPr>
        <w:t>Conseil des droits de l’homme</w:t>
      </w:r>
      <w:r w:rsidRPr="00BD22C2">
        <w:rPr>
          <w:rFonts w:ascii="Arial" w:hAnsi="Arial" w:cs="Arial"/>
          <w:sz w:val="18"/>
          <w:szCs w:val="18"/>
          <w:lang w:val="fr-CA"/>
        </w:rPr>
        <w:t xml:space="preserve">, </w:t>
      </w:r>
      <w:r w:rsidR="00FE5DCE" w:rsidRPr="00BD22C2">
        <w:rPr>
          <w:rFonts w:ascii="Arial" w:hAnsi="Arial" w:cs="Arial"/>
          <w:sz w:val="18"/>
          <w:szCs w:val="18"/>
          <w:lang w:val="fr-CA"/>
        </w:rPr>
        <w:t xml:space="preserve">préc., note </w:t>
      </w:r>
      <w:r w:rsidR="00FE5DCE" w:rsidRPr="00BD22C2">
        <w:rPr>
          <w:rFonts w:ascii="Arial" w:hAnsi="Arial" w:cs="Arial"/>
          <w:sz w:val="18"/>
          <w:szCs w:val="18"/>
          <w:lang w:val="fr-CA"/>
        </w:rPr>
        <w:fldChar w:fldCharType="begin"/>
      </w:r>
      <w:r w:rsidR="00FE5DCE" w:rsidRPr="00BD22C2">
        <w:rPr>
          <w:rFonts w:ascii="Arial" w:hAnsi="Arial" w:cs="Arial"/>
          <w:sz w:val="18"/>
          <w:szCs w:val="18"/>
          <w:lang w:val="fr-CA"/>
        </w:rPr>
        <w:instrText xml:space="preserve"> NOTEREF _Ref166752328 \h </w:instrText>
      </w:r>
      <w:r w:rsidR="00FE5DCE" w:rsidRPr="00BD22C2">
        <w:rPr>
          <w:rFonts w:ascii="Arial" w:hAnsi="Arial" w:cs="Arial"/>
          <w:sz w:val="18"/>
          <w:szCs w:val="18"/>
          <w:lang w:val="fr-CA"/>
        </w:rPr>
      </w:r>
      <w:r w:rsidR="00FE5DCE" w:rsidRPr="00BD22C2">
        <w:rPr>
          <w:rFonts w:ascii="Arial" w:hAnsi="Arial" w:cs="Arial"/>
          <w:sz w:val="18"/>
          <w:szCs w:val="18"/>
          <w:lang w:val="fr-CA"/>
        </w:rPr>
        <w:fldChar w:fldCharType="separate"/>
      </w:r>
      <w:r w:rsidR="004B4881">
        <w:rPr>
          <w:rFonts w:ascii="Arial" w:hAnsi="Arial" w:cs="Arial"/>
          <w:sz w:val="18"/>
          <w:szCs w:val="18"/>
          <w:lang w:val="fr-CA"/>
        </w:rPr>
        <w:t>441</w:t>
      </w:r>
      <w:r w:rsidR="00FE5DCE" w:rsidRPr="00BD22C2">
        <w:rPr>
          <w:rFonts w:ascii="Arial" w:hAnsi="Arial" w:cs="Arial"/>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1.</w:t>
      </w:r>
    </w:p>
  </w:endnote>
  <w:endnote w:id="449">
    <w:p w14:paraId="691453F6" w14:textId="1ED14F9B" w:rsidR="00E964C7" w:rsidRPr="00BD22C2" w:rsidRDefault="00E964C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FA2DD0" w:rsidRPr="00BD22C2">
        <w:rPr>
          <w:rFonts w:ascii="Arial" w:hAnsi="Arial" w:cs="Arial"/>
          <w:sz w:val="18"/>
          <w:szCs w:val="18"/>
          <w:lang w:val="fr-CA"/>
        </w:rPr>
        <w:tab/>
      </w:r>
      <w:r w:rsidR="00FA2DD0" w:rsidRPr="00BD22C2">
        <w:rPr>
          <w:rFonts w:ascii="Arial" w:hAnsi="Arial" w:cs="Arial"/>
          <w:smallCaps/>
          <w:sz w:val="18"/>
          <w:szCs w:val="18"/>
          <w:lang w:val="fr-CA"/>
        </w:rPr>
        <w:t>U</w:t>
      </w:r>
      <w:r w:rsidR="00D50B2D">
        <w:rPr>
          <w:rFonts w:ascii="Arial" w:hAnsi="Arial" w:cs="Arial"/>
          <w:smallCaps/>
          <w:sz w:val="18"/>
          <w:szCs w:val="18"/>
          <w:lang w:val="fr-CA"/>
        </w:rPr>
        <w:t>nesco</w:t>
      </w:r>
      <w:r w:rsidR="00FA2DD0" w:rsidRPr="00BD22C2">
        <w:rPr>
          <w:rFonts w:ascii="Arial" w:hAnsi="Arial" w:cs="Arial"/>
          <w:sz w:val="18"/>
          <w:szCs w:val="18"/>
          <w:lang w:val="fr-CA"/>
        </w:rPr>
        <w:t xml:space="preserve">, </w:t>
      </w:r>
      <w:r w:rsidR="00FA2DD0" w:rsidRPr="00BD22C2">
        <w:rPr>
          <w:rFonts w:ascii="Arial" w:hAnsi="Arial" w:cs="Arial"/>
          <w:i/>
          <w:sz w:val="18"/>
          <w:szCs w:val="18"/>
          <w:lang w:val="fr-CA"/>
        </w:rPr>
        <w:t>Principes directeurs internationaux sur l’éducation sexuelle</w:t>
      </w:r>
      <w:r w:rsidR="00A136FD" w:rsidRPr="00BD22C2">
        <w:rPr>
          <w:rFonts w:ascii="Arial" w:hAnsi="Arial" w:cs="Arial"/>
          <w:i/>
          <w:sz w:val="18"/>
          <w:szCs w:val="18"/>
          <w:lang w:val="fr-CA"/>
        </w:rPr>
        <w:t xml:space="preserve"> </w:t>
      </w:r>
      <w:r w:rsidR="0051216B" w:rsidRPr="00BD22C2">
        <w:rPr>
          <w:rFonts w:ascii="Arial" w:hAnsi="Arial" w:cs="Arial"/>
          <w:i/>
          <w:sz w:val="18"/>
          <w:szCs w:val="18"/>
          <w:lang w:val="fr-CA"/>
        </w:rPr>
        <w:t>—</w:t>
      </w:r>
      <w:r w:rsidR="00A136FD" w:rsidRPr="00BD22C2">
        <w:rPr>
          <w:rFonts w:ascii="Arial" w:hAnsi="Arial" w:cs="Arial"/>
          <w:i/>
          <w:sz w:val="18"/>
          <w:szCs w:val="18"/>
          <w:lang w:val="fr-CA"/>
        </w:rPr>
        <w:t xml:space="preserve"> Une approche factuelle</w:t>
      </w:r>
      <w:r w:rsidR="00FA2DD0" w:rsidRPr="00BD22C2">
        <w:rPr>
          <w:rFonts w:ascii="Arial" w:hAnsi="Arial" w:cs="Arial"/>
          <w:sz w:val="18"/>
          <w:szCs w:val="18"/>
          <w:lang w:val="fr-CA"/>
        </w:rPr>
        <w:t>, 2018.</w:t>
      </w:r>
    </w:p>
  </w:endnote>
  <w:endnote w:id="450">
    <w:p w14:paraId="59CE2034" w14:textId="6403D549"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 xml:space="preserve">Mémoire à la Commission des relations avec les citoyens de l’Assemblée nationale sur le document intitulé vers une nouvelle politique québécoise en matière d’immigration, de diversité et d’inclusion </w:t>
      </w:r>
      <w:r w:rsidR="0051216B" w:rsidRPr="00BD22C2">
        <w:rPr>
          <w:rFonts w:ascii="Arial" w:hAnsi="Arial" w:cs="Arial"/>
          <w:i/>
          <w:sz w:val="18"/>
          <w:szCs w:val="18"/>
          <w:lang w:val="fr-CA"/>
        </w:rPr>
        <w:t>—</w:t>
      </w:r>
      <w:r w:rsidRPr="00BD22C2">
        <w:rPr>
          <w:rFonts w:ascii="Arial" w:hAnsi="Arial" w:cs="Arial"/>
          <w:i/>
          <w:sz w:val="18"/>
          <w:szCs w:val="18"/>
          <w:lang w:val="fr-CA"/>
        </w:rPr>
        <w:t xml:space="preserve"> Cahier de consultation</w:t>
      </w:r>
      <w:r w:rsidRPr="00BD22C2">
        <w:rPr>
          <w:rFonts w:ascii="Arial" w:hAnsi="Arial" w:cs="Arial"/>
          <w:sz w:val="18"/>
          <w:szCs w:val="18"/>
          <w:lang w:val="fr-CA"/>
        </w:rPr>
        <w:t xml:space="preserve">, </w:t>
      </w:r>
      <w:r w:rsidR="00A976A0" w:rsidRPr="00BD22C2">
        <w:rPr>
          <w:rFonts w:ascii="Arial" w:hAnsi="Arial" w:cs="Arial"/>
          <w:sz w:val="18"/>
          <w:szCs w:val="18"/>
          <w:lang w:val="fr-CA"/>
        </w:rPr>
        <w:t>(</w:t>
      </w:r>
      <w:r w:rsidRPr="00BD22C2">
        <w:rPr>
          <w:rFonts w:ascii="Arial" w:hAnsi="Arial" w:cs="Arial"/>
          <w:sz w:val="18"/>
          <w:szCs w:val="18"/>
          <w:lang w:val="fr-CA"/>
        </w:rPr>
        <w:t>Cat. 2.120-7.30</w:t>
      </w:r>
      <w:r w:rsidR="00A976A0" w:rsidRPr="00BD22C2">
        <w:rPr>
          <w:rFonts w:ascii="Arial" w:hAnsi="Arial" w:cs="Arial"/>
          <w:sz w:val="18"/>
          <w:szCs w:val="18"/>
          <w:lang w:val="fr-CA"/>
        </w:rPr>
        <w:t>)</w:t>
      </w:r>
      <w:r w:rsidRPr="00BD22C2">
        <w:rPr>
          <w:rFonts w:ascii="Arial" w:hAnsi="Arial" w:cs="Arial"/>
          <w:sz w:val="18"/>
          <w:szCs w:val="18"/>
          <w:lang w:val="fr-CA"/>
        </w:rPr>
        <w:t>, janvier 2015, p.</w:t>
      </w:r>
      <w:r w:rsidR="000F68BF" w:rsidRPr="00BD22C2">
        <w:rPr>
          <w:rFonts w:ascii="Arial" w:hAnsi="Arial" w:cs="Arial"/>
          <w:sz w:val="18"/>
          <w:szCs w:val="18"/>
          <w:lang w:val="fr-CA"/>
        </w:rPr>
        <w:t> </w:t>
      </w:r>
      <w:r w:rsidRPr="00BD22C2">
        <w:rPr>
          <w:rFonts w:ascii="Arial" w:hAnsi="Arial" w:cs="Arial"/>
          <w:sz w:val="18"/>
          <w:szCs w:val="18"/>
          <w:lang w:val="fr-CA"/>
        </w:rPr>
        <w:t>34.</w:t>
      </w:r>
    </w:p>
  </w:endnote>
  <w:endnote w:id="451">
    <w:p w14:paraId="53B65A88" w14:textId="7D43AEB3"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475019"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w:t>
      </w:r>
      <w:r w:rsidR="005720E4" w:rsidRPr="00BD22C2">
        <w:rPr>
          <w:rFonts w:ascii="Arial" w:hAnsi="Arial" w:cs="Arial"/>
          <w:i/>
          <w:sz w:val="18"/>
          <w:szCs w:val="18"/>
          <w:lang w:val="fr-CA"/>
        </w:rPr>
        <w:t xml:space="preserve"> </w:t>
      </w:r>
      <w:r w:rsidR="005720E4" w:rsidRPr="00BD22C2">
        <w:rPr>
          <w:rFonts w:ascii="Arial" w:hAnsi="Arial" w:cs="Arial"/>
          <w:iCs/>
          <w:sz w:val="18"/>
          <w:szCs w:val="18"/>
          <w:lang w:val="fr-CA"/>
        </w:rPr>
        <w:t>préc., note</w:t>
      </w:r>
      <w:r w:rsidR="003D2E26">
        <w:rPr>
          <w:rFonts w:ascii="Arial" w:hAnsi="Arial" w:cs="Arial"/>
          <w:iCs/>
          <w:sz w:val="18"/>
          <w:szCs w:val="18"/>
          <w:lang w:val="fr-CA"/>
        </w:rPr>
        <w:t> </w:t>
      </w:r>
      <w:r w:rsidR="005720E4" w:rsidRPr="00BD22C2">
        <w:rPr>
          <w:rFonts w:ascii="Arial" w:hAnsi="Arial" w:cs="Arial"/>
          <w:iCs/>
          <w:sz w:val="18"/>
          <w:szCs w:val="18"/>
          <w:lang w:val="fr-CA"/>
        </w:rPr>
        <w:fldChar w:fldCharType="begin"/>
      </w:r>
      <w:r w:rsidR="005720E4" w:rsidRPr="00BD22C2">
        <w:rPr>
          <w:rFonts w:ascii="Arial" w:hAnsi="Arial" w:cs="Arial"/>
          <w:iCs/>
          <w:sz w:val="18"/>
          <w:szCs w:val="18"/>
          <w:lang w:val="fr-CA"/>
        </w:rPr>
        <w:instrText xml:space="preserve"> NOTEREF _Ref166749556 \h </w:instrText>
      </w:r>
      <w:r w:rsidR="005720E4" w:rsidRPr="00BD22C2">
        <w:rPr>
          <w:rFonts w:ascii="Arial" w:hAnsi="Arial" w:cs="Arial"/>
          <w:iCs/>
          <w:sz w:val="18"/>
          <w:szCs w:val="18"/>
          <w:lang w:val="fr-CA"/>
        </w:rPr>
      </w:r>
      <w:r w:rsidR="005720E4" w:rsidRPr="00BD22C2">
        <w:rPr>
          <w:rFonts w:ascii="Arial" w:hAnsi="Arial" w:cs="Arial"/>
          <w:iCs/>
          <w:sz w:val="18"/>
          <w:szCs w:val="18"/>
          <w:lang w:val="fr-CA"/>
        </w:rPr>
        <w:fldChar w:fldCharType="separate"/>
      </w:r>
      <w:r w:rsidR="004B4881">
        <w:rPr>
          <w:rFonts w:ascii="Arial" w:hAnsi="Arial" w:cs="Arial"/>
          <w:iCs/>
          <w:sz w:val="18"/>
          <w:szCs w:val="18"/>
          <w:lang w:val="fr-CA"/>
        </w:rPr>
        <w:t>210</w:t>
      </w:r>
      <w:r w:rsidR="005720E4" w:rsidRPr="00BD22C2">
        <w:rPr>
          <w:rFonts w:ascii="Arial" w:hAnsi="Arial" w:cs="Arial"/>
          <w:iCs/>
          <w:sz w:val="18"/>
          <w:szCs w:val="18"/>
          <w:lang w:val="fr-CA"/>
        </w:rPr>
        <w:fldChar w:fldCharType="end"/>
      </w:r>
      <w:r w:rsidRPr="00BD22C2">
        <w:rPr>
          <w:rFonts w:ascii="Arial" w:hAnsi="Arial" w:cs="Arial"/>
          <w:sz w:val="18"/>
          <w:szCs w:val="18"/>
          <w:lang w:val="fr-CA"/>
        </w:rPr>
        <w:t>, p.</w:t>
      </w:r>
      <w:r w:rsidR="000F68BF" w:rsidRPr="00BD22C2">
        <w:rPr>
          <w:rFonts w:ascii="Arial" w:hAnsi="Arial" w:cs="Arial"/>
          <w:sz w:val="18"/>
          <w:szCs w:val="18"/>
          <w:lang w:val="fr-CA"/>
        </w:rPr>
        <w:t> </w:t>
      </w:r>
      <w:r w:rsidRPr="00BD22C2">
        <w:rPr>
          <w:rFonts w:ascii="Arial" w:hAnsi="Arial" w:cs="Arial"/>
          <w:sz w:val="18"/>
          <w:szCs w:val="18"/>
          <w:lang w:val="fr-CA"/>
        </w:rPr>
        <w:t>35</w:t>
      </w:r>
      <w:r w:rsidR="00B41D67" w:rsidRPr="00BD22C2">
        <w:rPr>
          <w:rFonts w:ascii="Arial" w:hAnsi="Arial" w:cs="Arial"/>
          <w:sz w:val="18"/>
          <w:szCs w:val="18"/>
          <w:lang w:val="fr-CA"/>
        </w:rPr>
        <w:t> </w:t>
      </w:r>
      <w:r w:rsidR="00552A90" w:rsidRPr="00BD22C2">
        <w:rPr>
          <w:rFonts w:ascii="Arial" w:hAnsi="Arial" w:cs="Arial"/>
          <w:sz w:val="18"/>
          <w:szCs w:val="18"/>
          <w:lang w:val="fr-CA"/>
        </w:rPr>
        <w:t>;</w:t>
      </w:r>
      <w:r w:rsidR="00ED3B24" w:rsidRPr="00BD22C2">
        <w:rPr>
          <w:rFonts w:ascii="Arial" w:hAnsi="Arial" w:cs="Arial"/>
          <w:sz w:val="18"/>
          <w:szCs w:val="18"/>
          <w:lang w:val="fr-CA"/>
        </w:rPr>
        <w:t xml:space="preserve"> </w:t>
      </w:r>
      <w:r w:rsidR="00552A90" w:rsidRPr="00BD22C2">
        <w:rPr>
          <w:rFonts w:ascii="Arial" w:hAnsi="Arial" w:cs="Arial"/>
          <w:smallCaps/>
          <w:sz w:val="18"/>
          <w:szCs w:val="18"/>
          <w:lang w:val="fr-CA"/>
        </w:rPr>
        <w:t xml:space="preserve">Commission des droits de la personne et des droits de la </w:t>
      </w:r>
      <w:r w:rsidR="00ED3B24" w:rsidRPr="00BD22C2">
        <w:rPr>
          <w:rFonts w:ascii="Arial" w:hAnsi="Arial" w:cs="Arial"/>
          <w:smallCaps/>
          <w:sz w:val="18"/>
          <w:szCs w:val="18"/>
          <w:lang w:val="fr-CA"/>
        </w:rPr>
        <w:t>jeunesse</w:t>
      </w:r>
      <w:r w:rsidRPr="00BD22C2">
        <w:rPr>
          <w:rFonts w:ascii="Arial" w:hAnsi="Arial" w:cs="Arial"/>
          <w:sz w:val="18"/>
          <w:szCs w:val="18"/>
          <w:lang w:val="fr-CA"/>
        </w:rPr>
        <w:t xml:space="preserve">, </w:t>
      </w:r>
      <w:r w:rsidRPr="00BD22C2">
        <w:rPr>
          <w:rFonts w:ascii="Arial" w:hAnsi="Arial" w:cs="Arial"/>
          <w:i/>
          <w:sz w:val="18"/>
          <w:szCs w:val="18"/>
          <w:lang w:val="fr-CA"/>
        </w:rPr>
        <w:t>Réflexion sur la portée et les limites de l’obligation d’accommodement raisonnable en matière religieuse</w:t>
      </w:r>
      <w:r w:rsidRPr="00BD22C2">
        <w:rPr>
          <w:rFonts w:ascii="Arial" w:hAnsi="Arial" w:cs="Arial"/>
          <w:sz w:val="18"/>
          <w:szCs w:val="18"/>
          <w:lang w:val="fr-CA"/>
        </w:rPr>
        <w:t>, 2005, p.</w:t>
      </w:r>
      <w:r w:rsidR="000F68BF" w:rsidRPr="00BD22C2">
        <w:rPr>
          <w:rFonts w:ascii="Arial" w:hAnsi="Arial" w:cs="Arial"/>
          <w:sz w:val="18"/>
          <w:szCs w:val="18"/>
          <w:lang w:val="fr-CA"/>
        </w:rPr>
        <w:t> </w:t>
      </w:r>
      <w:r w:rsidRPr="00BD22C2">
        <w:rPr>
          <w:rFonts w:ascii="Arial" w:hAnsi="Arial" w:cs="Arial"/>
          <w:sz w:val="18"/>
          <w:szCs w:val="18"/>
          <w:lang w:val="fr-CA"/>
        </w:rPr>
        <w:t>5</w:t>
      </w:r>
      <w:r w:rsidR="00BB3F16" w:rsidRPr="00BD22C2">
        <w:rPr>
          <w:rFonts w:ascii="Arial" w:hAnsi="Arial" w:cs="Arial"/>
          <w:sz w:val="18"/>
          <w:szCs w:val="18"/>
          <w:lang w:val="fr-CA"/>
        </w:rPr>
        <w:t> </w:t>
      </w:r>
      <w:r w:rsidRPr="00BD22C2">
        <w:rPr>
          <w:rFonts w:ascii="Arial" w:hAnsi="Arial" w:cs="Arial"/>
          <w:sz w:val="18"/>
          <w:szCs w:val="18"/>
          <w:lang w:val="fr-CA"/>
        </w:rPr>
        <w:t xml:space="preserve">; cités dans </w:t>
      </w:r>
      <w:r w:rsidR="00ED3B24"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BE2742" w:rsidRPr="00BD22C2">
        <w:rPr>
          <w:rFonts w:ascii="Arial" w:hAnsi="Arial" w:cs="Arial"/>
          <w:iCs/>
          <w:sz w:val="18"/>
          <w:szCs w:val="18"/>
          <w:lang w:val="fr-CA"/>
        </w:rPr>
        <w:t>préc.</w:t>
      </w:r>
      <w:r w:rsidRPr="00BD22C2">
        <w:rPr>
          <w:rFonts w:ascii="Arial" w:hAnsi="Arial" w:cs="Arial"/>
          <w:sz w:val="18"/>
          <w:szCs w:val="18"/>
          <w:lang w:val="fr-CA"/>
        </w:rPr>
        <w:t xml:space="preserve">, </w:t>
      </w:r>
      <w:r w:rsidR="00377D50" w:rsidRPr="001B7D53">
        <w:rPr>
          <w:rFonts w:ascii="Arial" w:hAnsi="Arial" w:cs="Arial"/>
          <w:iCs/>
          <w:sz w:val="18"/>
          <w:szCs w:val="18"/>
          <w:lang w:val="fr-CA"/>
        </w:rPr>
        <w:t>note</w:t>
      </w:r>
      <w:r w:rsidR="003D2E26">
        <w:rPr>
          <w:rFonts w:ascii="Arial" w:hAnsi="Arial" w:cs="Arial"/>
          <w:iCs/>
          <w:sz w:val="18"/>
          <w:szCs w:val="18"/>
          <w:lang w:val="fr-CA"/>
        </w:rPr>
        <w:t> </w:t>
      </w:r>
      <w:r w:rsidR="00377D50" w:rsidRPr="001B7D53">
        <w:rPr>
          <w:rFonts w:ascii="Arial" w:hAnsi="Arial" w:cs="Arial"/>
          <w:iCs/>
          <w:sz w:val="18"/>
          <w:szCs w:val="18"/>
          <w:lang w:val="fr-CA"/>
        </w:rPr>
        <w:fldChar w:fldCharType="begin"/>
      </w:r>
      <w:r w:rsidR="00377D50" w:rsidRPr="001B7D53">
        <w:rPr>
          <w:rFonts w:ascii="Arial" w:hAnsi="Arial" w:cs="Arial"/>
          <w:iCs/>
          <w:sz w:val="18"/>
          <w:szCs w:val="18"/>
          <w:lang w:val="fr-CA"/>
        </w:rPr>
        <w:instrText xml:space="preserve"> NOTEREF _Ref166749061 \h </w:instrText>
      </w:r>
      <w:r w:rsidR="003F3AF3" w:rsidRPr="001B7D53">
        <w:rPr>
          <w:rFonts w:ascii="Arial" w:hAnsi="Arial" w:cs="Arial"/>
          <w:iCs/>
          <w:sz w:val="18"/>
          <w:szCs w:val="18"/>
          <w:lang w:val="fr-CA"/>
        </w:rPr>
        <w:instrText xml:space="preserve"> \* MERGEFORMAT </w:instrText>
      </w:r>
      <w:r w:rsidR="00377D50" w:rsidRPr="001B7D53">
        <w:rPr>
          <w:rFonts w:ascii="Arial" w:hAnsi="Arial" w:cs="Arial"/>
          <w:iCs/>
          <w:sz w:val="18"/>
          <w:szCs w:val="18"/>
          <w:lang w:val="fr-CA"/>
        </w:rPr>
      </w:r>
      <w:r w:rsidR="00377D50" w:rsidRPr="001B7D53">
        <w:rPr>
          <w:rFonts w:ascii="Arial" w:hAnsi="Arial" w:cs="Arial"/>
          <w:iCs/>
          <w:sz w:val="18"/>
          <w:szCs w:val="18"/>
          <w:lang w:val="fr-CA"/>
        </w:rPr>
        <w:fldChar w:fldCharType="separate"/>
      </w:r>
      <w:r w:rsidR="004B4881">
        <w:rPr>
          <w:rFonts w:ascii="Arial" w:hAnsi="Arial" w:cs="Arial"/>
          <w:iCs/>
          <w:sz w:val="18"/>
          <w:szCs w:val="18"/>
          <w:lang w:val="fr-CA"/>
        </w:rPr>
        <w:t>449</w:t>
      </w:r>
      <w:r w:rsidR="00377D50" w:rsidRPr="001B7D53">
        <w:rPr>
          <w:rFonts w:ascii="Arial" w:hAnsi="Arial" w:cs="Arial"/>
          <w:iCs/>
          <w:sz w:val="18"/>
          <w:szCs w:val="18"/>
          <w:lang w:val="fr-CA"/>
        </w:rPr>
        <w:fldChar w:fldCharType="end"/>
      </w:r>
      <w:r w:rsidRPr="001B7D53">
        <w:rPr>
          <w:rFonts w:ascii="Arial" w:hAnsi="Arial" w:cs="Arial"/>
          <w:sz w:val="18"/>
          <w:szCs w:val="18"/>
          <w:lang w:val="fr-CA"/>
        </w:rPr>
        <w:t>,</w:t>
      </w:r>
      <w:r w:rsidRPr="00BD22C2">
        <w:rPr>
          <w:rFonts w:ascii="Arial" w:hAnsi="Arial" w:cs="Arial"/>
          <w:sz w:val="18"/>
          <w:szCs w:val="18"/>
          <w:lang w:val="fr-CA"/>
        </w:rPr>
        <w:t xml:space="preserve"> p.</w:t>
      </w:r>
      <w:r w:rsidR="000F68BF" w:rsidRPr="00BD22C2">
        <w:rPr>
          <w:rFonts w:ascii="Arial" w:hAnsi="Arial" w:cs="Arial"/>
          <w:sz w:val="18"/>
          <w:szCs w:val="18"/>
          <w:lang w:val="fr-CA"/>
        </w:rPr>
        <w:t> </w:t>
      </w:r>
      <w:r w:rsidRPr="00BD22C2">
        <w:rPr>
          <w:rFonts w:ascii="Arial" w:hAnsi="Arial" w:cs="Arial"/>
          <w:sz w:val="18"/>
          <w:szCs w:val="18"/>
          <w:lang w:val="fr-CA"/>
        </w:rPr>
        <w:t>29.</w:t>
      </w:r>
    </w:p>
  </w:endnote>
  <w:endnote w:id="452">
    <w:p w14:paraId="15BC05F9" w14:textId="04707A15"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5720E4" w:rsidRPr="00BD22C2">
        <w:rPr>
          <w:rFonts w:ascii="Arial" w:hAnsi="Arial" w:cs="Arial"/>
          <w:iCs/>
          <w:sz w:val="18"/>
          <w:szCs w:val="18"/>
          <w:lang w:val="fr-CA"/>
        </w:rPr>
        <w:t>préc., note</w:t>
      </w:r>
      <w:r w:rsidR="003D2E26">
        <w:rPr>
          <w:rFonts w:ascii="Arial" w:hAnsi="Arial" w:cs="Arial"/>
          <w:iCs/>
          <w:sz w:val="18"/>
          <w:szCs w:val="18"/>
          <w:lang w:val="fr-CA"/>
        </w:rPr>
        <w:t> </w:t>
      </w:r>
      <w:r w:rsidR="005720E4" w:rsidRPr="00BD22C2">
        <w:rPr>
          <w:rFonts w:ascii="Arial" w:hAnsi="Arial" w:cs="Arial"/>
          <w:iCs/>
          <w:sz w:val="18"/>
          <w:szCs w:val="18"/>
          <w:lang w:val="fr-CA"/>
        </w:rPr>
        <w:fldChar w:fldCharType="begin"/>
      </w:r>
      <w:r w:rsidR="005720E4" w:rsidRPr="00BD22C2">
        <w:rPr>
          <w:rFonts w:ascii="Arial" w:hAnsi="Arial" w:cs="Arial"/>
          <w:iCs/>
          <w:sz w:val="18"/>
          <w:szCs w:val="18"/>
          <w:lang w:val="fr-CA"/>
        </w:rPr>
        <w:instrText xml:space="preserve"> NOTEREF _Ref166749556 \h </w:instrText>
      </w:r>
      <w:r w:rsidR="005720E4" w:rsidRPr="00BD22C2">
        <w:rPr>
          <w:rFonts w:ascii="Arial" w:hAnsi="Arial" w:cs="Arial"/>
          <w:iCs/>
          <w:sz w:val="18"/>
          <w:szCs w:val="18"/>
          <w:lang w:val="fr-CA"/>
        </w:rPr>
      </w:r>
      <w:r w:rsidR="005720E4" w:rsidRPr="00BD22C2">
        <w:rPr>
          <w:rFonts w:ascii="Arial" w:hAnsi="Arial" w:cs="Arial"/>
          <w:iCs/>
          <w:sz w:val="18"/>
          <w:szCs w:val="18"/>
          <w:lang w:val="fr-CA"/>
        </w:rPr>
        <w:fldChar w:fldCharType="separate"/>
      </w:r>
      <w:r w:rsidR="004B4881">
        <w:rPr>
          <w:rFonts w:ascii="Arial" w:hAnsi="Arial" w:cs="Arial"/>
          <w:iCs/>
          <w:sz w:val="18"/>
          <w:szCs w:val="18"/>
          <w:lang w:val="fr-CA"/>
        </w:rPr>
        <w:t>210</w:t>
      </w:r>
      <w:r w:rsidR="005720E4" w:rsidRPr="00BD22C2">
        <w:rPr>
          <w:rFonts w:ascii="Arial" w:hAnsi="Arial" w:cs="Arial"/>
          <w:iCs/>
          <w:sz w:val="18"/>
          <w:szCs w:val="18"/>
          <w:lang w:val="fr-CA"/>
        </w:rPr>
        <w:fldChar w:fldCharType="end"/>
      </w:r>
      <w:r w:rsidRPr="00BD22C2">
        <w:rPr>
          <w:rFonts w:ascii="Arial" w:hAnsi="Arial" w:cs="Arial"/>
          <w:sz w:val="18"/>
          <w:szCs w:val="18"/>
          <w:lang w:val="fr-CA"/>
        </w:rPr>
        <w:t>, p.</w:t>
      </w:r>
      <w:r w:rsidR="000F68BF" w:rsidRPr="00BD22C2">
        <w:rPr>
          <w:rFonts w:ascii="Arial" w:hAnsi="Arial" w:cs="Arial"/>
          <w:sz w:val="18"/>
          <w:szCs w:val="18"/>
          <w:lang w:val="fr-CA"/>
        </w:rPr>
        <w:t> </w:t>
      </w:r>
      <w:r w:rsidRPr="00BD22C2">
        <w:rPr>
          <w:rFonts w:ascii="Arial" w:hAnsi="Arial" w:cs="Arial"/>
          <w:sz w:val="18"/>
          <w:szCs w:val="18"/>
          <w:lang w:val="fr-CA"/>
        </w:rPr>
        <w:t>35.</w:t>
      </w:r>
    </w:p>
  </w:endnote>
  <w:endnote w:id="453">
    <w:p w14:paraId="3BC721B1" w14:textId="11950ED8" w:rsidR="000C30F4" w:rsidRPr="00BD22C2" w:rsidRDefault="000C30F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265268" w:rsidRPr="00BD22C2">
        <w:rPr>
          <w:rFonts w:ascii="Arial" w:hAnsi="Arial" w:cs="Arial"/>
          <w:sz w:val="18"/>
          <w:szCs w:val="18"/>
          <w:lang w:val="fr-CA"/>
        </w:rPr>
        <w:tab/>
      </w:r>
      <w:r w:rsidR="00265268" w:rsidRPr="00BD22C2">
        <w:rPr>
          <w:rFonts w:ascii="Arial" w:hAnsi="Arial" w:cs="Arial"/>
          <w:smallCaps/>
          <w:sz w:val="18"/>
          <w:szCs w:val="18"/>
          <w:lang w:val="fr-CA"/>
        </w:rPr>
        <w:t>Commission des droits de la personne et des droits de la jeunesse</w:t>
      </w:r>
      <w:r w:rsidR="00265268" w:rsidRPr="00BD22C2">
        <w:rPr>
          <w:rFonts w:ascii="Arial" w:hAnsi="Arial" w:cs="Arial"/>
          <w:sz w:val="18"/>
          <w:szCs w:val="18"/>
          <w:lang w:val="fr-CA"/>
        </w:rPr>
        <w:t xml:space="preserve">, </w:t>
      </w:r>
      <w:r w:rsidR="00265268" w:rsidRPr="00BD22C2">
        <w:rPr>
          <w:rFonts w:ascii="Arial" w:hAnsi="Arial" w:cs="Arial"/>
          <w:i/>
          <w:sz w:val="18"/>
          <w:szCs w:val="18"/>
          <w:lang w:val="fr-CA"/>
        </w:rPr>
        <w:t>Profilage racial et discrimination systémique des jeunes racisés</w:t>
      </w:r>
      <w:r w:rsidR="0051216B" w:rsidRPr="00BD22C2">
        <w:rPr>
          <w:rFonts w:ascii="Arial" w:hAnsi="Arial" w:cs="Arial"/>
          <w:i/>
          <w:sz w:val="18"/>
          <w:szCs w:val="18"/>
          <w:lang w:val="fr-CA"/>
        </w:rPr>
        <w:t> </w:t>
      </w:r>
      <w:r w:rsidR="00265268" w:rsidRPr="00BD22C2">
        <w:rPr>
          <w:rFonts w:ascii="Arial" w:hAnsi="Arial" w:cs="Arial"/>
          <w:i/>
          <w:sz w:val="18"/>
          <w:szCs w:val="18"/>
          <w:lang w:val="fr-CA"/>
        </w:rPr>
        <w:t xml:space="preserve">: Rapport de la consultation sur le profilage racial et ses conséquences, </w:t>
      </w:r>
      <w:r w:rsidR="00265268" w:rsidRPr="00BD22C2">
        <w:rPr>
          <w:rFonts w:ascii="Arial" w:hAnsi="Arial" w:cs="Arial"/>
          <w:sz w:val="18"/>
          <w:szCs w:val="18"/>
          <w:lang w:val="fr-CA"/>
        </w:rPr>
        <w:t>mai 2011, p.</w:t>
      </w:r>
      <w:r w:rsidR="003D2E26">
        <w:rPr>
          <w:rFonts w:ascii="Arial" w:hAnsi="Arial" w:cs="Arial"/>
          <w:sz w:val="18"/>
          <w:szCs w:val="18"/>
          <w:lang w:val="fr-CA"/>
        </w:rPr>
        <w:t> </w:t>
      </w:r>
      <w:r w:rsidR="00265268" w:rsidRPr="00BD22C2">
        <w:rPr>
          <w:rFonts w:ascii="Arial" w:hAnsi="Arial" w:cs="Arial"/>
          <w:sz w:val="18"/>
          <w:szCs w:val="18"/>
          <w:lang w:val="fr-CA"/>
        </w:rPr>
        <w:t>63</w:t>
      </w:r>
      <w:r w:rsidR="00F43859" w:rsidRPr="00BD22C2">
        <w:rPr>
          <w:rFonts w:ascii="Arial" w:hAnsi="Arial" w:cs="Arial"/>
          <w:sz w:val="18"/>
          <w:szCs w:val="18"/>
          <w:lang w:val="fr-CA"/>
        </w:rPr>
        <w:t>.</w:t>
      </w:r>
    </w:p>
  </w:endnote>
  <w:endnote w:id="454">
    <w:p w14:paraId="3681F914" w14:textId="56B818FD" w:rsidR="00957194" w:rsidRPr="00BD22C2" w:rsidRDefault="0095719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BasPageCar"/>
          <w:smallCaps/>
          <w:lang w:val="fr-CA"/>
        </w:rPr>
        <w:t>Gouvernement du Québec</w:t>
      </w:r>
      <w:r w:rsidRPr="00BD22C2">
        <w:rPr>
          <w:rStyle w:val="NoteBasPageCar"/>
          <w:lang w:val="fr-CA"/>
        </w:rPr>
        <w:t xml:space="preserve">, </w:t>
      </w:r>
      <w:r w:rsidR="00D41583" w:rsidRPr="00BD22C2">
        <w:rPr>
          <w:rStyle w:val="NoteBasPageCar"/>
          <w:iCs/>
          <w:lang w:val="fr-CA"/>
        </w:rPr>
        <w:t>préc., note</w:t>
      </w:r>
      <w:r w:rsidR="003D2E26">
        <w:rPr>
          <w:rStyle w:val="NoteBasPageCar"/>
          <w:iCs/>
          <w:lang w:val="fr-CA"/>
        </w:rPr>
        <w:t> </w:t>
      </w:r>
      <w:r w:rsidR="00D41583" w:rsidRPr="00BD22C2">
        <w:rPr>
          <w:rStyle w:val="NoteBasPageCar"/>
          <w:iCs/>
          <w:lang w:val="fr-CA"/>
        </w:rPr>
        <w:fldChar w:fldCharType="begin"/>
      </w:r>
      <w:r w:rsidR="00D41583" w:rsidRPr="00BD22C2">
        <w:rPr>
          <w:rStyle w:val="NoteBasPageCar"/>
          <w:iCs/>
          <w:lang w:val="fr-CA"/>
        </w:rPr>
        <w:instrText xml:space="preserve"> NOTEREF _Ref166750289 \h </w:instrText>
      </w:r>
      <w:r w:rsidR="00D41583" w:rsidRPr="00BD22C2">
        <w:rPr>
          <w:rStyle w:val="NoteBasPageCar"/>
          <w:iCs/>
          <w:lang w:val="fr-CA"/>
        </w:rPr>
      </w:r>
      <w:r w:rsidR="00D41583" w:rsidRPr="00BD22C2">
        <w:rPr>
          <w:rStyle w:val="NoteBasPageCar"/>
          <w:iCs/>
          <w:lang w:val="fr-CA"/>
        </w:rPr>
        <w:fldChar w:fldCharType="separate"/>
      </w:r>
      <w:r w:rsidR="004B4881">
        <w:rPr>
          <w:rStyle w:val="NoteBasPageCar"/>
          <w:iCs/>
          <w:lang w:val="fr-CA"/>
        </w:rPr>
        <w:t>24</w:t>
      </w:r>
      <w:r w:rsidR="00D41583" w:rsidRPr="00BD22C2">
        <w:rPr>
          <w:rStyle w:val="NoteBasPageCar"/>
          <w:iCs/>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 xml:space="preserve">19. </w:t>
      </w:r>
    </w:p>
  </w:endnote>
  <w:endnote w:id="455">
    <w:p w14:paraId="693DF0E1" w14:textId="6E50A09A"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377D50" w:rsidRPr="00BD22C2">
        <w:rPr>
          <w:rFonts w:ascii="Arial" w:hAnsi="Arial" w:cs="Arial"/>
          <w:iCs/>
          <w:sz w:val="18"/>
          <w:szCs w:val="18"/>
          <w:lang w:val="fr-CA"/>
        </w:rPr>
        <w:t>préc., note</w:t>
      </w:r>
      <w:bookmarkStart w:id="188" w:name="_Hlk163562252"/>
      <w:r w:rsidR="003D2E26">
        <w:rPr>
          <w:rFonts w:ascii="Arial" w:hAnsi="Arial" w:cs="Arial"/>
          <w:iCs/>
          <w:sz w:val="18"/>
          <w:szCs w:val="18"/>
          <w:lang w:val="fr-CA"/>
        </w:rPr>
        <w:t> </w:t>
      </w:r>
      <w:r w:rsidR="00377D50" w:rsidRPr="00BD22C2">
        <w:rPr>
          <w:rFonts w:ascii="Arial" w:hAnsi="Arial" w:cs="Arial"/>
          <w:iCs/>
          <w:sz w:val="18"/>
          <w:szCs w:val="18"/>
          <w:lang w:val="fr-CA"/>
        </w:rPr>
        <w:fldChar w:fldCharType="begin"/>
      </w:r>
      <w:r w:rsidR="00377D50" w:rsidRPr="00BD22C2">
        <w:rPr>
          <w:rFonts w:ascii="Arial" w:hAnsi="Arial" w:cs="Arial"/>
          <w:iCs/>
          <w:sz w:val="18"/>
          <w:szCs w:val="18"/>
          <w:lang w:val="fr-CA"/>
        </w:rPr>
        <w:instrText xml:space="preserve"> NOTEREF _Ref166749061 \h </w:instrText>
      </w:r>
      <w:r w:rsidR="00377D50" w:rsidRPr="00BD22C2">
        <w:rPr>
          <w:rFonts w:ascii="Arial" w:hAnsi="Arial" w:cs="Arial"/>
          <w:iCs/>
          <w:sz w:val="18"/>
          <w:szCs w:val="18"/>
          <w:lang w:val="fr-CA"/>
        </w:rPr>
      </w:r>
      <w:r w:rsidR="00377D50" w:rsidRPr="00BD22C2">
        <w:rPr>
          <w:rFonts w:ascii="Arial" w:hAnsi="Arial" w:cs="Arial"/>
          <w:iCs/>
          <w:sz w:val="18"/>
          <w:szCs w:val="18"/>
          <w:lang w:val="fr-CA"/>
        </w:rPr>
        <w:fldChar w:fldCharType="separate"/>
      </w:r>
      <w:r w:rsidR="004B4881">
        <w:rPr>
          <w:rFonts w:ascii="Arial" w:hAnsi="Arial" w:cs="Arial"/>
          <w:iCs/>
          <w:sz w:val="18"/>
          <w:szCs w:val="18"/>
          <w:lang w:val="fr-CA"/>
        </w:rPr>
        <w:t>449</w:t>
      </w:r>
      <w:r w:rsidR="00377D50" w:rsidRPr="00BD22C2">
        <w:rPr>
          <w:rFonts w:ascii="Arial" w:hAnsi="Arial" w:cs="Arial"/>
          <w:iCs/>
          <w:sz w:val="18"/>
          <w:szCs w:val="18"/>
          <w:lang w:val="fr-CA"/>
        </w:rPr>
        <w:fldChar w:fldCharType="end"/>
      </w:r>
      <w:r w:rsidRPr="00BD22C2">
        <w:rPr>
          <w:rFonts w:ascii="Arial" w:hAnsi="Arial" w:cs="Arial"/>
          <w:sz w:val="18"/>
          <w:szCs w:val="18"/>
          <w:lang w:val="fr-CA"/>
        </w:rPr>
        <w:t xml:space="preserve">, </w:t>
      </w:r>
      <w:bookmarkEnd w:id="188"/>
      <w:r w:rsidRPr="00BD22C2">
        <w:rPr>
          <w:rFonts w:ascii="Arial" w:hAnsi="Arial" w:cs="Arial"/>
          <w:sz w:val="18"/>
          <w:szCs w:val="18"/>
          <w:lang w:val="fr-CA"/>
        </w:rPr>
        <w:t>p.</w:t>
      </w:r>
      <w:r w:rsidR="000F68BF" w:rsidRPr="00BD22C2">
        <w:rPr>
          <w:rFonts w:ascii="Arial" w:hAnsi="Arial" w:cs="Arial"/>
          <w:sz w:val="18"/>
          <w:szCs w:val="18"/>
          <w:lang w:val="fr-CA"/>
        </w:rPr>
        <w:t> </w:t>
      </w:r>
      <w:r w:rsidRPr="00BD22C2">
        <w:rPr>
          <w:rFonts w:ascii="Arial" w:hAnsi="Arial" w:cs="Arial"/>
          <w:sz w:val="18"/>
          <w:szCs w:val="18"/>
          <w:lang w:val="fr-CA"/>
        </w:rPr>
        <w:t>34</w:t>
      </w:r>
      <w:r w:rsidR="00D96F32">
        <w:rPr>
          <w:rFonts w:ascii="Arial" w:hAnsi="Arial" w:cs="Arial"/>
          <w:sz w:val="18"/>
          <w:szCs w:val="18"/>
          <w:lang w:val="fr-CA"/>
        </w:rPr>
        <w:t>.</w:t>
      </w:r>
    </w:p>
  </w:endnote>
  <w:endnote w:id="456">
    <w:p w14:paraId="731C9C3D" w14:textId="50B99F6B" w:rsidR="00C96FC9" w:rsidRPr="00BD22C2" w:rsidRDefault="00C96FC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67898" w:rsidRPr="00BD22C2">
        <w:rPr>
          <w:rFonts w:ascii="Arial" w:hAnsi="Arial" w:cs="Arial"/>
          <w:sz w:val="18"/>
          <w:szCs w:val="18"/>
          <w:lang w:val="fr-CA"/>
        </w:rPr>
        <w:tab/>
      </w:r>
      <w:r w:rsidR="00967898" w:rsidRPr="00BD22C2">
        <w:rPr>
          <w:rFonts w:ascii="Arial" w:hAnsi="Arial" w:cs="Arial"/>
          <w:smallCaps/>
          <w:sz w:val="18"/>
          <w:szCs w:val="18"/>
          <w:lang w:val="fr-CA"/>
        </w:rPr>
        <w:t>Commissaire aux droits de l’homme</w:t>
      </w:r>
      <w:r w:rsidR="00F72292" w:rsidRPr="00BD22C2">
        <w:rPr>
          <w:rFonts w:ascii="Arial" w:hAnsi="Arial" w:cs="Arial"/>
          <w:smallCaps/>
          <w:sz w:val="18"/>
          <w:szCs w:val="18"/>
          <w:lang w:val="fr-CA"/>
        </w:rPr>
        <w:t xml:space="preserve"> — Conseil de l’Europe</w:t>
      </w:r>
      <w:r w:rsidR="00967898" w:rsidRPr="00BD22C2">
        <w:rPr>
          <w:rFonts w:ascii="Arial" w:hAnsi="Arial" w:cs="Arial"/>
          <w:sz w:val="18"/>
          <w:szCs w:val="18"/>
          <w:lang w:val="fr-CA"/>
        </w:rPr>
        <w:t xml:space="preserve">, </w:t>
      </w:r>
      <w:r w:rsidR="00F72292" w:rsidRPr="00BD22C2">
        <w:rPr>
          <w:rFonts w:ascii="Arial" w:hAnsi="Arial" w:cs="Arial"/>
          <w:iCs/>
          <w:sz w:val="18"/>
          <w:szCs w:val="18"/>
          <w:lang w:val="fr-CA"/>
        </w:rPr>
        <w:t>préc., note</w:t>
      </w:r>
      <w:r w:rsidR="003D2E26">
        <w:rPr>
          <w:rFonts w:ascii="Arial" w:hAnsi="Arial" w:cs="Arial"/>
          <w:iCs/>
          <w:sz w:val="18"/>
          <w:szCs w:val="18"/>
          <w:lang w:val="fr-CA"/>
        </w:rPr>
        <w:t> </w:t>
      </w:r>
      <w:r w:rsidR="00F72292" w:rsidRPr="00BD22C2">
        <w:rPr>
          <w:rFonts w:ascii="Arial" w:hAnsi="Arial" w:cs="Arial"/>
          <w:iCs/>
          <w:sz w:val="18"/>
          <w:szCs w:val="18"/>
          <w:lang w:val="fr-CA"/>
        </w:rPr>
        <w:fldChar w:fldCharType="begin"/>
      </w:r>
      <w:r w:rsidR="00F72292" w:rsidRPr="00BD22C2">
        <w:rPr>
          <w:rFonts w:ascii="Arial" w:hAnsi="Arial" w:cs="Arial"/>
          <w:iCs/>
          <w:sz w:val="18"/>
          <w:szCs w:val="18"/>
          <w:lang w:val="fr-CA"/>
        </w:rPr>
        <w:instrText xml:space="preserve"> NOTEREF _Ref166751055 \h </w:instrText>
      </w:r>
      <w:r w:rsidR="00F72292" w:rsidRPr="00BD22C2">
        <w:rPr>
          <w:rFonts w:ascii="Arial" w:hAnsi="Arial" w:cs="Arial"/>
          <w:iCs/>
          <w:sz w:val="18"/>
          <w:szCs w:val="18"/>
          <w:lang w:val="fr-CA"/>
        </w:rPr>
      </w:r>
      <w:r w:rsidR="00F72292" w:rsidRPr="00BD22C2">
        <w:rPr>
          <w:rFonts w:ascii="Arial" w:hAnsi="Arial" w:cs="Arial"/>
          <w:iCs/>
          <w:sz w:val="18"/>
          <w:szCs w:val="18"/>
          <w:lang w:val="fr-CA"/>
        </w:rPr>
        <w:fldChar w:fldCharType="separate"/>
      </w:r>
      <w:r w:rsidR="004B4881">
        <w:rPr>
          <w:rFonts w:ascii="Arial" w:hAnsi="Arial" w:cs="Arial"/>
          <w:iCs/>
          <w:sz w:val="18"/>
          <w:szCs w:val="18"/>
          <w:lang w:val="fr-CA"/>
        </w:rPr>
        <w:t>304</w:t>
      </w:r>
      <w:r w:rsidR="00F72292" w:rsidRPr="00BD22C2">
        <w:rPr>
          <w:rFonts w:ascii="Arial" w:hAnsi="Arial" w:cs="Arial"/>
          <w:iCs/>
          <w:sz w:val="18"/>
          <w:szCs w:val="18"/>
          <w:lang w:val="fr-CA"/>
        </w:rPr>
        <w:fldChar w:fldCharType="end"/>
      </w:r>
      <w:r w:rsidR="00967898" w:rsidRPr="00BD22C2">
        <w:rPr>
          <w:rFonts w:ascii="Arial" w:hAnsi="Arial" w:cs="Arial"/>
          <w:sz w:val="18"/>
          <w:szCs w:val="18"/>
          <w:lang w:val="fr-CA"/>
        </w:rPr>
        <w:t>, p.</w:t>
      </w:r>
      <w:r w:rsidR="003D2E26">
        <w:rPr>
          <w:rFonts w:ascii="Arial" w:hAnsi="Arial" w:cs="Arial"/>
          <w:sz w:val="18"/>
          <w:szCs w:val="18"/>
          <w:lang w:val="fr-CA"/>
        </w:rPr>
        <w:t> </w:t>
      </w:r>
      <w:r w:rsidR="001A5871" w:rsidRPr="00BD22C2">
        <w:rPr>
          <w:rFonts w:ascii="Arial" w:hAnsi="Arial" w:cs="Arial"/>
          <w:sz w:val="18"/>
          <w:szCs w:val="18"/>
          <w:lang w:val="fr-CA"/>
        </w:rPr>
        <w:t>11 (Recommandation</w:t>
      </w:r>
      <w:r w:rsidR="003D2E26">
        <w:rPr>
          <w:rFonts w:ascii="Arial" w:hAnsi="Arial" w:cs="Arial"/>
          <w:sz w:val="18"/>
          <w:szCs w:val="18"/>
          <w:lang w:val="fr-CA"/>
        </w:rPr>
        <w:t> </w:t>
      </w:r>
      <w:r w:rsidR="003037AC" w:rsidRPr="00BD22C2">
        <w:rPr>
          <w:rFonts w:ascii="Arial" w:hAnsi="Arial" w:cs="Arial"/>
          <w:sz w:val="18"/>
          <w:szCs w:val="18"/>
          <w:lang w:val="fr-CA"/>
        </w:rPr>
        <w:t>14)</w:t>
      </w:r>
      <w:r w:rsidR="006301F2" w:rsidRPr="00BD22C2">
        <w:rPr>
          <w:rFonts w:ascii="Arial" w:hAnsi="Arial" w:cs="Arial"/>
          <w:sz w:val="18"/>
          <w:szCs w:val="18"/>
          <w:lang w:val="fr-CA"/>
        </w:rPr>
        <w:t xml:space="preserve">, </w:t>
      </w:r>
      <w:r w:rsidR="002305A6" w:rsidRPr="00BD22C2">
        <w:rPr>
          <w:rFonts w:ascii="Arial" w:hAnsi="Arial" w:cs="Arial"/>
          <w:sz w:val="18"/>
          <w:szCs w:val="18"/>
          <w:lang w:val="fr-CA"/>
        </w:rPr>
        <w:t>p. </w:t>
      </w:r>
      <w:r w:rsidR="00FD5580" w:rsidRPr="00BD22C2">
        <w:rPr>
          <w:rFonts w:ascii="Arial" w:hAnsi="Arial" w:cs="Arial"/>
          <w:sz w:val="18"/>
          <w:szCs w:val="18"/>
          <w:lang w:val="fr-CA"/>
        </w:rPr>
        <w:t>66.</w:t>
      </w:r>
    </w:p>
  </w:endnote>
  <w:endnote w:id="457">
    <w:p w14:paraId="6068A869" w14:textId="4EA302A3" w:rsidR="000A4330" w:rsidRPr="00BD22C2" w:rsidRDefault="000A433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0B7965" w:rsidRPr="00BD22C2">
        <w:rPr>
          <w:rFonts w:ascii="Arial" w:hAnsi="Arial" w:cs="Arial"/>
          <w:sz w:val="18"/>
          <w:szCs w:val="18"/>
          <w:lang w:val="fr-CA"/>
        </w:rPr>
        <w:t xml:space="preserve"> </w:t>
      </w:r>
      <w:r w:rsidR="000B7965" w:rsidRPr="00BD22C2">
        <w:rPr>
          <w:rFonts w:ascii="Arial" w:hAnsi="Arial" w:cs="Arial"/>
          <w:sz w:val="18"/>
          <w:szCs w:val="18"/>
          <w:lang w:val="fr-CA"/>
        </w:rPr>
        <w:tab/>
      </w:r>
      <w:r w:rsidR="002F04B9" w:rsidRPr="00BD22C2">
        <w:rPr>
          <w:rStyle w:val="NoteBasPageCar"/>
          <w:smallCaps/>
          <w:lang w:val="fr-CA"/>
        </w:rPr>
        <w:t>Gouvernement du Québec</w:t>
      </w:r>
      <w:r w:rsidR="002F04B9" w:rsidRPr="00BD22C2">
        <w:rPr>
          <w:rStyle w:val="NoteBasPageCar"/>
          <w:lang w:val="fr-CA"/>
        </w:rPr>
        <w:t xml:space="preserve">, </w:t>
      </w:r>
      <w:r w:rsidR="00D41583" w:rsidRPr="00BD22C2">
        <w:rPr>
          <w:rStyle w:val="NoteBasPageCar"/>
          <w:iCs/>
          <w:lang w:val="fr-CA"/>
        </w:rPr>
        <w:t>préc., note</w:t>
      </w:r>
      <w:r w:rsidR="003D2E26">
        <w:rPr>
          <w:rStyle w:val="NoteBasPageCar"/>
          <w:iCs/>
          <w:lang w:val="fr-CA"/>
        </w:rPr>
        <w:t> </w:t>
      </w:r>
      <w:r w:rsidR="00FF06FA" w:rsidRPr="00BD22C2">
        <w:rPr>
          <w:rStyle w:val="NoteBasPageCar"/>
          <w:iCs/>
          <w:lang w:val="fr-CA"/>
        </w:rPr>
        <w:fldChar w:fldCharType="begin"/>
      </w:r>
      <w:r w:rsidR="00FF06FA" w:rsidRPr="00BD22C2">
        <w:rPr>
          <w:rStyle w:val="NoteBasPageCar"/>
          <w:iCs/>
          <w:lang w:val="fr-CA"/>
        </w:rPr>
        <w:instrText xml:space="preserve"> NOTEREF _Ref166750289 \h </w:instrText>
      </w:r>
      <w:r w:rsidR="00FF06FA" w:rsidRPr="00BD22C2">
        <w:rPr>
          <w:rStyle w:val="NoteBasPageCar"/>
          <w:iCs/>
          <w:lang w:val="fr-CA"/>
        </w:rPr>
      </w:r>
      <w:r w:rsidR="00FF06FA" w:rsidRPr="00BD22C2">
        <w:rPr>
          <w:rStyle w:val="NoteBasPageCar"/>
          <w:iCs/>
          <w:lang w:val="fr-CA"/>
        </w:rPr>
        <w:fldChar w:fldCharType="separate"/>
      </w:r>
      <w:r w:rsidR="004B4881">
        <w:rPr>
          <w:rStyle w:val="NoteBasPageCar"/>
          <w:iCs/>
          <w:lang w:val="fr-CA"/>
        </w:rPr>
        <w:t>24</w:t>
      </w:r>
      <w:r w:rsidR="00FF06FA" w:rsidRPr="00BD22C2">
        <w:rPr>
          <w:rStyle w:val="NoteBasPageCar"/>
          <w:iCs/>
          <w:lang w:val="fr-CA"/>
        </w:rPr>
        <w:fldChar w:fldCharType="end"/>
      </w:r>
      <w:r w:rsidR="000B7965" w:rsidRPr="00BD22C2">
        <w:rPr>
          <w:rFonts w:ascii="Arial" w:hAnsi="Arial" w:cs="Arial"/>
          <w:sz w:val="18"/>
          <w:szCs w:val="18"/>
          <w:lang w:val="fr-CA"/>
        </w:rPr>
        <w:t>, p.</w:t>
      </w:r>
      <w:r w:rsidR="003D2E26">
        <w:rPr>
          <w:rFonts w:ascii="Arial" w:hAnsi="Arial" w:cs="Arial"/>
          <w:sz w:val="18"/>
          <w:szCs w:val="18"/>
          <w:lang w:val="fr-CA"/>
        </w:rPr>
        <w:t> </w:t>
      </w:r>
      <w:r w:rsidR="000B7965" w:rsidRPr="00BD22C2">
        <w:rPr>
          <w:rFonts w:ascii="Arial" w:hAnsi="Arial" w:cs="Arial"/>
          <w:sz w:val="18"/>
          <w:szCs w:val="18"/>
          <w:lang w:val="fr-CA"/>
        </w:rPr>
        <w:t>4.</w:t>
      </w:r>
    </w:p>
  </w:endnote>
  <w:endnote w:id="458">
    <w:p w14:paraId="08986549" w14:textId="6F599BFB" w:rsidR="00143AEF" w:rsidRPr="00BD22C2" w:rsidRDefault="00143AE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FF06FA" w:rsidRPr="00BD22C2">
        <w:rPr>
          <w:rStyle w:val="NoteBasPageCar"/>
          <w:i/>
          <w:iCs/>
          <w:lang w:val="fr-CA"/>
        </w:rPr>
        <w:t>Id</w:t>
      </w:r>
      <w:r w:rsidR="00FF06FA" w:rsidRPr="00BD22C2">
        <w:rPr>
          <w:rStyle w:val="NoteBasPageCar"/>
          <w:smallCaps/>
          <w:lang w:val="fr-CA"/>
        </w:rPr>
        <w:t>.</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6.</w:t>
      </w:r>
    </w:p>
  </w:endnote>
  <w:endnote w:id="459">
    <w:p w14:paraId="4F2B7726" w14:textId="358E7211" w:rsidR="00BA2E6B" w:rsidRPr="00BD22C2" w:rsidRDefault="00BA2E6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FF06FA" w:rsidRPr="00BD22C2">
        <w:rPr>
          <w:rStyle w:val="NoteBasPageCar"/>
          <w:i/>
          <w:iCs/>
          <w:lang w:val="fr-CA"/>
        </w:rPr>
        <w:t>Id.</w:t>
      </w:r>
      <w:r w:rsidR="002305A6" w:rsidRPr="00BD22C2">
        <w:rPr>
          <w:rStyle w:val="NoteBasPageCar"/>
          <w:i/>
          <w:iCs/>
          <w:lang w:val="fr-CA"/>
        </w:rPr>
        <w:t xml:space="preserve"> </w:t>
      </w:r>
      <w:r w:rsidR="006F1590" w:rsidRPr="00BD22C2">
        <w:rPr>
          <w:rFonts w:ascii="Arial" w:hAnsi="Arial" w:cs="Arial"/>
          <w:sz w:val="18"/>
          <w:szCs w:val="18"/>
          <w:lang w:val="fr-CA"/>
        </w:rPr>
        <w:t>p.</w:t>
      </w:r>
      <w:r w:rsidR="003D2E26">
        <w:rPr>
          <w:rFonts w:ascii="Arial" w:hAnsi="Arial" w:cs="Arial"/>
          <w:sz w:val="18"/>
          <w:szCs w:val="18"/>
          <w:lang w:val="fr-CA"/>
        </w:rPr>
        <w:t> </w:t>
      </w:r>
      <w:r w:rsidR="006F1590" w:rsidRPr="00BD22C2">
        <w:rPr>
          <w:rFonts w:ascii="Arial" w:hAnsi="Arial" w:cs="Arial"/>
          <w:sz w:val="18"/>
          <w:szCs w:val="18"/>
          <w:lang w:val="fr-CA"/>
        </w:rPr>
        <w:t>24.</w:t>
      </w:r>
    </w:p>
  </w:endnote>
  <w:endnote w:id="460">
    <w:p w14:paraId="24950B25" w14:textId="7B38B8BD" w:rsidR="00512FB0" w:rsidRPr="00BD22C2" w:rsidRDefault="00512FB0"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6441E4" w:rsidRPr="00BD22C2">
        <w:rPr>
          <w:rFonts w:ascii="Arial" w:hAnsi="Arial" w:cs="Arial"/>
          <w:sz w:val="18"/>
          <w:szCs w:val="18"/>
          <w:lang w:val="fr-CA"/>
        </w:rPr>
        <w:tab/>
      </w:r>
      <w:r w:rsidR="00FF06FA" w:rsidRPr="00BD22C2">
        <w:rPr>
          <w:rStyle w:val="NoteBasPageCar"/>
          <w:i/>
          <w:iCs/>
          <w:lang w:val="fr-CA"/>
        </w:rPr>
        <w:t>Id.</w:t>
      </w:r>
      <w:r w:rsidR="006441E4" w:rsidRPr="00BD22C2">
        <w:rPr>
          <w:rFonts w:ascii="Arial" w:hAnsi="Arial" w:cs="Arial"/>
          <w:sz w:val="18"/>
          <w:szCs w:val="18"/>
          <w:lang w:val="fr-CA"/>
        </w:rPr>
        <w:t>, p.</w:t>
      </w:r>
      <w:r w:rsidR="003D2E26">
        <w:rPr>
          <w:rFonts w:ascii="Arial" w:hAnsi="Arial" w:cs="Arial"/>
          <w:sz w:val="18"/>
          <w:szCs w:val="18"/>
          <w:lang w:val="fr-CA"/>
        </w:rPr>
        <w:t> </w:t>
      </w:r>
      <w:r w:rsidR="006441E4" w:rsidRPr="00BD22C2">
        <w:rPr>
          <w:rFonts w:ascii="Arial" w:hAnsi="Arial" w:cs="Arial"/>
          <w:sz w:val="18"/>
          <w:szCs w:val="18"/>
          <w:lang w:val="fr-CA"/>
        </w:rPr>
        <w:t>24.</w:t>
      </w:r>
    </w:p>
  </w:endnote>
  <w:endnote w:id="461">
    <w:p w14:paraId="084ED643" w14:textId="1654F3D8"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ED3B24" w:rsidRPr="00BD22C2">
        <w:rPr>
          <w:rFonts w:ascii="Arial" w:hAnsi="Arial" w:cs="Arial"/>
          <w:smallCaps/>
          <w:sz w:val="18"/>
          <w:szCs w:val="18"/>
          <w:lang w:val="fr-CA"/>
        </w:rPr>
        <w:t>Commission des droits de la personne et des droits de la jeunesse</w:t>
      </w:r>
      <w:r w:rsidR="00ED3B24" w:rsidRPr="00BD22C2">
        <w:rPr>
          <w:rFonts w:ascii="Arial" w:hAnsi="Arial" w:cs="Arial"/>
          <w:sz w:val="18"/>
          <w:szCs w:val="18"/>
          <w:lang w:val="fr-CA"/>
        </w:rPr>
        <w:t xml:space="preserve">, </w:t>
      </w:r>
      <w:r w:rsidR="00377D50" w:rsidRPr="00BD22C2">
        <w:rPr>
          <w:rFonts w:ascii="Arial" w:hAnsi="Arial" w:cs="Arial"/>
          <w:iCs/>
          <w:sz w:val="18"/>
          <w:szCs w:val="18"/>
          <w:lang w:val="fr-CA"/>
        </w:rPr>
        <w:t>préc., note</w:t>
      </w:r>
      <w:r w:rsidR="003D2E26">
        <w:rPr>
          <w:rFonts w:ascii="Arial" w:hAnsi="Arial" w:cs="Arial"/>
          <w:iCs/>
          <w:sz w:val="18"/>
          <w:szCs w:val="18"/>
          <w:lang w:val="fr-CA"/>
        </w:rPr>
        <w:t> </w:t>
      </w:r>
      <w:r w:rsidR="00377D50" w:rsidRPr="00BD22C2">
        <w:rPr>
          <w:rFonts w:ascii="Arial" w:hAnsi="Arial" w:cs="Arial"/>
          <w:iCs/>
          <w:sz w:val="18"/>
          <w:szCs w:val="18"/>
          <w:lang w:val="fr-CA"/>
        </w:rPr>
        <w:fldChar w:fldCharType="begin"/>
      </w:r>
      <w:r w:rsidR="00377D50" w:rsidRPr="00BD22C2">
        <w:rPr>
          <w:rFonts w:ascii="Arial" w:hAnsi="Arial" w:cs="Arial"/>
          <w:iCs/>
          <w:sz w:val="18"/>
          <w:szCs w:val="18"/>
          <w:lang w:val="fr-CA"/>
        </w:rPr>
        <w:instrText xml:space="preserve"> NOTEREF _Ref166749061 \h </w:instrText>
      </w:r>
      <w:r w:rsidR="00377D50" w:rsidRPr="00BD22C2">
        <w:rPr>
          <w:rFonts w:ascii="Arial" w:hAnsi="Arial" w:cs="Arial"/>
          <w:iCs/>
          <w:sz w:val="18"/>
          <w:szCs w:val="18"/>
          <w:lang w:val="fr-CA"/>
        </w:rPr>
      </w:r>
      <w:r w:rsidR="00377D50" w:rsidRPr="00BD22C2">
        <w:rPr>
          <w:rFonts w:ascii="Arial" w:hAnsi="Arial" w:cs="Arial"/>
          <w:iCs/>
          <w:sz w:val="18"/>
          <w:szCs w:val="18"/>
          <w:lang w:val="fr-CA"/>
        </w:rPr>
        <w:fldChar w:fldCharType="separate"/>
      </w:r>
      <w:r w:rsidR="004B4881">
        <w:rPr>
          <w:rFonts w:ascii="Arial" w:hAnsi="Arial" w:cs="Arial"/>
          <w:iCs/>
          <w:sz w:val="18"/>
          <w:szCs w:val="18"/>
          <w:lang w:val="fr-CA"/>
        </w:rPr>
        <w:t>449</w:t>
      </w:r>
      <w:r w:rsidR="00377D50" w:rsidRPr="00BD22C2">
        <w:rPr>
          <w:rFonts w:ascii="Arial" w:hAnsi="Arial" w:cs="Arial"/>
          <w:iCs/>
          <w:sz w:val="18"/>
          <w:szCs w:val="18"/>
          <w:lang w:val="fr-CA"/>
        </w:rPr>
        <w:fldChar w:fldCharType="end"/>
      </w:r>
      <w:r w:rsidR="00ED3B24" w:rsidRPr="00BD22C2">
        <w:rPr>
          <w:rFonts w:ascii="Arial" w:hAnsi="Arial" w:cs="Arial"/>
          <w:sz w:val="18"/>
          <w:szCs w:val="18"/>
          <w:lang w:val="fr-CA"/>
        </w:rPr>
        <w:t xml:space="preserve">, </w:t>
      </w:r>
      <w:r w:rsidRPr="00BD22C2">
        <w:rPr>
          <w:rFonts w:ascii="Arial" w:hAnsi="Arial" w:cs="Arial"/>
          <w:sz w:val="18"/>
          <w:szCs w:val="18"/>
          <w:lang w:val="fr-CA"/>
        </w:rPr>
        <w:t>p.</w:t>
      </w:r>
      <w:r w:rsidR="000F68BF" w:rsidRPr="00BD22C2">
        <w:rPr>
          <w:rFonts w:ascii="Arial" w:hAnsi="Arial" w:cs="Arial"/>
          <w:sz w:val="18"/>
          <w:szCs w:val="18"/>
          <w:lang w:val="fr-CA"/>
        </w:rPr>
        <w:t> </w:t>
      </w:r>
      <w:r w:rsidRPr="00BD22C2">
        <w:rPr>
          <w:rFonts w:ascii="Arial" w:hAnsi="Arial" w:cs="Arial"/>
          <w:sz w:val="18"/>
          <w:szCs w:val="18"/>
          <w:lang w:val="fr-CA"/>
        </w:rPr>
        <w:t>28.</w:t>
      </w:r>
    </w:p>
  </w:endnote>
  <w:endnote w:id="462">
    <w:p w14:paraId="537E78BE" w14:textId="1C0231F3"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377D50" w:rsidRPr="00BD22C2">
        <w:rPr>
          <w:rFonts w:ascii="Arial" w:hAnsi="Arial" w:cs="Arial"/>
          <w:i/>
          <w:iCs/>
          <w:sz w:val="18"/>
          <w:szCs w:val="18"/>
          <w:lang w:val="fr-CA"/>
        </w:rPr>
        <w:t>Id</w:t>
      </w:r>
      <w:r w:rsidRPr="00BD22C2">
        <w:rPr>
          <w:rFonts w:ascii="Arial" w:hAnsi="Arial" w:cs="Arial"/>
          <w:sz w:val="18"/>
          <w:szCs w:val="18"/>
          <w:lang w:val="fr-CA"/>
        </w:rPr>
        <w:t>.</w:t>
      </w:r>
    </w:p>
  </w:endnote>
  <w:endnote w:id="463">
    <w:p w14:paraId="71135D00" w14:textId="24BEC1C4" w:rsidR="003E4C19" w:rsidRPr="00BD22C2" w:rsidRDefault="003E4C1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377D50" w:rsidRPr="00BD22C2">
        <w:rPr>
          <w:rFonts w:ascii="Arial" w:hAnsi="Arial" w:cs="Arial"/>
          <w:i/>
          <w:iCs/>
          <w:sz w:val="18"/>
          <w:szCs w:val="18"/>
          <w:lang w:val="fr-CA"/>
        </w:rPr>
        <w:t>Id</w:t>
      </w:r>
      <w:r w:rsidR="00ED3B24" w:rsidRPr="00BD22C2" w:rsidDel="0078253B">
        <w:rPr>
          <w:rFonts w:ascii="Arial" w:hAnsi="Arial" w:cs="Arial"/>
          <w:sz w:val="18"/>
          <w:szCs w:val="18"/>
          <w:lang w:val="fr-CA"/>
        </w:rPr>
        <w:t>,</w:t>
      </w:r>
      <w:r w:rsidRPr="00BD22C2">
        <w:rPr>
          <w:rFonts w:ascii="Arial" w:hAnsi="Arial" w:cs="Arial"/>
          <w:sz w:val="18"/>
          <w:szCs w:val="18"/>
          <w:lang w:val="fr-CA"/>
        </w:rPr>
        <w:t xml:space="preserve"> p.</w:t>
      </w:r>
      <w:r w:rsidR="000F68BF" w:rsidRPr="00BD22C2">
        <w:rPr>
          <w:rFonts w:ascii="Arial" w:hAnsi="Arial" w:cs="Arial"/>
          <w:sz w:val="18"/>
          <w:szCs w:val="18"/>
          <w:lang w:val="fr-CA"/>
        </w:rPr>
        <w:t> </w:t>
      </w:r>
      <w:r w:rsidR="007F492C" w:rsidRPr="00BD22C2">
        <w:rPr>
          <w:rFonts w:ascii="Arial" w:hAnsi="Arial" w:cs="Arial"/>
          <w:sz w:val="18"/>
          <w:szCs w:val="18"/>
          <w:lang w:val="fr-CA"/>
        </w:rPr>
        <w:t>36.</w:t>
      </w:r>
    </w:p>
  </w:endnote>
  <w:endnote w:id="464">
    <w:p w14:paraId="7E3A1110" w14:textId="4398C3A7" w:rsidR="007D6E3D" w:rsidRPr="00BD22C2" w:rsidRDefault="007D6E3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857110" w:rsidRPr="00BD22C2">
        <w:rPr>
          <w:rFonts w:ascii="Arial" w:hAnsi="Arial" w:cs="Arial"/>
          <w:sz w:val="18"/>
          <w:szCs w:val="18"/>
          <w:lang w:val="fr-CA"/>
        </w:rPr>
        <w:tab/>
      </w:r>
      <w:r w:rsidR="00E277D1" w:rsidRPr="00BD22C2">
        <w:rPr>
          <w:rFonts w:ascii="Arial" w:hAnsi="Arial" w:cs="Arial"/>
          <w:i/>
          <w:sz w:val="18"/>
          <w:szCs w:val="18"/>
          <w:lang w:val="fr-CA"/>
        </w:rPr>
        <w:t>Loi sur l’instruction publique</w:t>
      </w:r>
      <w:r w:rsidR="00E277D1" w:rsidRPr="00BD22C2">
        <w:rPr>
          <w:rFonts w:ascii="Arial" w:hAnsi="Arial" w:cs="Arial"/>
          <w:sz w:val="18"/>
          <w:szCs w:val="18"/>
          <w:lang w:val="fr-CA"/>
        </w:rPr>
        <w:t xml:space="preserve">, </w:t>
      </w:r>
      <w:r w:rsidR="00AE0946" w:rsidRPr="00BD22C2">
        <w:rPr>
          <w:rFonts w:ascii="Arial" w:hAnsi="Arial" w:cs="Arial"/>
          <w:sz w:val="18"/>
          <w:szCs w:val="18"/>
          <w:lang w:val="fr-CA"/>
        </w:rPr>
        <w:t>R</w:t>
      </w:r>
      <w:r w:rsidR="00E277D1" w:rsidRPr="00BD22C2">
        <w:rPr>
          <w:rFonts w:ascii="Arial" w:hAnsi="Arial" w:cs="Arial"/>
          <w:sz w:val="18"/>
          <w:szCs w:val="18"/>
          <w:lang w:val="fr-CA"/>
        </w:rPr>
        <w:t xml:space="preserve">LRQ, c. </w:t>
      </w:r>
      <w:r w:rsidR="00B74230" w:rsidRPr="00BD22C2">
        <w:rPr>
          <w:rFonts w:ascii="Arial" w:hAnsi="Arial" w:cs="Arial"/>
          <w:sz w:val="18"/>
          <w:szCs w:val="18"/>
          <w:lang w:val="fr-CA"/>
        </w:rPr>
        <w:t>I</w:t>
      </w:r>
      <w:r w:rsidR="003D2E26">
        <w:rPr>
          <w:rFonts w:ascii="Arial" w:hAnsi="Arial" w:cs="Arial"/>
          <w:sz w:val="18"/>
          <w:szCs w:val="18"/>
          <w:lang w:val="fr-CA"/>
        </w:rPr>
        <w:t> </w:t>
      </w:r>
      <w:r w:rsidR="0051216B" w:rsidRPr="00BD22C2">
        <w:rPr>
          <w:rFonts w:ascii="Arial" w:hAnsi="Arial" w:cs="Arial"/>
          <w:sz w:val="18"/>
          <w:szCs w:val="18"/>
          <w:lang w:val="fr-CA"/>
        </w:rPr>
        <w:t>—</w:t>
      </w:r>
      <w:r w:rsidR="00B74230" w:rsidRPr="00BD22C2">
        <w:rPr>
          <w:rFonts w:ascii="Arial" w:hAnsi="Arial" w:cs="Arial"/>
          <w:sz w:val="18"/>
          <w:szCs w:val="18"/>
          <w:lang w:val="fr-CA"/>
        </w:rPr>
        <w:t>13.3</w:t>
      </w:r>
      <w:r w:rsidR="00857110" w:rsidRPr="00BD22C2">
        <w:rPr>
          <w:rFonts w:ascii="Arial" w:hAnsi="Arial" w:cs="Arial"/>
          <w:sz w:val="18"/>
          <w:szCs w:val="18"/>
          <w:lang w:val="fr-CA"/>
        </w:rPr>
        <w:t>, art.</w:t>
      </w:r>
      <w:r w:rsidR="003D2E26">
        <w:rPr>
          <w:rFonts w:ascii="Arial" w:hAnsi="Arial" w:cs="Arial"/>
          <w:sz w:val="18"/>
          <w:szCs w:val="18"/>
          <w:lang w:val="fr-CA"/>
        </w:rPr>
        <w:t> </w:t>
      </w:r>
      <w:r w:rsidR="00857110" w:rsidRPr="00BD22C2">
        <w:rPr>
          <w:rFonts w:ascii="Arial" w:hAnsi="Arial" w:cs="Arial"/>
          <w:sz w:val="18"/>
          <w:szCs w:val="18"/>
          <w:lang w:val="fr-CA"/>
        </w:rPr>
        <w:t>36</w:t>
      </w:r>
      <w:r w:rsidR="00D07597" w:rsidRPr="00BD22C2">
        <w:rPr>
          <w:rFonts w:ascii="Arial" w:hAnsi="Arial" w:cs="Arial"/>
          <w:sz w:val="18"/>
          <w:szCs w:val="18"/>
          <w:lang w:val="fr-CA"/>
        </w:rPr>
        <w:t xml:space="preserve"> (ci-après «</w:t>
      </w:r>
      <w:r w:rsidR="00906C69" w:rsidRPr="00BD22C2">
        <w:rPr>
          <w:rFonts w:ascii="Arial" w:hAnsi="Arial" w:cs="Arial"/>
          <w:sz w:val="18"/>
          <w:szCs w:val="18"/>
          <w:lang w:val="fr-CA"/>
        </w:rPr>
        <w:t> </w:t>
      </w:r>
      <w:r w:rsidR="00D07597" w:rsidRPr="00BD22C2">
        <w:rPr>
          <w:rFonts w:ascii="Arial" w:hAnsi="Arial" w:cs="Arial"/>
          <w:sz w:val="18"/>
          <w:szCs w:val="18"/>
          <w:lang w:val="fr-CA"/>
        </w:rPr>
        <w:t>LIP</w:t>
      </w:r>
      <w:r w:rsidR="00906C69" w:rsidRPr="00BD22C2">
        <w:rPr>
          <w:rFonts w:ascii="Arial" w:hAnsi="Arial" w:cs="Arial"/>
          <w:sz w:val="18"/>
          <w:szCs w:val="18"/>
          <w:lang w:val="fr-CA"/>
        </w:rPr>
        <w:t> </w:t>
      </w:r>
      <w:r w:rsidR="00D07597" w:rsidRPr="00BD22C2">
        <w:rPr>
          <w:rFonts w:ascii="Arial" w:hAnsi="Arial" w:cs="Arial"/>
          <w:sz w:val="18"/>
          <w:szCs w:val="18"/>
          <w:lang w:val="fr-CA"/>
        </w:rPr>
        <w:t>»)</w:t>
      </w:r>
      <w:r w:rsidR="00451016">
        <w:rPr>
          <w:rFonts w:ascii="Arial" w:hAnsi="Arial" w:cs="Arial"/>
          <w:sz w:val="18"/>
          <w:szCs w:val="18"/>
          <w:lang w:val="fr-CA"/>
        </w:rPr>
        <w:t>.</w:t>
      </w:r>
    </w:p>
  </w:endnote>
  <w:endnote w:id="465">
    <w:p w14:paraId="113E5ACE" w14:textId="3ABF701A" w:rsidR="0052643B" w:rsidRPr="00BD22C2" w:rsidRDefault="0052643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6E0E8E" w:rsidRPr="00BD22C2">
        <w:rPr>
          <w:rFonts w:ascii="Arial" w:hAnsi="Arial" w:cs="Arial"/>
          <w:sz w:val="18"/>
          <w:szCs w:val="18"/>
          <w:lang w:val="fr-CA"/>
        </w:rPr>
        <w:tab/>
      </w:r>
      <w:r w:rsidR="006E0E8E" w:rsidRPr="00BD22C2">
        <w:rPr>
          <w:rFonts w:ascii="Arial" w:hAnsi="Arial" w:cs="Arial"/>
          <w:smallCaps/>
          <w:sz w:val="18"/>
          <w:szCs w:val="18"/>
          <w:lang w:val="fr-CA"/>
        </w:rPr>
        <w:t>U</w:t>
      </w:r>
      <w:r w:rsidR="001B34D0">
        <w:rPr>
          <w:rFonts w:ascii="Arial" w:hAnsi="Arial" w:cs="Arial"/>
          <w:smallCaps/>
          <w:sz w:val="18"/>
          <w:szCs w:val="18"/>
          <w:lang w:val="fr-CA"/>
        </w:rPr>
        <w:t>nesco</w:t>
      </w:r>
      <w:r w:rsidR="006E0E8E" w:rsidRPr="00BD22C2">
        <w:rPr>
          <w:rFonts w:ascii="Arial" w:hAnsi="Arial" w:cs="Arial"/>
          <w:sz w:val="18"/>
          <w:szCs w:val="18"/>
          <w:lang w:val="fr-CA"/>
        </w:rPr>
        <w:t xml:space="preserve">, </w:t>
      </w:r>
      <w:r w:rsidR="00BE2742" w:rsidRPr="00BD22C2">
        <w:rPr>
          <w:rFonts w:ascii="Arial" w:hAnsi="Arial" w:cs="Arial"/>
          <w:iCs/>
          <w:sz w:val="18"/>
          <w:szCs w:val="18"/>
          <w:lang w:val="fr-CA"/>
        </w:rPr>
        <w:t xml:space="preserve">préc., note </w:t>
      </w:r>
      <w:r w:rsidR="00BE2742" w:rsidRPr="00BD22C2">
        <w:rPr>
          <w:rFonts w:ascii="Arial" w:hAnsi="Arial" w:cs="Arial"/>
          <w:iCs/>
          <w:sz w:val="18"/>
          <w:szCs w:val="18"/>
          <w:lang w:val="fr-CA"/>
        </w:rPr>
        <w:fldChar w:fldCharType="begin"/>
      </w:r>
      <w:r w:rsidR="00BE2742" w:rsidRPr="00BD22C2">
        <w:rPr>
          <w:rFonts w:ascii="Arial" w:hAnsi="Arial" w:cs="Arial"/>
          <w:iCs/>
          <w:sz w:val="18"/>
          <w:szCs w:val="18"/>
          <w:lang w:val="fr-CA"/>
        </w:rPr>
        <w:instrText xml:space="preserve"> NOTEREF _Ref166748974 \h </w:instrText>
      </w:r>
      <w:r w:rsidR="00BE2742" w:rsidRPr="00BD22C2">
        <w:rPr>
          <w:rFonts w:ascii="Arial" w:hAnsi="Arial" w:cs="Arial"/>
          <w:iCs/>
          <w:sz w:val="18"/>
          <w:szCs w:val="18"/>
          <w:lang w:val="fr-CA"/>
        </w:rPr>
      </w:r>
      <w:r w:rsidR="00BE2742" w:rsidRPr="00BD22C2">
        <w:rPr>
          <w:rFonts w:ascii="Arial" w:hAnsi="Arial" w:cs="Arial"/>
          <w:iCs/>
          <w:sz w:val="18"/>
          <w:szCs w:val="18"/>
          <w:lang w:val="fr-CA"/>
        </w:rPr>
        <w:fldChar w:fldCharType="separate"/>
      </w:r>
      <w:r w:rsidR="004B4881">
        <w:rPr>
          <w:rFonts w:ascii="Arial" w:hAnsi="Arial" w:cs="Arial"/>
          <w:iCs/>
          <w:sz w:val="18"/>
          <w:szCs w:val="18"/>
          <w:lang w:val="fr-CA"/>
        </w:rPr>
        <w:t>448</w:t>
      </w:r>
      <w:r w:rsidR="00BE2742" w:rsidRPr="00BD22C2">
        <w:rPr>
          <w:rFonts w:ascii="Arial" w:hAnsi="Arial" w:cs="Arial"/>
          <w:iCs/>
          <w:sz w:val="18"/>
          <w:szCs w:val="18"/>
          <w:lang w:val="fr-CA"/>
        </w:rPr>
        <w:fldChar w:fldCharType="end"/>
      </w:r>
      <w:r w:rsidR="006E0E8E" w:rsidRPr="00BD22C2">
        <w:rPr>
          <w:rFonts w:ascii="Arial" w:hAnsi="Arial" w:cs="Arial"/>
          <w:sz w:val="18"/>
          <w:szCs w:val="18"/>
          <w:lang w:val="fr-CA"/>
        </w:rPr>
        <w:t>, p.</w:t>
      </w:r>
      <w:r w:rsidR="003D2E26">
        <w:rPr>
          <w:rFonts w:ascii="Arial" w:hAnsi="Arial" w:cs="Arial"/>
          <w:sz w:val="18"/>
          <w:szCs w:val="18"/>
          <w:lang w:val="fr-CA"/>
        </w:rPr>
        <w:t> </w:t>
      </w:r>
      <w:r w:rsidR="006E0E8E" w:rsidRPr="00BD22C2">
        <w:rPr>
          <w:rFonts w:ascii="Arial" w:hAnsi="Arial" w:cs="Arial"/>
          <w:sz w:val="18"/>
          <w:szCs w:val="18"/>
          <w:lang w:val="fr-CA"/>
        </w:rPr>
        <w:t>23.</w:t>
      </w:r>
    </w:p>
  </w:endnote>
  <w:endnote w:id="466">
    <w:p w14:paraId="4EF50AA2" w14:textId="318E9BCA" w:rsidR="000B3D0B" w:rsidRPr="00E16C03" w:rsidRDefault="000B3D0B" w:rsidP="000D00B3">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D327A6" w:rsidRPr="00BD22C2">
        <w:rPr>
          <w:rFonts w:ascii="Arial" w:hAnsi="Arial" w:cs="Arial"/>
          <w:sz w:val="18"/>
          <w:szCs w:val="18"/>
          <w:lang w:val="fr-CA"/>
        </w:rPr>
        <w:tab/>
      </w:r>
      <w:r w:rsidR="00D327A6" w:rsidRPr="00BD22C2">
        <w:rPr>
          <w:rFonts w:ascii="Arial" w:hAnsi="Arial" w:cs="Arial"/>
          <w:smallCaps/>
          <w:sz w:val="18"/>
          <w:szCs w:val="18"/>
          <w:lang w:val="fr-CA"/>
        </w:rPr>
        <w:t>Commission des droits de la personne et des droits de la jeunesse</w:t>
      </w:r>
      <w:r w:rsidR="00D327A6" w:rsidRPr="00BD22C2">
        <w:rPr>
          <w:rFonts w:ascii="Arial" w:hAnsi="Arial" w:cs="Arial"/>
          <w:sz w:val="18"/>
          <w:szCs w:val="18"/>
          <w:lang w:val="fr-CA"/>
        </w:rPr>
        <w:t xml:space="preserve">, </w:t>
      </w:r>
      <w:r w:rsidR="00DA0A95" w:rsidRPr="00BD22C2">
        <w:rPr>
          <w:rFonts w:ascii="Arial" w:hAnsi="Arial" w:cs="Arial"/>
          <w:iCs/>
          <w:sz w:val="18"/>
          <w:szCs w:val="18"/>
          <w:lang w:val="fr-CA"/>
        </w:rPr>
        <w:t>préc., note</w:t>
      </w:r>
      <w:r w:rsidR="003D2E26">
        <w:rPr>
          <w:rFonts w:ascii="Arial" w:hAnsi="Arial" w:cs="Arial"/>
          <w:iCs/>
          <w:sz w:val="18"/>
          <w:szCs w:val="18"/>
          <w:lang w:val="fr-CA"/>
        </w:rPr>
        <w:t> </w:t>
      </w:r>
      <w:r w:rsidR="00DA0A95" w:rsidRPr="00BD22C2">
        <w:rPr>
          <w:rFonts w:ascii="Arial" w:hAnsi="Arial" w:cs="Arial"/>
          <w:iCs/>
          <w:sz w:val="18"/>
          <w:szCs w:val="18"/>
          <w:lang w:val="fr-CA"/>
        </w:rPr>
        <w:fldChar w:fldCharType="begin"/>
      </w:r>
      <w:r w:rsidR="00DA0A95" w:rsidRPr="00BD22C2">
        <w:rPr>
          <w:rFonts w:ascii="Arial" w:hAnsi="Arial" w:cs="Arial"/>
          <w:iCs/>
          <w:sz w:val="18"/>
          <w:szCs w:val="18"/>
          <w:lang w:val="fr-CA"/>
        </w:rPr>
        <w:instrText xml:space="preserve"> NOTEREF _Ref166749987 \h </w:instrText>
      </w:r>
      <w:r w:rsidR="00DA0A95" w:rsidRPr="00BD22C2">
        <w:rPr>
          <w:rFonts w:ascii="Arial" w:hAnsi="Arial" w:cs="Arial"/>
          <w:iCs/>
          <w:sz w:val="18"/>
          <w:szCs w:val="18"/>
          <w:lang w:val="fr-CA"/>
        </w:rPr>
      </w:r>
      <w:r w:rsidR="00DA0A95" w:rsidRPr="00BD22C2">
        <w:rPr>
          <w:rFonts w:ascii="Arial" w:hAnsi="Arial" w:cs="Arial"/>
          <w:iCs/>
          <w:sz w:val="18"/>
          <w:szCs w:val="18"/>
          <w:lang w:val="fr-CA"/>
        </w:rPr>
        <w:fldChar w:fldCharType="separate"/>
      </w:r>
      <w:r w:rsidR="004B4881">
        <w:rPr>
          <w:rFonts w:ascii="Arial" w:hAnsi="Arial" w:cs="Arial"/>
          <w:iCs/>
          <w:sz w:val="18"/>
          <w:szCs w:val="18"/>
          <w:lang w:val="fr-CA"/>
        </w:rPr>
        <w:t>10</w:t>
      </w:r>
      <w:r w:rsidR="00DA0A95" w:rsidRPr="00BD22C2">
        <w:rPr>
          <w:rFonts w:ascii="Arial" w:hAnsi="Arial" w:cs="Arial"/>
          <w:iCs/>
          <w:sz w:val="18"/>
          <w:szCs w:val="18"/>
          <w:lang w:val="fr-CA"/>
        </w:rPr>
        <w:fldChar w:fldCharType="end"/>
      </w:r>
      <w:r w:rsidR="00D327A6" w:rsidRPr="00BD22C2">
        <w:rPr>
          <w:rFonts w:ascii="Arial" w:hAnsi="Arial" w:cs="Arial"/>
          <w:sz w:val="18"/>
          <w:szCs w:val="18"/>
          <w:lang w:val="fr-CA"/>
        </w:rPr>
        <w:t>, p.</w:t>
      </w:r>
      <w:r w:rsidR="003D2E26">
        <w:rPr>
          <w:rFonts w:ascii="Arial" w:hAnsi="Arial" w:cs="Arial"/>
          <w:sz w:val="18"/>
          <w:szCs w:val="18"/>
          <w:lang w:val="fr-CA"/>
        </w:rPr>
        <w:t> </w:t>
      </w:r>
      <w:r w:rsidR="00D327A6" w:rsidRPr="00BD22C2">
        <w:rPr>
          <w:rFonts w:ascii="Arial" w:hAnsi="Arial" w:cs="Arial"/>
          <w:sz w:val="18"/>
          <w:szCs w:val="18"/>
          <w:lang w:val="fr-CA"/>
        </w:rPr>
        <w:t>12</w:t>
      </w:r>
      <w:r w:rsidR="00B41D67" w:rsidRPr="00BD22C2">
        <w:rPr>
          <w:rFonts w:ascii="Arial" w:hAnsi="Arial" w:cs="Arial"/>
          <w:sz w:val="18"/>
          <w:szCs w:val="18"/>
          <w:lang w:val="fr-CA"/>
        </w:rPr>
        <w:t> </w:t>
      </w:r>
      <w:r w:rsidR="002C4168" w:rsidRPr="00BD22C2">
        <w:rPr>
          <w:rFonts w:ascii="Arial" w:hAnsi="Arial" w:cs="Arial"/>
          <w:sz w:val="18"/>
          <w:szCs w:val="18"/>
          <w:lang w:val="fr-CA"/>
        </w:rPr>
        <w:t xml:space="preserve">; </w:t>
      </w:r>
      <w:r w:rsidR="002C4168" w:rsidRPr="00BD22C2">
        <w:rPr>
          <w:rFonts w:ascii="Arial" w:hAnsi="Arial" w:cs="Arial"/>
          <w:smallCaps/>
          <w:sz w:val="18"/>
          <w:szCs w:val="18"/>
          <w:lang w:val="fr-CA"/>
        </w:rPr>
        <w:t>Commission des droits de la personne et des droits de la jeunesse</w:t>
      </w:r>
      <w:r w:rsidR="002C4168" w:rsidRPr="00BD22C2">
        <w:rPr>
          <w:rFonts w:ascii="Arial" w:hAnsi="Arial" w:cs="Arial"/>
          <w:sz w:val="18"/>
          <w:szCs w:val="18"/>
          <w:lang w:val="fr-CA"/>
        </w:rPr>
        <w:t xml:space="preserve">, </w:t>
      </w:r>
      <w:r w:rsidR="002C4168" w:rsidRPr="00BD22C2">
        <w:rPr>
          <w:rFonts w:ascii="Arial" w:hAnsi="Arial" w:cs="Arial"/>
          <w:i/>
          <w:sz w:val="18"/>
          <w:szCs w:val="18"/>
          <w:lang w:val="fr-CA"/>
        </w:rPr>
        <w:t>Commentaires sur le Projet de loi n°</w:t>
      </w:r>
      <w:r w:rsidR="003D2E26">
        <w:rPr>
          <w:rFonts w:ascii="Arial" w:hAnsi="Arial" w:cs="Arial"/>
          <w:i/>
          <w:sz w:val="18"/>
          <w:szCs w:val="18"/>
          <w:lang w:val="fr-CA"/>
        </w:rPr>
        <w:t> </w:t>
      </w:r>
      <w:r w:rsidR="002C4168" w:rsidRPr="00BD22C2">
        <w:rPr>
          <w:rFonts w:ascii="Arial" w:hAnsi="Arial" w:cs="Arial"/>
          <w:i/>
          <w:sz w:val="18"/>
          <w:szCs w:val="18"/>
          <w:lang w:val="fr-CA"/>
        </w:rPr>
        <w:t>56, Loi visant à lutter contre l’intimidation et la violence à l’école</w:t>
      </w:r>
      <w:r w:rsidR="002C4168" w:rsidRPr="00BD22C2">
        <w:rPr>
          <w:rFonts w:ascii="Arial" w:hAnsi="Arial" w:cs="Arial"/>
          <w:sz w:val="18"/>
          <w:szCs w:val="18"/>
          <w:lang w:val="fr-CA"/>
        </w:rPr>
        <w:t xml:space="preserve">, </w:t>
      </w:r>
      <w:r w:rsidR="00AE0946" w:rsidRPr="00BD22C2">
        <w:rPr>
          <w:rFonts w:ascii="Arial" w:hAnsi="Arial" w:cs="Arial"/>
          <w:sz w:val="18"/>
          <w:szCs w:val="18"/>
          <w:lang w:val="fr-CA"/>
        </w:rPr>
        <w:t>(</w:t>
      </w:r>
      <w:r w:rsidR="002C4168" w:rsidRPr="00BD22C2">
        <w:rPr>
          <w:rFonts w:ascii="Arial" w:hAnsi="Arial" w:cs="Arial"/>
          <w:sz w:val="18"/>
          <w:szCs w:val="18"/>
          <w:lang w:val="fr-CA"/>
        </w:rPr>
        <w:t>Cat. 2.412.117</w:t>
      </w:r>
      <w:r w:rsidR="00AE0946" w:rsidRPr="00BD22C2">
        <w:rPr>
          <w:rFonts w:ascii="Arial" w:hAnsi="Arial" w:cs="Arial"/>
          <w:sz w:val="18"/>
          <w:szCs w:val="18"/>
          <w:lang w:val="fr-CA"/>
        </w:rPr>
        <w:t>)</w:t>
      </w:r>
      <w:r w:rsidR="002C4168" w:rsidRPr="00BD22C2">
        <w:rPr>
          <w:rFonts w:ascii="Arial" w:hAnsi="Arial" w:cs="Arial"/>
          <w:sz w:val="18"/>
          <w:szCs w:val="18"/>
          <w:lang w:val="fr-CA"/>
        </w:rPr>
        <w:t>, 2012, p. 3</w:t>
      </w:r>
      <w:r w:rsidR="00572D12" w:rsidRPr="00BD22C2">
        <w:rPr>
          <w:rFonts w:ascii="Arial" w:hAnsi="Arial" w:cs="Arial"/>
          <w:sz w:val="18"/>
          <w:szCs w:val="18"/>
          <w:lang w:val="fr-CA"/>
        </w:rPr>
        <w:t>,</w:t>
      </w:r>
      <w:r w:rsidR="002C4168" w:rsidRPr="00BD22C2">
        <w:rPr>
          <w:rFonts w:ascii="Arial" w:hAnsi="Arial" w:cs="Arial"/>
          <w:sz w:val="18"/>
          <w:szCs w:val="18"/>
          <w:lang w:val="fr-CA"/>
        </w:rPr>
        <w:t xml:space="preserve"> référant à </w:t>
      </w:r>
      <w:r w:rsidR="008C4AD1" w:rsidRPr="00BD22C2">
        <w:rPr>
          <w:rFonts w:ascii="Arial" w:hAnsi="Arial" w:cs="Arial"/>
          <w:sz w:val="18"/>
          <w:szCs w:val="18"/>
          <w:lang w:val="fr-CA"/>
        </w:rPr>
        <w:t xml:space="preserve">Michele A.  </w:t>
      </w:r>
      <w:r w:rsidR="008C4AD1" w:rsidRPr="00E16C03">
        <w:rPr>
          <w:rFonts w:ascii="Arial" w:hAnsi="Arial" w:cs="Arial"/>
          <w:smallCaps/>
          <w:sz w:val="18"/>
          <w:szCs w:val="18"/>
          <w:lang w:val="en-CA"/>
        </w:rPr>
        <w:t>Paludi</w:t>
      </w:r>
      <w:r w:rsidR="008C4AD1" w:rsidRPr="00E16C03">
        <w:rPr>
          <w:rFonts w:ascii="Arial" w:hAnsi="Arial" w:cs="Arial"/>
          <w:sz w:val="18"/>
          <w:szCs w:val="18"/>
          <w:lang w:val="en-CA"/>
        </w:rPr>
        <w:t>, «</w:t>
      </w:r>
      <w:r w:rsidR="0051216B" w:rsidRPr="00E16C03">
        <w:rPr>
          <w:rFonts w:ascii="Arial" w:hAnsi="Arial" w:cs="Arial"/>
          <w:sz w:val="18"/>
          <w:szCs w:val="18"/>
          <w:lang w:val="en-CA"/>
        </w:rPr>
        <w:t> </w:t>
      </w:r>
      <w:r w:rsidR="008C4AD1" w:rsidRPr="00E16C03">
        <w:rPr>
          <w:rFonts w:ascii="Arial" w:hAnsi="Arial" w:cs="Arial"/>
          <w:sz w:val="18"/>
          <w:szCs w:val="18"/>
          <w:lang w:val="en-CA"/>
        </w:rPr>
        <w:t>Sexual harassment in schools</w:t>
      </w:r>
      <w:r w:rsidR="0051216B" w:rsidRPr="00E16C03">
        <w:rPr>
          <w:rFonts w:ascii="Arial" w:hAnsi="Arial" w:cs="Arial"/>
          <w:sz w:val="18"/>
          <w:szCs w:val="18"/>
          <w:lang w:val="en-CA"/>
        </w:rPr>
        <w:t> </w:t>
      </w:r>
      <w:r w:rsidR="008C4AD1" w:rsidRPr="00E16C03">
        <w:rPr>
          <w:rFonts w:ascii="Arial" w:hAnsi="Arial" w:cs="Arial"/>
          <w:sz w:val="18"/>
          <w:szCs w:val="18"/>
          <w:lang w:val="en-CA"/>
        </w:rPr>
        <w:t xml:space="preserve">», dans William </w:t>
      </w:r>
      <w:r w:rsidR="00C47934" w:rsidRPr="00E16C03">
        <w:rPr>
          <w:rFonts w:ascii="Arial" w:hAnsi="Arial" w:cs="Arial"/>
          <w:smallCaps/>
          <w:sz w:val="18"/>
          <w:szCs w:val="18"/>
          <w:lang w:val="en-CA"/>
        </w:rPr>
        <w:t>O</w:t>
      </w:r>
      <w:r w:rsidR="0051216B" w:rsidRPr="00E16C03">
        <w:rPr>
          <w:rFonts w:ascii="Arial" w:hAnsi="Arial" w:cs="Arial"/>
          <w:smallCaps/>
          <w:sz w:val="18"/>
          <w:szCs w:val="18"/>
          <w:lang w:val="en-CA"/>
        </w:rPr>
        <w:t>’</w:t>
      </w:r>
      <w:r w:rsidR="00C47934" w:rsidRPr="00E16C03">
        <w:rPr>
          <w:rFonts w:ascii="Arial" w:hAnsi="Arial" w:cs="Arial"/>
          <w:smallCaps/>
          <w:sz w:val="18"/>
          <w:szCs w:val="18"/>
          <w:lang w:val="en-CA"/>
        </w:rPr>
        <w:t>Donohue</w:t>
      </w:r>
      <w:r w:rsidR="008C4AD1" w:rsidRPr="00E16C03">
        <w:rPr>
          <w:rFonts w:ascii="Arial" w:hAnsi="Arial" w:cs="Arial"/>
          <w:sz w:val="18"/>
          <w:szCs w:val="18"/>
          <w:lang w:val="en-CA"/>
        </w:rPr>
        <w:t xml:space="preserve">, (dir.), </w:t>
      </w:r>
      <w:r w:rsidR="008C4AD1" w:rsidRPr="009B1B91">
        <w:rPr>
          <w:rFonts w:ascii="Arial" w:hAnsi="Arial" w:cs="Arial"/>
          <w:i/>
          <w:sz w:val="18"/>
          <w:szCs w:val="18"/>
          <w:lang w:val="en-CA"/>
        </w:rPr>
        <w:t>Sexual harassment</w:t>
      </w:r>
      <w:r w:rsidR="0051216B" w:rsidRPr="009B1B91">
        <w:rPr>
          <w:rFonts w:ascii="Arial" w:hAnsi="Arial" w:cs="Arial"/>
          <w:i/>
          <w:sz w:val="18"/>
          <w:szCs w:val="18"/>
          <w:lang w:val="en-CA"/>
        </w:rPr>
        <w:t> </w:t>
      </w:r>
      <w:r w:rsidR="008C4AD1" w:rsidRPr="009B1B91">
        <w:rPr>
          <w:rFonts w:ascii="Arial" w:hAnsi="Arial" w:cs="Arial"/>
          <w:i/>
          <w:sz w:val="18"/>
          <w:szCs w:val="18"/>
          <w:lang w:val="en-CA"/>
        </w:rPr>
        <w:t>: Theory, research, and treatment</w:t>
      </w:r>
      <w:r w:rsidR="008C4AD1" w:rsidRPr="00E16C03">
        <w:rPr>
          <w:rFonts w:ascii="Arial" w:hAnsi="Arial" w:cs="Arial"/>
          <w:sz w:val="18"/>
          <w:szCs w:val="18"/>
          <w:lang w:val="en-CA"/>
        </w:rPr>
        <w:t>, 1997, Boston, MA: Allyn &amp; Bacon</w:t>
      </w:r>
      <w:r w:rsidR="00572D12" w:rsidRPr="00E16C03">
        <w:rPr>
          <w:rFonts w:ascii="Arial" w:hAnsi="Arial" w:cs="Arial"/>
          <w:sz w:val="18"/>
          <w:szCs w:val="18"/>
          <w:lang w:val="en-CA"/>
        </w:rPr>
        <w:t>, (pp.</w:t>
      </w:r>
      <w:r w:rsidR="003D2E26">
        <w:rPr>
          <w:rFonts w:ascii="Arial" w:hAnsi="Arial" w:cs="Arial"/>
          <w:sz w:val="18"/>
          <w:szCs w:val="18"/>
          <w:lang w:val="en-CA"/>
        </w:rPr>
        <w:t> </w:t>
      </w:r>
      <w:r w:rsidR="00572D12" w:rsidRPr="00E16C03">
        <w:rPr>
          <w:rFonts w:ascii="Arial" w:hAnsi="Arial" w:cs="Arial"/>
          <w:sz w:val="18"/>
          <w:szCs w:val="18"/>
          <w:lang w:val="en-CA"/>
        </w:rPr>
        <w:t>225</w:t>
      </w:r>
      <w:r w:rsidR="00E1435C">
        <w:rPr>
          <w:rFonts w:ascii="Arial" w:hAnsi="Arial" w:cs="Arial"/>
          <w:sz w:val="18"/>
          <w:szCs w:val="18"/>
          <w:lang w:val="en-CA"/>
        </w:rPr>
        <w:t xml:space="preserve"> à </w:t>
      </w:r>
      <w:r w:rsidR="00572D12" w:rsidRPr="00E16C03">
        <w:rPr>
          <w:rFonts w:ascii="Arial" w:hAnsi="Arial" w:cs="Arial"/>
          <w:sz w:val="18"/>
          <w:szCs w:val="18"/>
          <w:lang w:val="en-CA"/>
        </w:rPr>
        <w:t>240)</w:t>
      </w:r>
      <w:r w:rsidR="00C47934" w:rsidRPr="00E16C03">
        <w:rPr>
          <w:rFonts w:ascii="Arial" w:hAnsi="Arial" w:cs="Arial"/>
          <w:sz w:val="18"/>
          <w:szCs w:val="18"/>
          <w:lang w:val="en-CA"/>
        </w:rPr>
        <w:t>.</w:t>
      </w:r>
      <w:r w:rsidR="00D16DA0" w:rsidRPr="00E16C03">
        <w:rPr>
          <w:rFonts w:ascii="Arial" w:hAnsi="Arial" w:cs="Arial"/>
          <w:sz w:val="18"/>
          <w:szCs w:val="18"/>
          <w:lang w:val="en-CA"/>
        </w:rPr>
        <w:t xml:space="preserve"> Voir </w:t>
      </w:r>
      <w:r w:rsidR="00E1435C" w:rsidRPr="00E16C03">
        <w:rPr>
          <w:rFonts w:ascii="Arial" w:hAnsi="Arial" w:cs="Arial"/>
          <w:sz w:val="18"/>
          <w:szCs w:val="18"/>
          <w:lang w:val="en-CA"/>
        </w:rPr>
        <w:t>aussi</w:t>
      </w:r>
      <w:r w:rsidR="00E30B76">
        <w:rPr>
          <w:rFonts w:ascii="Arial" w:hAnsi="Arial" w:cs="Arial"/>
          <w:sz w:val="18"/>
          <w:szCs w:val="18"/>
          <w:lang w:val="en-CA"/>
        </w:rPr>
        <w:t> </w:t>
      </w:r>
      <w:r w:rsidR="00E1435C" w:rsidRPr="00E16C03">
        <w:rPr>
          <w:rFonts w:ascii="Arial" w:hAnsi="Arial" w:cs="Arial"/>
          <w:sz w:val="18"/>
          <w:szCs w:val="18"/>
          <w:lang w:val="en-CA"/>
        </w:rPr>
        <w:t>:</w:t>
      </w:r>
      <w:r w:rsidR="00D16DA0" w:rsidRPr="00E16C03">
        <w:rPr>
          <w:rFonts w:ascii="Arial" w:hAnsi="Arial" w:cs="Arial"/>
          <w:sz w:val="18"/>
          <w:szCs w:val="18"/>
          <w:lang w:val="en-CA"/>
        </w:rPr>
        <w:t xml:space="preserve"> </w:t>
      </w:r>
      <w:r w:rsidR="00D16DA0" w:rsidRPr="00E16C03">
        <w:rPr>
          <w:rFonts w:ascii="Arial" w:hAnsi="Arial" w:cs="Arial"/>
          <w:smallCaps/>
          <w:sz w:val="18"/>
          <w:szCs w:val="18"/>
          <w:lang w:val="en-CA"/>
        </w:rPr>
        <w:t>Commissaire aux droits de l’homme</w:t>
      </w:r>
      <w:r w:rsidR="00F72292" w:rsidRPr="00E16C03">
        <w:rPr>
          <w:rFonts w:ascii="Arial" w:hAnsi="Arial" w:cs="Arial"/>
          <w:smallCaps/>
          <w:sz w:val="18"/>
          <w:szCs w:val="18"/>
          <w:lang w:val="en-CA"/>
        </w:rPr>
        <w:t xml:space="preserve"> — Conseil de l’Europe</w:t>
      </w:r>
      <w:r w:rsidR="00D16DA0" w:rsidRPr="00E16C03">
        <w:rPr>
          <w:rFonts w:ascii="Arial" w:hAnsi="Arial" w:cs="Arial"/>
          <w:sz w:val="18"/>
          <w:szCs w:val="18"/>
          <w:lang w:val="en-CA"/>
        </w:rPr>
        <w:t xml:space="preserve">, </w:t>
      </w:r>
      <w:r w:rsidR="00F72292" w:rsidRPr="00E16C03">
        <w:rPr>
          <w:rFonts w:ascii="Arial" w:hAnsi="Arial" w:cs="Arial"/>
          <w:sz w:val="18"/>
          <w:szCs w:val="18"/>
          <w:lang w:val="en-CA"/>
        </w:rPr>
        <w:t>préc., note</w:t>
      </w:r>
      <w:r w:rsidR="003D2E26">
        <w:rPr>
          <w:rFonts w:ascii="Arial" w:hAnsi="Arial" w:cs="Arial"/>
          <w:sz w:val="18"/>
          <w:szCs w:val="18"/>
          <w:lang w:val="en-CA"/>
        </w:rPr>
        <w:t> </w:t>
      </w:r>
      <w:r w:rsidR="00F72292" w:rsidRPr="00BD22C2">
        <w:rPr>
          <w:rFonts w:ascii="Arial" w:hAnsi="Arial" w:cs="Arial"/>
          <w:sz w:val="18"/>
          <w:szCs w:val="18"/>
          <w:lang w:val="fr-CA"/>
        </w:rPr>
        <w:fldChar w:fldCharType="begin"/>
      </w:r>
      <w:r w:rsidR="00F72292" w:rsidRPr="00E16C03">
        <w:rPr>
          <w:rFonts w:ascii="Arial" w:hAnsi="Arial" w:cs="Arial"/>
          <w:sz w:val="18"/>
          <w:szCs w:val="18"/>
          <w:lang w:val="en-CA"/>
        </w:rPr>
        <w:instrText xml:space="preserve"> NOTEREF _Ref166751055 \h </w:instrText>
      </w:r>
      <w:r w:rsidR="00F72292" w:rsidRPr="00BD22C2">
        <w:rPr>
          <w:rFonts w:ascii="Arial" w:hAnsi="Arial" w:cs="Arial"/>
          <w:sz w:val="18"/>
          <w:szCs w:val="18"/>
          <w:lang w:val="fr-CA"/>
        </w:rPr>
      </w:r>
      <w:r w:rsidR="00F72292" w:rsidRPr="00BD22C2">
        <w:rPr>
          <w:rFonts w:ascii="Arial" w:hAnsi="Arial" w:cs="Arial"/>
          <w:sz w:val="18"/>
          <w:szCs w:val="18"/>
          <w:lang w:val="fr-CA"/>
        </w:rPr>
        <w:fldChar w:fldCharType="separate"/>
      </w:r>
      <w:r w:rsidR="004B4881">
        <w:rPr>
          <w:rFonts w:ascii="Arial" w:hAnsi="Arial" w:cs="Arial"/>
          <w:sz w:val="18"/>
          <w:szCs w:val="18"/>
          <w:lang w:val="en-CA"/>
        </w:rPr>
        <w:t>304</w:t>
      </w:r>
      <w:r w:rsidR="00F72292" w:rsidRPr="00BD22C2">
        <w:rPr>
          <w:rFonts w:ascii="Arial" w:hAnsi="Arial" w:cs="Arial"/>
          <w:sz w:val="18"/>
          <w:szCs w:val="18"/>
          <w:lang w:val="fr-CA"/>
        </w:rPr>
        <w:fldChar w:fldCharType="end"/>
      </w:r>
      <w:r w:rsidR="00D16DA0" w:rsidRPr="00E16C03">
        <w:rPr>
          <w:rFonts w:ascii="Arial" w:hAnsi="Arial" w:cs="Arial"/>
          <w:sz w:val="18"/>
          <w:szCs w:val="18"/>
          <w:lang w:val="en-CA"/>
        </w:rPr>
        <w:t>, p.</w:t>
      </w:r>
      <w:r w:rsidR="003D2E26">
        <w:rPr>
          <w:rFonts w:ascii="Arial" w:hAnsi="Arial" w:cs="Arial"/>
          <w:sz w:val="18"/>
          <w:szCs w:val="18"/>
          <w:lang w:val="en-CA"/>
        </w:rPr>
        <w:t> </w:t>
      </w:r>
      <w:r w:rsidR="00D16DA0" w:rsidRPr="00E16C03">
        <w:rPr>
          <w:rFonts w:ascii="Arial" w:hAnsi="Arial" w:cs="Arial"/>
          <w:sz w:val="18"/>
          <w:szCs w:val="18"/>
          <w:lang w:val="en-CA"/>
        </w:rPr>
        <w:t>64</w:t>
      </w:r>
      <w:r w:rsidR="00B41D67" w:rsidRPr="00E16C03">
        <w:rPr>
          <w:rFonts w:ascii="Arial" w:hAnsi="Arial" w:cs="Arial"/>
          <w:sz w:val="18"/>
          <w:szCs w:val="18"/>
          <w:lang w:val="en-CA"/>
        </w:rPr>
        <w:t> </w:t>
      </w:r>
      <w:r w:rsidR="00FC20A4" w:rsidRPr="00E16C03">
        <w:rPr>
          <w:rFonts w:ascii="Arial" w:hAnsi="Arial" w:cs="Arial"/>
          <w:sz w:val="18"/>
          <w:szCs w:val="18"/>
          <w:lang w:val="en-CA"/>
        </w:rPr>
        <w:t xml:space="preserve">; </w:t>
      </w:r>
      <w:r w:rsidR="00FC20A4" w:rsidRPr="00E16C03">
        <w:rPr>
          <w:rFonts w:ascii="Arial" w:hAnsi="Arial" w:cs="Arial"/>
          <w:smallCaps/>
          <w:sz w:val="18"/>
          <w:szCs w:val="18"/>
          <w:lang w:val="en-CA"/>
        </w:rPr>
        <w:t>Council of Europe</w:t>
      </w:r>
      <w:r w:rsidR="00FC20A4" w:rsidRPr="00E16C03">
        <w:rPr>
          <w:rFonts w:ascii="Arial" w:hAnsi="Arial" w:cs="Arial"/>
          <w:sz w:val="18"/>
          <w:szCs w:val="18"/>
          <w:lang w:val="en-CA"/>
        </w:rPr>
        <w:t xml:space="preserve"> </w:t>
      </w:r>
      <w:r w:rsidR="007701C7" w:rsidRPr="00E16C03">
        <w:rPr>
          <w:rFonts w:ascii="Arial" w:hAnsi="Arial" w:cs="Arial"/>
          <w:sz w:val="18"/>
          <w:szCs w:val="18"/>
          <w:lang w:val="en-CA"/>
        </w:rPr>
        <w:t xml:space="preserve">et </w:t>
      </w:r>
      <w:r w:rsidR="00FC20A4" w:rsidRPr="00E16C03">
        <w:rPr>
          <w:rFonts w:ascii="Arial" w:hAnsi="Arial" w:cs="Arial"/>
          <w:smallCaps/>
          <w:sz w:val="18"/>
          <w:szCs w:val="18"/>
          <w:lang w:val="en-CA"/>
        </w:rPr>
        <w:t>UNESCO</w:t>
      </w:r>
      <w:r w:rsidR="00FC20A4" w:rsidRPr="00E16C03">
        <w:rPr>
          <w:rFonts w:ascii="Arial" w:hAnsi="Arial" w:cs="Arial"/>
          <w:color w:val="414142"/>
          <w:sz w:val="18"/>
          <w:szCs w:val="18"/>
          <w:lang w:val="en-CA"/>
        </w:rPr>
        <w:t xml:space="preserve">, </w:t>
      </w:r>
      <w:r w:rsidR="00FC20A4" w:rsidRPr="00E16C03">
        <w:rPr>
          <w:rFonts w:ascii="Arial" w:hAnsi="Arial" w:cs="Arial"/>
          <w:i/>
          <w:sz w:val="18"/>
          <w:szCs w:val="18"/>
          <w:lang w:val="en-CA"/>
        </w:rPr>
        <w:t>Safe at school: Education sector responses to violence based on sexual orientation, gender identity/expression or sex characteristics in</w:t>
      </w:r>
      <w:r w:rsidR="00915424" w:rsidRPr="00E16C03">
        <w:rPr>
          <w:rFonts w:ascii="Arial" w:hAnsi="Arial" w:cs="Arial"/>
          <w:i/>
          <w:sz w:val="18"/>
          <w:szCs w:val="18"/>
          <w:lang w:val="en-CA"/>
        </w:rPr>
        <w:t xml:space="preserve"> </w:t>
      </w:r>
      <w:r w:rsidR="00FC20A4" w:rsidRPr="00E16C03">
        <w:rPr>
          <w:rFonts w:ascii="Arial" w:hAnsi="Arial" w:cs="Arial"/>
          <w:i/>
          <w:sz w:val="18"/>
          <w:szCs w:val="18"/>
          <w:lang w:val="en-CA"/>
        </w:rPr>
        <w:t>Europe</w:t>
      </w:r>
      <w:r w:rsidR="00FC20A4" w:rsidRPr="00E16C03">
        <w:rPr>
          <w:rFonts w:ascii="Arial" w:hAnsi="Arial" w:cs="Arial"/>
          <w:color w:val="414142"/>
          <w:sz w:val="18"/>
          <w:szCs w:val="18"/>
          <w:lang w:val="en-CA"/>
        </w:rPr>
        <w:t xml:space="preserve">, </w:t>
      </w:r>
      <w:r w:rsidR="00FC20A4" w:rsidRPr="00E16C03">
        <w:rPr>
          <w:rFonts w:ascii="Arial" w:hAnsi="Arial" w:cs="Arial"/>
          <w:sz w:val="18"/>
          <w:szCs w:val="18"/>
          <w:lang w:val="en-CA"/>
        </w:rPr>
        <w:t>2018</w:t>
      </w:r>
      <w:r w:rsidR="00915424" w:rsidRPr="00E16C03">
        <w:rPr>
          <w:rFonts w:ascii="Arial" w:hAnsi="Arial" w:cs="Arial"/>
          <w:sz w:val="18"/>
          <w:szCs w:val="18"/>
          <w:lang w:val="en-CA"/>
        </w:rPr>
        <w:t>.</w:t>
      </w:r>
    </w:p>
  </w:endnote>
  <w:endnote w:id="467">
    <w:p w14:paraId="0CBD88AD" w14:textId="33E0737D" w:rsidR="003851FA" w:rsidRPr="00BD22C2" w:rsidRDefault="003851F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00DA0A95" w:rsidRPr="00BD22C2">
        <w:rPr>
          <w:rFonts w:ascii="Arial" w:hAnsi="Arial" w:cs="Arial"/>
          <w:smallCaps/>
          <w:sz w:val="18"/>
          <w:szCs w:val="18"/>
          <w:lang w:val="fr-CA"/>
        </w:rPr>
        <w:t xml:space="preserve"> (2007)</w:t>
      </w:r>
      <w:r w:rsidRPr="00BD22C2">
        <w:rPr>
          <w:rFonts w:ascii="Arial" w:hAnsi="Arial" w:cs="Arial"/>
          <w:sz w:val="18"/>
          <w:szCs w:val="18"/>
          <w:lang w:val="fr-CA"/>
        </w:rPr>
        <w:t xml:space="preserve">, </w:t>
      </w:r>
      <w:r w:rsidR="007A4BB5" w:rsidRPr="00BD22C2">
        <w:rPr>
          <w:rFonts w:ascii="Arial" w:hAnsi="Arial" w:cs="Arial"/>
          <w:iCs/>
          <w:sz w:val="18"/>
          <w:szCs w:val="18"/>
          <w:lang w:val="fr-CA"/>
        </w:rPr>
        <w:t>préc., note</w:t>
      </w:r>
      <w:r w:rsidR="003D2E26">
        <w:rPr>
          <w:rFonts w:ascii="Arial" w:hAnsi="Arial" w:cs="Arial"/>
          <w:iCs/>
          <w:sz w:val="18"/>
          <w:szCs w:val="18"/>
          <w:lang w:val="fr-CA"/>
        </w:rPr>
        <w:t> </w:t>
      </w:r>
      <w:r w:rsidR="007A4BB5" w:rsidRPr="00BD22C2">
        <w:rPr>
          <w:rFonts w:ascii="Arial" w:hAnsi="Arial" w:cs="Arial"/>
          <w:iCs/>
          <w:sz w:val="18"/>
          <w:szCs w:val="18"/>
          <w:lang w:val="fr-CA"/>
        </w:rPr>
        <w:fldChar w:fldCharType="begin"/>
      </w:r>
      <w:r w:rsidR="007A4BB5" w:rsidRPr="00BD22C2">
        <w:rPr>
          <w:rFonts w:ascii="Arial" w:hAnsi="Arial" w:cs="Arial"/>
          <w:iCs/>
          <w:sz w:val="18"/>
          <w:szCs w:val="18"/>
          <w:lang w:val="fr-CA"/>
        </w:rPr>
        <w:instrText xml:space="preserve"> NOTEREF _Ref166749987 \h </w:instrText>
      </w:r>
      <w:r w:rsidR="007A4BB5" w:rsidRPr="00BD22C2">
        <w:rPr>
          <w:rFonts w:ascii="Arial" w:hAnsi="Arial" w:cs="Arial"/>
          <w:iCs/>
          <w:sz w:val="18"/>
          <w:szCs w:val="18"/>
          <w:lang w:val="fr-CA"/>
        </w:rPr>
      </w:r>
      <w:r w:rsidR="007A4BB5" w:rsidRPr="00BD22C2">
        <w:rPr>
          <w:rFonts w:ascii="Arial" w:hAnsi="Arial" w:cs="Arial"/>
          <w:iCs/>
          <w:sz w:val="18"/>
          <w:szCs w:val="18"/>
          <w:lang w:val="fr-CA"/>
        </w:rPr>
        <w:fldChar w:fldCharType="separate"/>
      </w:r>
      <w:r w:rsidR="004B4881">
        <w:rPr>
          <w:rFonts w:ascii="Arial" w:hAnsi="Arial" w:cs="Arial"/>
          <w:iCs/>
          <w:sz w:val="18"/>
          <w:szCs w:val="18"/>
          <w:lang w:val="fr-CA"/>
        </w:rPr>
        <w:t>10</w:t>
      </w:r>
      <w:r w:rsidR="007A4BB5" w:rsidRPr="00BD22C2">
        <w:rPr>
          <w:rFonts w:ascii="Arial" w:hAnsi="Arial" w:cs="Arial"/>
          <w:iCs/>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 xml:space="preserve">25. </w:t>
      </w:r>
    </w:p>
  </w:endnote>
  <w:endnote w:id="468">
    <w:p w14:paraId="396421EB" w14:textId="5FDDB6CE" w:rsidR="00CC5E7D" w:rsidRPr="00BD22C2" w:rsidRDefault="00CC5E7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504E52" w:rsidRPr="00BD22C2">
        <w:rPr>
          <w:rFonts w:ascii="Arial" w:hAnsi="Arial" w:cs="Arial"/>
          <w:sz w:val="18"/>
          <w:szCs w:val="18"/>
          <w:lang w:val="fr-CA"/>
        </w:rPr>
        <w:tab/>
      </w:r>
      <w:r w:rsidR="00504E52" w:rsidRPr="00BD22C2">
        <w:rPr>
          <w:rFonts w:ascii="Arial" w:hAnsi="Arial" w:cs="Arial"/>
          <w:smallCaps/>
          <w:sz w:val="18"/>
          <w:szCs w:val="18"/>
          <w:lang w:val="fr-CA"/>
        </w:rPr>
        <w:t>Commissaire aux droits de l’homme</w:t>
      </w:r>
      <w:r w:rsidR="00A01A04" w:rsidRPr="00BD22C2">
        <w:rPr>
          <w:rFonts w:ascii="Arial" w:hAnsi="Arial" w:cs="Arial"/>
          <w:smallCaps/>
          <w:sz w:val="18"/>
          <w:szCs w:val="18"/>
          <w:lang w:val="fr-CA"/>
        </w:rPr>
        <w:t xml:space="preserve"> — Conseil de l’Europe</w:t>
      </w:r>
      <w:r w:rsidR="00504E52" w:rsidRPr="00BD22C2">
        <w:rPr>
          <w:rFonts w:ascii="Arial" w:hAnsi="Arial" w:cs="Arial"/>
          <w:sz w:val="18"/>
          <w:szCs w:val="18"/>
          <w:lang w:val="fr-CA"/>
        </w:rPr>
        <w:t xml:space="preserve">, </w:t>
      </w:r>
      <w:r w:rsidR="00A01A04" w:rsidRPr="00BD22C2">
        <w:rPr>
          <w:rFonts w:ascii="Arial" w:hAnsi="Arial" w:cs="Arial"/>
          <w:iCs/>
          <w:sz w:val="18"/>
          <w:szCs w:val="18"/>
          <w:lang w:val="fr-CA"/>
        </w:rPr>
        <w:t>préc., note</w:t>
      </w:r>
      <w:r w:rsidR="003D2E26">
        <w:rPr>
          <w:rFonts w:ascii="Arial" w:hAnsi="Arial" w:cs="Arial"/>
          <w:iCs/>
          <w:sz w:val="18"/>
          <w:szCs w:val="18"/>
          <w:lang w:val="fr-CA"/>
        </w:rPr>
        <w:t> </w:t>
      </w:r>
      <w:r w:rsidR="00A01A04" w:rsidRPr="00BD22C2">
        <w:rPr>
          <w:rFonts w:ascii="Arial" w:hAnsi="Arial" w:cs="Arial"/>
          <w:iCs/>
          <w:sz w:val="18"/>
          <w:szCs w:val="18"/>
          <w:lang w:val="fr-CA"/>
        </w:rPr>
        <w:fldChar w:fldCharType="begin"/>
      </w:r>
      <w:r w:rsidR="00A01A04" w:rsidRPr="00BD22C2">
        <w:rPr>
          <w:rFonts w:ascii="Arial" w:hAnsi="Arial" w:cs="Arial"/>
          <w:iCs/>
          <w:sz w:val="18"/>
          <w:szCs w:val="18"/>
          <w:lang w:val="fr-CA"/>
        </w:rPr>
        <w:instrText xml:space="preserve"> NOTEREF _Ref166751055 \h </w:instrText>
      </w:r>
      <w:r w:rsidR="00A01A04" w:rsidRPr="00BD22C2">
        <w:rPr>
          <w:rFonts w:ascii="Arial" w:hAnsi="Arial" w:cs="Arial"/>
          <w:iCs/>
          <w:sz w:val="18"/>
          <w:szCs w:val="18"/>
          <w:lang w:val="fr-CA"/>
        </w:rPr>
      </w:r>
      <w:r w:rsidR="00A01A04" w:rsidRPr="00BD22C2">
        <w:rPr>
          <w:rFonts w:ascii="Arial" w:hAnsi="Arial" w:cs="Arial"/>
          <w:iCs/>
          <w:sz w:val="18"/>
          <w:szCs w:val="18"/>
          <w:lang w:val="fr-CA"/>
        </w:rPr>
        <w:fldChar w:fldCharType="separate"/>
      </w:r>
      <w:r w:rsidR="004B4881">
        <w:rPr>
          <w:rFonts w:ascii="Arial" w:hAnsi="Arial" w:cs="Arial"/>
          <w:iCs/>
          <w:sz w:val="18"/>
          <w:szCs w:val="18"/>
          <w:lang w:val="fr-CA"/>
        </w:rPr>
        <w:t>304</w:t>
      </w:r>
      <w:r w:rsidR="00A01A04" w:rsidRPr="00BD22C2">
        <w:rPr>
          <w:rFonts w:ascii="Arial" w:hAnsi="Arial" w:cs="Arial"/>
          <w:iCs/>
          <w:sz w:val="18"/>
          <w:szCs w:val="18"/>
          <w:lang w:val="fr-CA"/>
        </w:rPr>
        <w:fldChar w:fldCharType="end"/>
      </w:r>
      <w:r w:rsidR="00504E52" w:rsidRPr="00BD22C2">
        <w:rPr>
          <w:rFonts w:ascii="Arial" w:hAnsi="Arial" w:cs="Arial"/>
          <w:sz w:val="18"/>
          <w:szCs w:val="18"/>
          <w:lang w:val="fr-CA"/>
        </w:rPr>
        <w:t>, p.</w:t>
      </w:r>
      <w:r w:rsidR="003D2E26">
        <w:rPr>
          <w:rFonts w:ascii="Arial" w:hAnsi="Arial" w:cs="Arial"/>
          <w:sz w:val="18"/>
          <w:szCs w:val="18"/>
          <w:lang w:val="fr-CA"/>
        </w:rPr>
        <w:t> </w:t>
      </w:r>
      <w:r w:rsidR="00504E52" w:rsidRPr="00BD22C2">
        <w:rPr>
          <w:rFonts w:ascii="Arial" w:hAnsi="Arial" w:cs="Arial"/>
          <w:sz w:val="18"/>
          <w:szCs w:val="18"/>
          <w:lang w:val="fr-CA"/>
        </w:rPr>
        <w:t>65.</w:t>
      </w:r>
    </w:p>
  </w:endnote>
  <w:endnote w:id="469">
    <w:p w14:paraId="4C910E43" w14:textId="368DF3BA" w:rsidR="00C347AB" w:rsidRPr="00BD22C2" w:rsidRDefault="00C347A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D62A04" w:rsidRPr="00BD22C2">
        <w:rPr>
          <w:rFonts w:ascii="Arial" w:hAnsi="Arial" w:cs="Arial"/>
          <w:sz w:val="18"/>
          <w:szCs w:val="18"/>
          <w:lang w:val="fr-CA"/>
        </w:rPr>
        <w:tab/>
      </w:r>
      <w:r w:rsidR="00D62A04" w:rsidRPr="00BD22C2">
        <w:rPr>
          <w:rFonts w:ascii="Arial" w:hAnsi="Arial" w:cs="Arial"/>
          <w:smallCaps/>
          <w:sz w:val="18"/>
          <w:szCs w:val="18"/>
          <w:lang w:val="fr-CA"/>
        </w:rPr>
        <w:t>Gouvernement du Québec</w:t>
      </w:r>
      <w:r w:rsidR="00D62A04" w:rsidRPr="00BD22C2">
        <w:rPr>
          <w:rFonts w:ascii="Arial" w:hAnsi="Arial" w:cs="Arial"/>
          <w:sz w:val="18"/>
          <w:szCs w:val="18"/>
          <w:lang w:val="fr-CA"/>
        </w:rPr>
        <w:t xml:space="preserve">, </w:t>
      </w:r>
      <w:r w:rsidR="00A752AE" w:rsidRPr="00BD22C2">
        <w:rPr>
          <w:rFonts w:ascii="Arial" w:hAnsi="Arial" w:cs="Arial"/>
          <w:iCs/>
          <w:sz w:val="18"/>
          <w:szCs w:val="18"/>
          <w:lang w:val="fr-CA"/>
        </w:rPr>
        <w:t xml:space="preserve">préc., note </w:t>
      </w:r>
      <w:r w:rsidR="00A752AE" w:rsidRPr="00BD22C2">
        <w:rPr>
          <w:rFonts w:ascii="Arial" w:hAnsi="Arial" w:cs="Arial"/>
          <w:iCs/>
          <w:sz w:val="18"/>
          <w:szCs w:val="18"/>
          <w:lang w:val="fr-CA"/>
        </w:rPr>
        <w:fldChar w:fldCharType="begin"/>
      </w:r>
      <w:r w:rsidR="00A752AE" w:rsidRPr="00BD22C2">
        <w:rPr>
          <w:rFonts w:ascii="Arial" w:hAnsi="Arial" w:cs="Arial"/>
          <w:iCs/>
          <w:sz w:val="18"/>
          <w:szCs w:val="18"/>
          <w:lang w:val="fr-CA"/>
        </w:rPr>
        <w:instrText xml:space="preserve"> NOTEREF _Ref166752423 \h </w:instrText>
      </w:r>
      <w:r w:rsidR="00A752AE" w:rsidRPr="00BD22C2">
        <w:rPr>
          <w:rFonts w:ascii="Arial" w:hAnsi="Arial" w:cs="Arial"/>
          <w:iCs/>
          <w:sz w:val="18"/>
          <w:szCs w:val="18"/>
          <w:lang w:val="fr-CA"/>
        </w:rPr>
      </w:r>
      <w:r w:rsidR="00A752AE" w:rsidRPr="00BD22C2">
        <w:rPr>
          <w:rFonts w:ascii="Arial" w:hAnsi="Arial" w:cs="Arial"/>
          <w:iCs/>
          <w:sz w:val="18"/>
          <w:szCs w:val="18"/>
          <w:lang w:val="fr-CA"/>
        </w:rPr>
        <w:fldChar w:fldCharType="separate"/>
      </w:r>
      <w:r w:rsidR="004B4881">
        <w:rPr>
          <w:rFonts w:ascii="Arial" w:hAnsi="Arial" w:cs="Arial"/>
          <w:iCs/>
          <w:sz w:val="18"/>
          <w:szCs w:val="18"/>
          <w:lang w:val="fr-CA"/>
        </w:rPr>
        <w:t>13</w:t>
      </w:r>
      <w:r w:rsidR="00A752AE" w:rsidRPr="00BD22C2">
        <w:rPr>
          <w:rFonts w:ascii="Arial" w:hAnsi="Arial" w:cs="Arial"/>
          <w:iCs/>
          <w:sz w:val="18"/>
          <w:szCs w:val="18"/>
          <w:lang w:val="fr-CA"/>
        </w:rPr>
        <w:fldChar w:fldCharType="end"/>
      </w:r>
      <w:r w:rsidR="00DC1F82" w:rsidRPr="00BD22C2">
        <w:rPr>
          <w:rFonts w:ascii="Arial" w:hAnsi="Arial" w:cs="Arial"/>
          <w:sz w:val="18"/>
          <w:szCs w:val="18"/>
          <w:lang w:val="fr-CA"/>
        </w:rPr>
        <w:t>,</w:t>
      </w:r>
      <w:r w:rsidR="00E451C6" w:rsidRPr="00BD22C2">
        <w:rPr>
          <w:rFonts w:ascii="Arial" w:hAnsi="Arial" w:cs="Arial"/>
          <w:sz w:val="18"/>
          <w:szCs w:val="18"/>
          <w:lang w:val="fr-CA"/>
        </w:rPr>
        <w:t xml:space="preserve"> </w:t>
      </w:r>
      <w:r w:rsidR="00D62A04" w:rsidRPr="00BD22C2">
        <w:rPr>
          <w:rFonts w:ascii="Arial" w:hAnsi="Arial" w:cs="Arial"/>
          <w:sz w:val="18"/>
          <w:szCs w:val="18"/>
          <w:lang w:val="fr-CA"/>
        </w:rPr>
        <w:t>p.</w:t>
      </w:r>
      <w:r w:rsidR="003D2E26">
        <w:rPr>
          <w:rFonts w:ascii="Arial" w:hAnsi="Arial" w:cs="Arial"/>
          <w:sz w:val="18"/>
          <w:szCs w:val="18"/>
          <w:lang w:val="fr-CA"/>
        </w:rPr>
        <w:t> </w:t>
      </w:r>
      <w:r w:rsidR="00DB46CD" w:rsidRPr="00BD22C2">
        <w:rPr>
          <w:rFonts w:ascii="Arial" w:hAnsi="Arial" w:cs="Arial"/>
          <w:sz w:val="18"/>
          <w:szCs w:val="18"/>
          <w:lang w:val="fr-CA"/>
        </w:rPr>
        <w:t>16 et 3</w:t>
      </w:r>
      <w:r w:rsidR="00D62A04" w:rsidRPr="00BD22C2">
        <w:rPr>
          <w:rFonts w:ascii="Arial" w:hAnsi="Arial" w:cs="Arial"/>
          <w:sz w:val="18"/>
          <w:szCs w:val="18"/>
          <w:lang w:val="fr-CA"/>
        </w:rPr>
        <w:t>0.</w:t>
      </w:r>
    </w:p>
  </w:endnote>
  <w:endnote w:id="470">
    <w:p w14:paraId="694900BB" w14:textId="7166E2C4" w:rsidR="00B92E3F" w:rsidRPr="00BD22C2" w:rsidRDefault="00B92E3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DC6484" w:rsidRPr="00BD22C2">
        <w:rPr>
          <w:rFonts w:ascii="Arial" w:hAnsi="Arial" w:cs="Arial"/>
          <w:iCs/>
          <w:sz w:val="18"/>
          <w:szCs w:val="18"/>
          <w:lang w:val="fr-CA"/>
        </w:rPr>
        <w:t>préc., note</w:t>
      </w:r>
      <w:r w:rsidR="003D2E26">
        <w:rPr>
          <w:rFonts w:ascii="Arial" w:hAnsi="Arial" w:cs="Arial"/>
          <w:iCs/>
          <w:sz w:val="18"/>
          <w:szCs w:val="18"/>
          <w:lang w:val="fr-CA"/>
        </w:rPr>
        <w:t> </w:t>
      </w:r>
      <w:r w:rsidR="00DC6484" w:rsidRPr="00BD22C2">
        <w:rPr>
          <w:rFonts w:ascii="Arial" w:hAnsi="Arial" w:cs="Arial"/>
          <w:iCs/>
          <w:sz w:val="18"/>
          <w:szCs w:val="18"/>
          <w:lang w:val="fr-CA"/>
        </w:rPr>
        <w:fldChar w:fldCharType="begin"/>
      </w:r>
      <w:r w:rsidR="00DC6484" w:rsidRPr="00BD22C2">
        <w:rPr>
          <w:rFonts w:ascii="Arial" w:hAnsi="Arial" w:cs="Arial"/>
          <w:iCs/>
          <w:sz w:val="18"/>
          <w:szCs w:val="18"/>
          <w:lang w:val="fr-CA"/>
        </w:rPr>
        <w:instrText xml:space="preserve"> NOTEREF _Ref166749987 \h </w:instrText>
      </w:r>
      <w:r w:rsidR="00DC6484" w:rsidRPr="00BD22C2">
        <w:rPr>
          <w:rFonts w:ascii="Arial" w:hAnsi="Arial" w:cs="Arial"/>
          <w:iCs/>
          <w:sz w:val="18"/>
          <w:szCs w:val="18"/>
          <w:lang w:val="fr-CA"/>
        </w:rPr>
      </w:r>
      <w:r w:rsidR="00DC6484" w:rsidRPr="00BD22C2">
        <w:rPr>
          <w:rFonts w:ascii="Arial" w:hAnsi="Arial" w:cs="Arial"/>
          <w:iCs/>
          <w:sz w:val="18"/>
          <w:szCs w:val="18"/>
          <w:lang w:val="fr-CA"/>
        </w:rPr>
        <w:fldChar w:fldCharType="separate"/>
      </w:r>
      <w:r w:rsidR="004B4881">
        <w:rPr>
          <w:rFonts w:ascii="Arial" w:hAnsi="Arial" w:cs="Arial"/>
          <w:iCs/>
          <w:sz w:val="18"/>
          <w:szCs w:val="18"/>
          <w:lang w:val="fr-CA"/>
        </w:rPr>
        <w:t>10</w:t>
      </w:r>
      <w:r w:rsidR="00DC6484" w:rsidRPr="00BD22C2">
        <w:rPr>
          <w:rFonts w:ascii="Arial" w:hAnsi="Arial" w:cs="Arial"/>
          <w:iCs/>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23</w:t>
      </w:r>
      <w:r w:rsidR="00B41D67"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U</w:t>
      </w:r>
      <w:r w:rsidR="00AD2E7E">
        <w:rPr>
          <w:rFonts w:ascii="Arial" w:hAnsi="Arial" w:cs="Arial"/>
          <w:smallCaps/>
          <w:sz w:val="18"/>
          <w:szCs w:val="18"/>
          <w:lang w:val="fr-CA"/>
        </w:rPr>
        <w:t>nesco</w:t>
      </w:r>
      <w:r w:rsidRPr="00BD22C2">
        <w:rPr>
          <w:rFonts w:ascii="Arial" w:hAnsi="Arial" w:cs="Arial"/>
          <w:sz w:val="18"/>
          <w:szCs w:val="18"/>
          <w:lang w:val="fr-CA"/>
        </w:rPr>
        <w:t xml:space="preserve"> et </w:t>
      </w:r>
      <w:r w:rsidRPr="00BD22C2">
        <w:rPr>
          <w:rFonts w:ascii="Arial" w:hAnsi="Arial" w:cs="Arial"/>
          <w:smallCaps/>
          <w:sz w:val="18"/>
          <w:szCs w:val="18"/>
          <w:lang w:val="fr-CA"/>
        </w:rPr>
        <w:t>ONU Femmes</w:t>
      </w:r>
      <w:r w:rsidRPr="00BD22C2">
        <w:rPr>
          <w:rFonts w:ascii="Arial" w:hAnsi="Arial" w:cs="Arial"/>
          <w:sz w:val="18"/>
          <w:szCs w:val="18"/>
          <w:lang w:val="fr-CA"/>
        </w:rPr>
        <w:t xml:space="preserve">, </w:t>
      </w:r>
      <w:r w:rsidRPr="00BD22C2">
        <w:rPr>
          <w:rFonts w:ascii="Arial" w:hAnsi="Arial" w:cs="Arial"/>
          <w:i/>
          <w:sz w:val="18"/>
          <w:szCs w:val="18"/>
          <w:lang w:val="fr-CA"/>
        </w:rPr>
        <w:t>Lutte contre la violence de genre en milieu scolaire : orientations mondiales</w:t>
      </w:r>
      <w:r w:rsidRPr="00BD22C2">
        <w:rPr>
          <w:rFonts w:ascii="Arial" w:hAnsi="Arial" w:cs="Arial"/>
          <w:sz w:val="18"/>
          <w:szCs w:val="18"/>
          <w:lang w:val="fr-CA"/>
        </w:rPr>
        <w:t>, 2017, p.</w:t>
      </w:r>
      <w:r w:rsidR="003D2E26">
        <w:rPr>
          <w:rFonts w:ascii="Arial" w:hAnsi="Arial" w:cs="Arial"/>
          <w:sz w:val="18"/>
          <w:szCs w:val="18"/>
          <w:lang w:val="fr-CA"/>
        </w:rPr>
        <w:t> </w:t>
      </w:r>
      <w:r w:rsidRPr="00BD22C2">
        <w:rPr>
          <w:rFonts w:ascii="Arial" w:hAnsi="Arial" w:cs="Arial"/>
          <w:sz w:val="18"/>
          <w:szCs w:val="18"/>
          <w:lang w:val="fr-CA"/>
        </w:rPr>
        <w:t>62</w:t>
      </w:r>
    </w:p>
  </w:endnote>
  <w:endnote w:id="471">
    <w:p w14:paraId="48FB012D" w14:textId="5CBB84E0" w:rsidR="00B10B89" w:rsidRPr="00BD22C2" w:rsidRDefault="00B10B89"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942A4F" w:rsidRPr="00BD22C2">
        <w:rPr>
          <w:rFonts w:ascii="Arial" w:hAnsi="Arial" w:cs="Arial"/>
          <w:sz w:val="18"/>
          <w:szCs w:val="18"/>
          <w:lang w:val="fr-CA"/>
        </w:rPr>
        <w:tab/>
      </w:r>
      <w:r w:rsidR="00942A4F" w:rsidRPr="00BD22C2">
        <w:rPr>
          <w:rFonts w:ascii="Arial" w:hAnsi="Arial" w:cs="Arial"/>
          <w:smallCaps/>
          <w:sz w:val="18"/>
          <w:szCs w:val="18"/>
          <w:lang w:val="fr-CA"/>
        </w:rPr>
        <w:t>Commission des droits de la personne et des droits de la jeunesse</w:t>
      </w:r>
      <w:r w:rsidR="00942A4F" w:rsidRPr="00BD22C2">
        <w:rPr>
          <w:rFonts w:ascii="Arial" w:hAnsi="Arial" w:cs="Arial"/>
          <w:sz w:val="18"/>
          <w:szCs w:val="18"/>
          <w:lang w:val="fr-CA"/>
        </w:rPr>
        <w:t>,</w:t>
      </w:r>
      <w:r w:rsidR="007A4BB5" w:rsidRPr="00BD22C2">
        <w:rPr>
          <w:rFonts w:ascii="Arial" w:hAnsi="Arial" w:cs="Arial"/>
          <w:sz w:val="18"/>
          <w:szCs w:val="18"/>
          <w:lang w:val="fr-CA"/>
        </w:rPr>
        <w:t xml:space="preserve"> </w:t>
      </w:r>
      <w:r w:rsidR="00BD4E39" w:rsidRPr="00BD22C2">
        <w:rPr>
          <w:rFonts w:ascii="Arial" w:hAnsi="Arial" w:cs="Arial"/>
          <w:iCs/>
          <w:sz w:val="18"/>
          <w:szCs w:val="18"/>
          <w:lang w:val="fr-CA"/>
        </w:rPr>
        <w:t>préc., note</w:t>
      </w:r>
      <w:r w:rsidR="003D2E26">
        <w:rPr>
          <w:rFonts w:ascii="Arial" w:hAnsi="Arial" w:cs="Arial"/>
          <w:iCs/>
          <w:sz w:val="18"/>
          <w:szCs w:val="18"/>
          <w:lang w:val="fr-CA"/>
        </w:rPr>
        <w:t> </w:t>
      </w:r>
      <w:r w:rsidR="00BD4E39" w:rsidRPr="00BD22C2">
        <w:rPr>
          <w:rFonts w:ascii="Arial" w:hAnsi="Arial" w:cs="Arial"/>
          <w:iCs/>
          <w:sz w:val="18"/>
          <w:szCs w:val="18"/>
          <w:lang w:val="fr-CA"/>
        </w:rPr>
        <w:fldChar w:fldCharType="begin"/>
      </w:r>
      <w:r w:rsidR="00BD4E39" w:rsidRPr="00BD22C2">
        <w:rPr>
          <w:rFonts w:ascii="Arial" w:hAnsi="Arial" w:cs="Arial"/>
          <w:iCs/>
          <w:sz w:val="18"/>
          <w:szCs w:val="18"/>
          <w:lang w:val="fr-CA"/>
        </w:rPr>
        <w:instrText xml:space="preserve"> NOTEREF _Ref166750904 \h </w:instrText>
      </w:r>
      <w:r w:rsidR="00BD4E39" w:rsidRPr="00BD22C2">
        <w:rPr>
          <w:rFonts w:ascii="Arial" w:hAnsi="Arial" w:cs="Arial"/>
          <w:iCs/>
          <w:sz w:val="18"/>
          <w:szCs w:val="18"/>
          <w:lang w:val="fr-CA"/>
        </w:rPr>
      </w:r>
      <w:r w:rsidR="00BD4E39" w:rsidRPr="00BD22C2">
        <w:rPr>
          <w:rFonts w:ascii="Arial" w:hAnsi="Arial" w:cs="Arial"/>
          <w:iCs/>
          <w:sz w:val="18"/>
          <w:szCs w:val="18"/>
          <w:lang w:val="fr-CA"/>
        </w:rPr>
        <w:fldChar w:fldCharType="separate"/>
      </w:r>
      <w:r w:rsidR="004B4881">
        <w:rPr>
          <w:rFonts w:ascii="Arial" w:hAnsi="Arial" w:cs="Arial"/>
          <w:iCs/>
          <w:sz w:val="18"/>
          <w:szCs w:val="18"/>
          <w:lang w:val="fr-CA"/>
        </w:rPr>
        <w:t>465</w:t>
      </w:r>
      <w:r w:rsidR="00BD4E39" w:rsidRPr="00BD22C2">
        <w:rPr>
          <w:rFonts w:ascii="Arial" w:hAnsi="Arial" w:cs="Arial"/>
          <w:iCs/>
          <w:sz w:val="18"/>
          <w:szCs w:val="18"/>
          <w:lang w:val="fr-CA"/>
        </w:rPr>
        <w:fldChar w:fldCharType="end"/>
      </w:r>
      <w:r w:rsidR="00942A4F" w:rsidRPr="00BD22C2">
        <w:rPr>
          <w:rFonts w:ascii="Arial" w:hAnsi="Arial" w:cs="Arial"/>
          <w:sz w:val="18"/>
          <w:szCs w:val="18"/>
          <w:lang w:val="fr-CA"/>
        </w:rPr>
        <w:t>, p.</w:t>
      </w:r>
      <w:r w:rsidR="003D2E26">
        <w:rPr>
          <w:rFonts w:ascii="Arial" w:hAnsi="Arial" w:cs="Arial"/>
          <w:sz w:val="18"/>
          <w:szCs w:val="18"/>
          <w:lang w:val="fr-CA"/>
        </w:rPr>
        <w:t> </w:t>
      </w:r>
      <w:r w:rsidR="00942A4F" w:rsidRPr="00BD22C2">
        <w:rPr>
          <w:rFonts w:ascii="Arial" w:hAnsi="Arial" w:cs="Arial"/>
          <w:sz w:val="18"/>
          <w:szCs w:val="18"/>
          <w:lang w:val="fr-CA"/>
        </w:rPr>
        <w:t xml:space="preserve">12. </w:t>
      </w:r>
    </w:p>
  </w:endnote>
  <w:endnote w:id="472">
    <w:p w14:paraId="527375FC" w14:textId="1E738543" w:rsidR="006E12FF" w:rsidRPr="00BD22C2" w:rsidRDefault="006E12F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DC6484" w:rsidRPr="00BD22C2">
        <w:rPr>
          <w:rFonts w:ascii="Arial" w:hAnsi="Arial" w:cs="Arial"/>
          <w:iCs/>
          <w:sz w:val="18"/>
          <w:szCs w:val="18"/>
          <w:lang w:val="fr-CA"/>
        </w:rPr>
        <w:t xml:space="preserve">préc., note </w:t>
      </w:r>
      <w:r w:rsidR="00DC6484" w:rsidRPr="00BD22C2">
        <w:rPr>
          <w:rFonts w:ascii="Arial" w:hAnsi="Arial" w:cs="Arial"/>
          <w:iCs/>
          <w:sz w:val="18"/>
          <w:szCs w:val="18"/>
          <w:lang w:val="fr-CA"/>
        </w:rPr>
        <w:fldChar w:fldCharType="begin"/>
      </w:r>
      <w:r w:rsidR="00DC6484" w:rsidRPr="00BD22C2">
        <w:rPr>
          <w:rFonts w:ascii="Arial" w:hAnsi="Arial" w:cs="Arial"/>
          <w:iCs/>
          <w:sz w:val="18"/>
          <w:szCs w:val="18"/>
          <w:lang w:val="fr-CA"/>
        </w:rPr>
        <w:instrText xml:space="preserve"> NOTEREF _Ref166749987 \h </w:instrText>
      </w:r>
      <w:r w:rsidR="00DC6484" w:rsidRPr="00BD22C2">
        <w:rPr>
          <w:rFonts w:ascii="Arial" w:hAnsi="Arial" w:cs="Arial"/>
          <w:iCs/>
          <w:sz w:val="18"/>
          <w:szCs w:val="18"/>
          <w:lang w:val="fr-CA"/>
        </w:rPr>
      </w:r>
      <w:r w:rsidR="00DC6484" w:rsidRPr="00BD22C2">
        <w:rPr>
          <w:rFonts w:ascii="Arial" w:hAnsi="Arial" w:cs="Arial"/>
          <w:iCs/>
          <w:sz w:val="18"/>
          <w:szCs w:val="18"/>
          <w:lang w:val="fr-CA"/>
        </w:rPr>
        <w:fldChar w:fldCharType="separate"/>
      </w:r>
      <w:r w:rsidR="004B4881">
        <w:rPr>
          <w:rFonts w:ascii="Arial" w:hAnsi="Arial" w:cs="Arial"/>
          <w:iCs/>
          <w:sz w:val="18"/>
          <w:szCs w:val="18"/>
          <w:lang w:val="fr-CA"/>
        </w:rPr>
        <w:t>10</w:t>
      </w:r>
      <w:r w:rsidR="00DC6484" w:rsidRPr="00BD22C2">
        <w:rPr>
          <w:rFonts w:ascii="Arial" w:hAnsi="Arial" w:cs="Arial"/>
          <w:iCs/>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23</w:t>
      </w:r>
      <w:r w:rsidR="00CC3F10">
        <w:rPr>
          <w:rFonts w:ascii="Arial" w:hAnsi="Arial" w:cs="Arial"/>
          <w:sz w:val="18"/>
          <w:szCs w:val="18"/>
          <w:lang w:val="fr-CA"/>
        </w:rPr>
        <w:t xml:space="preserve"> et </w:t>
      </w:r>
      <w:r w:rsidRPr="00BD22C2">
        <w:rPr>
          <w:rFonts w:ascii="Arial" w:hAnsi="Arial" w:cs="Arial"/>
          <w:sz w:val="18"/>
          <w:szCs w:val="18"/>
          <w:lang w:val="fr-CA"/>
        </w:rPr>
        <w:t>24.</w:t>
      </w:r>
    </w:p>
  </w:endnote>
  <w:endnote w:id="473">
    <w:p w14:paraId="7AAEF2CC" w14:textId="36393B16" w:rsidR="00F86D7B" w:rsidRPr="00BD22C2" w:rsidRDefault="00F86D7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A1068" w:rsidRPr="00BD22C2">
        <w:rPr>
          <w:rFonts w:ascii="Arial" w:hAnsi="Arial" w:cs="Arial"/>
          <w:smallCaps/>
          <w:sz w:val="18"/>
          <w:szCs w:val="18"/>
          <w:lang w:val="fr-CA"/>
        </w:rPr>
        <w:t>Commission des droits de la personne et des droits de la jeunesse</w:t>
      </w:r>
      <w:r w:rsidR="006A1068" w:rsidRPr="00BD22C2">
        <w:rPr>
          <w:rFonts w:ascii="Arial" w:hAnsi="Arial" w:cs="Arial"/>
          <w:sz w:val="18"/>
          <w:szCs w:val="18"/>
          <w:lang w:val="fr-CA"/>
        </w:rPr>
        <w:t xml:space="preserve">, </w:t>
      </w:r>
      <w:r w:rsidR="00BD4E39" w:rsidRPr="00BD22C2">
        <w:rPr>
          <w:rFonts w:ascii="Arial" w:hAnsi="Arial" w:cs="Arial"/>
          <w:iCs/>
          <w:sz w:val="18"/>
          <w:szCs w:val="18"/>
          <w:lang w:val="fr-CA"/>
        </w:rPr>
        <w:t>préc., note</w:t>
      </w:r>
      <w:r w:rsidR="003D2E26">
        <w:rPr>
          <w:rFonts w:ascii="Arial" w:hAnsi="Arial" w:cs="Arial"/>
          <w:iCs/>
          <w:sz w:val="18"/>
          <w:szCs w:val="18"/>
          <w:lang w:val="fr-CA"/>
        </w:rPr>
        <w:t> </w:t>
      </w:r>
      <w:r w:rsidR="00BD4E39" w:rsidRPr="00BD22C2">
        <w:rPr>
          <w:rFonts w:ascii="Arial" w:hAnsi="Arial" w:cs="Arial"/>
          <w:iCs/>
          <w:sz w:val="18"/>
          <w:szCs w:val="18"/>
          <w:lang w:val="fr-CA"/>
        </w:rPr>
        <w:fldChar w:fldCharType="begin"/>
      </w:r>
      <w:r w:rsidR="00BD4E39" w:rsidRPr="00BD22C2">
        <w:rPr>
          <w:rFonts w:ascii="Arial" w:hAnsi="Arial" w:cs="Arial"/>
          <w:iCs/>
          <w:sz w:val="18"/>
          <w:szCs w:val="18"/>
          <w:lang w:val="fr-CA"/>
        </w:rPr>
        <w:instrText xml:space="preserve"> NOTEREF _Ref166750904 \h </w:instrText>
      </w:r>
      <w:r w:rsidR="00BD4E39" w:rsidRPr="00BD22C2">
        <w:rPr>
          <w:rFonts w:ascii="Arial" w:hAnsi="Arial" w:cs="Arial"/>
          <w:iCs/>
          <w:sz w:val="18"/>
          <w:szCs w:val="18"/>
          <w:lang w:val="fr-CA"/>
        </w:rPr>
      </w:r>
      <w:r w:rsidR="00BD4E39" w:rsidRPr="00BD22C2">
        <w:rPr>
          <w:rFonts w:ascii="Arial" w:hAnsi="Arial" w:cs="Arial"/>
          <w:iCs/>
          <w:sz w:val="18"/>
          <w:szCs w:val="18"/>
          <w:lang w:val="fr-CA"/>
        </w:rPr>
        <w:fldChar w:fldCharType="separate"/>
      </w:r>
      <w:r w:rsidR="004B4881">
        <w:rPr>
          <w:rFonts w:ascii="Arial" w:hAnsi="Arial" w:cs="Arial"/>
          <w:iCs/>
          <w:sz w:val="18"/>
          <w:szCs w:val="18"/>
          <w:lang w:val="fr-CA"/>
        </w:rPr>
        <w:t>465</w:t>
      </w:r>
      <w:r w:rsidR="00BD4E39" w:rsidRPr="00BD22C2">
        <w:rPr>
          <w:rFonts w:ascii="Arial" w:hAnsi="Arial" w:cs="Arial"/>
          <w:iCs/>
          <w:sz w:val="18"/>
          <w:szCs w:val="18"/>
          <w:lang w:val="fr-CA"/>
        </w:rPr>
        <w:fldChar w:fldCharType="end"/>
      </w:r>
      <w:r w:rsidR="00B41D67" w:rsidRPr="00BD22C2">
        <w:rPr>
          <w:rFonts w:ascii="Arial" w:hAnsi="Arial" w:cs="Arial"/>
          <w:sz w:val="18"/>
          <w:szCs w:val="18"/>
          <w:lang w:val="fr-CA"/>
        </w:rPr>
        <w:t> </w:t>
      </w:r>
      <w:r w:rsidR="009954A9" w:rsidRPr="00BD22C2">
        <w:rPr>
          <w:rFonts w:ascii="Arial" w:hAnsi="Arial" w:cs="Arial"/>
          <w:sz w:val="18"/>
          <w:szCs w:val="18"/>
          <w:lang w:val="fr-CA"/>
        </w:rPr>
        <w:t xml:space="preserve">; </w:t>
      </w:r>
      <w:r w:rsidR="001971A7" w:rsidRPr="00BD22C2">
        <w:rPr>
          <w:rFonts w:ascii="Arial" w:hAnsi="Arial" w:cs="Arial"/>
          <w:smallCaps/>
          <w:sz w:val="18"/>
          <w:szCs w:val="18"/>
          <w:lang w:val="fr-CA"/>
        </w:rPr>
        <w:t>Commission des droits de la personne et des droits de la jeunesse</w:t>
      </w:r>
      <w:r w:rsidR="001971A7" w:rsidRPr="00BD22C2">
        <w:rPr>
          <w:rFonts w:ascii="Arial" w:hAnsi="Arial" w:cs="Arial"/>
          <w:sz w:val="18"/>
          <w:szCs w:val="18"/>
          <w:lang w:val="fr-CA"/>
        </w:rPr>
        <w:t xml:space="preserve">, </w:t>
      </w:r>
      <w:r w:rsidR="007F7415" w:rsidRPr="00BD22C2">
        <w:rPr>
          <w:rFonts w:ascii="Arial" w:hAnsi="Arial" w:cs="Arial"/>
          <w:iCs/>
          <w:sz w:val="18"/>
          <w:szCs w:val="18"/>
          <w:lang w:val="fr-CA"/>
        </w:rPr>
        <w:t>préc., note</w:t>
      </w:r>
      <w:r w:rsidR="003D2E26">
        <w:rPr>
          <w:rFonts w:ascii="Arial" w:hAnsi="Arial" w:cs="Arial"/>
          <w:iCs/>
          <w:sz w:val="18"/>
          <w:szCs w:val="18"/>
          <w:lang w:val="fr-CA"/>
        </w:rPr>
        <w:t> </w:t>
      </w:r>
      <w:r w:rsidR="007F7415" w:rsidRPr="00BD22C2">
        <w:rPr>
          <w:rFonts w:ascii="Arial" w:hAnsi="Arial" w:cs="Arial"/>
          <w:iCs/>
          <w:sz w:val="18"/>
          <w:szCs w:val="18"/>
          <w:lang w:val="fr-CA"/>
        </w:rPr>
        <w:fldChar w:fldCharType="begin"/>
      </w:r>
      <w:r w:rsidR="007F7415" w:rsidRPr="00BD22C2">
        <w:rPr>
          <w:rFonts w:ascii="Arial" w:hAnsi="Arial" w:cs="Arial"/>
          <w:iCs/>
          <w:sz w:val="18"/>
          <w:szCs w:val="18"/>
          <w:lang w:val="fr-CA"/>
        </w:rPr>
        <w:instrText xml:space="preserve"> NOTEREF _Ref166749903 \h </w:instrText>
      </w:r>
      <w:r w:rsidR="007F7415" w:rsidRPr="00BD22C2">
        <w:rPr>
          <w:rFonts w:ascii="Arial" w:hAnsi="Arial" w:cs="Arial"/>
          <w:iCs/>
          <w:sz w:val="18"/>
          <w:szCs w:val="18"/>
          <w:lang w:val="fr-CA"/>
        </w:rPr>
      </w:r>
      <w:r w:rsidR="007F7415" w:rsidRPr="00BD22C2">
        <w:rPr>
          <w:rFonts w:ascii="Arial" w:hAnsi="Arial" w:cs="Arial"/>
          <w:iCs/>
          <w:sz w:val="18"/>
          <w:szCs w:val="18"/>
          <w:lang w:val="fr-CA"/>
        </w:rPr>
        <w:fldChar w:fldCharType="separate"/>
      </w:r>
      <w:r w:rsidR="004B4881">
        <w:rPr>
          <w:rFonts w:ascii="Arial" w:hAnsi="Arial" w:cs="Arial"/>
          <w:iCs/>
          <w:sz w:val="18"/>
          <w:szCs w:val="18"/>
          <w:lang w:val="fr-CA"/>
        </w:rPr>
        <w:t>452</w:t>
      </w:r>
      <w:r w:rsidR="007F7415" w:rsidRPr="00BD22C2">
        <w:rPr>
          <w:rFonts w:ascii="Arial" w:hAnsi="Arial" w:cs="Arial"/>
          <w:iCs/>
          <w:sz w:val="18"/>
          <w:szCs w:val="18"/>
          <w:lang w:val="fr-CA"/>
        </w:rPr>
        <w:fldChar w:fldCharType="end"/>
      </w:r>
      <w:r w:rsidR="00B41D67" w:rsidRPr="00BD22C2">
        <w:rPr>
          <w:rFonts w:ascii="Arial" w:hAnsi="Arial" w:cs="Arial"/>
          <w:sz w:val="18"/>
          <w:szCs w:val="18"/>
          <w:lang w:val="fr-CA"/>
        </w:rPr>
        <w:t> </w:t>
      </w:r>
      <w:r w:rsidR="00A60332" w:rsidRPr="00BD22C2">
        <w:rPr>
          <w:rFonts w:ascii="Arial" w:hAnsi="Arial" w:cs="Arial"/>
          <w:sz w:val="18"/>
          <w:szCs w:val="18"/>
          <w:lang w:val="fr-CA"/>
        </w:rPr>
        <w:t>;</w:t>
      </w:r>
      <w:r w:rsidR="001971A7" w:rsidRPr="00BD22C2">
        <w:rPr>
          <w:rFonts w:ascii="Arial" w:hAnsi="Arial" w:cs="Arial"/>
          <w:smallCaps/>
          <w:sz w:val="18"/>
          <w:szCs w:val="18"/>
          <w:lang w:val="fr-CA"/>
        </w:rPr>
        <w:t xml:space="preserve"> </w:t>
      </w:r>
      <w:r w:rsidR="009954A9" w:rsidRPr="00BD22C2">
        <w:rPr>
          <w:rFonts w:ascii="Arial" w:hAnsi="Arial" w:cs="Arial"/>
          <w:smallCaps/>
          <w:sz w:val="18"/>
          <w:szCs w:val="18"/>
          <w:lang w:val="fr-CA"/>
        </w:rPr>
        <w:t>Commission des droits de la personne et des droits de la jeunesse</w:t>
      </w:r>
      <w:r w:rsidR="00DC6484" w:rsidRPr="00BD22C2">
        <w:rPr>
          <w:rFonts w:ascii="Arial" w:hAnsi="Arial" w:cs="Arial"/>
          <w:smallCaps/>
          <w:sz w:val="18"/>
          <w:szCs w:val="18"/>
          <w:lang w:val="fr-CA"/>
        </w:rPr>
        <w:t xml:space="preserve"> (2007)</w:t>
      </w:r>
      <w:r w:rsidR="00E05341" w:rsidRPr="00BD22C2">
        <w:rPr>
          <w:rFonts w:ascii="Arial" w:hAnsi="Arial" w:cs="Arial"/>
          <w:sz w:val="18"/>
          <w:szCs w:val="18"/>
          <w:lang w:val="fr-CA"/>
        </w:rPr>
        <w:t xml:space="preserve">, </w:t>
      </w:r>
      <w:r w:rsidR="00DC6484" w:rsidRPr="00BD22C2">
        <w:rPr>
          <w:rFonts w:ascii="Arial" w:hAnsi="Arial" w:cs="Arial"/>
          <w:i/>
          <w:sz w:val="18"/>
          <w:szCs w:val="18"/>
          <w:lang w:val="fr-CA"/>
        </w:rPr>
        <w:t>id</w:t>
      </w:r>
      <w:r w:rsidR="00E05341" w:rsidRPr="00BD22C2">
        <w:rPr>
          <w:rFonts w:ascii="Arial" w:hAnsi="Arial" w:cs="Arial"/>
          <w:sz w:val="18"/>
          <w:szCs w:val="18"/>
          <w:lang w:val="fr-CA"/>
        </w:rPr>
        <w:t>.</w:t>
      </w:r>
    </w:p>
  </w:endnote>
  <w:endnote w:id="474">
    <w:p w14:paraId="35EAF7E7" w14:textId="2A210DEE"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Assemblée générale des Nations Unies</w:t>
      </w:r>
      <w:r w:rsidRPr="00BD22C2">
        <w:rPr>
          <w:rFonts w:ascii="Arial" w:hAnsi="Arial" w:cs="Arial"/>
          <w:sz w:val="18"/>
          <w:szCs w:val="18"/>
          <w:lang w:val="fr-CA"/>
        </w:rPr>
        <w:t xml:space="preserve">, </w:t>
      </w:r>
      <w:r w:rsidR="004648FE" w:rsidRPr="00BD22C2">
        <w:rPr>
          <w:rFonts w:ascii="Arial" w:hAnsi="Arial" w:cs="Arial"/>
          <w:iCs/>
          <w:sz w:val="18"/>
          <w:szCs w:val="18"/>
          <w:lang w:val="fr-CA"/>
        </w:rPr>
        <w:t>préc., note</w:t>
      </w:r>
      <w:r w:rsidR="003D2E26">
        <w:rPr>
          <w:rFonts w:ascii="Arial" w:hAnsi="Arial" w:cs="Arial"/>
          <w:iCs/>
          <w:sz w:val="18"/>
          <w:szCs w:val="18"/>
          <w:lang w:val="fr-CA"/>
        </w:rPr>
        <w:t> </w:t>
      </w:r>
      <w:r w:rsidR="004648FE" w:rsidRPr="00BD22C2">
        <w:rPr>
          <w:rFonts w:ascii="Arial" w:hAnsi="Arial" w:cs="Arial"/>
          <w:iCs/>
          <w:sz w:val="18"/>
          <w:szCs w:val="18"/>
          <w:lang w:val="fr-CA"/>
        </w:rPr>
        <w:fldChar w:fldCharType="begin"/>
      </w:r>
      <w:r w:rsidR="004648FE" w:rsidRPr="00BD22C2">
        <w:rPr>
          <w:rFonts w:ascii="Arial" w:hAnsi="Arial" w:cs="Arial"/>
          <w:iCs/>
          <w:sz w:val="18"/>
          <w:szCs w:val="18"/>
          <w:lang w:val="fr-CA"/>
        </w:rPr>
        <w:instrText xml:space="preserve"> NOTEREF _Ref166752094 \h </w:instrText>
      </w:r>
      <w:r w:rsidR="004648FE" w:rsidRPr="00BD22C2">
        <w:rPr>
          <w:rFonts w:ascii="Arial" w:hAnsi="Arial" w:cs="Arial"/>
          <w:iCs/>
          <w:sz w:val="18"/>
          <w:szCs w:val="18"/>
          <w:lang w:val="fr-CA"/>
        </w:rPr>
      </w:r>
      <w:r w:rsidR="004648FE" w:rsidRPr="00BD22C2">
        <w:rPr>
          <w:rFonts w:ascii="Arial" w:hAnsi="Arial" w:cs="Arial"/>
          <w:iCs/>
          <w:sz w:val="18"/>
          <w:szCs w:val="18"/>
          <w:lang w:val="fr-CA"/>
        </w:rPr>
        <w:fldChar w:fldCharType="separate"/>
      </w:r>
      <w:r w:rsidR="004B4881">
        <w:rPr>
          <w:rFonts w:ascii="Arial" w:hAnsi="Arial" w:cs="Arial"/>
          <w:iCs/>
          <w:sz w:val="18"/>
          <w:szCs w:val="18"/>
          <w:lang w:val="fr-CA"/>
        </w:rPr>
        <w:t>445</w:t>
      </w:r>
      <w:r w:rsidR="004648FE" w:rsidRPr="00BD22C2">
        <w:rPr>
          <w:rFonts w:ascii="Arial" w:hAnsi="Arial" w:cs="Arial"/>
          <w:iCs/>
          <w:sz w:val="18"/>
          <w:szCs w:val="18"/>
          <w:lang w:val="fr-CA"/>
        </w:rPr>
        <w:fldChar w:fldCharType="end"/>
      </w:r>
      <w:r w:rsidRPr="00BD22C2">
        <w:rPr>
          <w:rFonts w:ascii="Arial" w:hAnsi="Arial" w:cs="Arial"/>
          <w:sz w:val="18"/>
          <w:szCs w:val="18"/>
          <w:lang w:val="fr-CA"/>
        </w:rPr>
        <w:t>, p.</w:t>
      </w:r>
      <w:r w:rsidR="000F68BF" w:rsidRPr="00BD22C2">
        <w:rPr>
          <w:rFonts w:ascii="Arial" w:hAnsi="Arial" w:cs="Arial"/>
          <w:sz w:val="18"/>
          <w:szCs w:val="18"/>
          <w:lang w:val="fr-CA"/>
        </w:rPr>
        <w:t> </w:t>
      </w:r>
      <w:r w:rsidRPr="00BD22C2">
        <w:rPr>
          <w:rFonts w:ascii="Arial" w:hAnsi="Arial" w:cs="Arial"/>
          <w:sz w:val="18"/>
          <w:szCs w:val="18"/>
          <w:lang w:val="fr-CA"/>
        </w:rPr>
        <w:t xml:space="preserve">9 (nos soulignés). </w:t>
      </w:r>
    </w:p>
  </w:endnote>
  <w:endnote w:id="475">
    <w:p w14:paraId="12351B75" w14:textId="4B45646B"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5452FB" w:rsidRPr="00BD22C2">
        <w:rPr>
          <w:rFonts w:ascii="Arial" w:hAnsi="Arial" w:cs="Arial"/>
          <w:sz w:val="18"/>
          <w:szCs w:val="18"/>
          <w:lang w:val="fr-CA"/>
        </w:rPr>
        <w:t>LIP, art.</w:t>
      </w:r>
      <w:r w:rsidR="003D2E26">
        <w:rPr>
          <w:rFonts w:ascii="Arial" w:hAnsi="Arial" w:cs="Arial"/>
          <w:sz w:val="18"/>
          <w:szCs w:val="18"/>
          <w:lang w:val="fr-CA"/>
        </w:rPr>
        <w:t> </w:t>
      </w:r>
      <w:r w:rsidR="005452FB" w:rsidRPr="00BD22C2">
        <w:rPr>
          <w:rFonts w:ascii="Arial" w:hAnsi="Arial" w:cs="Arial"/>
          <w:sz w:val="18"/>
          <w:szCs w:val="18"/>
          <w:lang w:val="fr-CA"/>
        </w:rPr>
        <w:t>36.</w:t>
      </w:r>
    </w:p>
  </w:endnote>
  <w:endnote w:id="476">
    <w:p w14:paraId="1A6B165F" w14:textId="36C89030"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1E1DC3" w:rsidRPr="00BD22C2">
        <w:rPr>
          <w:rFonts w:ascii="Arial" w:hAnsi="Arial" w:cs="Arial"/>
          <w:iCs/>
          <w:sz w:val="18"/>
          <w:szCs w:val="18"/>
          <w:lang w:val="fr-CA"/>
        </w:rPr>
        <w:t>CRDE,</w:t>
      </w:r>
      <w:r w:rsidR="002D29C0" w:rsidRPr="00BD22C2">
        <w:rPr>
          <w:rFonts w:ascii="Arial" w:hAnsi="Arial" w:cs="Arial"/>
          <w:sz w:val="18"/>
          <w:szCs w:val="18"/>
          <w:lang w:val="fr-CA"/>
        </w:rPr>
        <w:t xml:space="preserve"> </w:t>
      </w:r>
      <w:r w:rsidRPr="00BD22C2">
        <w:rPr>
          <w:rFonts w:ascii="Arial" w:hAnsi="Arial" w:cs="Arial"/>
          <w:sz w:val="18"/>
          <w:szCs w:val="18"/>
          <w:lang w:val="fr-CA"/>
        </w:rPr>
        <w:t>art.</w:t>
      </w:r>
      <w:r w:rsidR="000F68BF" w:rsidRPr="00BD22C2">
        <w:rPr>
          <w:rFonts w:ascii="Arial" w:hAnsi="Arial" w:cs="Arial"/>
          <w:sz w:val="18"/>
          <w:szCs w:val="18"/>
          <w:lang w:val="fr-CA"/>
        </w:rPr>
        <w:t> </w:t>
      </w:r>
      <w:r w:rsidRPr="00BD22C2">
        <w:rPr>
          <w:rFonts w:ascii="Arial" w:hAnsi="Arial" w:cs="Arial"/>
          <w:sz w:val="18"/>
          <w:szCs w:val="18"/>
          <w:lang w:val="fr-CA"/>
        </w:rPr>
        <w:t xml:space="preserve">29(1). </w:t>
      </w:r>
    </w:p>
  </w:endnote>
  <w:endnote w:id="477">
    <w:p w14:paraId="1945FD33" w14:textId="58A0D566"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Unesco</w:t>
      </w:r>
      <w:r w:rsidRPr="00BD22C2">
        <w:rPr>
          <w:rFonts w:ascii="Arial" w:hAnsi="Arial" w:cs="Arial"/>
          <w:sz w:val="18"/>
          <w:szCs w:val="18"/>
          <w:lang w:val="fr-CA"/>
        </w:rPr>
        <w:t xml:space="preserve"> et </w:t>
      </w:r>
      <w:r w:rsidRPr="00BD22C2">
        <w:rPr>
          <w:rFonts w:ascii="Arial" w:hAnsi="Arial" w:cs="Arial"/>
          <w:smallCaps/>
          <w:sz w:val="18"/>
          <w:szCs w:val="18"/>
          <w:lang w:val="fr-CA"/>
        </w:rPr>
        <w:t>Haut-Commissariat des Nations Unies aux droits de l’homme</w:t>
      </w:r>
      <w:r w:rsidRPr="00BD22C2">
        <w:rPr>
          <w:rFonts w:ascii="Arial" w:hAnsi="Arial" w:cs="Arial"/>
          <w:sz w:val="18"/>
          <w:szCs w:val="18"/>
          <w:lang w:val="fr-CA"/>
        </w:rPr>
        <w:t xml:space="preserve">, </w:t>
      </w:r>
      <w:r w:rsidR="00106193" w:rsidRPr="00BD22C2">
        <w:rPr>
          <w:rFonts w:ascii="Arial" w:hAnsi="Arial" w:cs="Arial"/>
          <w:sz w:val="18"/>
          <w:szCs w:val="18"/>
          <w:lang w:val="fr-CA"/>
        </w:rPr>
        <w:t>préc., note</w:t>
      </w:r>
      <w:r w:rsidR="003D2E26">
        <w:rPr>
          <w:rFonts w:ascii="Arial" w:hAnsi="Arial" w:cs="Arial"/>
          <w:sz w:val="18"/>
          <w:szCs w:val="18"/>
          <w:lang w:val="fr-CA"/>
        </w:rPr>
        <w:t> </w:t>
      </w:r>
      <w:r w:rsidR="00106193" w:rsidRPr="00BD22C2">
        <w:rPr>
          <w:rFonts w:ascii="Arial" w:hAnsi="Arial" w:cs="Arial"/>
          <w:sz w:val="18"/>
          <w:szCs w:val="18"/>
          <w:lang w:val="fr-CA"/>
        </w:rPr>
        <w:fldChar w:fldCharType="begin"/>
      </w:r>
      <w:r w:rsidR="00106193" w:rsidRPr="00BD22C2">
        <w:rPr>
          <w:rFonts w:ascii="Arial" w:hAnsi="Arial" w:cs="Arial"/>
          <w:sz w:val="18"/>
          <w:szCs w:val="18"/>
          <w:lang w:val="fr-CA"/>
        </w:rPr>
        <w:instrText xml:space="preserve"> NOTEREF _Ref166752816 \h </w:instrText>
      </w:r>
      <w:r w:rsidR="00106193" w:rsidRPr="00BD22C2">
        <w:rPr>
          <w:rFonts w:ascii="Arial" w:hAnsi="Arial" w:cs="Arial"/>
          <w:sz w:val="18"/>
          <w:szCs w:val="18"/>
          <w:lang w:val="fr-CA"/>
        </w:rPr>
      </w:r>
      <w:r w:rsidR="00106193" w:rsidRPr="00BD22C2">
        <w:rPr>
          <w:rFonts w:ascii="Arial" w:hAnsi="Arial" w:cs="Arial"/>
          <w:sz w:val="18"/>
          <w:szCs w:val="18"/>
          <w:lang w:val="fr-CA"/>
        </w:rPr>
        <w:fldChar w:fldCharType="separate"/>
      </w:r>
      <w:r w:rsidR="004B4881">
        <w:rPr>
          <w:rFonts w:ascii="Arial" w:hAnsi="Arial" w:cs="Arial"/>
          <w:sz w:val="18"/>
          <w:szCs w:val="18"/>
          <w:lang w:val="fr-CA"/>
        </w:rPr>
        <w:t>443</w:t>
      </w:r>
      <w:r w:rsidR="00106193" w:rsidRPr="00BD22C2">
        <w:rPr>
          <w:rFonts w:ascii="Arial" w:hAnsi="Arial" w:cs="Arial"/>
          <w:sz w:val="18"/>
          <w:szCs w:val="18"/>
          <w:lang w:val="fr-CA"/>
        </w:rPr>
        <w:fldChar w:fldCharType="end"/>
      </w:r>
      <w:r w:rsidRPr="00BD22C2">
        <w:rPr>
          <w:rFonts w:ascii="Arial" w:hAnsi="Arial" w:cs="Arial"/>
          <w:sz w:val="18"/>
          <w:szCs w:val="18"/>
          <w:lang w:val="fr-CA"/>
        </w:rPr>
        <w:t>, p.</w:t>
      </w:r>
      <w:r w:rsidR="000F68BF" w:rsidRPr="00BD22C2">
        <w:rPr>
          <w:rFonts w:ascii="Arial" w:hAnsi="Arial" w:cs="Arial"/>
          <w:sz w:val="18"/>
          <w:szCs w:val="18"/>
          <w:lang w:val="fr-CA"/>
        </w:rPr>
        <w:t> </w:t>
      </w:r>
      <w:r w:rsidRPr="00B36D7C">
        <w:rPr>
          <w:rFonts w:ascii="Arial" w:hAnsi="Arial" w:cs="Arial"/>
          <w:sz w:val="18"/>
          <w:szCs w:val="18"/>
          <w:lang w:val="fr-CA"/>
        </w:rPr>
        <w:t>4</w:t>
      </w:r>
      <w:r w:rsidR="00EB4608">
        <w:rPr>
          <w:rFonts w:ascii="Arial" w:hAnsi="Arial" w:cs="Arial"/>
          <w:sz w:val="18"/>
          <w:szCs w:val="18"/>
          <w:lang w:val="fr-CA"/>
        </w:rPr>
        <w:t>.</w:t>
      </w:r>
    </w:p>
  </w:endnote>
  <w:endnote w:id="478">
    <w:p w14:paraId="2D0F5A55" w14:textId="6A6F21A2"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 générale n°</w:t>
      </w:r>
      <w:r w:rsidR="000F68BF" w:rsidRPr="00BD22C2">
        <w:rPr>
          <w:rFonts w:ascii="Arial" w:hAnsi="Arial" w:cs="Arial"/>
          <w:i/>
          <w:sz w:val="18"/>
          <w:szCs w:val="18"/>
          <w:lang w:val="fr-CA"/>
        </w:rPr>
        <w:t> </w:t>
      </w:r>
      <w:r w:rsidRPr="00BD22C2">
        <w:rPr>
          <w:rFonts w:ascii="Arial" w:hAnsi="Arial" w:cs="Arial"/>
          <w:i/>
          <w:sz w:val="18"/>
          <w:szCs w:val="18"/>
          <w:lang w:val="fr-CA"/>
        </w:rPr>
        <w:t>1, Paragraphe</w:t>
      </w:r>
      <w:r w:rsidR="000F68BF" w:rsidRPr="00BD22C2">
        <w:rPr>
          <w:rFonts w:ascii="Arial" w:hAnsi="Arial" w:cs="Arial"/>
          <w:i/>
          <w:sz w:val="18"/>
          <w:szCs w:val="18"/>
          <w:lang w:val="fr-CA"/>
        </w:rPr>
        <w:t> </w:t>
      </w:r>
      <w:r w:rsidRPr="00BD22C2">
        <w:rPr>
          <w:rFonts w:ascii="Arial" w:hAnsi="Arial" w:cs="Arial"/>
          <w:i/>
          <w:sz w:val="18"/>
          <w:szCs w:val="18"/>
          <w:lang w:val="fr-CA"/>
        </w:rPr>
        <w:t>1 de l’article</w:t>
      </w:r>
      <w:r w:rsidR="000F68BF" w:rsidRPr="00BD22C2">
        <w:rPr>
          <w:rFonts w:ascii="Arial" w:hAnsi="Arial" w:cs="Arial"/>
          <w:i/>
          <w:sz w:val="18"/>
          <w:szCs w:val="18"/>
          <w:lang w:val="fr-CA"/>
        </w:rPr>
        <w:t> </w:t>
      </w:r>
      <w:r w:rsidRPr="00BD22C2">
        <w:rPr>
          <w:rFonts w:ascii="Arial" w:hAnsi="Arial" w:cs="Arial"/>
          <w:i/>
          <w:sz w:val="18"/>
          <w:szCs w:val="18"/>
          <w:lang w:val="fr-CA"/>
        </w:rPr>
        <w:t>29</w:t>
      </w:r>
      <w:r w:rsidR="00E8063A" w:rsidRPr="00BD22C2">
        <w:rPr>
          <w:rFonts w:ascii="Arial" w:hAnsi="Arial" w:cs="Arial"/>
          <w:i/>
          <w:sz w:val="18"/>
          <w:szCs w:val="18"/>
          <w:lang w:val="fr-CA"/>
        </w:rPr>
        <w:t> </w:t>
      </w:r>
      <w:r w:rsidRPr="00BD22C2">
        <w:rPr>
          <w:rFonts w:ascii="Arial" w:hAnsi="Arial" w:cs="Arial"/>
          <w:i/>
          <w:sz w:val="18"/>
          <w:szCs w:val="18"/>
          <w:lang w:val="fr-CA"/>
        </w:rPr>
        <w:t>: les buts de l’éducation, Convention relative aux droits de l’enfant, CRC/GC/2001/1</w:t>
      </w:r>
      <w:r w:rsidRPr="00BD22C2">
        <w:rPr>
          <w:rFonts w:ascii="Arial" w:hAnsi="Arial" w:cs="Arial"/>
          <w:sz w:val="18"/>
          <w:szCs w:val="18"/>
          <w:lang w:val="fr-CA"/>
        </w:rPr>
        <w:t>, par. 19.</w:t>
      </w:r>
    </w:p>
  </w:endnote>
  <w:endnote w:id="479">
    <w:p w14:paraId="41092953" w14:textId="21C06816"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353941" w:rsidRPr="00BD22C2">
        <w:rPr>
          <w:rFonts w:ascii="Arial" w:hAnsi="Arial" w:cs="Arial"/>
          <w:i/>
          <w:iCs/>
          <w:sz w:val="18"/>
          <w:szCs w:val="18"/>
          <w:lang w:val="fr-CA"/>
        </w:rPr>
        <w:t>Id</w:t>
      </w:r>
      <w:r w:rsidR="00353941" w:rsidRPr="00BD22C2">
        <w:rPr>
          <w:rFonts w:ascii="Arial" w:hAnsi="Arial" w:cs="Arial"/>
          <w:smallCaps/>
          <w:sz w:val="18"/>
          <w:szCs w:val="18"/>
          <w:lang w:val="fr-CA"/>
        </w:rPr>
        <w:t>.</w:t>
      </w:r>
      <w:r w:rsidRPr="00BD22C2">
        <w:rPr>
          <w:rFonts w:ascii="Arial" w:hAnsi="Arial" w:cs="Arial"/>
          <w:sz w:val="18"/>
          <w:szCs w:val="18"/>
          <w:lang w:val="fr-CA"/>
        </w:rPr>
        <w:t>, par.1</w:t>
      </w:r>
      <w:r w:rsidR="00BB3F16"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Mémoire à la Commission des institutions de l’Assemblée nationale</w:t>
      </w:r>
      <w:r w:rsidR="00750EC4">
        <w:rPr>
          <w:rFonts w:ascii="Arial" w:hAnsi="Arial" w:cs="Arial"/>
          <w:i/>
          <w:sz w:val="18"/>
          <w:szCs w:val="18"/>
          <w:lang w:val="fr-CA"/>
        </w:rPr>
        <w:t xml:space="preserve">, </w:t>
      </w:r>
      <w:r w:rsidRPr="00BD22C2">
        <w:rPr>
          <w:rFonts w:ascii="Arial" w:hAnsi="Arial" w:cs="Arial"/>
          <w:i/>
          <w:sz w:val="18"/>
          <w:szCs w:val="18"/>
          <w:lang w:val="fr-CA"/>
        </w:rPr>
        <w:t>Projet de loi n°</w:t>
      </w:r>
      <w:r w:rsidR="000F68BF" w:rsidRPr="00BD22C2">
        <w:rPr>
          <w:rFonts w:ascii="Arial" w:hAnsi="Arial" w:cs="Arial"/>
          <w:i/>
          <w:sz w:val="18"/>
          <w:szCs w:val="18"/>
          <w:lang w:val="fr-CA"/>
        </w:rPr>
        <w:t> </w:t>
      </w:r>
      <w:r w:rsidRPr="00BD22C2">
        <w:rPr>
          <w:rFonts w:ascii="Arial" w:hAnsi="Arial" w:cs="Arial"/>
          <w:i/>
          <w:sz w:val="18"/>
          <w:szCs w:val="18"/>
          <w:lang w:val="fr-CA"/>
        </w:rPr>
        <w:t>21, Loi sur la laïcité de l’État</w:t>
      </w:r>
      <w:r w:rsidRPr="00BD22C2">
        <w:rPr>
          <w:rFonts w:ascii="Arial" w:hAnsi="Arial" w:cs="Arial"/>
          <w:sz w:val="18"/>
          <w:szCs w:val="18"/>
          <w:lang w:val="fr-CA"/>
        </w:rPr>
        <w:t xml:space="preserve">, </w:t>
      </w:r>
      <w:r w:rsidR="00940A0B" w:rsidRPr="00BD22C2">
        <w:rPr>
          <w:rFonts w:ascii="Arial" w:hAnsi="Arial" w:cs="Arial"/>
          <w:sz w:val="18"/>
          <w:szCs w:val="18"/>
          <w:lang w:val="fr-CA"/>
        </w:rPr>
        <w:t>(</w:t>
      </w:r>
      <w:r w:rsidRPr="00BD22C2">
        <w:rPr>
          <w:rFonts w:ascii="Arial" w:hAnsi="Arial" w:cs="Arial"/>
          <w:sz w:val="18"/>
          <w:szCs w:val="18"/>
          <w:lang w:val="fr-CA"/>
        </w:rPr>
        <w:t>Cat. 2.412.129</w:t>
      </w:r>
      <w:r w:rsidR="00940A0B" w:rsidRPr="00BD22C2">
        <w:rPr>
          <w:rFonts w:ascii="Arial" w:hAnsi="Arial" w:cs="Arial"/>
          <w:sz w:val="18"/>
          <w:szCs w:val="18"/>
          <w:lang w:val="fr-CA"/>
        </w:rPr>
        <w:t>)</w:t>
      </w:r>
      <w:r w:rsidRPr="00BD22C2">
        <w:rPr>
          <w:rFonts w:ascii="Arial" w:hAnsi="Arial" w:cs="Arial"/>
          <w:sz w:val="18"/>
          <w:szCs w:val="18"/>
          <w:lang w:val="fr-CA"/>
        </w:rPr>
        <w:t>, 2019, p.</w:t>
      </w:r>
      <w:r w:rsidR="000F68BF" w:rsidRPr="00BD22C2">
        <w:rPr>
          <w:rFonts w:ascii="Arial" w:hAnsi="Arial" w:cs="Arial"/>
          <w:sz w:val="18"/>
          <w:szCs w:val="18"/>
          <w:lang w:val="fr-CA"/>
        </w:rPr>
        <w:t> </w:t>
      </w:r>
      <w:r w:rsidRPr="00BD22C2">
        <w:rPr>
          <w:rFonts w:ascii="Arial" w:hAnsi="Arial" w:cs="Arial"/>
          <w:sz w:val="18"/>
          <w:szCs w:val="18"/>
          <w:lang w:val="fr-CA"/>
        </w:rPr>
        <w:t xml:space="preserve">78. </w:t>
      </w:r>
    </w:p>
  </w:endnote>
  <w:endnote w:id="480">
    <w:p w14:paraId="3085A6F7" w14:textId="475050B6" w:rsidR="00921E6B" w:rsidRPr="00BD22C2" w:rsidRDefault="00921E6B"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Pr="00BD22C2">
        <w:rPr>
          <w:rFonts w:ascii="Arial" w:hAnsi="Arial" w:cs="Arial"/>
          <w:i/>
          <w:sz w:val="18"/>
          <w:szCs w:val="18"/>
          <w:lang w:val="fr-CA"/>
        </w:rPr>
        <w:t>Observations finales concernant le rapport du Canada valant cinquième et sixième rapports périodiques</w:t>
      </w:r>
      <w:r w:rsidRPr="00BD22C2">
        <w:rPr>
          <w:rFonts w:ascii="Arial" w:hAnsi="Arial" w:cs="Arial"/>
          <w:sz w:val="18"/>
          <w:szCs w:val="18"/>
          <w:lang w:val="fr-CA"/>
        </w:rPr>
        <w:t>, Doc. N.U.</w:t>
      </w:r>
      <w:r w:rsidR="008B4522">
        <w:rPr>
          <w:rFonts w:ascii="Arial" w:hAnsi="Arial" w:cs="Arial"/>
          <w:sz w:val="18"/>
          <w:szCs w:val="18"/>
          <w:lang w:val="fr-CA"/>
        </w:rPr>
        <w:t> </w:t>
      </w:r>
      <w:r w:rsidRPr="00BD22C2">
        <w:rPr>
          <w:rFonts w:ascii="Arial" w:hAnsi="Arial" w:cs="Arial"/>
          <w:sz w:val="18"/>
          <w:szCs w:val="18"/>
          <w:lang w:val="fr-CA"/>
        </w:rPr>
        <w:t>CRC/C/CAN/CO/5-6</w:t>
      </w:r>
      <w:r w:rsidR="00E54388" w:rsidRPr="00BD22C2">
        <w:rPr>
          <w:rFonts w:ascii="Arial" w:hAnsi="Arial" w:cs="Arial"/>
          <w:sz w:val="18"/>
          <w:szCs w:val="18"/>
          <w:lang w:val="fr-CA"/>
        </w:rPr>
        <w:t xml:space="preserve"> (</w:t>
      </w:r>
      <w:r w:rsidRPr="00BD22C2">
        <w:rPr>
          <w:rFonts w:ascii="Arial" w:hAnsi="Arial" w:cs="Arial"/>
          <w:sz w:val="18"/>
          <w:szCs w:val="18"/>
          <w:lang w:val="fr-CA"/>
        </w:rPr>
        <w:t>2022</w:t>
      </w:r>
      <w:r w:rsidR="00E54388" w:rsidRPr="00BD22C2">
        <w:rPr>
          <w:rFonts w:ascii="Arial" w:hAnsi="Arial" w:cs="Arial"/>
          <w:sz w:val="18"/>
          <w:szCs w:val="18"/>
          <w:lang w:val="fr-CA"/>
        </w:rPr>
        <w:t>)</w:t>
      </w:r>
      <w:r w:rsidRPr="00BD22C2">
        <w:rPr>
          <w:rFonts w:ascii="Arial" w:hAnsi="Arial" w:cs="Arial"/>
          <w:sz w:val="18"/>
          <w:szCs w:val="18"/>
          <w:lang w:val="fr-CA"/>
        </w:rPr>
        <w:t>, par. 41.</w:t>
      </w:r>
    </w:p>
  </w:endnote>
  <w:endnote w:id="481">
    <w:p w14:paraId="253CA167" w14:textId="73E1F9DF" w:rsidR="00EF171F" w:rsidRPr="00BD22C2" w:rsidRDefault="00EF171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t>LIP, art</w:t>
      </w:r>
      <w:r w:rsidR="009E48C2">
        <w:rPr>
          <w:rFonts w:ascii="Arial" w:hAnsi="Arial" w:cs="Arial"/>
          <w:sz w:val="18"/>
          <w:szCs w:val="18"/>
          <w:lang w:val="fr-CA"/>
        </w:rPr>
        <w:t>.</w:t>
      </w:r>
      <w:r w:rsidR="003D2E26">
        <w:rPr>
          <w:rFonts w:ascii="Arial" w:hAnsi="Arial" w:cs="Arial"/>
          <w:sz w:val="18"/>
          <w:szCs w:val="18"/>
          <w:lang w:val="fr-CA"/>
        </w:rPr>
        <w:t> </w:t>
      </w:r>
      <w:r w:rsidRPr="00BD22C2">
        <w:rPr>
          <w:rFonts w:ascii="Arial" w:hAnsi="Arial" w:cs="Arial"/>
          <w:sz w:val="18"/>
          <w:szCs w:val="18"/>
          <w:lang w:val="fr-CA"/>
        </w:rPr>
        <w:t xml:space="preserve">22. </w:t>
      </w:r>
    </w:p>
  </w:endnote>
  <w:endnote w:id="482">
    <w:p w14:paraId="4F635850" w14:textId="2C80E011" w:rsidR="00A1584E" w:rsidRPr="00BD22C2" w:rsidRDefault="00A1584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5A13A1" w:rsidRPr="00BD22C2">
        <w:rPr>
          <w:rFonts w:ascii="Arial" w:hAnsi="Arial" w:cs="Arial"/>
          <w:sz w:val="18"/>
          <w:szCs w:val="18"/>
          <w:lang w:val="fr-CA"/>
        </w:rPr>
        <w:tab/>
      </w:r>
      <w:r w:rsidR="005A13A1" w:rsidRPr="00BD22C2">
        <w:rPr>
          <w:rFonts w:ascii="Arial" w:hAnsi="Arial" w:cs="Arial"/>
          <w:smallCaps/>
          <w:sz w:val="18"/>
          <w:szCs w:val="18"/>
          <w:lang w:val="fr-CA"/>
        </w:rPr>
        <w:t>Ministère de l’Éducation</w:t>
      </w:r>
      <w:r w:rsidR="005A13A1" w:rsidRPr="00BD22C2">
        <w:rPr>
          <w:rFonts w:ascii="Arial" w:hAnsi="Arial" w:cs="Arial"/>
          <w:sz w:val="18"/>
          <w:szCs w:val="18"/>
          <w:lang w:val="fr-CA"/>
        </w:rPr>
        <w:t xml:space="preserve">, </w:t>
      </w:r>
      <w:r w:rsidR="005A13A1" w:rsidRPr="00BD22C2">
        <w:rPr>
          <w:rFonts w:ascii="Arial" w:hAnsi="Arial" w:cs="Arial"/>
          <w:i/>
          <w:sz w:val="18"/>
          <w:szCs w:val="18"/>
          <w:lang w:val="fr-CA"/>
        </w:rPr>
        <w:t xml:space="preserve">Référentiel de compétences professionnelles </w:t>
      </w:r>
      <w:r w:rsidR="0051216B" w:rsidRPr="00BD22C2">
        <w:rPr>
          <w:rFonts w:ascii="Arial" w:hAnsi="Arial" w:cs="Arial"/>
          <w:i/>
          <w:sz w:val="18"/>
          <w:szCs w:val="18"/>
          <w:lang w:val="fr-CA"/>
        </w:rPr>
        <w:t>—</w:t>
      </w:r>
      <w:r w:rsidR="005A13A1" w:rsidRPr="00BD22C2">
        <w:rPr>
          <w:rFonts w:ascii="Arial" w:hAnsi="Arial" w:cs="Arial"/>
          <w:i/>
          <w:sz w:val="18"/>
          <w:szCs w:val="18"/>
          <w:lang w:val="fr-CA"/>
        </w:rPr>
        <w:t xml:space="preserve"> Profession enseignante</w:t>
      </w:r>
      <w:r w:rsidR="005A13A1" w:rsidRPr="00BD22C2">
        <w:rPr>
          <w:rFonts w:ascii="Arial" w:hAnsi="Arial" w:cs="Arial"/>
          <w:sz w:val="18"/>
          <w:szCs w:val="18"/>
          <w:lang w:val="fr-CA"/>
        </w:rPr>
        <w:t>, 2020, p.</w:t>
      </w:r>
      <w:r w:rsidR="00CC2848">
        <w:rPr>
          <w:rFonts w:ascii="Arial" w:hAnsi="Arial" w:cs="Arial"/>
          <w:sz w:val="18"/>
          <w:szCs w:val="18"/>
          <w:lang w:val="fr-CA"/>
        </w:rPr>
        <w:t> </w:t>
      </w:r>
      <w:r w:rsidR="005A13A1" w:rsidRPr="00BD22C2">
        <w:rPr>
          <w:rFonts w:ascii="Arial" w:hAnsi="Arial" w:cs="Arial"/>
          <w:sz w:val="18"/>
          <w:szCs w:val="18"/>
          <w:lang w:val="fr-CA"/>
        </w:rPr>
        <w:t>3.</w:t>
      </w:r>
    </w:p>
  </w:endnote>
  <w:endnote w:id="483">
    <w:p w14:paraId="1B0A0B5F" w14:textId="74D0C9D9" w:rsidR="007B353D" w:rsidRPr="00E16C03" w:rsidRDefault="007B353D"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D11878" w:rsidRPr="00E16C03">
        <w:rPr>
          <w:rFonts w:ascii="Arial" w:hAnsi="Arial" w:cs="Arial"/>
          <w:i/>
          <w:sz w:val="18"/>
          <w:szCs w:val="18"/>
          <w:lang w:val="en-CA"/>
        </w:rPr>
        <w:t>Id</w:t>
      </w:r>
      <w:r w:rsidR="00D11878" w:rsidRPr="00E16C03">
        <w:rPr>
          <w:rFonts w:ascii="Arial" w:hAnsi="Arial" w:cs="Arial"/>
          <w:smallCaps/>
          <w:sz w:val="18"/>
          <w:szCs w:val="18"/>
          <w:lang w:val="en-CA"/>
        </w:rPr>
        <w:t>.</w:t>
      </w:r>
      <w:r w:rsidRPr="00E16C03">
        <w:rPr>
          <w:rFonts w:ascii="Arial" w:hAnsi="Arial" w:cs="Arial"/>
          <w:sz w:val="18"/>
          <w:szCs w:val="18"/>
          <w:lang w:val="en-CA"/>
        </w:rPr>
        <w:t>, p.</w:t>
      </w:r>
      <w:r w:rsidR="003D2E26">
        <w:rPr>
          <w:rFonts w:ascii="Arial" w:hAnsi="Arial" w:cs="Arial"/>
          <w:sz w:val="18"/>
          <w:szCs w:val="18"/>
          <w:lang w:val="en-CA"/>
        </w:rPr>
        <w:t> </w:t>
      </w:r>
      <w:r w:rsidR="00476324" w:rsidRPr="00E16C03">
        <w:rPr>
          <w:rFonts w:ascii="Arial" w:hAnsi="Arial" w:cs="Arial"/>
          <w:sz w:val="18"/>
          <w:szCs w:val="18"/>
          <w:lang w:val="en-CA"/>
        </w:rPr>
        <w:t>16</w:t>
      </w:r>
      <w:r w:rsidR="0049573F">
        <w:rPr>
          <w:rFonts w:ascii="Arial" w:hAnsi="Arial" w:cs="Arial"/>
          <w:sz w:val="18"/>
          <w:szCs w:val="18"/>
          <w:lang w:val="en-CA"/>
        </w:rPr>
        <w:t>.</w:t>
      </w:r>
    </w:p>
  </w:endnote>
  <w:endnote w:id="484">
    <w:p w14:paraId="235557C1" w14:textId="0EE7B59C" w:rsidR="00476324" w:rsidRPr="00E16C03" w:rsidRDefault="00476324"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D11878" w:rsidRPr="00E16C03">
        <w:rPr>
          <w:rFonts w:ascii="Arial" w:hAnsi="Arial" w:cs="Arial"/>
          <w:i/>
          <w:sz w:val="18"/>
          <w:szCs w:val="18"/>
          <w:lang w:val="en-CA"/>
        </w:rPr>
        <w:t>Id.</w:t>
      </w:r>
      <w:r w:rsidRPr="00E16C03">
        <w:rPr>
          <w:rFonts w:ascii="Arial" w:hAnsi="Arial" w:cs="Arial"/>
          <w:sz w:val="18"/>
          <w:szCs w:val="18"/>
          <w:lang w:val="en-CA"/>
        </w:rPr>
        <w:t>, p.</w:t>
      </w:r>
      <w:r w:rsidR="003D2E26">
        <w:rPr>
          <w:rFonts w:ascii="Arial" w:hAnsi="Arial" w:cs="Arial"/>
          <w:sz w:val="18"/>
          <w:szCs w:val="18"/>
          <w:lang w:val="en-CA"/>
        </w:rPr>
        <w:t> </w:t>
      </w:r>
      <w:r w:rsidRPr="00E16C03">
        <w:rPr>
          <w:rFonts w:ascii="Arial" w:hAnsi="Arial" w:cs="Arial"/>
          <w:sz w:val="18"/>
          <w:szCs w:val="18"/>
          <w:lang w:val="en-CA"/>
        </w:rPr>
        <w:t>16</w:t>
      </w:r>
      <w:r w:rsidR="0049573F">
        <w:rPr>
          <w:rFonts w:ascii="Arial" w:hAnsi="Arial" w:cs="Arial"/>
          <w:sz w:val="18"/>
          <w:szCs w:val="18"/>
          <w:lang w:val="en-CA"/>
        </w:rPr>
        <w:t>.</w:t>
      </w:r>
    </w:p>
  </w:endnote>
  <w:endnote w:id="485">
    <w:p w14:paraId="1F83399D" w14:textId="74A8B258" w:rsidR="004870C8" w:rsidRPr="00E16C03" w:rsidRDefault="004870C8"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D11878" w:rsidRPr="00E16C03">
        <w:rPr>
          <w:rFonts w:ascii="Arial" w:hAnsi="Arial" w:cs="Arial"/>
          <w:i/>
          <w:sz w:val="18"/>
          <w:szCs w:val="18"/>
          <w:lang w:val="en-CA"/>
        </w:rPr>
        <w:t>Id.</w:t>
      </w:r>
    </w:p>
  </w:endnote>
  <w:endnote w:id="486">
    <w:p w14:paraId="75E3D35C" w14:textId="22C4F831" w:rsidR="003E161D" w:rsidRPr="00E47755" w:rsidRDefault="003E161D" w:rsidP="00707395">
      <w:pPr>
        <w:pStyle w:val="Notedefin"/>
        <w:tabs>
          <w:tab w:val="left" w:pos="709"/>
        </w:tabs>
        <w:spacing w:after="120" w:line="240" w:lineRule="auto"/>
        <w:rPr>
          <w:rFonts w:ascii="Arial" w:hAnsi="Arial" w:cs="Arial"/>
          <w:sz w:val="18"/>
          <w:szCs w:val="18"/>
          <w:lang w:val="en-CA"/>
        </w:rPr>
      </w:pPr>
      <w:r w:rsidRPr="00BD22C2">
        <w:rPr>
          <w:rStyle w:val="Appeldenotedefin"/>
          <w:rFonts w:ascii="Arial" w:hAnsi="Arial" w:cs="Arial"/>
          <w:sz w:val="18"/>
          <w:szCs w:val="18"/>
          <w:lang w:val="fr-CA"/>
        </w:rPr>
        <w:endnoteRef/>
      </w:r>
      <w:r w:rsidRPr="00E47755">
        <w:rPr>
          <w:rFonts w:ascii="Arial" w:hAnsi="Arial" w:cs="Arial"/>
          <w:sz w:val="18"/>
          <w:szCs w:val="18"/>
          <w:lang w:val="en-CA"/>
        </w:rPr>
        <w:t xml:space="preserve"> </w:t>
      </w:r>
      <w:r w:rsidRPr="00E47755">
        <w:rPr>
          <w:rFonts w:ascii="Arial" w:hAnsi="Arial" w:cs="Arial"/>
          <w:sz w:val="18"/>
          <w:szCs w:val="18"/>
          <w:lang w:val="en-CA"/>
        </w:rPr>
        <w:tab/>
      </w:r>
      <w:r w:rsidR="00D11878" w:rsidRPr="00E47755">
        <w:rPr>
          <w:rFonts w:ascii="Arial" w:hAnsi="Arial" w:cs="Arial"/>
          <w:i/>
          <w:sz w:val="18"/>
          <w:szCs w:val="18"/>
          <w:lang w:val="en-CA"/>
        </w:rPr>
        <w:t>Id.</w:t>
      </w:r>
      <w:r w:rsidRPr="00E47755">
        <w:rPr>
          <w:rFonts w:ascii="Arial" w:hAnsi="Arial" w:cs="Arial"/>
          <w:sz w:val="18"/>
          <w:szCs w:val="18"/>
          <w:lang w:val="en-CA"/>
        </w:rPr>
        <w:t>, p.</w:t>
      </w:r>
      <w:r w:rsidR="003D2E26" w:rsidRPr="00E47755">
        <w:rPr>
          <w:rFonts w:ascii="Arial" w:hAnsi="Arial" w:cs="Arial"/>
          <w:sz w:val="18"/>
          <w:szCs w:val="18"/>
          <w:lang w:val="en-CA"/>
        </w:rPr>
        <w:t> </w:t>
      </w:r>
      <w:r w:rsidRPr="00E47755">
        <w:rPr>
          <w:rFonts w:ascii="Arial" w:hAnsi="Arial" w:cs="Arial"/>
          <w:sz w:val="18"/>
          <w:szCs w:val="18"/>
          <w:lang w:val="en-CA"/>
        </w:rPr>
        <w:t xml:space="preserve">81. </w:t>
      </w:r>
    </w:p>
  </w:endnote>
  <w:endnote w:id="487">
    <w:p w14:paraId="36BABA9F" w14:textId="2F40D89B" w:rsidR="005A68BE" w:rsidRPr="00BD22C2" w:rsidRDefault="005A68B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D11878" w:rsidRPr="00BD22C2">
        <w:rPr>
          <w:rFonts w:ascii="Arial" w:hAnsi="Arial" w:cs="Arial"/>
          <w:i/>
          <w:iCs/>
          <w:sz w:val="18"/>
          <w:szCs w:val="18"/>
          <w:lang w:val="fr-CA"/>
        </w:rPr>
        <w:t>Id.</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82.</w:t>
      </w:r>
    </w:p>
  </w:endnote>
  <w:endnote w:id="488">
    <w:p w14:paraId="7E533A1C" w14:textId="0AABDF80" w:rsidR="0028699F" w:rsidRPr="00BD22C2" w:rsidRDefault="0028699F"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Bureau de lutte contre l’homophobie et la transphobie</w:t>
      </w:r>
      <w:r w:rsidRPr="00BD22C2">
        <w:rPr>
          <w:rFonts w:ascii="Arial" w:hAnsi="Arial" w:cs="Arial"/>
          <w:sz w:val="18"/>
          <w:szCs w:val="18"/>
          <w:lang w:val="fr-CA"/>
        </w:rPr>
        <w:t xml:space="preserve">, </w:t>
      </w:r>
      <w:r w:rsidRPr="00BD22C2">
        <w:rPr>
          <w:rFonts w:ascii="Arial" w:hAnsi="Arial" w:cs="Arial"/>
          <w:i/>
          <w:sz w:val="18"/>
          <w:szCs w:val="18"/>
          <w:lang w:val="fr-CA"/>
        </w:rPr>
        <w:t>Plan d’action gouvernemental de lutte contre l’homophobie et la transphobie</w:t>
      </w:r>
      <w:r w:rsidR="003D2E26">
        <w:rPr>
          <w:rFonts w:ascii="Arial" w:hAnsi="Arial" w:cs="Arial"/>
          <w:i/>
          <w:sz w:val="18"/>
          <w:szCs w:val="18"/>
          <w:lang w:val="fr-CA"/>
        </w:rPr>
        <w:t> </w:t>
      </w:r>
      <w:r w:rsidRPr="00BD22C2">
        <w:rPr>
          <w:rFonts w:ascii="Arial" w:hAnsi="Arial" w:cs="Arial"/>
          <w:i/>
          <w:sz w:val="18"/>
          <w:szCs w:val="18"/>
          <w:lang w:val="fr-CA"/>
        </w:rPr>
        <w:t>2017-2022, Bilans complet des réalisations</w:t>
      </w:r>
      <w:r w:rsidRPr="00BD22C2">
        <w:rPr>
          <w:rFonts w:ascii="Arial" w:hAnsi="Arial" w:cs="Arial"/>
          <w:sz w:val="18"/>
          <w:szCs w:val="18"/>
          <w:lang w:val="fr-CA"/>
        </w:rPr>
        <w:t>, 2023, p.</w:t>
      </w:r>
      <w:r w:rsidR="003D2E26">
        <w:rPr>
          <w:rFonts w:ascii="Arial" w:hAnsi="Arial" w:cs="Arial"/>
          <w:sz w:val="18"/>
          <w:szCs w:val="18"/>
          <w:lang w:val="fr-CA"/>
        </w:rPr>
        <w:t> </w:t>
      </w:r>
      <w:r w:rsidRPr="00BD22C2">
        <w:rPr>
          <w:rFonts w:ascii="Arial" w:hAnsi="Arial" w:cs="Arial"/>
          <w:sz w:val="18"/>
          <w:szCs w:val="18"/>
          <w:lang w:val="fr-CA"/>
        </w:rPr>
        <w:t>22</w:t>
      </w:r>
      <w:r w:rsidR="00CC2848">
        <w:rPr>
          <w:rFonts w:ascii="Arial" w:hAnsi="Arial" w:cs="Arial"/>
          <w:sz w:val="18"/>
          <w:szCs w:val="18"/>
          <w:lang w:val="fr-CA"/>
        </w:rPr>
        <w:t>.</w:t>
      </w:r>
    </w:p>
  </w:endnote>
  <w:endnote w:id="489">
    <w:p w14:paraId="2BFE2084" w14:textId="62C779A9" w:rsidR="003226C8" w:rsidRPr="00BD22C2" w:rsidRDefault="003226C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BasPageCar"/>
          <w:smallCaps/>
          <w:lang w:val="fr-CA"/>
        </w:rPr>
        <w:t>Gouvernement du Québec</w:t>
      </w:r>
      <w:r w:rsidRPr="00BD22C2">
        <w:rPr>
          <w:rStyle w:val="NoteBasPageCar"/>
          <w:lang w:val="fr-CA"/>
        </w:rPr>
        <w:t xml:space="preserve">, </w:t>
      </w:r>
      <w:r w:rsidR="00FF06FA" w:rsidRPr="00BD22C2">
        <w:rPr>
          <w:rStyle w:val="NoteBasPageCar"/>
          <w:iCs/>
          <w:lang w:val="fr-CA"/>
        </w:rPr>
        <w:t>préc., note</w:t>
      </w:r>
      <w:r w:rsidR="003D2E26">
        <w:rPr>
          <w:rStyle w:val="NoteBasPageCar"/>
          <w:iCs/>
          <w:lang w:val="fr-CA"/>
        </w:rPr>
        <w:t> </w:t>
      </w:r>
      <w:r w:rsidR="00FF06FA" w:rsidRPr="00BD22C2">
        <w:rPr>
          <w:rStyle w:val="NoteBasPageCar"/>
          <w:iCs/>
          <w:lang w:val="fr-CA"/>
        </w:rPr>
        <w:fldChar w:fldCharType="begin"/>
      </w:r>
      <w:r w:rsidR="00FF06FA" w:rsidRPr="00BD22C2">
        <w:rPr>
          <w:rStyle w:val="NoteBasPageCar"/>
          <w:iCs/>
          <w:lang w:val="fr-CA"/>
        </w:rPr>
        <w:instrText xml:space="preserve"> NOTEREF _Ref166750289 \h </w:instrText>
      </w:r>
      <w:r w:rsidR="00FF06FA" w:rsidRPr="00BD22C2">
        <w:rPr>
          <w:rStyle w:val="NoteBasPageCar"/>
          <w:iCs/>
          <w:lang w:val="fr-CA"/>
        </w:rPr>
      </w:r>
      <w:r w:rsidR="00FF06FA" w:rsidRPr="00BD22C2">
        <w:rPr>
          <w:rStyle w:val="NoteBasPageCar"/>
          <w:iCs/>
          <w:lang w:val="fr-CA"/>
        </w:rPr>
        <w:fldChar w:fldCharType="separate"/>
      </w:r>
      <w:r w:rsidR="004B4881">
        <w:rPr>
          <w:rStyle w:val="NoteBasPageCar"/>
          <w:iCs/>
          <w:lang w:val="fr-CA"/>
        </w:rPr>
        <w:t>24</w:t>
      </w:r>
      <w:r w:rsidR="00FF06FA" w:rsidRPr="00BD22C2">
        <w:rPr>
          <w:rStyle w:val="NoteBasPageCar"/>
          <w:iCs/>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25.</w:t>
      </w:r>
    </w:p>
  </w:endnote>
  <w:endnote w:id="490">
    <w:p w14:paraId="0B99EF3D" w14:textId="3DF6B990" w:rsidR="005E728E" w:rsidRPr="00BD22C2" w:rsidRDefault="005E728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Bureau de lutte contre l’homophobie et la transphobie</w:t>
      </w:r>
      <w:r w:rsidRPr="00BD22C2">
        <w:rPr>
          <w:rFonts w:ascii="Arial" w:hAnsi="Arial" w:cs="Arial"/>
          <w:sz w:val="18"/>
          <w:szCs w:val="18"/>
          <w:lang w:val="fr-CA"/>
        </w:rPr>
        <w:t xml:space="preserve">, </w:t>
      </w:r>
      <w:r w:rsidR="006046F7" w:rsidRPr="00BD22C2">
        <w:rPr>
          <w:rFonts w:ascii="Arial" w:hAnsi="Arial" w:cs="Arial"/>
          <w:iCs/>
          <w:sz w:val="18"/>
          <w:szCs w:val="18"/>
          <w:lang w:val="fr-CA"/>
        </w:rPr>
        <w:t>préc</w:t>
      </w:r>
      <w:r w:rsidR="007B0604" w:rsidRPr="00BD22C2">
        <w:rPr>
          <w:rFonts w:ascii="Arial" w:hAnsi="Arial" w:cs="Arial"/>
          <w:iCs/>
          <w:sz w:val="18"/>
          <w:szCs w:val="18"/>
          <w:lang w:val="fr-CA"/>
        </w:rPr>
        <w:t>., note</w:t>
      </w:r>
      <w:r w:rsidR="003D2E26">
        <w:rPr>
          <w:rFonts w:ascii="Arial" w:hAnsi="Arial" w:cs="Arial"/>
          <w:iCs/>
          <w:sz w:val="18"/>
          <w:szCs w:val="18"/>
          <w:lang w:val="fr-CA"/>
        </w:rPr>
        <w:t> </w:t>
      </w:r>
      <w:r w:rsidR="007B0604" w:rsidRPr="00BD22C2">
        <w:rPr>
          <w:rFonts w:ascii="Arial" w:hAnsi="Arial" w:cs="Arial"/>
          <w:iCs/>
          <w:sz w:val="18"/>
          <w:szCs w:val="18"/>
          <w:lang w:val="fr-CA"/>
        </w:rPr>
        <w:fldChar w:fldCharType="begin"/>
      </w:r>
      <w:r w:rsidR="007B0604" w:rsidRPr="00BD22C2">
        <w:rPr>
          <w:rFonts w:ascii="Arial" w:hAnsi="Arial" w:cs="Arial"/>
          <w:iCs/>
          <w:sz w:val="18"/>
          <w:szCs w:val="18"/>
          <w:lang w:val="fr-CA"/>
        </w:rPr>
        <w:instrText xml:space="preserve"> NOTEREF _Ref166757317 \h </w:instrText>
      </w:r>
      <w:r w:rsidR="007B0604" w:rsidRPr="00BD22C2">
        <w:rPr>
          <w:rFonts w:ascii="Arial" w:hAnsi="Arial" w:cs="Arial"/>
          <w:iCs/>
          <w:sz w:val="18"/>
          <w:szCs w:val="18"/>
          <w:lang w:val="fr-CA"/>
        </w:rPr>
      </w:r>
      <w:r w:rsidR="007B0604" w:rsidRPr="00BD22C2">
        <w:rPr>
          <w:rFonts w:ascii="Arial" w:hAnsi="Arial" w:cs="Arial"/>
          <w:iCs/>
          <w:sz w:val="18"/>
          <w:szCs w:val="18"/>
          <w:lang w:val="fr-CA"/>
        </w:rPr>
        <w:fldChar w:fldCharType="separate"/>
      </w:r>
      <w:r w:rsidR="004B4881">
        <w:rPr>
          <w:rFonts w:ascii="Arial" w:hAnsi="Arial" w:cs="Arial"/>
          <w:iCs/>
          <w:sz w:val="18"/>
          <w:szCs w:val="18"/>
          <w:lang w:val="fr-CA"/>
        </w:rPr>
        <w:t>487</w:t>
      </w:r>
      <w:r w:rsidR="007B0604" w:rsidRPr="00BD22C2">
        <w:rPr>
          <w:rFonts w:ascii="Arial" w:hAnsi="Arial" w:cs="Arial"/>
          <w:iCs/>
          <w:sz w:val="18"/>
          <w:szCs w:val="18"/>
          <w:lang w:val="fr-CA"/>
        </w:rPr>
        <w:fldChar w:fldCharType="end"/>
      </w:r>
      <w:r w:rsidRPr="00BD22C2">
        <w:rPr>
          <w:rFonts w:ascii="Arial" w:hAnsi="Arial" w:cs="Arial"/>
          <w:sz w:val="18"/>
          <w:szCs w:val="18"/>
          <w:lang w:val="fr-CA"/>
        </w:rPr>
        <w:t>, p.17.</w:t>
      </w:r>
    </w:p>
  </w:endnote>
  <w:endnote w:id="491">
    <w:p w14:paraId="014A5E3C" w14:textId="65EA4FB6" w:rsidR="005E728E" w:rsidRPr="00BD22C2" w:rsidRDefault="005E728E"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Ministère de l’Éducation du Québec</w:t>
      </w:r>
      <w:r w:rsidRPr="00BD22C2">
        <w:rPr>
          <w:rFonts w:ascii="Arial" w:hAnsi="Arial" w:cs="Arial"/>
          <w:sz w:val="18"/>
          <w:szCs w:val="18"/>
          <w:lang w:val="fr-CA"/>
        </w:rPr>
        <w:t xml:space="preserve">, </w:t>
      </w:r>
      <w:r w:rsidR="007B0604" w:rsidRPr="00BD22C2">
        <w:rPr>
          <w:rFonts w:ascii="Arial" w:hAnsi="Arial" w:cs="Arial"/>
          <w:iCs/>
          <w:sz w:val="18"/>
          <w:szCs w:val="18"/>
          <w:lang w:val="fr-CA"/>
        </w:rPr>
        <w:t>préc., note</w:t>
      </w:r>
      <w:r w:rsidR="003D2E26">
        <w:rPr>
          <w:rFonts w:ascii="Arial" w:hAnsi="Arial" w:cs="Arial"/>
          <w:iCs/>
          <w:sz w:val="18"/>
          <w:szCs w:val="18"/>
          <w:lang w:val="fr-CA"/>
        </w:rPr>
        <w:t> </w:t>
      </w:r>
      <w:r w:rsidR="007B0604" w:rsidRPr="00BD22C2">
        <w:rPr>
          <w:rFonts w:ascii="Arial" w:hAnsi="Arial" w:cs="Arial"/>
          <w:iCs/>
          <w:sz w:val="18"/>
          <w:szCs w:val="18"/>
          <w:lang w:val="fr-CA"/>
        </w:rPr>
        <w:fldChar w:fldCharType="begin"/>
      </w:r>
      <w:r w:rsidR="007B0604" w:rsidRPr="00BD22C2">
        <w:rPr>
          <w:rFonts w:ascii="Arial" w:hAnsi="Arial" w:cs="Arial"/>
          <w:iCs/>
          <w:sz w:val="18"/>
          <w:szCs w:val="18"/>
          <w:lang w:val="fr-CA"/>
        </w:rPr>
        <w:instrText xml:space="preserve"> NOTEREF _Ref166757371 \h </w:instrText>
      </w:r>
      <w:r w:rsidR="007B0604" w:rsidRPr="00BD22C2">
        <w:rPr>
          <w:rFonts w:ascii="Arial" w:hAnsi="Arial" w:cs="Arial"/>
          <w:iCs/>
          <w:sz w:val="18"/>
          <w:szCs w:val="18"/>
          <w:lang w:val="fr-CA"/>
        </w:rPr>
      </w:r>
      <w:r w:rsidR="007B0604" w:rsidRPr="00BD22C2">
        <w:rPr>
          <w:rFonts w:ascii="Arial" w:hAnsi="Arial" w:cs="Arial"/>
          <w:iCs/>
          <w:sz w:val="18"/>
          <w:szCs w:val="18"/>
          <w:lang w:val="fr-CA"/>
        </w:rPr>
        <w:fldChar w:fldCharType="separate"/>
      </w:r>
      <w:r w:rsidR="004B4881">
        <w:rPr>
          <w:rFonts w:ascii="Arial" w:hAnsi="Arial" w:cs="Arial"/>
          <w:iCs/>
          <w:sz w:val="18"/>
          <w:szCs w:val="18"/>
          <w:lang w:val="fr-CA"/>
        </w:rPr>
        <w:t>404</w:t>
      </w:r>
      <w:r w:rsidR="007B0604" w:rsidRPr="00BD22C2">
        <w:rPr>
          <w:rFonts w:ascii="Arial" w:hAnsi="Arial" w:cs="Arial"/>
          <w:iCs/>
          <w:sz w:val="18"/>
          <w:szCs w:val="18"/>
          <w:lang w:val="fr-CA"/>
        </w:rPr>
        <w:fldChar w:fldCharType="end"/>
      </w:r>
      <w:r w:rsidR="0082362C" w:rsidRPr="00BD22C2">
        <w:rPr>
          <w:rFonts w:ascii="Arial" w:hAnsi="Arial" w:cs="Arial"/>
          <w:sz w:val="18"/>
          <w:szCs w:val="18"/>
          <w:lang w:val="fr-CA"/>
        </w:rPr>
        <w:t>.</w:t>
      </w:r>
    </w:p>
  </w:endnote>
  <w:endnote w:id="492">
    <w:p w14:paraId="6745E385" w14:textId="7AF71B7D" w:rsidR="00221ECA" w:rsidRPr="00BD22C2" w:rsidRDefault="00221EC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B0604" w:rsidRPr="00BD22C2">
        <w:rPr>
          <w:rFonts w:ascii="Arial" w:hAnsi="Arial" w:cs="Arial"/>
          <w:i/>
          <w:iCs/>
          <w:sz w:val="18"/>
          <w:szCs w:val="18"/>
          <w:lang w:val="fr-CA"/>
        </w:rPr>
        <w:t>Id</w:t>
      </w:r>
      <w:r w:rsidR="007B0604" w:rsidRPr="00BD22C2">
        <w:rPr>
          <w:rFonts w:ascii="Arial" w:hAnsi="Arial" w:cs="Arial"/>
          <w:smallCaps/>
          <w:sz w:val="18"/>
          <w:szCs w:val="18"/>
          <w:lang w:val="fr-CA"/>
        </w:rPr>
        <w:t>.</w:t>
      </w:r>
      <w:r w:rsidRPr="00BD22C2">
        <w:rPr>
          <w:rFonts w:ascii="Arial" w:hAnsi="Arial" w:cs="Arial"/>
          <w:sz w:val="18"/>
          <w:szCs w:val="18"/>
          <w:lang w:val="fr-CA"/>
        </w:rPr>
        <w:t>, p. 11.</w:t>
      </w:r>
    </w:p>
  </w:endnote>
  <w:endnote w:id="493">
    <w:p w14:paraId="7F365AE0" w14:textId="7A1F5FD5" w:rsidR="00221ECA" w:rsidRPr="00BD22C2" w:rsidRDefault="00221EC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B5B70" w:rsidRPr="00BD22C2">
        <w:rPr>
          <w:rFonts w:ascii="Arial" w:hAnsi="Arial" w:cs="Arial"/>
          <w:i/>
          <w:iCs/>
          <w:sz w:val="18"/>
          <w:szCs w:val="18"/>
          <w:lang w:val="fr-CA"/>
        </w:rPr>
        <w:t>Id</w:t>
      </w:r>
      <w:r w:rsidR="006B5B70" w:rsidRPr="00BD22C2">
        <w:rPr>
          <w:rFonts w:ascii="Arial" w:hAnsi="Arial" w:cs="Arial"/>
          <w:smallCaps/>
          <w:sz w:val="18"/>
          <w:szCs w:val="18"/>
          <w:lang w:val="fr-CA"/>
        </w:rPr>
        <w:t>.</w:t>
      </w:r>
    </w:p>
  </w:endnote>
  <w:endnote w:id="494">
    <w:p w14:paraId="03687611" w14:textId="4651B9BA" w:rsidR="003226C8" w:rsidRPr="00BD22C2" w:rsidRDefault="003226C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6B5B70" w:rsidRPr="00BD22C2">
        <w:rPr>
          <w:rFonts w:ascii="Arial" w:hAnsi="Arial" w:cs="Arial"/>
          <w:i/>
          <w:iCs/>
          <w:sz w:val="18"/>
          <w:szCs w:val="18"/>
          <w:lang w:val="fr-CA"/>
        </w:rPr>
        <w:t>Id</w:t>
      </w:r>
      <w:r w:rsidR="006B5B70" w:rsidRPr="00BD22C2">
        <w:rPr>
          <w:rFonts w:ascii="Arial" w:hAnsi="Arial" w:cs="Arial"/>
          <w:smallCaps/>
          <w:sz w:val="18"/>
          <w:szCs w:val="18"/>
          <w:lang w:val="fr-CA"/>
        </w:rPr>
        <w:t>.</w:t>
      </w:r>
      <w:r w:rsidRPr="00BD22C2">
        <w:rPr>
          <w:rFonts w:ascii="Arial" w:hAnsi="Arial" w:cs="Arial"/>
          <w:sz w:val="18"/>
          <w:szCs w:val="18"/>
          <w:lang w:val="fr-CA"/>
        </w:rPr>
        <w:t>, p. 9. (nos soulignés)</w:t>
      </w:r>
    </w:p>
  </w:endnote>
  <w:endnote w:id="495">
    <w:p w14:paraId="5D42F68E" w14:textId="5EBA8930" w:rsidR="00A02F9C" w:rsidRPr="00727B3E" w:rsidRDefault="00A02F9C" w:rsidP="00B36D7C">
      <w:pPr>
        <w:pStyle w:val="Notedefin"/>
        <w:tabs>
          <w:tab w:val="left" w:pos="709"/>
        </w:tabs>
        <w:spacing w:after="120" w:line="240" w:lineRule="auto"/>
        <w:ind w:left="709" w:hanging="709"/>
        <w:rPr>
          <w:rFonts w:ascii="Arial" w:hAnsi="Arial" w:cs="Arial"/>
          <w:sz w:val="18"/>
          <w:szCs w:val="18"/>
          <w:highlight w:val="yellow"/>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091937" w:rsidRPr="00BD22C2">
        <w:rPr>
          <w:rFonts w:ascii="Arial" w:hAnsi="Arial" w:cs="Arial"/>
          <w:i/>
          <w:sz w:val="18"/>
          <w:szCs w:val="18"/>
          <w:lang w:val="fr-CA"/>
        </w:rPr>
        <w:t>Loi modifiant la Loi de 1995 sur l’éducation en ce qui concerne les droits parentaux</w:t>
      </w:r>
      <w:r w:rsidR="00091937" w:rsidRPr="00BD22C2">
        <w:rPr>
          <w:rFonts w:ascii="Arial" w:hAnsi="Arial" w:cs="Arial"/>
          <w:sz w:val="18"/>
          <w:szCs w:val="18"/>
          <w:lang w:val="fr-CA"/>
        </w:rPr>
        <w:t>, S.S.</w:t>
      </w:r>
      <w:r w:rsidR="003D2E26">
        <w:rPr>
          <w:rFonts w:ascii="Arial" w:hAnsi="Arial" w:cs="Arial"/>
          <w:sz w:val="18"/>
          <w:szCs w:val="18"/>
          <w:lang w:val="fr-CA"/>
        </w:rPr>
        <w:t> </w:t>
      </w:r>
      <w:r w:rsidR="00091937" w:rsidRPr="00BD22C2">
        <w:rPr>
          <w:rFonts w:ascii="Arial" w:hAnsi="Arial" w:cs="Arial"/>
          <w:sz w:val="18"/>
          <w:szCs w:val="18"/>
          <w:lang w:val="fr-CA"/>
        </w:rPr>
        <w:t xml:space="preserve">2023, </w:t>
      </w:r>
      <w:r w:rsidR="00091937" w:rsidRPr="00727B3E">
        <w:rPr>
          <w:rFonts w:ascii="Arial" w:hAnsi="Arial" w:cs="Arial"/>
          <w:sz w:val="18"/>
          <w:szCs w:val="18"/>
          <w:lang w:val="fr-CA"/>
        </w:rPr>
        <w:t>c.</w:t>
      </w:r>
      <w:r w:rsidR="003D2E26">
        <w:rPr>
          <w:rFonts w:ascii="Arial" w:hAnsi="Arial" w:cs="Arial"/>
          <w:sz w:val="18"/>
          <w:szCs w:val="18"/>
          <w:lang w:val="fr-CA"/>
        </w:rPr>
        <w:t> </w:t>
      </w:r>
      <w:r w:rsidR="00091937" w:rsidRPr="00727B3E">
        <w:rPr>
          <w:rFonts w:ascii="Arial" w:hAnsi="Arial" w:cs="Arial"/>
          <w:sz w:val="18"/>
          <w:szCs w:val="18"/>
          <w:lang w:val="fr-CA"/>
        </w:rPr>
        <w:t>46, entrée en vigueur le 20</w:t>
      </w:r>
      <w:r w:rsidR="00762FE8">
        <w:rPr>
          <w:rFonts w:ascii="Arial" w:hAnsi="Arial" w:cs="Arial"/>
          <w:sz w:val="18"/>
          <w:szCs w:val="18"/>
          <w:lang w:val="fr-CA"/>
        </w:rPr>
        <w:t> </w:t>
      </w:r>
      <w:r w:rsidR="00091937" w:rsidRPr="00727B3E">
        <w:rPr>
          <w:rFonts w:ascii="Arial" w:hAnsi="Arial" w:cs="Arial"/>
          <w:sz w:val="18"/>
          <w:szCs w:val="18"/>
          <w:lang w:val="fr-CA"/>
        </w:rPr>
        <w:t>octobre 2023 en vertu de l’art. no</w:t>
      </w:r>
      <w:r w:rsidR="003D2E26">
        <w:rPr>
          <w:rFonts w:ascii="Arial" w:hAnsi="Arial" w:cs="Arial"/>
          <w:sz w:val="18"/>
          <w:szCs w:val="18"/>
          <w:lang w:val="fr-CA"/>
        </w:rPr>
        <w:t> </w:t>
      </w:r>
      <w:r w:rsidR="00091937" w:rsidRPr="00727B3E">
        <w:rPr>
          <w:rFonts w:ascii="Arial" w:hAnsi="Arial" w:cs="Arial"/>
          <w:sz w:val="18"/>
          <w:szCs w:val="18"/>
          <w:lang w:val="fr-CA"/>
        </w:rPr>
        <w:t xml:space="preserve">6 de cette loi. </w:t>
      </w:r>
      <w:r w:rsidR="007878CF" w:rsidRPr="00727B3E">
        <w:rPr>
          <w:rFonts w:ascii="Arial" w:hAnsi="Arial" w:cs="Arial"/>
          <w:sz w:val="18"/>
          <w:szCs w:val="18"/>
          <w:lang w:val="fr-CA"/>
        </w:rPr>
        <w:t>Elle</w:t>
      </w:r>
      <w:r w:rsidR="00091937" w:rsidRPr="00727B3E">
        <w:rPr>
          <w:rFonts w:ascii="Arial" w:hAnsi="Arial" w:cs="Arial"/>
          <w:sz w:val="18"/>
          <w:szCs w:val="18"/>
          <w:lang w:val="fr-CA"/>
        </w:rPr>
        <w:t xml:space="preserve"> reprend les éléments de la politique qui avait préalablement été adoptée, le 22</w:t>
      </w:r>
      <w:r w:rsidR="00762FE8">
        <w:rPr>
          <w:rFonts w:ascii="Arial" w:hAnsi="Arial" w:cs="Arial"/>
          <w:sz w:val="18"/>
          <w:szCs w:val="18"/>
          <w:lang w:val="fr-CA"/>
        </w:rPr>
        <w:t> </w:t>
      </w:r>
      <w:r w:rsidR="00091937" w:rsidRPr="00727B3E">
        <w:rPr>
          <w:rFonts w:ascii="Arial" w:hAnsi="Arial" w:cs="Arial"/>
          <w:sz w:val="18"/>
          <w:szCs w:val="18"/>
          <w:lang w:val="fr-CA"/>
        </w:rPr>
        <w:t xml:space="preserve">août 2023, par le gouvernement de la Saskatchewan. </w:t>
      </w:r>
    </w:p>
  </w:endnote>
  <w:endnote w:id="496">
    <w:p w14:paraId="6CF9809F" w14:textId="5607F83E" w:rsidR="00A02F9C" w:rsidRPr="00E16C03" w:rsidRDefault="00A02F9C" w:rsidP="00B36D7C">
      <w:pPr>
        <w:pStyle w:val="Notedefin"/>
        <w:tabs>
          <w:tab w:val="left" w:pos="709"/>
        </w:tabs>
        <w:spacing w:after="120" w:line="240" w:lineRule="auto"/>
        <w:ind w:left="709" w:hanging="709"/>
        <w:rPr>
          <w:rFonts w:ascii="Arial" w:hAnsi="Arial" w:cs="Arial"/>
          <w:sz w:val="18"/>
          <w:szCs w:val="18"/>
          <w:highlight w:val="yellow"/>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5753AD" w:rsidRPr="00E16C03">
        <w:rPr>
          <w:rFonts w:ascii="Arial" w:hAnsi="Arial" w:cs="Arial"/>
          <w:smallCaps/>
          <w:sz w:val="18"/>
          <w:szCs w:val="18"/>
          <w:lang w:val="en-CA"/>
        </w:rPr>
        <w:t>Department of education and early childhood development of New-B</w:t>
      </w:r>
      <w:r w:rsidR="00DA6B45" w:rsidRPr="00E16C03">
        <w:rPr>
          <w:rFonts w:ascii="Arial" w:hAnsi="Arial" w:cs="Arial"/>
          <w:smallCaps/>
          <w:sz w:val="18"/>
          <w:szCs w:val="18"/>
          <w:lang w:val="en-CA"/>
        </w:rPr>
        <w:t>runswick</w:t>
      </w:r>
      <w:r w:rsidR="00DA6B45" w:rsidRPr="00E16C03">
        <w:rPr>
          <w:rFonts w:ascii="Arial" w:hAnsi="Arial" w:cs="Arial"/>
          <w:sz w:val="18"/>
          <w:szCs w:val="18"/>
          <w:lang w:val="en-CA"/>
        </w:rPr>
        <w:t xml:space="preserve">, </w:t>
      </w:r>
      <w:r w:rsidR="00B0740F" w:rsidRPr="00E16C03">
        <w:rPr>
          <w:rFonts w:ascii="Arial" w:hAnsi="Arial" w:cs="Arial"/>
          <w:i/>
          <w:sz w:val="18"/>
          <w:szCs w:val="18"/>
          <w:lang w:val="en-CA"/>
        </w:rPr>
        <w:t>Policy 713</w:t>
      </w:r>
      <w:r w:rsidR="00B41D67" w:rsidRPr="00E16C03">
        <w:rPr>
          <w:rFonts w:ascii="Arial" w:hAnsi="Arial" w:cs="Arial"/>
          <w:i/>
          <w:sz w:val="18"/>
          <w:szCs w:val="18"/>
          <w:lang w:val="en-CA"/>
        </w:rPr>
        <w:t xml:space="preserve"> – </w:t>
      </w:r>
      <w:r w:rsidR="00B0740F" w:rsidRPr="00E16C03">
        <w:rPr>
          <w:rFonts w:ascii="Arial" w:hAnsi="Arial" w:cs="Arial"/>
          <w:i/>
          <w:sz w:val="18"/>
          <w:szCs w:val="18"/>
          <w:lang w:val="en-CA"/>
        </w:rPr>
        <w:t>Sexual Orientation and Gender Identity</w:t>
      </w:r>
      <w:r w:rsidR="00B0740F" w:rsidRPr="00E16C03">
        <w:rPr>
          <w:rFonts w:ascii="Arial" w:hAnsi="Arial" w:cs="Arial"/>
          <w:sz w:val="18"/>
          <w:szCs w:val="18"/>
          <w:lang w:val="en-CA"/>
        </w:rPr>
        <w:t>,</w:t>
      </w:r>
      <w:r w:rsidR="0034702B" w:rsidRPr="00E16C03">
        <w:rPr>
          <w:rFonts w:ascii="Arial" w:hAnsi="Arial" w:cs="Arial"/>
          <w:sz w:val="18"/>
          <w:szCs w:val="18"/>
          <w:lang w:val="en-CA"/>
        </w:rPr>
        <w:t xml:space="preserve"> effective August 17, 20</w:t>
      </w:r>
      <w:r w:rsidR="00825986" w:rsidRPr="00E16C03">
        <w:rPr>
          <w:rFonts w:ascii="Arial" w:hAnsi="Arial" w:cs="Arial"/>
          <w:sz w:val="18"/>
          <w:szCs w:val="18"/>
          <w:lang w:val="en-CA"/>
        </w:rPr>
        <w:t xml:space="preserve">20, revised July 1, 2023, and August 23, 2023. </w:t>
      </w:r>
      <w:r w:rsidR="00B0740F" w:rsidRPr="00E16C03">
        <w:rPr>
          <w:rFonts w:ascii="Arial" w:hAnsi="Arial" w:cs="Arial"/>
          <w:sz w:val="18"/>
          <w:szCs w:val="18"/>
          <w:lang w:val="en-CA"/>
        </w:rPr>
        <w:t xml:space="preserve"> </w:t>
      </w:r>
      <w:r w:rsidR="00471E66" w:rsidRPr="00E16C03">
        <w:rPr>
          <w:rFonts w:ascii="Arial" w:hAnsi="Arial" w:cs="Arial"/>
          <w:sz w:val="18"/>
          <w:szCs w:val="18"/>
          <w:lang w:val="en-CA"/>
        </w:rPr>
        <w:t xml:space="preserve"> </w:t>
      </w:r>
    </w:p>
  </w:endnote>
  <w:endnote w:id="497">
    <w:p w14:paraId="3AC84833" w14:textId="61A0DC0B" w:rsidR="00A02F9C" w:rsidRPr="003D6F7B" w:rsidRDefault="00A02F9C" w:rsidP="00B36D7C">
      <w:pPr>
        <w:pStyle w:val="Notedefin"/>
        <w:tabs>
          <w:tab w:val="left" w:pos="709"/>
        </w:tabs>
        <w:spacing w:after="120" w:line="240" w:lineRule="auto"/>
        <w:ind w:left="709" w:hanging="709"/>
        <w:rPr>
          <w:rFonts w:ascii="Arial" w:hAnsi="Arial" w:cs="Arial"/>
          <w:sz w:val="18"/>
          <w:szCs w:val="18"/>
          <w:highlight w:val="yellow"/>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368C8" w:rsidRPr="00BD22C2">
        <w:rPr>
          <w:rFonts w:ascii="Arial" w:hAnsi="Arial" w:cs="Arial"/>
          <w:smallCaps/>
          <w:sz w:val="18"/>
          <w:szCs w:val="18"/>
          <w:lang w:val="fr-CA"/>
        </w:rPr>
        <w:t>Gouvernement de l’Alberta</w:t>
      </w:r>
      <w:r w:rsidR="005368C8" w:rsidRPr="00BD22C2">
        <w:rPr>
          <w:rFonts w:ascii="Arial" w:hAnsi="Arial" w:cs="Arial"/>
          <w:sz w:val="18"/>
          <w:szCs w:val="18"/>
          <w:lang w:val="fr-CA"/>
        </w:rPr>
        <w:t xml:space="preserve">, </w:t>
      </w:r>
      <w:r w:rsidR="005368C8" w:rsidRPr="00BD22C2">
        <w:rPr>
          <w:rFonts w:ascii="Arial" w:hAnsi="Arial" w:cs="Arial"/>
          <w:i/>
          <w:sz w:val="18"/>
          <w:szCs w:val="18"/>
          <w:lang w:val="fr-CA"/>
        </w:rPr>
        <w:t xml:space="preserve">Preserving choice for children and youth | Protéger le choix des enfants et des </w:t>
      </w:r>
      <w:r w:rsidR="00FC3FEA" w:rsidRPr="00BD22C2">
        <w:rPr>
          <w:rFonts w:ascii="Arial" w:hAnsi="Arial" w:cs="Arial"/>
          <w:i/>
          <w:sz w:val="18"/>
          <w:szCs w:val="18"/>
          <w:lang w:val="fr-CA"/>
        </w:rPr>
        <w:t>jeunes</w:t>
      </w:r>
      <w:r w:rsidR="00FC3FEA" w:rsidRPr="00BD22C2">
        <w:rPr>
          <w:rFonts w:ascii="Arial" w:hAnsi="Arial" w:cs="Arial"/>
          <w:sz w:val="18"/>
          <w:szCs w:val="18"/>
          <w:lang w:val="fr-CA"/>
        </w:rPr>
        <w:t xml:space="preserve">, </w:t>
      </w:r>
      <w:r w:rsidR="00787682" w:rsidRPr="00BD22C2">
        <w:rPr>
          <w:rFonts w:ascii="Arial" w:hAnsi="Arial" w:cs="Arial"/>
          <w:sz w:val="18"/>
          <w:szCs w:val="18"/>
          <w:lang w:val="fr-CA"/>
        </w:rPr>
        <w:t>1</w:t>
      </w:r>
      <w:r w:rsidR="00787682" w:rsidRPr="00BD22C2">
        <w:rPr>
          <w:rFonts w:ascii="Arial" w:hAnsi="Arial" w:cs="Arial"/>
          <w:sz w:val="18"/>
          <w:szCs w:val="18"/>
          <w:vertAlign w:val="superscript"/>
          <w:lang w:val="fr-CA"/>
        </w:rPr>
        <w:t>er</w:t>
      </w:r>
      <w:r w:rsidR="00762FE8">
        <w:rPr>
          <w:rFonts w:ascii="Arial" w:hAnsi="Arial" w:cs="Arial"/>
          <w:sz w:val="18"/>
          <w:szCs w:val="18"/>
          <w:lang w:val="fr-CA"/>
        </w:rPr>
        <w:t> </w:t>
      </w:r>
      <w:r w:rsidR="00787682" w:rsidRPr="00BD22C2">
        <w:rPr>
          <w:rFonts w:ascii="Arial" w:hAnsi="Arial" w:cs="Arial"/>
          <w:sz w:val="18"/>
          <w:szCs w:val="18"/>
          <w:lang w:val="fr-CA"/>
        </w:rPr>
        <w:t xml:space="preserve">février 2024, </w:t>
      </w:r>
      <w:r w:rsidR="00780DB9">
        <w:rPr>
          <w:rFonts w:ascii="Arial" w:hAnsi="Arial" w:cs="Arial"/>
          <w:sz w:val="18"/>
          <w:szCs w:val="18"/>
          <w:lang w:val="fr-CA"/>
        </w:rPr>
        <w:t>[E</w:t>
      </w:r>
      <w:r w:rsidR="00FC3FEA" w:rsidRPr="00BD22C2">
        <w:rPr>
          <w:rFonts w:ascii="Arial" w:hAnsi="Arial" w:cs="Arial"/>
          <w:sz w:val="18"/>
          <w:szCs w:val="18"/>
          <w:lang w:val="fr-CA"/>
        </w:rPr>
        <w:t>n</w:t>
      </w:r>
      <w:r w:rsidR="001C39FD" w:rsidRPr="00BD22C2">
        <w:rPr>
          <w:rFonts w:ascii="Arial" w:hAnsi="Arial" w:cs="Arial"/>
          <w:sz w:val="18"/>
          <w:szCs w:val="18"/>
          <w:lang w:val="fr-CA"/>
        </w:rPr>
        <w:t xml:space="preserve"> ligne</w:t>
      </w:r>
      <w:r w:rsidR="00780DB9">
        <w:rPr>
          <w:rFonts w:ascii="Arial" w:hAnsi="Arial" w:cs="Arial"/>
          <w:sz w:val="18"/>
          <w:szCs w:val="18"/>
          <w:lang w:val="fr-CA"/>
        </w:rPr>
        <w:t>].</w:t>
      </w:r>
      <w:r w:rsidR="001C39FD" w:rsidRPr="00BD22C2">
        <w:rPr>
          <w:rFonts w:ascii="Arial" w:hAnsi="Arial" w:cs="Arial"/>
          <w:sz w:val="18"/>
          <w:szCs w:val="18"/>
          <w:lang w:val="fr-CA"/>
        </w:rPr>
        <w:t xml:space="preserve"> </w:t>
      </w:r>
      <w:r w:rsidR="00780DB9">
        <w:fldChar w:fldCharType="begin"/>
      </w:r>
      <w:r w:rsidR="00780DB9" w:rsidRPr="003E3312">
        <w:rPr>
          <w:lang w:val="fr-CA"/>
        </w:rPr>
        <w:instrText>HYPERLINK "https://www.alberta.ca/release.cfm?xID=89690FEFD06CA-AC6A-E4E1-C9274DADFC0141DC"</w:instrText>
      </w:r>
      <w:r w:rsidR="00780DB9">
        <w:fldChar w:fldCharType="separate"/>
      </w:r>
      <w:r w:rsidR="00780DB9" w:rsidRPr="003D6F7B">
        <w:rPr>
          <w:rStyle w:val="Lienhypertexte"/>
          <w:rFonts w:ascii="Arial" w:hAnsi="Arial" w:cs="Arial"/>
          <w:sz w:val="18"/>
          <w:szCs w:val="18"/>
        </w:rPr>
        <w:t>https://www.alberta.ca/release.cfm?xID=89690FEFD06CA-AC6A-E4E1-C9274DADFC0141DC</w:t>
      </w:r>
      <w:r w:rsidR="00780DB9">
        <w:rPr>
          <w:rStyle w:val="Lienhypertexte"/>
          <w:rFonts w:ascii="Arial" w:hAnsi="Arial" w:cs="Arial"/>
          <w:sz w:val="18"/>
          <w:szCs w:val="18"/>
        </w:rPr>
        <w:fldChar w:fldCharType="end"/>
      </w:r>
      <w:r w:rsidR="00780DB9" w:rsidRPr="003D6F7B">
        <w:rPr>
          <w:rFonts w:ascii="Arial" w:hAnsi="Arial" w:cs="Arial"/>
          <w:sz w:val="18"/>
          <w:szCs w:val="18"/>
        </w:rPr>
        <w:t xml:space="preserve"> </w:t>
      </w:r>
    </w:p>
  </w:endnote>
  <w:endnote w:id="498">
    <w:p w14:paraId="3086B0DC" w14:textId="251A95DF" w:rsidR="00A02F9C" w:rsidRPr="00E16C03" w:rsidRDefault="00A02F9C" w:rsidP="00B36D7C">
      <w:pPr>
        <w:pStyle w:val="Notedefin"/>
        <w:tabs>
          <w:tab w:val="left" w:pos="709"/>
        </w:tabs>
        <w:spacing w:after="120" w:line="240" w:lineRule="auto"/>
        <w:ind w:left="709" w:hanging="709"/>
        <w:rPr>
          <w:rFonts w:ascii="Arial" w:hAnsi="Arial" w:cs="Arial"/>
          <w:sz w:val="18"/>
          <w:szCs w:val="18"/>
          <w:highlight w:val="yellow"/>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smallCaps/>
          <w:sz w:val="18"/>
          <w:szCs w:val="18"/>
          <w:lang w:val="en-CA"/>
        </w:rPr>
        <w:t xml:space="preserve">Saskatchewan </w:t>
      </w:r>
      <w:r w:rsidR="00BE1272">
        <w:rPr>
          <w:rFonts w:ascii="Arial" w:hAnsi="Arial" w:cs="Arial"/>
          <w:smallCaps/>
          <w:sz w:val="18"/>
          <w:szCs w:val="18"/>
          <w:lang w:val="en-CA"/>
        </w:rPr>
        <w:t>A</w:t>
      </w:r>
      <w:r w:rsidRPr="00E16C03">
        <w:rPr>
          <w:rFonts w:ascii="Arial" w:hAnsi="Arial" w:cs="Arial"/>
          <w:smallCaps/>
          <w:sz w:val="18"/>
          <w:szCs w:val="18"/>
          <w:lang w:val="en-CA"/>
        </w:rPr>
        <w:t xml:space="preserve">dvocate for </w:t>
      </w:r>
      <w:r w:rsidR="00BE1272">
        <w:rPr>
          <w:rFonts w:ascii="Arial" w:hAnsi="Arial" w:cs="Arial"/>
          <w:smallCaps/>
          <w:sz w:val="18"/>
          <w:szCs w:val="18"/>
          <w:lang w:val="en-CA"/>
        </w:rPr>
        <w:t>C</w:t>
      </w:r>
      <w:r w:rsidRPr="00E16C03">
        <w:rPr>
          <w:rFonts w:ascii="Arial" w:hAnsi="Arial" w:cs="Arial"/>
          <w:smallCaps/>
          <w:sz w:val="18"/>
          <w:szCs w:val="18"/>
          <w:lang w:val="en-CA"/>
        </w:rPr>
        <w:t xml:space="preserve">hildren and </w:t>
      </w:r>
      <w:r w:rsidR="00BE1272">
        <w:rPr>
          <w:rFonts w:ascii="Arial" w:hAnsi="Arial" w:cs="Arial"/>
          <w:smallCaps/>
          <w:sz w:val="18"/>
          <w:szCs w:val="18"/>
          <w:lang w:val="en-CA"/>
        </w:rPr>
        <w:t>Y</w:t>
      </w:r>
      <w:r w:rsidRPr="00E16C03">
        <w:rPr>
          <w:rFonts w:ascii="Arial" w:hAnsi="Arial" w:cs="Arial"/>
          <w:smallCaps/>
          <w:sz w:val="18"/>
          <w:szCs w:val="18"/>
          <w:lang w:val="en-CA"/>
        </w:rPr>
        <w:t>outh</w:t>
      </w:r>
      <w:r w:rsidRPr="00E16C03">
        <w:rPr>
          <w:rFonts w:ascii="Arial" w:hAnsi="Arial" w:cs="Arial"/>
          <w:sz w:val="18"/>
          <w:szCs w:val="18"/>
          <w:lang w:val="en-CA"/>
        </w:rPr>
        <w:t xml:space="preserve">, </w:t>
      </w:r>
      <w:r w:rsidRPr="00E16C03">
        <w:rPr>
          <w:rFonts w:ascii="Arial" w:hAnsi="Arial" w:cs="Arial"/>
          <w:i/>
          <w:sz w:val="18"/>
          <w:szCs w:val="18"/>
          <w:lang w:val="en-CA"/>
        </w:rPr>
        <w:t xml:space="preserve">Review of Ministry of Education Policy: Use of </w:t>
      </w:r>
      <w:r w:rsidR="00320740" w:rsidRPr="00E16C03">
        <w:rPr>
          <w:rFonts w:ascii="Arial" w:hAnsi="Arial" w:cs="Arial"/>
          <w:i/>
          <w:sz w:val="18"/>
          <w:szCs w:val="18"/>
          <w:lang w:val="en-CA"/>
        </w:rPr>
        <w:t>Preferred F</w:t>
      </w:r>
      <w:r w:rsidRPr="00E16C03">
        <w:rPr>
          <w:rFonts w:ascii="Arial" w:hAnsi="Arial" w:cs="Arial"/>
          <w:i/>
          <w:sz w:val="18"/>
          <w:szCs w:val="18"/>
          <w:lang w:val="en-CA"/>
        </w:rPr>
        <w:t xml:space="preserve">irst </w:t>
      </w:r>
      <w:r w:rsidR="00320740" w:rsidRPr="00E16C03">
        <w:rPr>
          <w:rFonts w:ascii="Arial" w:hAnsi="Arial" w:cs="Arial"/>
          <w:i/>
          <w:sz w:val="18"/>
          <w:szCs w:val="18"/>
          <w:lang w:val="en-CA"/>
        </w:rPr>
        <w:t>N</w:t>
      </w:r>
      <w:r w:rsidRPr="00E16C03">
        <w:rPr>
          <w:rFonts w:ascii="Arial" w:hAnsi="Arial" w:cs="Arial"/>
          <w:i/>
          <w:sz w:val="18"/>
          <w:szCs w:val="18"/>
          <w:lang w:val="en-CA"/>
        </w:rPr>
        <w:t xml:space="preserve">ame and </w:t>
      </w:r>
      <w:r w:rsidR="00320740" w:rsidRPr="00E16C03">
        <w:rPr>
          <w:rFonts w:ascii="Arial" w:hAnsi="Arial" w:cs="Arial"/>
          <w:i/>
          <w:sz w:val="18"/>
          <w:szCs w:val="18"/>
          <w:lang w:val="en-CA"/>
        </w:rPr>
        <w:t>P</w:t>
      </w:r>
      <w:r w:rsidRPr="00E16C03">
        <w:rPr>
          <w:rFonts w:ascii="Arial" w:hAnsi="Arial" w:cs="Arial"/>
          <w:i/>
          <w:sz w:val="18"/>
          <w:szCs w:val="18"/>
          <w:lang w:val="en-CA"/>
        </w:rPr>
        <w:t xml:space="preserve">ronouns for </w:t>
      </w:r>
      <w:r w:rsidR="00320740" w:rsidRPr="00E16C03">
        <w:rPr>
          <w:rFonts w:ascii="Arial" w:hAnsi="Arial" w:cs="Arial"/>
          <w:i/>
          <w:sz w:val="18"/>
          <w:szCs w:val="18"/>
          <w:lang w:val="en-CA"/>
        </w:rPr>
        <w:t>Students</w:t>
      </w:r>
      <w:r w:rsidRPr="00E16C03">
        <w:rPr>
          <w:rFonts w:ascii="Arial" w:hAnsi="Arial" w:cs="Arial"/>
          <w:sz w:val="18"/>
          <w:szCs w:val="18"/>
          <w:lang w:val="en-CA"/>
        </w:rPr>
        <w:t>, 2023,</w:t>
      </w:r>
      <w:r w:rsidR="0015569E" w:rsidRPr="00E16C03">
        <w:rPr>
          <w:rFonts w:ascii="Arial" w:hAnsi="Arial" w:cs="Arial"/>
          <w:sz w:val="18"/>
          <w:szCs w:val="18"/>
          <w:lang w:val="en-CA"/>
        </w:rPr>
        <w:t xml:space="preserve"> </w:t>
      </w:r>
      <w:r w:rsidR="00072881">
        <w:rPr>
          <w:rFonts w:ascii="Arial" w:hAnsi="Arial" w:cs="Arial"/>
          <w:sz w:val="18"/>
          <w:szCs w:val="18"/>
          <w:lang w:val="en-CA"/>
        </w:rPr>
        <w:t>p. 26,</w:t>
      </w:r>
      <w:r w:rsidR="0015569E" w:rsidRPr="00E16C03">
        <w:rPr>
          <w:rFonts w:ascii="Arial" w:hAnsi="Arial" w:cs="Arial"/>
          <w:sz w:val="18"/>
          <w:szCs w:val="18"/>
          <w:lang w:val="en-CA"/>
        </w:rPr>
        <w:t xml:space="preserve"> </w:t>
      </w:r>
      <w:r w:rsidR="00072881">
        <w:rPr>
          <w:rFonts w:ascii="Arial" w:hAnsi="Arial" w:cs="Arial"/>
          <w:sz w:val="18"/>
          <w:szCs w:val="18"/>
          <w:lang w:val="en-CA"/>
        </w:rPr>
        <w:t>[E</w:t>
      </w:r>
      <w:r w:rsidR="0015569E" w:rsidRPr="00E16C03">
        <w:rPr>
          <w:rFonts w:ascii="Arial" w:hAnsi="Arial" w:cs="Arial"/>
          <w:sz w:val="18"/>
          <w:szCs w:val="18"/>
          <w:lang w:val="en-CA"/>
        </w:rPr>
        <w:t>n ligne</w:t>
      </w:r>
      <w:r w:rsidR="00072881">
        <w:rPr>
          <w:rFonts w:ascii="Arial" w:hAnsi="Arial" w:cs="Arial"/>
          <w:sz w:val="18"/>
          <w:szCs w:val="18"/>
          <w:lang w:val="en-CA"/>
        </w:rPr>
        <w:t>].</w:t>
      </w:r>
      <w:r w:rsidR="0015569E" w:rsidRPr="00E16C03">
        <w:rPr>
          <w:rFonts w:ascii="Arial" w:hAnsi="Arial" w:cs="Arial"/>
          <w:sz w:val="18"/>
          <w:szCs w:val="18"/>
          <w:lang w:val="en-CA"/>
        </w:rPr>
        <w:t xml:space="preserve"> </w:t>
      </w:r>
      <w:hyperlink r:id="rId128" w:history="1">
        <w:r w:rsidR="00983BE7" w:rsidRPr="00E16C03">
          <w:rPr>
            <w:rStyle w:val="Lienhypertexte"/>
            <w:rFonts w:ascii="Arial" w:hAnsi="Arial" w:cs="Arial"/>
            <w:sz w:val="18"/>
            <w:szCs w:val="18"/>
            <w:lang w:val="en-CA"/>
          </w:rPr>
          <w:t>https://www.saskadvocate.ca/assets/acy-policy-review-use-of-preferred-first-name-and-pronouns-of-students-september-15-2023-final.pdf</w:t>
        </w:r>
      </w:hyperlink>
    </w:p>
  </w:endnote>
  <w:endnote w:id="499">
    <w:p w14:paraId="3A3BA3B7" w14:textId="437BCA52" w:rsidR="00A02F9C" w:rsidRPr="003D6F7B" w:rsidRDefault="00A02F9C"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504ABB" w:rsidRPr="00BD22C2">
        <w:rPr>
          <w:rFonts w:ascii="Arial" w:hAnsi="Arial" w:cs="Arial"/>
          <w:smallCaps/>
          <w:sz w:val="18"/>
          <w:szCs w:val="18"/>
          <w:lang w:val="fr-CA"/>
        </w:rPr>
        <w:t>Bureau du défenseur des enfants et des jeunes du Nouveau-Brunswick</w:t>
      </w:r>
      <w:r w:rsidRPr="00BD22C2">
        <w:rPr>
          <w:rFonts w:ascii="Arial" w:hAnsi="Arial" w:cs="Arial"/>
          <w:sz w:val="18"/>
          <w:szCs w:val="18"/>
          <w:lang w:val="fr-CA"/>
        </w:rPr>
        <w:t xml:space="preserve">, </w:t>
      </w:r>
      <w:r w:rsidRPr="00BD22C2">
        <w:rPr>
          <w:rFonts w:ascii="Arial" w:hAnsi="Arial" w:cs="Arial"/>
          <w:i/>
          <w:sz w:val="18"/>
          <w:szCs w:val="18"/>
          <w:lang w:val="fr-CA"/>
        </w:rPr>
        <w:t>Dans l’ensemble, choisissez la gentillesse — Examen par le défenseur des modifications apportées à la politique 713 et recommandations pour une politique juste et compatissant</w:t>
      </w:r>
      <w:r w:rsidRPr="00BD22C2">
        <w:rPr>
          <w:rFonts w:ascii="Arial" w:hAnsi="Arial" w:cs="Arial"/>
          <w:sz w:val="18"/>
          <w:szCs w:val="18"/>
          <w:lang w:val="fr-CA"/>
        </w:rPr>
        <w:t xml:space="preserve">e, 2023, </w:t>
      </w:r>
      <w:r w:rsidR="00D57657" w:rsidRPr="00BD22C2">
        <w:rPr>
          <w:rFonts w:ascii="Arial" w:hAnsi="Arial" w:cs="Arial"/>
          <w:sz w:val="18"/>
          <w:szCs w:val="18"/>
          <w:lang w:val="fr-CA"/>
        </w:rPr>
        <w:t xml:space="preserve">Annexe A, par. </w:t>
      </w:r>
      <w:r w:rsidR="008E33DF" w:rsidRPr="00BD22C2">
        <w:rPr>
          <w:rFonts w:ascii="Arial" w:hAnsi="Arial" w:cs="Arial"/>
          <w:sz w:val="18"/>
          <w:szCs w:val="18"/>
          <w:lang w:val="fr-CA"/>
        </w:rPr>
        <w:t xml:space="preserve">4, </w:t>
      </w:r>
      <w:r w:rsidR="00072881">
        <w:rPr>
          <w:rFonts w:ascii="Arial" w:hAnsi="Arial" w:cs="Arial"/>
          <w:sz w:val="18"/>
          <w:szCs w:val="18"/>
          <w:lang w:val="fr-CA"/>
        </w:rPr>
        <w:t>[E</w:t>
      </w:r>
      <w:r w:rsidR="008E33DF" w:rsidRPr="00BD22C2">
        <w:rPr>
          <w:rFonts w:ascii="Arial" w:hAnsi="Arial" w:cs="Arial"/>
          <w:sz w:val="18"/>
          <w:szCs w:val="18"/>
          <w:lang w:val="fr-CA"/>
        </w:rPr>
        <w:t>n ligne</w:t>
      </w:r>
      <w:r w:rsidR="00072881">
        <w:rPr>
          <w:rFonts w:ascii="Arial" w:hAnsi="Arial" w:cs="Arial"/>
          <w:sz w:val="18"/>
          <w:szCs w:val="18"/>
          <w:lang w:val="fr-CA"/>
        </w:rPr>
        <w:t>].</w:t>
      </w:r>
      <w:r w:rsidR="008E33DF" w:rsidRPr="00BD22C2">
        <w:rPr>
          <w:rFonts w:ascii="Arial" w:hAnsi="Arial" w:cs="Arial"/>
          <w:sz w:val="18"/>
          <w:szCs w:val="18"/>
          <w:lang w:val="fr-CA"/>
        </w:rPr>
        <w:t xml:space="preserve"> </w:t>
      </w:r>
      <w:r w:rsidR="000F6553">
        <w:fldChar w:fldCharType="begin"/>
      </w:r>
      <w:r w:rsidR="000F6553" w:rsidRPr="003E3312">
        <w:rPr>
          <w:lang w:val="fr-CA"/>
        </w:rPr>
        <w:instrText>HYPERLINK "https://static1.squarespace.com/static/60620922ffdb3f7dec577e42/t/64dba3870f8e910c2df98320/1692115852987/Dans+l%27ensemble+choisissez+la+gentillesse+-+Politique+713.pdf"</w:instrText>
      </w:r>
      <w:r w:rsidR="000F6553">
        <w:fldChar w:fldCharType="separate"/>
      </w:r>
      <w:r w:rsidR="000F6553" w:rsidRPr="003D6F7B">
        <w:rPr>
          <w:rStyle w:val="Lienhypertexte"/>
          <w:rFonts w:ascii="Arial" w:hAnsi="Arial" w:cs="Arial"/>
          <w:sz w:val="18"/>
          <w:szCs w:val="18"/>
        </w:rPr>
        <w:t>https://static1.squarespace.com/static/60620922ffdb3f7dec577e42/t/64dba3870f8e910c2df98320/1692115852987/Dans+l%27ensemble+choisissez+la+gentillesse+-+Politique+713.pdf</w:t>
      </w:r>
      <w:r w:rsidR="000F6553">
        <w:rPr>
          <w:rStyle w:val="Lienhypertexte"/>
          <w:rFonts w:ascii="Arial" w:hAnsi="Arial" w:cs="Arial"/>
          <w:sz w:val="18"/>
          <w:szCs w:val="18"/>
        </w:rPr>
        <w:fldChar w:fldCharType="end"/>
      </w:r>
    </w:p>
  </w:endnote>
  <w:endnote w:id="500">
    <w:p w14:paraId="1D047B60" w14:textId="04C75785" w:rsidR="00A02F9C" w:rsidRPr="00E16C03" w:rsidRDefault="00A02F9C" w:rsidP="00B36D7C">
      <w:pPr>
        <w:pStyle w:val="Notedefin"/>
        <w:tabs>
          <w:tab w:val="left" w:pos="709"/>
        </w:tabs>
        <w:spacing w:after="120" w:line="240" w:lineRule="auto"/>
        <w:ind w:left="709" w:hanging="709"/>
        <w:rPr>
          <w:rFonts w:ascii="Arial" w:hAnsi="Arial" w:cs="Arial"/>
          <w:sz w:val="18"/>
          <w:szCs w:val="18"/>
          <w:highlight w:val="yellow"/>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i/>
          <w:sz w:val="18"/>
          <w:szCs w:val="18"/>
          <w:lang w:val="en-CA"/>
        </w:rPr>
        <w:t>Id</w:t>
      </w:r>
      <w:r w:rsidRPr="00E16C03">
        <w:rPr>
          <w:rFonts w:ascii="Arial" w:hAnsi="Arial" w:cs="Arial"/>
          <w:sz w:val="18"/>
          <w:szCs w:val="18"/>
          <w:lang w:val="en-CA"/>
        </w:rPr>
        <w:t xml:space="preserve">., </w:t>
      </w:r>
      <w:r w:rsidR="008E33DF" w:rsidRPr="00E16C03">
        <w:rPr>
          <w:rFonts w:ascii="Arial" w:hAnsi="Arial" w:cs="Arial"/>
          <w:sz w:val="18"/>
          <w:szCs w:val="18"/>
          <w:lang w:val="en-CA"/>
        </w:rPr>
        <w:t>Annexe A</w:t>
      </w:r>
      <w:r w:rsidRPr="00E16C03">
        <w:rPr>
          <w:rFonts w:ascii="Arial" w:hAnsi="Arial" w:cs="Arial"/>
          <w:sz w:val="18"/>
          <w:szCs w:val="18"/>
          <w:lang w:val="en-CA"/>
        </w:rPr>
        <w:t xml:space="preserve">. </w:t>
      </w:r>
    </w:p>
  </w:endnote>
  <w:endnote w:id="501">
    <w:p w14:paraId="4FFDC7D3" w14:textId="73157B9E" w:rsidR="00A02F9C" w:rsidRPr="00E16C03" w:rsidRDefault="00A02F9C"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9D50B5" w:rsidRPr="00E16C03">
        <w:rPr>
          <w:rFonts w:ascii="Arial" w:hAnsi="Arial" w:cs="Arial"/>
          <w:i/>
          <w:sz w:val="18"/>
          <w:szCs w:val="18"/>
          <w:lang w:val="en-CA"/>
        </w:rPr>
        <w:t>Alberta Human Rights Act</w:t>
      </w:r>
      <w:r w:rsidR="009D50B5" w:rsidRPr="00E16C03">
        <w:rPr>
          <w:rFonts w:ascii="Arial" w:hAnsi="Arial" w:cs="Arial"/>
          <w:sz w:val="18"/>
          <w:szCs w:val="18"/>
          <w:lang w:val="en-CA"/>
        </w:rPr>
        <w:t xml:space="preserve">, R.S.A. 2000, c. A-25.5. </w:t>
      </w:r>
    </w:p>
  </w:endnote>
  <w:endnote w:id="502">
    <w:p w14:paraId="55E7BB19" w14:textId="429E9C40" w:rsidR="00A02F9C" w:rsidRPr="00E16C03" w:rsidRDefault="00A02F9C"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007F691D" w:rsidRPr="00E16C03">
        <w:rPr>
          <w:rFonts w:ascii="Arial" w:hAnsi="Arial" w:cs="Arial"/>
          <w:smallCaps/>
          <w:sz w:val="18"/>
          <w:szCs w:val="18"/>
          <w:lang w:val="en-CA"/>
        </w:rPr>
        <w:t>Office of the Child and Youth Advocate of Alberta</w:t>
      </w:r>
      <w:r w:rsidR="007F691D" w:rsidRPr="00E16C03">
        <w:rPr>
          <w:rFonts w:ascii="Arial" w:hAnsi="Arial" w:cs="Arial"/>
          <w:sz w:val="18"/>
          <w:szCs w:val="18"/>
          <w:lang w:val="en-CA"/>
        </w:rPr>
        <w:t xml:space="preserve">, </w:t>
      </w:r>
      <w:r w:rsidR="00376440" w:rsidRPr="00E16C03">
        <w:rPr>
          <w:rFonts w:ascii="Arial" w:hAnsi="Arial" w:cs="Arial"/>
          <w:i/>
          <w:sz w:val="18"/>
          <w:szCs w:val="18"/>
          <w:lang w:val="en-CA"/>
        </w:rPr>
        <w:t>Public Statement: Supporting Gender Diverse Children and Youth,</w:t>
      </w:r>
      <w:r w:rsidR="00376440" w:rsidRPr="00E16C03">
        <w:rPr>
          <w:rFonts w:ascii="Arial" w:hAnsi="Arial" w:cs="Arial"/>
          <w:sz w:val="18"/>
          <w:szCs w:val="18"/>
          <w:lang w:val="en-CA"/>
        </w:rPr>
        <w:t xml:space="preserve"> </w:t>
      </w:r>
      <w:r w:rsidR="00EA6688" w:rsidRPr="00E16C03">
        <w:rPr>
          <w:rFonts w:ascii="Arial" w:hAnsi="Arial" w:cs="Arial"/>
          <w:sz w:val="18"/>
          <w:szCs w:val="18"/>
          <w:lang w:val="en-CA"/>
        </w:rPr>
        <w:t>1</w:t>
      </w:r>
      <w:r w:rsidR="00EA6688" w:rsidRPr="00E16C03">
        <w:rPr>
          <w:rFonts w:ascii="Arial" w:hAnsi="Arial" w:cs="Arial"/>
          <w:sz w:val="18"/>
          <w:szCs w:val="18"/>
          <w:vertAlign w:val="superscript"/>
          <w:lang w:val="en-CA"/>
        </w:rPr>
        <w:t>er</w:t>
      </w:r>
      <w:r w:rsidR="00762FE8">
        <w:rPr>
          <w:rFonts w:ascii="Arial" w:hAnsi="Arial" w:cs="Arial"/>
          <w:sz w:val="18"/>
          <w:szCs w:val="18"/>
          <w:lang w:val="en-CA"/>
        </w:rPr>
        <w:t> </w:t>
      </w:r>
      <w:r w:rsidR="00EA6688" w:rsidRPr="00E16C03">
        <w:rPr>
          <w:rFonts w:ascii="Arial" w:hAnsi="Arial" w:cs="Arial"/>
          <w:sz w:val="18"/>
          <w:szCs w:val="18"/>
          <w:lang w:val="en-CA"/>
        </w:rPr>
        <w:t xml:space="preserve">février 2024, </w:t>
      </w:r>
      <w:r w:rsidR="00182C4F" w:rsidRPr="00E16C03">
        <w:rPr>
          <w:rFonts w:ascii="Arial" w:hAnsi="Arial" w:cs="Arial"/>
          <w:sz w:val="18"/>
          <w:szCs w:val="18"/>
          <w:lang w:val="en-CA"/>
        </w:rPr>
        <w:t>en ligne</w:t>
      </w:r>
      <w:r w:rsidR="0051216B" w:rsidRPr="00E16C03">
        <w:rPr>
          <w:rFonts w:ascii="Arial" w:hAnsi="Arial" w:cs="Arial"/>
          <w:sz w:val="18"/>
          <w:szCs w:val="18"/>
          <w:lang w:val="en-CA"/>
        </w:rPr>
        <w:t> </w:t>
      </w:r>
      <w:r w:rsidR="00182C4F" w:rsidRPr="00E16C03">
        <w:rPr>
          <w:rFonts w:ascii="Arial" w:hAnsi="Arial" w:cs="Arial"/>
          <w:sz w:val="18"/>
          <w:szCs w:val="18"/>
          <w:lang w:val="en-CA"/>
        </w:rPr>
        <w:t xml:space="preserve">: </w:t>
      </w:r>
      <w:hyperlink r:id="rId129" w:history="1">
        <w:r w:rsidR="00182C4F" w:rsidRPr="00E16C03">
          <w:rPr>
            <w:rStyle w:val="Lienhypertexte"/>
            <w:rFonts w:ascii="Arial" w:hAnsi="Arial" w:cs="Arial"/>
            <w:sz w:val="18"/>
            <w:szCs w:val="18"/>
            <w:lang w:val="en-CA"/>
          </w:rPr>
          <w:t>https://www.ocya.alberta.ca/adult/news/statement-supporting-gender-diverse-children-and-youth/</w:t>
        </w:r>
      </w:hyperlink>
      <w:r w:rsidR="00182C4F" w:rsidRPr="00E16C03">
        <w:rPr>
          <w:rFonts w:ascii="Arial" w:hAnsi="Arial" w:cs="Arial"/>
          <w:sz w:val="18"/>
          <w:szCs w:val="18"/>
          <w:lang w:val="en-CA"/>
        </w:rPr>
        <w:t>.</w:t>
      </w:r>
    </w:p>
  </w:endnote>
  <w:endnote w:id="503">
    <w:p w14:paraId="3BFD2876" w14:textId="11B4D869" w:rsidR="005018A3" w:rsidRPr="00BD22C2" w:rsidRDefault="005018A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C9265F" w:rsidRPr="00BD22C2">
        <w:rPr>
          <w:rFonts w:ascii="Arial" w:hAnsi="Arial" w:cs="Arial"/>
          <w:sz w:val="18"/>
          <w:szCs w:val="18"/>
          <w:lang w:val="fr-CA"/>
        </w:rPr>
        <w:tab/>
      </w:r>
      <w:r w:rsidR="00C9265F" w:rsidRPr="00BD22C2">
        <w:rPr>
          <w:rFonts w:ascii="Arial" w:hAnsi="Arial" w:cs="Arial"/>
          <w:smallCaps/>
          <w:sz w:val="18"/>
          <w:szCs w:val="18"/>
          <w:lang w:val="fr-CA"/>
        </w:rPr>
        <w:t>Ministère de l’Éducation</w:t>
      </w:r>
      <w:r w:rsidR="00C9265F" w:rsidRPr="00BD22C2">
        <w:rPr>
          <w:rFonts w:ascii="Arial" w:hAnsi="Arial" w:cs="Arial"/>
          <w:sz w:val="18"/>
          <w:szCs w:val="18"/>
          <w:lang w:val="fr-CA"/>
        </w:rPr>
        <w:t xml:space="preserve">, </w:t>
      </w:r>
      <w:r w:rsidR="004E4DDB" w:rsidRPr="00BD22C2">
        <w:rPr>
          <w:rFonts w:ascii="Arial" w:hAnsi="Arial" w:cs="Arial"/>
          <w:iCs/>
          <w:sz w:val="18"/>
          <w:szCs w:val="18"/>
          <w:lang w:val="fr-CA"/>
        </w:rPr>
        <w:t>préc., note</w:t>
      </w:r>
      <w:r w:rsidR="003D2E26">
        <w:rPr>
          <w:rFonts w:ascii="Arial" w:hAnsi="Arial" w:cs="Arial"/>
          <w:iCs/>
          <w:sz w:val="18"/>
          <w:szCs w:val="18"/>
          <w:lang w:val="fr-CA"/>
        </w:rPr>
        <w:t> </w:t>
      </w:r>
      <w:r w:rsidR="004E4DDB" w:rsidRPr="00BD22C2">
        <w:rPr>
          <w:rFonts w:ascii="Arial" w:hAnsi="Arial" w:cs="Arial"/>
          <w:iCs/>
          <w:sz w:val="18"/>
          <w:szCs w:val="18"/>
          <w:lang w:val="fr-CA"/>
        </w:rPr>
        <w:fldChar w:fldCharType="begin"/>
      </w:r>
      <w:r w:rsidR="004E4DDB" w:rsidRPr="00BD22C2">
        <w:rPr>
          <w:rFonts w:ascii="Arial" w:hAnsi="Arial" w:cs="Arial"/>
          <w:iCs/>
          <w:sz w:val="18"/>
          <w:szCs w:val="18"/>
          <w:lang w:val="fr-CA"/>
        </w:rPr>
        <w:instrText xml:space="preserve"> NOTEREF _Ref166757371 \h </w:instrText>
      </w:r>
      <w:r w:rsidR="004E4DDB" w:rsidRPr="00BD22C2">
        <w:rPr>
          <w:rFonts w:ascii="Arial" w:hAnsi="Arial" w:cs="Arial"/>
          <w:iCs/>
          <w:sz w:val="18"/>
          <w:szCs w:val="18"/>
          <w:lang w:val="fr-CA"/>
        </w:rPr>
      </w:r>
      <w:r w:rsidR="004E4DDB" w:rsidRPr="00BD22C2">
        <w:rPr>
          <w:rFonts w:ascii="Arial" w:hAnsi="Arial" w:cs="Arial"/>
          <w:iCs/>
          <w:sz w:val="18"/>
          <w:szCs w:val="18"/>
          <w:lang w:val="fr-CA"/>
        </w:rPr>
        <w:fldChar w:fldCharType="separate"/>
      </w:r>
      <w:r w:rsidR="004B4881">
        <w:rPr>
          <w:rFonts w:ascii="Arial" w:hAnsi="Arial" w:cs="Arial"/>
          <w:iCs/>
          <w:sz w:val="18"/>
          <w:szCs w:val="18"/>
          <w:lang w:val="fr-CA"/>
        </w:rPr>
        <w:t>404</w:t>
      </w:r>
      <w:r w:rsidR="004E4DDB" w:rsidRPr="00BD22C2">
        <w:rPr>
          <w:rFonts w:ascii="Arial" w:hAnsi="Arial" w:cs="Arial"/>
          <w:iCs/>
          <w:sz w:val="18"/>
          <w:szCs w:val="18"/>
          <w:lang w:val="fr-CA"/>
        </w:rPr>
        <w:fldChar w:fldCharType="end"/>
      </w:r>
      <w:r w:rsidR="00C9265F" w:rsidRPr="00BD22C2">
        <w:rPr>
          <w:rFonts w:ascii="Arial" w:hAnsi="Arial" w:cs="Arial"/>
          <w:sz w:val="18"/>
          <w:szCs w:val="18"/>
          <w:lang w:val="fr-CA"/>
        </w:rPr>
        <w:t>, p. </w:t>
      </w:r>
      <w:r w:rsidR="00A30740" w:rsidRPr="00BD22C2">
        <w:rPr>
          <w:rFonts w:ascii="Arial" w:hAnsi="Arial" w:cs="Arial"/>
          <w:sz w:val="18"/>
          <w:szCs w:val="18"/>
          <w:lang w:val="fr-CA"/>
        </w:rPr>
        <w:t>10.</w:t>
      </w:r>
    </w:p>
  </w:endnote>
  <w:endnote w:id="504">
    <w:p w14:paraId="6A029E80" w14:textId="59C081D5" w:rsidR="003F4E91" w:rsidRPr="00BD22C2" w:rsidRDefault="001945D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34194C" w:rsidRPr="00BD22C2">
        <w:rPr>
          <w:rFonts w:ascii="Arial" w:hAnsi="Arial" w:cs="Arial"/>
          <w:sz w:val="18"/>
          <w:szCs w:val="18"/>
          <w:lang w:val="fr-CA"/>
        </w:rPr>
        <w:tab/>
      </w:r>
      <w:r w:rsidR="004E4DDB" w:rsidRPr="00BD22C2">
        <w:rPr>
          <w:rFonts w:ascii="Arial" w:hAnsi="Arial" w:cs="Arial"/>
          <w:i/>
          <w:sz w:val="18"/>
          <w:szCs w:val="18"/>
          <w:lang w:val="fr-CA"/>
        </w:rPr>
        <w:t>Id</w:t>
      </w:r>
      <w:r w:rsidR="0034194C" w:rsidRPr="00BD22C2">
        <w:rPr>
          <w:rFonts w:ascii="Arial" w:hAnsi="Arial" w:cs="Arial"/>
          <w:sz w:val="18"/>
          <w:szCs w:val="18"/>
          <w:lang w:val="fr-CA"/>
        </w:rPr>
        <w:t>.</w:t>
      </w:r>
    </w:p>
  </w:endnote>
  <w:endnote w:id="505">
    <w:p w14:paraId="4262A797" w14:textId="7076EFB0" w:rsidR="008D0467" w:rsidRPr="00BD22C2" w:rsidRDefault="008D046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E4DDB" w:rsidRPr="00BD22C2">
        <w:rPr>
          <w:rFonts w:ascii="Arial" w:hAnsi="Arial" w:cs="Arial"/>
          <w:i/>
          <w:sz w:val="18"/>
          <w:szCs w:val="18"/>
          <w:lang w:val="fr-CA"/>
        </w:rPr>
        <w:t>Id</w:t>
      </w:r>
      <w:r w:rsidRPr="00BD22C2">
        <w:rPr>
          <w:rFonts w:ascii="Arial" w:hAnsi="Arial" w:cs="Arial"/>
          <w:sz w:val="18"/>
          <w:szCs w:val="18"/>
          <w:lang w:val="fr-CA"/>
        </w:rPr>
        <w:t>.</w:t>
      </w:r>
    </w:p>
  </w:endnote>
  <w:endnote w:id="506">
    <w:p w14:paraId="27F01AC5" w14:textId="1EB453FD" w:rsidR="00D97B72" w:rsidRPr="00BD22C2" w:rsidRDefault="00D97B72"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4E4DDB" w:rsidRPr="00BD22C2">
        <w:rPr>
          <w:rFonts w:ascii="Arial" w:hAnsi="Arial" w:cs="Arial"/>
          <w:i/>
          <w:sz w:val="18"/>
          <w:szCs w:val="18"/>
          <w:lang w:val="fr-CA"/>
        </w:rPr>
        <w:t>Id</w:t>
      </w:r>
      <w:r w:rsidRPr="00BD22C2">
        <w:rPr>
          <w:rFonts w:ascii="Arial" w:hAnsi="Arial" w:cs="Arial"/>
          <w:sz w:val="18"/>
          <w:szCs w:val="18"/>
          <w:lang w:val="fr-CA"/>
        </w:rPr>
        <w:t>.</w:t>
      </w:r>
    </w:p>
  </w:endnote>
  <w:endnote w:id="507">
    <w:p w14:paraId="170E9B4C" w14:textId="29E7C788" w:rsidR="00431BE8" w:rsidRPr="001D2C2F" w:rsidRDefault="00431BE8" w:rsidP="00B127EF">
      <w:pPr>
        <w:pStyle w:val="Notedefin"/>
        <w:spacing w:after="24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8A1DF7" w:rsidRPr="001D2C2F">
        <w:rPr>
          <w:rFonts w:ascii="Arial" w:hAnsi="Arial" w:cs="Arial"/>
          <w:sz w:val="18"/>
          <w:szCs w:val="18"/>
          <w:lang w:val="fr-CA"/>
        </w:rPr>
        <w:t xml:space="preserve">Notons d’ailleurs que la Cour d’appel du Québec, dans </w:t>
      </w:r>
      <w:r w:rsidR="008A1DF7" w:rsidRPr="001D2C2F">
        <w:rPr>
          <w:rFonts w:ascii="Arial" w:hAnsi="Arial" w:cs="Arial"/>
          <w:i/>
          <w:sz w:val="18"/>
          <w:szCs w:val="18"/>
          <w:lang w:val="fr-CA"/>
        </w:rPr>
        <w:t>Procureur général du Québec</w:t>
      </w:r>
      <w:r w:rsidR="008A1DF7" w:rsidRPr="001D2C2F">
        <w:rPr>
          <w:rFonts w:ascii="Arial" w:hAnsi="Arial" w:cs="Arial"/>
          <w:sz w:val="18"/>
          <w:szCs w:val="18"/>
          <w:lang w:val="fr-CA"/>
        </w:rPr>
        <w:t xml:space="preserve"> c. </w:t>
      </w:r>
      <w:r w:rsidR="008A1DF7" w:rsidRPr="001D2C2F">
        <w:rPr>
          <w:rFonts w:ascii="Arial" w:hAnsi="Arial" w:cs="Arial"/>
          <w:i/>
          <w:sz w:val="18"/>
          <w:szCs w:val="18"/>
          <w:lang w:val="fr-CA"/>
        </w:rPr>
        <w:t>Centre de lutte contre l</w:t>
      </w:r>
      <w:r w:rsidR="00E7143D">
        <w:rPr>
          <w:rFonts w:ascii="Arial" w:hAnsi="Arial" w:cs="Arial"/>
          <w:i/>
          <w:sz w:val="18"/>
          <w:szCs w:val="18"/>
          <w:lang w:val="fr-CA"/>
        </w:rPr>
        <w:t>’</w:t>
      </w:r>
      <w:r w:rsidR="008A1DF7" w:rsidRPr="001D2C2F">
        <w:rPr>
          <w:rFonts w:ascii="Arial" w:hAnsi="Arial" w:cs="Arial"/>
          <w:i/>
          <w:sz w:val="18"/>
          <w:szCs w:val="18"/>
          <w:lang w:val="fr-CA"/>
        </w:rPr>
        <w:t>oppression des genres</w:t>
      </w:r>
      <w:r w:rsidR="008A1DF7" w:rsidRPr="001D2C2F">
        <w:rPr>
          <w:rFonts w:ascii="Arial" w:hAnsi="Arial" w:cs="Arial"/>
          <w:sz w:val="18"/>
          <w:szCs w:val="18"/>
          <w:lang w:val="fr-CA"/>
        </w:rPr>
        <w:t xml:space="preserve">, </w:t>
      </w:r>
      <w:r w:rsidR="00D50244" w:rsidRPr="001D2C2F">
        <w:rPr>
          <w:rFonts w:ascii="Arial" w:hAnsi="Arial" w:cs="Arial"/>
          <w:sz w:val="18"/>
          <w:szCs w:val="18"/>
          <w:lang w:val="fr-CA"/>
        </w:rPr>
        <w:t>préc., note</w:t>
      </w:r>
      <w:r w:rsidR="003D2E26">
        <w:rPr>
          <w:rFonts w:ascii="Arial" w:hAnsi="Arial" w:cs="Arial"/>
          <w:sz w:val="18"/>
          <w:szCs w:val="18"/>
          <w:lang w:val="fr-CA"/>
        </w:rPr>
        <w:t> </w:t>
      </w:r>
      <w:r w:rsidR="00D50244" w:rsidRPr="001D2C2F">
        <w:rPr>
          <w:rFonts w:ascii="Arial" w:hAnsi="Arial" w:cs="Arial"/>
          <w:sz w:val="18"/>
          <w:szCs w:val="18"/>
          <w:lang w:val="fr-CA"/>
        </w:rPr>
        <w:fldChar w:fldCharType="begin"/>
      </w:r>
      <w:r w:rsidR="00D50244" w:rsidRPr="001D2C2F">
        <w:rPr>
          <w:rFonts w:ascii="Arial" w:hAnsi="Arial" w:cs="Arial"/>
          <w:sz w:val="18"/>
          <w:szCs w:val="18"/>
          <w:lang w:val="fr-CA"/>
        </w:rPr>
        <w:instrText xml:space="preserve"> NOTEREF _Ref166756580 \h </w:instrText>
      </w:r>
      <w:r w:rsidR="00D50244" w:rsidRPr="001D2C2F">
        <w:rPr>
          <w:rFonts w:ascii="Arial" w:hAnsi="Arial" w:cs="Arial"/>
          <w:sz w:val="18"/>
          <w:szCs w:val="18"/>
          <w:lang w:val="fr-CA"/>
        </w:rPr>
      </w:r>
      <w:r w:rsidR="00D50244" w:rsidRPr="001D2C2F">
        <w:rPr>
          <w:rFonts w:ascii="Arial" w:hAnsi="Arial" w:cs="Arial"/>
          <w:sz w:val="18"/>
          <w:szCs w:val="18"/>
          <w:lang w:val="fr-CA"/>
        </w:rPr>
        <w:fldChar w:fldCharType="separate"/>
      </w:r>
      <w:r w:rsidR="004B4881">
        <w:rPr>
          <w:rFonts w:ascii="Arial" w:hAnsi="Arial" w:cs="Arial"/>
          <w:sz w:val="18"/>
          <w:szCs w:val="18"/>
          <w:lang w:val="fr-CA"/>
        </w:rPr>
        <w:t>32</w:t>
      </w:r>
      <w:r w:rsidR="00D50244" w:rsidRPr="001D2C2F">
        <w:rPr>
          <w:rFonts w:ascii="Arial" w:hAnsi="Arial" w:cs="Arial"/>
          <w:sz w:val="18"/>
          <w:szCs w:val="18"/>
          <w:lang w:val="fr-CA"/>
        </w:rPr>
        <w:fldChar w:fldCharType="end"/>
      </w:r>
      <w:r w:rsidR="008A1DF7" w:rsidRPr="001D2C2F">
        <w:rPr>
          <w:rFonts w:ascii="Arial" w:hAnsi="Arial" w:cs="Arial"/>
          <w:sz w:val="18"/>
          <w:szCs w:val="18"/>
          <w:lang w:val="fr-CA"/>
        </w:rPr>
        <w:t>, a récemment confirmé la décision de la Cour supérieure sur la question de l’article 62</w:t>
      </w:r>
      <w:r w:rsidR="00B32B61">
        <w:rPr>
          <w:rFonts w:ascii="Arial" w:hAnsi="Arial" w:cs="Arial"/>
          <w:sz w:val="18"/>
          <w:szCs w:val="18"/>
          <w:lang w:val="fr-CA"/>
        </w:rPr>
        <w:t> </w:t>
      </w:r>
      <w:r w:rsidR="008A1DF7" w:rsidRPr="001D2C2F">
        <w:rPr>
          <w:rFonts w:ascii="Arial" w:hAnsi="Arial" w:cs="Arial"/>
          <w:sz w:val="18"/>
          <w:szCs w:val="18"/>
          <w:lang w:val="fr-CA"/>
        </w:rPr>
        <w:t>C.c.Q. (</w:t>
      </w:r>
      <w:r w:rsidR="008A1DF7" w:rsidRPr="001D2C2F">
        <w:rPr>
          <w:rFonts w:ascii="Arial" w:hAnsi="Arial" w:cs="Arial"/>
          <w:i/>
          <w:sz w:val="18"/>
          <w:szCs w:val="18"/>
          <w:lang w:val="fr-CA"/>
        </w:rPr>
        <w:t xml:space="preserve">Centre for Gender Advocacy </w:t>
      </w:r>
      <w:r w:rsidR="008A1DF7" w:rsidRPr="001D2C2F">
        <w:rPr>
          <w:rFonts w:ascii="Arial" w:hAnsi="Arial" w:cs="Arial"/>
          <w:sz w:val="18"/>
          <w:szCs w:val="18"/>
          <w:lang w:val="fr-CA"/>
        </w:rPr>
        <w:t xml:space="preserve">c. </w:t>
      </w:r>
      <w:r w:rsidR="008A1DF7" w:rsidRPr="001D2C2F">
        <w:rPr>
          <w:rFonts w:ascii="Arial" w:hAnsi="Arial" w:cs="Arial"/>
          <w:i/>
          <w:sz w:val="18"/>
          <w:szCs w:val="18"/>
          <w:lang w:val="fr-CA"/>
        </w:rPr>
        <w:t>Attorney General of Quebec</w:t>
      </w:r>
      <w:r w:rsidR="008A1DF7" w:rsidRPr="001D2C2F">
        <w:rPr>
          <w:rFonts w:ascii="Arial" w:hAnsi="Arial" w:cs="Arial"/>
          <w:sz w:val="18"/>
          <w:szCs w:val="18"/>
          <w:lang w:val="fr-CA"/>
        </w:rPr>
        <w:t xml:space="preserve">, </w:t>
      </w:r>
      <w:r w:rsidR="00585D74" w:rsidRPr="001D2C2F">
        <w:rPr>
          <w:rFonts w:ascii="Arial" w:hAnsi="Arial" w:cs="Arial"/>
          <w:sz w:val="18"/>
          <w:szCs w:val="18"/>
          <w:lang w:val="fr-CA"/>
        </w:rPr>
        <w:t xml:space="preserve">préc., note </w:t>
      </w:r>
      <w:r w:rsidR="00585D74" w:rsidRPr="001D2C2F">
        <w:rPr>
          <w:rFonts w:ascii="Arial" w:hAnsi="Arial" w:cs="Arial"/>
          <w:sz w:val="18"/>
          <w:szCs w:val="18"/>
          <w:lang w:val="fr-CA"/>
        </w:rPr>
        <w:fldChar w:fldCharType="begin"/>
      </w:r>
      <w:r w:rsidR="00585D74" w:rsidRPr="001D2C2F">
        <w:rPr>
          <w:rFonts w:ascii="Arial" w:hAnsi="Arial" w:cs="Arial"/>
          <w:sz w:val="18"/>
          <w:szCs w:val="18"/>
          <w:lang w:val="fr-CA"/>
        </w:rPr>
        <w:instrText xml:space="preserve"> NOTEREF _Ref166756816 \h </w:instrText>
      </w:r>
      <w:r w:rsidR="00585D74" w:rsidRPr="001D2C2F">
        <w:rPr>
          <w:rFonts w:ascii="Arial" w:hAnsi="Arial" w:cs="Arial"/>
          <w:sz w:val="18"/>
          <w:szCs w:val="18"/>
          <w:lang w:val="fr-CA"/>
        </w:rPr>
      </w:r>
      <w:r w:rsidR="00585D74" w:rsidRPr="001D2C2F">
        <w:rPr>
          <w:rFonts w:ascii="Arial" w:hAnsi="Arial" w:cs="Arial"/>
          <w:sz w:val="18"/>
          <w:szCs w:val="18"/>
          <w:lang w:val="fr-CA"/>
        </w:rPr>
        <w:fldChar w:fldCharType="separate"/>
      </w:r>
      <w:r w:rsidR="004B4881">
        <w:rPr>
          <w:rFonts w:ascii="Arial" w:hAnsi="Arial" w:cs="Arial"/>
          <w:sz w:val="18"/>
          <w:szCs w:val="18"/>
          <w:lang w:val="fr-CA"/>
        </w:rPr>
        <w:t>113</w:t>
      </w:r>
      <w:r w:rsidR="00585D74" w:rsidRPr="001D2C2F">
        <w:rPr>
          <w:rFonts w:ascii="Arial" w:hAnsi="Arial" w:cs="Arial"/>
          <w:sz w:val="18"/>
          <w:szCs w:val="18"/>
          <w:lang w:val="fr-CA"/>
        </w:rPr>
        <w:fldChar w:fldCharType="end"/>
      </w:r>
      <w:r w:rsidR="008A1DF7" w:rsidRPr="001D2C2F">
        <w:rPr>
          <w:rFonts w:ascii="Arial" w:hAnsi="Arial" w:cs="Arial"/>
          <w:sz w:val="18"/>
          <w:szCs w:val="18"/>
          <w:lang w:val="fr-CA"/>
        </w:rPr>
        <w:t>) et déclaré qu’il devait «</w:t>
      </w:r>
      <w:r w:rsidR="00595E85">
        <w:rPr>
          <w:rFonts w:ascii="Arial" w:hAnsi="Arial" w:cs="Arial"/>
          <w:sz w:val="18"/>
          <w:szCs w:val="18"/>
          <w:lang w:val="fr-CA"/>
        </w:rPr>
        <w:t> </w:t>
      </w:r>
      <w:r w:rsidR="008A1DF7" w:rsidRPr="001D2C2F">
        <w:rPr>
          <w:rFonts w:ascii="Arial" w:hAnsi="Arial" w:cs="Arial"/>
          <w:sz w:val="18"/>
          <w:szCs w:val="18"/>
          <w:lang w:val="fr-CA"/>
        </w:rPr>
        <w:t>être lu et interprété de sorte que la demande de changement de prénom formulée par un mineur de 14</w:t>
      </w:r>
      <w:r w:rsidR="00B32B61">
        <w:rPr>
          <w:rFonts w:ascii="Arial" w:hAnsi="Arial" w:cs="Arial"/>
          <w:sz w:val="18"/>
          <w:szCs w:val="18"/>
          <w:lang w:val="fr-CA"/>
        </w:rPr>
        <w:t> </w:t>
      </w:r>
      <w:r w:rsidR="008A1DF7" w:rsidRPr="001D2C2F">
        <w:rPr>
          <w:rFonts w:ascii="Arial" w:hAnsi="Arial" w:cs="Arial"/>
          <w:sz w:val="18"/>
          <w:szCs w:val="18"/>
          <w:lang w:val="fr-CA"/>
        </w:rPr>
        <w:t>ans et plus et motivée par une question d’identité de genre constitue un motif impérieux au sens de cet article</w:t>
      </w:r>
      <w:r w:rsidR="00595E85">
        <w:rPr>
          <w:rFonts w:ascii="Arial" w:hAnsi="Arial" w:cs="Arial"/>
          <w:sz w:val="18"/>
          <w:szCs w:val="18"/>
          <w:lang w:val="fr-CA"/>
        </w:rPr>
        <w:t> </w:t>
      </w:r>
      <w:r w:rsidR="008A1DF7" w:rsidRPr="001D2C2F">
        <w:rPr>
          <w:rFonts w:ascii="Arial" w:hAnsi="Arial" w:cs="Arial"/>
          <w:sz w:val="18"/>
          <w:szCs w:val="18"/>
          <w:lang w:val="fr-CA"/>
        </w:rPr>
        <w:t>», permettant ainsi à la personne mineure de 14 ans et plus de demander seul</w:t>
      </w:r>
      <w:r w:rsidR="00B127EF" w:rsidRPr="001D2C2F">
        <w:rPr>
          <w:rFonts w:ascii="Arial" w:hAnsi="Arial" w:cs="Arial"/>
          <w:sz w:val="18"/>
          <w:szCs w:val="18"/>
          <w:lang w:val="fr-CA"/>
        </w:rPr>
        <w:t>e</w:t>
      </w:r>
      <w:r w:rsidR="008A1DF7" w:rsidRPr="001D2C2F">
        <w:rPr>
          <w:rFonts w:ascii="Arial" w:hAnsi="Arial" w:cs="Arial"/>
          <w:sz w:val="18"/>
          <w:szCs w:val="18"/>
          <w:lang w:val="fr-CA"/>
        </w:rPr>
        <w:t xml:space="preserve"> </w:t>
      </w:r>
      <w:r w:rsidR="00B127EF" w:rsidRPr="001D2C2F">
        <w:rPr>
          <w:rFonts w:ascii="Arial" w:hAnsi="Arial" w:cs="Arial"/>
          <w:sz w:val="18"/>
          <w:szCs w:val="18"/>
          <w:lang w:val="fr-CA"/>
        </w:rPr>
        <w:t>le</w:t>
      </w:r>
      <w:r w:rsidR="008A1DF7" w:rsidRPr="001D2C2F">
        <w:rPr>
          <w:rFonts w:ascii="Arial" w:hAnsi="Arial" w:cs="Arial"/>
          <w:sz w:val="18"/>
          <w:szCs w:val="18"/>
          <w:lang w:val="fr-CA"/>
        </w:rPr>
        <w:t xml:space="preserve"> changement de son prénom à l’État civil</w:t>
      </w:r>
      <w:r w:rsidR="003B0645" w:rsidRPr="001D2C2F">
        <w:rPr>
          <w:rFonts w:ascii="Arial" w:hAnsi="Arial" w:cs="Arial"/>
          <w:sz w:val="18"/>
          <w:szCs w:val="18"/>
          <w:lang w:val="fr-CA"/>
        </w:rPr>
        <w:t xml:space="preserve"> </w:t>
      </w:r>
      <w:r w:rsidR="00C57BF1" w:rsidRPr="001D2C2F">
        <w:rPr>
          <w:rFonts w:ascii="Arial" w:hAnsi="Arial" w:cs="Arial"/>
          <w:sz w:val="18"/>
          <w:szCs w:val="18"/>
          <w:lang w:val="fr-CA"/>
        </w:rPr>
        <w:t xml:space="preserve">pour </w:t>
      </w:r>
      <w:r w:rsidR="0028721A" w:rsidRPr="001D2C2F">
        <w:rPr>
          <w:rFonts w:ascii="Arial" w:hAnsi="Arial" w:cs="Arial"/>
          <w:sz w:val="18"/>
          <w:szCs w:val="18"/>
          <w:lang w:val="fr-CA"/>
        </w:rPr>
        <w:t>des raisons liées</w:t>
      </w:r>
      <w:r w:rsidR="00C57BF1" w:rsidRPr="001D2C2F">
        <w:rPr>
          <w:rFonts w:ascii="Arial" w:hAnsi="Arial" w:cs="Arial"/>
          <w:sz w:val="18"/>
          <w:szCs w:val="18"/>
          <w:lang w:val="fr-CA"/>
        </w:rPr>
        <w:t xml:space="preserve"> à son identité de genre</w:t>
      </w:r>
      <w:r w:rsidR="008A1DF7" w:rsidRPr="001D2C2F">
        <w:rPr>
          <w:rFonts w:ascii="Arial" w:hAnsi="Arial" w:cs="Arial"/>
          <w:sz w:val="18"/>
          <w:szCs w:val="18"/>
          <w:lang w:val="fr-CA"/>
        </w:rPr>
        <w:t>.</w:t>
      </w:r>
      <w:r w:rsidR="00C57BF1" w:rsidRPr="001D2C2F">
        <w:rPr>
          <w:rFonts w:ascii="Arial" w:hAnsi="Arial" w:cs="Arial"/>
          <w:sz w:val="18"/>
          <w:szCs w:val="18"/>
          <w:lang w:val="fr-CA"/>
        </w:rPr>
        <w:t xml:space="preserve"> </w:t>
      </w:r>
      <w:r w:rsidR="00B30FF0" w:rsidRPr="001D2C2F">
        <w:rPr>
          <w:rFonts w:ascii="Arial" w:hAnsi="Arial" w:cs="Arial"/>
          <w:sz w:val="18"/>
          <w:szCs w:val="18"/>
          <w:lang w:val="fr-CA"/>
        </w:rPr>
        <w:t>Le raisonnement de la Cour ne peut</w:t>
      </w:r>
      <w:r w:rsidR="00B51DFE" w:rsidRPr="001D2C2F">
        <w:rPr>
          <w:rFonts w:ascii="Arial" w:hAnsi="Arial" w:cs="Arial"/>
          <w:sz w:val="18"/>
          <w:szCs w:val="18"/>
          <w:lang w:val="fr-CA"/>
        </w:rPr>
        <w:t xml:space="preserve"> toutefois</w:t>
      </w:r>
      <w:r w:rsidR="00B30FF0" w:rsidRPr="001D2C2F">
        <w:rPr>
          <w:rFonts w:ascii="Arial" w:hAnsi="Arial" w:cs="Arial"/>
          <w:sz w:val="18"/>
          <w:szCs w:val="18"/>
          <w:lang w:val="fr-CA"/>
        </w:rPr>
        <w:t xml:space="preserve"> être transposé directement à la question de l’utilisation des pronoms et des pr</w:t>
      </w:r>
      <w:r w:rsidR="00F560B4" w:rsidRPr="001D2C2F">
        <w:rPr>
          <w:rFonts w:ascii="Arial" w:hAnsi="Arial" w:cs="Arial"/>
          <w:sz w:val="18"/>
          <w:szCs w:val="18"/>
          <w:lang w:val="fr-CA"/>
        </w:rPr>
        <w:t>é</w:t>
      </w:r>
      <w:r w:rsidR="00B30FF0" w:rsidRPr="001D2C2F">
        <w:rPr>
          <w:rFonts w:ascii="Arial" w:hAnsi="Arial" w:cs="Arial"/>
          <w:sz w:val="18"/>
          <w:szCs w:val="18"/>
          <w:lang w:val="fr-CA"/>
        </w:rPr>
        <w:t>noms</w:t>
      </w:r>
      <w:r w:rsidR="00F560B4" w:rsidRPr="001D2C2F">
        <w:rPr>
          <w:rFonts w:ascii="Arial" w:hAnsi="Arial" w:cs="Arial"/>
          <w:sz w:val="18"/>
          <w:szCs w:val="18"/>
          <w:lang w:val="fr-CA"/>
        </w:rPr>
        <w:t xml:space="preserve"> choisis</w:t>
      </w:r>
      <w:r w:rsidR="00B30FF0" w:rsidRPr="001D2C2F">
        <w:rPr>
          <w:rFonts w:ascii="Arial" w:hAnsi="Arial" w:cs="Arial"/>
          <w:sz w:val="18"/>
          <w:szCs w:val="18"/>
          <w:lang w:val="fr-CA"/>
        </w:rPr>
        <w:t xml:space="preserve"> </w:t>
      </w:r>
      <w:r w:rsidR="00A4108F" w:rsidRPr="001D2C2F">
        <w:rPr>
          <w:rFonts w:ascii="Arial" w:hAnsi="Arial" w:cs="Arial"/>
          <w:sz w:val="18"/>
          <w:szCs w:val="18"/>
          <w:lang w:val="fr-CA"/>
        </w:rPr>
        <w:t>par l’enfant</w:t>
      </w:r>
      <w:r w:rsidR="00B30FF0" w:rsidRPr="001D2C2F">
        <w:rPr>
          <w:rFonts w:ascii="Arial" w:hAnsi="Arial" w:cs="Arial"/>
          <w:sz w:val="18"/>
          <w:szCs w:val="18"/>
          <w:lang w:val="fr-CA"/>
        </w:rPr>
        <w:t xml:space="preserve"> à l’école, </w:t>
      </w:r>
      <w:r w:rsidR="00B0446C" w:rsidRPr="001D2C2F">
        <w:rPr>
          <w:rFonts w:ascii="Arial" w:hAnsi="Arial" w:cs="Arial"/>
          <w:sz w:val="18"/>
          <w:szCs w:val="18"/>
          <w:lang w:val="fr-CA"/>
        </w:rPr>
        <w:t xml:space="preserve">car </w:t>
      </w:r>
      <w:r w:rsidR="00414F54" w:rsidRPr="001D2C2F">
        <w:rPr>
          <w:rFonts w:ascii="Arial" w:hAnsi="Arial" w:cs="Arial"/>
          <w:sz w:val="18"/>
          <w:szCs w:val="18"/>
          <w:lang w:val="fr-CA"/>
        </w:rPr>
        <w:t>cet u</w:t>
      </w:r>
      <w:r w:rsidR="0002507A" w:rsidRPr="001D2C2F">
        <w:rPr>
          <w:rFonts w:ascii="Arial" w:hAnsi="Arial" w:cs="Arial"/>
          <w:sz w:val="18"/>
          <w:szCs w:val="18"/>
          <w:lang w:val="fr-CA"/>
        </w:rPr>
        <w:t xml:space="preserve">sage </w:t>
      </w:r>
      <w:r w:rsidR="00835C47" w:rsidRPr="001D2C2F">
        <w:rPr>
          <w:rFonts w:ascii="Arial" w:hAnsi="Arial" w:cs="Arial"/>
          <w:sz w:val="18"/>
          <w:szCs w:val="18"/>
          <w:lang w:val="fr-CA"/>
        </w:rPr>
        <w:t>n’</w:t>
      </w:r>
      <w:r w:rsidR="008C51C5" w:rsidRPr="001D2C2F">
        <w:rPr>
          <w:rFonts w:ascii="Arial" w:hAnsi="Arial" w:cs="Arial"/>
          <w:sz w:val="18"/>
          <w:szCs w:val="18"/>
          <w:lang w:val="fr-CA"/>
        </w:rPr>
        <w:t xml:space="preserve">entraine </w:t>
      </w:r>
      <w:r w:rsidR="00835C47" w:rsidRPr="001D2C2F">
        <w:rPr>
          <w:rFonts w:ascii="Arial" w:hAnsi="Arial" w:cs="Arial"/>
          <w:sz w:val="18"/>
          <w:szCs w:val="18"/>
          <w:lang w:val="fr-CA"/>
        </w:rPr>
        <w:t>pas l</w:t>
      </w:r>
      <w:r w:rsidR="008C51C5" w:rsidRPr="001D2C2F">
        <w:rPr>
          <w:rFonts w:ascii="Arial" w:hAnsi="Arial" w:cs="Arial"/>
          <w:sz w:val="18"/>
          <w:szCs w:val="18"/>
          <w:lang w:val="fr-CA"/>
        </w:rPr>
        <w:t>e</w:t>
      </w:r>
      <w:r w:rsidR="00835C47" w:rsidRPr="001D2C2F">
        <w:rPr>
          <w:rFonts w:ascii="Arial" w:hAnsi="Arial" w:cs="Arial"/>
          <w:sz w:val="18"/>
          <w:szCs w:val="18"/>
          <w:lang w:val="fr-CA"/>
        </w:rPr>
        <w:t>s</w:t>
      </w:r>
      <w:r w:rsidR="008C51C5" w:rsidRPr="001D2C2F">
        <w:rPr>
          <w:rFonts w:ascii="Arial" w:hAnsi="Arial" w:cs="Arial"/>
          <w:sz w:val="18"/>
          <w:szCs w:val="18"/>
          <w:lang w:val="fr-CA"/>
        </w:rPr>
        <w:t xml:space="preserve"> </w:t>
      </w:r>
      <w:r w:rsidR="00835C47" w:rsidRPr="001D2C2F">
        <w:rPr>
          <w:rFonts w:ascii="Arial" w:hAnsi="Arial" w:cs="Arial"/>
          <w:sz w:val="18"/>
          <w:szCs w:val="18"/>
          <w:lang w:val="fr-CA"/>
        </w:rPr>
        <w:t>mêmes</w:t>
      </w:r>
      <w:r w:rsidR="008C51C5" w:rsidRPr="001D2C2F">
        <w:rPr>
          <w:rFonts w:ascii="Arial" w:hAnsi="Arial" w:cs="Arial"/>
          <w:sz w:val="18"/>
          <w:szCs w:val="18"/>
          <w:lang w:val="fr-CA"/>
        </w:rPr>
        <w:t xml:space="preserve"> conséquences </w:t>
      </w:r>
      <w:r w:rsidR="00835C47" w:rsidRPr="001D2C2F">
        <w:rPr>
          <w:rFonts w:ascii="Arial" w:hAnsi="Arial" w:cs="Arial"/>
          <w:sz w:val="18"/>
          <w:szCs w:val="18"/>
          <w:lang w:val="fr-CA"/>
        </w:rPr>
        <w:t xml:space="preserve">pour l’enfant : </w:t>
      </w:r>
      <w:r w:rsidR="00B0446C" w:rsidRPr="001D2C2F">
        <w:rPr>
          <w:rFonts w:ascii="Arial" w:hAnsi="Arial" w:cs="Arial"/>
          <w:sz w:val="18"/>
          <w:szCs w:val="18"/>
          <w:lang w:val="fr-CA"/>
        </w:rPr>
        <w:t xml:space="preserve">les changements </w:t>
      </w:r>
      <w:r w:rsidR="00414F54" w:rsidRPr="001D2C2F">
        <w:rPr>
          <w:rFonts w:ascii="Arial" w:hAnsi="Arial" w:cs="Arial"/>
          <w:sz w:val="18"/>
          <w:szCs w:val="18"/>
          <w:lang w:val="fr-CA"/>
        </w:rPr>
        <w:t xml:space="preserve">opérés à l’État civil </w:t>
      </w:r>
      <w:r w:rsidR="00132D1B" w:rsidRPr="001D2C2F">
        <w:rPr>
          <w:rFonts w:ascii="Arial" w:hAnsi="Arial" w:cs="Arial"/>
          <w:sz w:val="18"/>
          <w:szCs w:val="18"/>
          <w:lang w:val="fr-CA"/>
        </w:rPr>
        <w:t>sont par définition</w:t>
      </w:r>
      <w:r w:rsidR="00835C47" w:rsidRPr="001D2C2F">
        <w:rPr>
          <w:rFonts w:ascii="Arial" w:hAnsi="Arial" w:cs="Arial"/>
          <w:sz w:val="18"/>
          <w:szCs w:val="18"/>
          <w:lang w:val="fr-CA"/>
        </w:rPr>
        <w:t xml:space="preserve"> plus </w:t>
      </w:r>
      <w:r w:rsidR="0073242C" w:rsidRPr="001D2C2F">
        <w:rPr>
          <w:rFonts w:ascii="Arial" w:hAnsi="Arial" w:cs="Arial"/>
          <w:sz w:val="18"/>
          <w:szCs w:val="18"/>
          <w:lang w:val="fr-CA"/>
        </w:rPr>
        <w:t>permanents</w:t>
      </w:r>
      <w:r w:rsidR="00762BA9" w:rsidRPr="001D2C2F">
        <w:rPr>
          <w:rFonts w:ascii="Arial" w:hAnsi="Arial" w:cs="Arial"/>
          <w:sz w:val="18"/>
          <w:szCs w:val="18"/>
          <w:lang w:val="fr-CA"/>
        </w:rPr>
        <w:t>.</w:t>
      </w:r>
      <w:r w:rsidR="00E24173" w:rsidRPr="001D2C2F">
        <w:rPr>
          <w:rFonts w:ascii="Arial" w:hAnsi="Arial" w:cs="Arial"/>
          <w:sz w:val="18"/>
          <w:szCs w:val="18"/>
          <w:lang w:val="fr-CA"/>
        </w:rPr>
        <w:t xml:space="preserve"> Ainsi, </w:t>
      </w:r>
      <w:r w:rsidR="0073242C" w:rsidRPr="001D2C2F">
        <w:rPr>
          <w:rFonts w:ascii="Arial" w:hAnsi="Arial" w:cs="Arial"/>
          <w:sz w:val="18"/>
          <w:szCs w:val="18"/>
          <w:lang w:val="fr-CA"/>
        </w:rPr>
        <w:t xml:space="preserve">même </w:t>
      </w:r>
      <w:r w:rsidR="00E24173" w:rsidRPr="001D2C2F">
        <w:rPr>
          <w:rFonts w:ascii="Arial" w:hAnsi="Arial" w:cs="Arial"/>
          <w:sz w:val="18"/>
          <w:szCs w:val="18"/>
          <w:lang w:val="fr-CA"/>
        </w:rPr>
        <w:t>avant l’âge de 14</w:t>
      </w:r>
      <w:r w:rsidR="00B32B61">
        <w:rPr>
          <w:rFonts w:ascii="Arial" w:hAnsi="Arial" w:cs="Arial"/>
          <w:sz w:val="18"/>
          <w:szCs w:val="18"/>
          <w:lang w:val="fr-CA"/>
        </w:rPr>
        <w:t> </w:t>
      </w:r>
      <w:r w:rsidR="00E24173" w:rsidRPr="001D2C2F">
        <w:rPr>
          <w:rFonts w:ascii="Arial" w:hAnsi="Arial" w:cs="Arial"/>
          <w:sz w:val="18"/>
          <w:szCs w:val="18"/>
          <w:lang w:val="fr-CA"/>
        </w:rPr>
        <w:t>ans, un enfant</w:t>
      </w:r>
      <w:r w:rsidR="00234C5B" w:rsidRPr="001D2C2F">
        <w:rPr>
          <w:rFonts w:ascii="Arial" w:hAnsi="Arial" w:cs="Arial"/>
          <w:sz w:val="18"/>
          <w:szCs w:val="18"/>
          <w:lang w:val="fr-CA"/>
        </w:rPr>
        <w:t xml:space="preserve"> </w:t>
      </w:r>
      <w:r w:rsidR="0073242C" w:rsidRPr="001D2C2F">
        <w:rPr>
          <w:rFonts w:ascii="Arial" w:hAnsi="Arial" w:cs="Arial"/>
          <w:sz w:val="18"/>
          <w:szCs w:val="18"/>
          <w:lang w:val="fr-CA"/>
        </w:rPr>
        <w:t>p</w:t>
      </w:r>
      <w:r w:rsidR="00E85EBA" w:rsidRPr="001D2C2F">
        <w:rPr>
          <w:rFonts w:ascii="Arial" w:hAnsi="Arial" w:cs="Arial"/>
          <w:sz w:val="18"/>
          <w:szCs w:val="18"/>
          <w:lang w:val="fr-CA"/>
        </w:rPr>
        <w:t xml:space="preserve">ourrait </w:t>
      </w:r>
      <w:r w:rsidR="00762BA9" w:rsidRPr="001D2C2F">
        <w:rPr>
          <w:rFonts w:ascii="Arial" w:hAnsi="Arial" w:cs="Arial"/>
          <w:sz w:val="18"/>
          <w:szCs w:val="18"/>
          <w:lang w:val="fr-CA"/>
        </w:rPr>
        <w:t xml:space="preserve">souhaiter </w:t>
      </w:r>
      <w:r w:rsidR="00E535FB" w:rsidRPr="001D2C2F">
        <w:rPr>
          <w:rFonts w:ascii="Arial" w:hAnsi="Arial" w:cs="Arial"/>
          <w:sz w:val="18"/>
          <w:szCs w:val="18"/>
          <w:lang w:val="fr-CA"/>
        </w:rPr>
        <w:t xml:space="preserve">que, dans le respect de ses droits, </w:t>
      </w:r>
      <w:r w:rsidR="00762BA9" w:rsidRPr="001D2C2F">
        <w:rPr>
          <w:rFonts w:ascii="Arial" w:hAnsi="Arial" w:cs="Arial"/>
          <w:sz w:val="18"/>
          <w:szCs w:val="18"/>
          <w:lang w:val="fr-CA"/>
        </w:rPr>
        <w:t xml:space="preserve">on reconnaisse </w:t>
      </w:r>
      <w:r w:rsidR="006C2CCD" w:rsidRPr="001D2C2F">
        <w:rPr>
          <w:rFonts w:ascii="Arial" w:hAnsi="Arial" w:cs="Arial"/>
          <w:sz w:val="18"/>
          <w:szCs w:val="18"/>
          <w:lang w:val="fr-CA"/>
        </w:rPr>
        <w:t xml:space="preserve">en contexte scolaire </w:t>
      </w:r>
      <w:r w:rsidR="00762BA9" w:rsidRPr="001D2C2F">
        <w:rPr>
          <w:rFonts w:ascii="Arial" w:hAnsi="Arial" w:cs="Arial"/>
          <w:sz w:val="18"/>
          <w:szCs w:val="18"/>
          <w:lang w:val="fr-CA"/>
        </w:rPr>
        <w:t>ses pronom</w:t>
      </w:r>
      <w:r w:rsidR="00DF0E3E">
        <w:rPr>
          <w:rFonts w:ascii="Arial" w:hAnsi="Arial" w:cs="Arial"/>
          <w:sz w:val="18"/>
          <w:szCs w:val="18"/>
          <w:lang w:val="fr-CA"/>
        </w:rPr>
        <w:t>s</w:t>
      </w:r>
      <w:r w:rsidR="00762BA9" w:rsidRPr="001D2C2F">
        <w:rPr>
          <w:rFonts w:ascii="Arial" w:hAnsi="Arial" w:cs="Arial"/>
          <w:sz w:val="18"/>
          <w:szCs w:val="18"/>
          <w:lang w:val="fr-CA"/>
        </w:rPr>
        <w:t xml:space="preserve"> et prénom choisis, </w:t>
      </w:r>
      <w:r w:rsidR="006C2CCD" w:rsidRPr="001D2C2F">
        <w:rPr>
          <w:rFonts w:ascii="Arial" w:hAnsi="Arial" w:cs="Arial"/>
          <w:sz w:val="18"/>
          <w:szCs w:val="18"/>
          <w:lang w:val="fr-CA"/>
        </w:rPr>
        <w:t xml:space="preserve">et ce, </w:t>
      </w:r>
      <w:r w:rsidR="00FF0EEA" w:rsidRPr="001D2C2F">
        <w:rPr>
          <w:rFonts w:ascii="Arial" w:hAnsi="Arial" w:cs="Arial"/>
          <w:sz w:val="18"/>
          <w:szCs w:val="18"/>
          <w:lang w:val="fr-CA"/>
        </w:rPr>
        <w:t xml:space="preserve">sans l’autorisation de ses parents. </w:t>
      </w:r>
    </w:p>
  </w:endnote>
  <w:endnote w:id="508">
    <w:p w14:paraId="067BE5B9" w14:textId="622A380F"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Comité des droits de l’enfant</w:t>
      </w:r>
      <w:r w:rsidRPr="00BD22C2">
        <w:rPr>
          <w:rFonts w:ascii="Arial" w:hAnsi="Arial" w:cs="Arial"/>
          <w:sz w:val="18"/>
          <w:szCs w:val="18"/>
          <w:lang w:val="fr-CA"/>
        </w:rPr>
        <w:t xml:space="preserve">, </w:t>
      </w:r>
      <w:r w:rsidR="00131570" w:rsidRPr="00BD22C2">
        <w:rPr>
          <w:rFonts w:ascii="Arial" w:hAnsi="Arial" w:cs="Arial"/>
          <w:sz w:val="18"/>
          <w:szCs w:val="18"/>
          <w:lang w:val="fr-CA"/>
        </w:rPr>
        <w:t>préc., note</w:t>
      </w:r>
      <w:r w:rsidR="003D2E26">
        <w:rPr>
          <w:rFonts w:ascii="Arial" w:hAnsi="Arial" w:cs="Arial"/>
          <w:sz w:val="18"/>
          <w:szCs w:val="18"/>
          <w:lang w:val="fr-CA"/>
        </w:rPr>
        <w:t> </w:t>
      </w:r>
      <w:r w:rsidR="00131570" w:rsidRPr="00BD22C2">
        <w:rPr>
          <w:rFonts w:ascii="Arial" w:hAnsi="Arial" w:cs="Arial"/>
          <w:sz w:val="18"/>
          <w:szCs w:val="18"/>
          <w:lang w:val="fr-CA"/>
        </w:rPr>
        <w:fldChar w:fldCharType="begin"/>
      </w:r>
      <w:r w:rsidR="00131570" w:rsidRPr="00BD22C2">
        <w:rPr>
          <w:rFonts w:ascii="Arial" w:hAnsi="Arial" w:cs="Arial"/>
          <w:sz w:val="18"/>
          <w:szCs w:val="18"/>
          <w:lang w:val="fr-CA"/>
        </w:rPr>
        <w:instrText xml:space="preserve"> NOTEREF _Ref166756452 \h </w:instrText>
      </w:r>
      <w:r w:rsidR="00131570" w:rsidRPr="00BD22C2">
        <w:rPr>
          <w:rFonts w:ascii="Arial" w:hAnsi="Arial" w:cs="Arial"/>
          <w:sz w:val="18"/>
          <w:szCs w:val="18"/>
          <w:lang w:val="fr-CA"/>
        </w:rPr>
      </w:r>
      <w:r w:rsidR="00131570" w:rsidRPr="00BD22C2">
        <w:rPr>
          <w:rFonts w:ascii="Arial" w:hAnsi="Arial" w:cs="Arial"/>
          <w:sz w:val="18"/>
          <w:szCs w:val="18"/>
          <w:lang w:val="fr-CA"/>
        </w:rPr>
        <w:fldChar w:fldCharType="separate"/>
      </w:r>
      <w:r w:rsidR="004B4881">
        <w:rPr>
          <w:rFonts w:ascii="Arial" w:hAnsi="Arial" w:cs="Arial"/>
          <w:sz w:val="18"/>
          <w:szCs w:val="18"/>
          <w:lang w:val="fr-CA"/>
        </w:rPr>
        <w:t>477</w:t>
      </w:r>
      <w:r w:rsidR="00131570" w:rsidRPr="00BD22C2">
        <w:rPr>
          <w:rFonts w:ascii="Arial" w:hAnsi="Arial" w:cs="Arial"/>
          <w:sz w:val="18"/>
          <w:szCs w:val="18"/>
          <w:lang w:val="fr-CA"/>
        </w:rPr>
        <w:fldChar w:fldCharType="end"/>
      </w:r>
      <w:r w:rsidRPr="00BD22C2">
        <w:rPr>
          <w:rFonts w:ascii="Arial" w:hAnsi="Arial" w:cs="Arial"/>
          <w:sz w:val="18"/>
          <w:szCs w:val="18"/>
          <w:lang w:val="fr-CA"/>
        </w:rPr>
        <w:t>, par. 11</w:t>
      </w:r>
      <w:r w:rsidR="006D0C8A" w:rsidRPr="00BD22C2">
        <w:rPr>
          <w:rFonts w:ascii="Arial" w:hAnsi="Arial" w:cs="Arial"/>
          <w:sz w:val="18"/>
          <w:szCs w:val="18"/>
          <w:lang w:val="fr-CA"/>
        </w:rPr>
        <w:t>.</w:t>
      </w:r>
    </w:p>
  </w:endnote>
  <w:endnote w:id="509">
    <w:p w14:paraId="4E5AC141" w14:textId="3509E712" w:rsidR="007D49BC" w:rsidRPr="00BD22C2" w:rsidRDefault="007D49BC" w:rsidP="00707395">
      <w:pPr>
        <w:pStyle w:val="Notedefin"/>
        <w:spacing w:after="120" w:line="240" w:lineRule="auto"/>
        <w:ind w:left="709" w:hanging="709"/>
        <w:rPr>
          <w:lang w:val="fr-CA"/>
        </w:rPr>
      </w:pPr>
      <w:r w:rsidRPr="00BD22C2">
        <w:rPr>
          <w:rStyle w:val="Appeldenotedefin"/>
          <w:lang w:val="fr-CA"/>
        </w:rPr>
        <w:endnoteRef/>
      </w:r>
      <w:r w:rsidRPr="00BD22C2">
        <w:rPr>
          <w:lang w:val="fr-CA"/>
        </w:rPr>
        <w:t xml:space="preserve"> </w:t>
      </w:r>
      <w:r w:rsidRPr="00BD22C2">
        <w:rPr>
          <w:lang w:val="fr-CA"/>
        </w:rPr>
        <w:tab/>
      </w:r>
      <w:r w:rsidRPr="00BD22C2">
        <w:rPr>
          <w:rFonts w:ascii="Arial" w:hAnsi="Arial" w:cs="Arial"/>
          <w:smallCaps/>
          <w:sz w:val="18"/>
          <w:szCs w:val="18"/>
          <w:lang w:val="fr-CA"/>
        </w:rPr>
        <w:t xml:space="preserve">Comité des droits de l’enfant, </w:t>
      </w:r>
      <w:r w:rsidR="0088255B" w:rsidRPr="00BD22C2">
        <w:rPr>
          <w:rFonts w:ascii="Arial" w:hAnsi="Arial" w:cs="Arial"/>
          <w:iCs/>
          <w:sz w:val="18"/>
          <w:szCs w:val="18"/>
          <w:lang w:val="fr-CA"/>
        </w:rPr>
        <w:t>préc., note</w:t>
      </w:r>
      <w:r w:rsidR="003D2E26">
        <w:rPr>
          <w:rFonts w:ascii="Arial" w:hAnsi="Arial" w:cs="Arial"/>
          <w:iCs/>
          <w:sz w:val="18"/>
          <w:szCs w:val="18"/>
          <w:lang w:val="fr-CA"/>
        </w:rPr>
        <w:t> </w:t>
      </w:r>
      <w:r w:rsidR="0088255B" w:rsidRPr="00BD22C2">
        <w:rPr>
          <w:rFonts w:ascii="Arial" w:hAnsi="Arial" w:cs="Arial"/>
          <w:iCs/>
          <w:sz w:val="18"/>
          <w:szCs w:val="18"/>
          <w:lang w:val="fr-CA"/>
        </w:rPr>
        <w:fldChar w:fldCharType="begin"/>
      </w:r>
      <w:r w:rsidR="0088255B" w:rsidRPr="00BD22C2">
        <w:rPr>
          <w:rFonts w:ascii="Arial" w:hAnsi="Arial" w:cs="Arial"/>
          <w:iCs/>
          <w:sz w:val="18"/>
          <w:szCs w:val="18"/>
          <w:lang w:val="fr-CA"/>
        </w:rPr>
        <w:instrText xml:space="preserve"> NOTEREF _Ref166756904 \h </w:instrText>
      </w:r>
      <w:r w:rsidR="0088255B" w:rsidRPr="00BD22C2">
        <w:rPr>
          <w:rFonts w:ascii="Arial" w:hAnsi="Arial" w:cs="Arial"/>
          <w:iCs/>
          <w:sz w:val="18"/>
          <w:szCs w:val="18"/>
          <w:lang w:val="fr-CA"/>
        </w:rPr>
      </w:r>
      <w:r w:rsidR="0088255B" w:rsidRPr="00BD22C2">
        <w:rPr>
          <w:rFonts w:ascii="Arial" w:hAnsi="Arial" w:cs="Arial"/>
          <w:iCs/>
          <w:sz w:val="18"/>
          <w:szCs w:val="18"/>
          <w:lang w:val="fr-CA"/>
        </w:rPr>
        <w:fldChar w:fldCharType="separate"/>
      </w:r>
      <w:r w:rsidR="004B4881">
        <w:rPr>
          <w:rFonts w:ascii="Arial" w:hAnsi="Arial" w:cs="Arial"/>
          <w:iCs/>
          <w:sz w:val="18"/>
          <w:szCs w:val="18"/>
          <w:lang w:val="fr-CA"/>
        </w:rPr>
        <w:t>479</w:t>
      </w:r>
      <w:r w:rsidR="0088255B" w:rsidRPr="00BD22C2">
        <w:rPr>
          <w:rFonts w:ascii="Arial" w:hAnsi="Arial" w:cs="Arial"/>
          <w:iCs/>
          <w:sz w:val="18"/>
          <w:szCs w:val="18"/>
          <w:lang w:val="fr-CA"/>
        </w:rPr>
        <w:fldChar w:fldCharType="end"/>
      </w:r>
      <w:r w:rsidRPr="00BD22C2">
        <w:rPr>
          <w:rFonts w:ascii="Arial" w:hAnsi="Arial" w:cs="Arial"/>
          <w:sz w:val="18"/>
          <w:szCs w:val="18"/>
          <w:lang w:val="fr-CA"/>
        </w:rPr>
        <w:t>, par. 41</w:t>
      </w:r>
      <w:r w:rsidR="006D0C8A" w:rsidRPr="00BD22C2">
        <w:rPr>
          <w:rFonts w:ascii="Arial" w:hAnsi="Arial" w:cs="Arial"/>
          <w:sz w:val="18"/>
          <w:szCs w:val="18"/>
          <w:lang w:val="fr-CA"/>
        </w:rPr>
        <w:t>.</w:t>
      </w:r>
    </w:p>
  </w:endnote>
  <w:endnote w:id="510">
    <w:p w14:paraId="5A28A2DA" w14:textId="06D3012B"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AC6977" w:rsidRPr="00BD22C2">
        <w:rPr>
          <w:rFonts w:ascii="Arial" w:hAnsi="Arial" w:cs="Arial"/>
          <w:i/>
          <w:iCs/>
          <w:sz w:val="18"/>
          <w:szCs w:val="18"/>
          <w:lang w:val="fr-CA"/>
        </w:rPr>
        <w:t>Id</w:t>
      </w:r>
      <w:r w:rsidR="00AC6977" w:rsidRPr="00BD22C2">
        <w:rPr>
          <w:rFonts w:ascii="Arial" w:hAnsi="Arial" w:cs="Arial"/>
          <w:smallCaps/>
          <w:sz w:val="18"/>
          <w:szCs w:val="18"/>
          <w:lang w:val="fr-CA"/>
        </w:rPr>
        <w:t>.</w:t>
      </w:r>
    </w:p>
  </w:endnote>
  <w:endnote w:id="511">
    <w:p w14:paraId="4B61DC07" w14:textId="7480D916" w:rsidR="00AA0544" w:rsidRPr="00BD22C2" w:rsidRDefault="00AA0544" w:rsidP="00802871">
      <w:pPr>
        <w:pStyle w:val="Notedefin"/>
        <w:spacing w:after="120" w:line="240" w:lineRule="auto"/>
        <w:ind w:left="709" w:hanging="709"/>
        <w:rPr>
          <w:lang w:val="fr-CA"/>
        </w:rPr>
      </w:pPr>
      <w:r w:rsidRPr="00F11979">
        <w:rPr>
          <w:rStyle w:val="Appeldenotedefin"/>
          <w:lang w:val="fr-CA"/>
        </w:rPr>
        <w:endnoteRef/>
      </w:r>
      <w:r w:rsidRPr="00BD22C2">
        <w:rPr>
          <w:lang w:val="fr-CA"/>
        </w:rPr>
        <w:t xml:space="preserve"> </w:t>
      </w:r>
      <w:r w:rsidR="006725AC" w:rsidRPr="00BD22C2">
        <w:rPr>
          <w:lang w:val="fr-CA"/>
        </w:rPr>
        <w:tab/>
      </w:r>
      <w:r w:rsidR="006725AC" w:rsidRPr="00BD22C2">
        <w:rPr>
          <w:rFonts w:ascii="Arial" w:hAnsi="Arial" w:cs="Arial"/>
          <w:smallCaps/>
          <w:sz w:val="18"/>
          <w:szCs w:val="18"/>
          <w:lang w:val="fr-CA"/>
        </w:rPr>
        <w:t>Ministère de l’Éducation</w:t>
      </w:r>
      <w:r w:rsidR="006725AC" w:rsidRPr="00BD22C2">
        <w:rPr>
          <w:rFonts w:ascii="Arial" w:hAnsi="Arial" w:cs="Arial"/>
          <w:sz w:val="18"/>
          <w:szCs w:val="18"/>
          <w:lang w:val="fr-CA"/>
        </w:rPr>
        <w:t xml:space="preserve">, </w:t>
      </w:r>
      <w:r w:rsidR="006725AC" w:rsidRPr="00BD22C2">
        <w:rPr>
          <w:rFonts w:ascii="Arial" w:hAnsi="Arial" w:cs="Arial"/>
          <w:i/>
          <w:iCs/>
          <w:sz w:val="18"/>
          <w:szCs w:val="18"/>
          <w:lang w:val="fr-CA"/>
        </w:rPr>
        <w:t>Programme Culture et citoyenneté québécoise, Programme de formation de l’école québécoise, Enseignement primaire</w:t>
      </w:r>
      <w:r w:rsidR="006725AC" w:rsidRPr="00BD22C2">
        <w:rPr>
          <w:rFonts w:ascii="Arial" w:hAnsi="Arial" w:cs="Arial"/>
          <w:sz w:val="18"/>
          <w:szCs w:val="18"/>
          <w:lang w:val="fr-CA"/>
        </w:rPr>
        <w:t>, 2023, p.</w:t>
      </w:r>
      <w:r w:rsidR="003D2E26">
        <w:rPr>
          <w:rFonts w:ascii="Arial" w:hAnsi="Arial" w:cs="Arial"/>
          <w:sz w:val="18"/>
          <w:szCs w:val="18"/>
          <w:lang w:val="fr-CA"/>
        </w:rPr>
        <w:t> </w:t>
      </w:r>
      <w:r w:rsidR="00336B68" w:rsidRPr="00BD22C2">
        <w:rPr>
          <w:rFonts w:ascii="Arial" w:hAnsi="Arial" w:cs="Arial"/>
          <w:sz w:val="18"/>
          <w:szCs w:val="18"/>
          <w:lang w:val="fr-CA"/>
        </w:rPr>
        <w:t>37</w:t>
      </w:r>
      <w:r w:rsidR="006D705D">
        <w:rPr>
          <w:rFonts w:ascii="Arial" w:hAnsi="Arial" w:cs="Arial"/>
          <w:sz w:val="18"/>
          <w:szCs w:val="18"/>
          <w:lang w:val="fr-CA"/>
        </w:rPr>
        <w:t xml:space="preserve"> à </w:t>
      </w:r>
      <w:r w:rsidR="00336B68" w:rsidRPr="00BD22C2">
        <w:rPr>
          <w:rFonts w:ascii="Arial" w:hAnsi="Arial" w:cs="Arial"/>
          <w:sz w:val="18"/>
          <w:szCs w:val="18"/>
          <w:lang w:val="fr-CA"/>
        </w:rPr>
        <w:t>45.</w:t>
      </w:r>
    </w:p>
  </w:endnote>
  <w:endnote w:id="512">
    <w:p w14:paraId="5F4804E1" w14:textId="1C29B44E" w:rsidR="00540840" w:rsidRPr="00BD22C2" w:rsidRDefault="00540840" w:rsidP="00802871">
      <w:pPr>
        <w:pStyle w:val="Notedefin"/>
        <w:spacing w:after="120" w:line="240" w:lineRule="auto"/>
        <w:ind w:left="709" w:hanging="709"/>
        <w:rPr>
          <w:lang w:val="fr-CA"/>
        </w:rPr>
      </w:pPr>
      <w:r w:rsidRPr="00F11979">
        <w:rPr>
          <w:rStyle w:val="Appeldenotedefin"/>
          <w:lang w:val="fr-CA"/>
        </w:rPr>
        <w:endnoteRef/>
      </w:r>
      <w:r w:rsidRPr="00BD22C2">
        <w:rPr>
          <w:lang w:val="fr-CA"/>
        </w:rPr>
        <w:t xml:space="preserve"> </w:t>
      </w:r>
      <w:r w:rsidR="00177E1B" w:rsidRPr="00BD22C2">
        <w:rPr>
          <w:lang w:val="fr-CA"/>
        </w:rPr>
        <w:tab/>
      </w:r>
      <w:r w:rsidR="00177E1B" w:rsidRPr="00BD22C2">
        <w:rPr>
          <w:rFonts w:ascii="Arial" w:hAnsi="Arial" w:cs="Arial"/>
          <w:smallCaps/>
          <w:sz w:val="18"/>
          <w:szCs w:val="18"/>
          <w:lang w:val="fr-CA"/>
        </w:rPr>
        <w:t xml:space="preserve">Ministère de l’Éducation, </w:t>
      </w:r>
      <w:r w:rsidR="00196460" w:rsidRPr="00BD22C2">
        <w:rPr>
          <w:rFonts w:ascii="Arial" w:hAnsi="Arial" w:cs="Arial"/>
          <w:i/>
          <w:iCs/>
          <w:sz w:val="18"/>
          <w:szCs w:val="18"/>
          <w:lang w:val="fr-CA"/>
        </w:rPr>
        <w:t xml:space="preserve">Progression des apprentissages – Programme </w:t>
      </w:r>
      <w:r w:rsidR="00D9704A" w:rsidRPr="00BD22C2">
        <w:rPr>
          <w:rFonts w:ascii="Arial" w:hAnsi="Arial" w:cs="Arial"/>
          <w:i/>
          <w:iCs/>
          <w:sz w:val="18"/>
          <w:szCs w:val="18"/>
          <w:lang w:val="fr-CA"/>
        </w:rPr>
        <w:t xml:space="preserve">Culture et citoyenneté québécoise, </w:t>
      </w:r>
      <w:r w:rsidR="00802871" w:rsidRPr="00BD22C2">
        <w:rPr>
          <w:rFonts w:ascii="Arial" w:hAnsi="Arial" w:cs="Arial"/>
          <w:i/>
          <w:iCs/>
          <w:sz w:val="18"/>
          <w:szCs w:val="18"/>
          <w:lang w:val="fr-CA"/>
        </w:rPr>
        <w:t>E</w:t>
      </w:r>
      <w:r w:rsidR="00D9704A" w:rsidRPr="00BD22C2">
        <w:rPr>
          <w:rFonts w:ascii="Arial" w:hAnsi="Arial" w:cs="Arial"/>
          <w:i/>
          <w:iCs/>
          <w:sz w:val="18"/>
          <w:szCs w:val="18"/>
          <w:lang w:val="fr-CA"/>
        </w:rPr>
        <w:t xml:space="preserve">nseignement primaire, </w:t>
      </w:r>
      <w:r w:rsidR="00802871" w:rsidRPr="00BD22C2">
        <w:rPr>
          <w:rFonts w:ascii="Arial" w:hAnsi="Arial" w:cs="Arial"/>
          <w:sz w:val="18"/>
          <w:szCs w:val="18"/>
          <w:lang w:val="fr-CA"/>
        </w:rPr>
        <w:t>2023.</w:t>
      </w:r>
    </w:p>
  </w:endnote>
  <w:endnote w:id="513">
    <w:p w14:paraId="2A9E268A" w14:textId="4742291C" w:rsidR="00DB0A8A" w:rsidRPr="00BD22C2" w:rsidRDefault="00DB0A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i/>
          <w:sz w:val="18"/>
          <w:szCs w:val="18"/>
          <w:lang w:val="fr-CA"/>
        </w:rPr>
        <w:t xml:space="preserve">Chamberlain </w:t>
      </w:r>
      <w:r w:rsidRPr="00BD22C2">
        <w:rPr>
          <w:rFonts w:ascii="Arial" w:hAnsi="Arial" w:cs="Arial"/>
          <w:sz w:val="18"/>
          <w:szCs w:val="18"/>
          <w:lang w:val="fr-CA"/>
        </w:rPr>
        <w:t xml:space="preserve">c. </w:t>
      </w:r>
      <w:r w:rsidRPr="00BD22C2">
        <w:rPr>
          <w:rFonts w:ascii="Arial" w:hAnsi="Arial" w:cs="Arial"/>
          <w:i/>
          <w:sz w:val="18"/>
          <w:szCs w:val="18"/>
          <w:lang w:val="fr-CA"/>
        </w:rPr>
        <w:t>Surrey School District No.</w:t>
      </w:r>
      <w:r w:rsidR="003D2E26">
        <w:rPr>
          <w:rFonts w:ascii="Arial" w:hAnsi="Arial" w:cs="Arial"/>
          <w:i/>
          <w:sz w:val="18"/>
          <w:szCs w:val="18"/>
          <w:lang w:val="fr-CA"/>
        </w:rPr>
        <w:t> </w:t>
      </w:r>
      <w:r w:rsidRPr="00BD22C2">
        <w:rPr>
          <w:rFonts w:ascii="Arial" w:hAnsi="Arial" w:cs="Arial"/>
          <w:i/>
          <w:sz w:val="18"/>
          <w:szCs w:val="18"/>
          <w:lang w:val="fr-CA"/>
        </w:rPr>
        <w:t>36</w:t>
      </w:r>
      <w:r w:rsidRPr="00BD22C2">
        <w:rPr>
          <w:rFonts w:ascii="Arial" w:hAnsi="Arial" w:cs="Arial"/>
          <w:sz w:val="18"/>
          <w:szCs w:val="18"/>
          <w:lang w:val="fr-CA"/>
        </w:rPr>
        <w:t>, [2002] 4</w:t>
      </w:r>
      <w:r w:rsidR="00B32B61">
        <w:rPr>
          <w:rFonts w:ascii="Arial" w:hAnsi="Arial" w:cs="Arial"/>
          <w:sz w:val="18"/>
          <w:szCs w:val="18"/>
          <w:lang w:val="fr-CA"/>
        </w:rPr>
        <w:t> </w:t>
      </w:r>
      <w:r w:rsidRPr="00BD22C2">
        <w:rPr>
          <w:rFonts w:ascii="Arial" w:hAnsi="Arial" w:cs="Arial"/>
          <w:sz w:val="18"/>
          <w:szCs w:val="18"/>
          <w:lang w:val="fr-CA"/>
        </w:rPr>
        <w:t>R.C.S.</w:t>
      </w:r>
      <w:r w:rsidR="003D2E26">
        <w:rPr>
          <w:rFonts w:ascii="Arial" w:hAnsi="Arial" w:cs="Arial"/>
          <w:sz w:val="18"/>
          <w:szCs w:val="18"/>
          <w:lang w:val="fr-CA"/>
        </w:rPr>
        <w:t> </w:t>
      </w:r>
      <w:r w:rsidRPr="00BD22C2">
        <w:rPr>
          <w:rFonts w:ascii="Arial" w:hAnsi="Arial" w:cs="Arial"/>
          <w:sz w:val="18"/>
          <w:szCs w:val="18"/>
          <w:lang w:val="fr-CA"/>
        </w:rPr>
        <w:t>710, par. 65</w:t>
      </w:r>
      <w:r w:rsidR="0051216B" w:rsidRPr="00BD22C2">
        <w:rPr>
          <w:rFonts w:ascii="Arial" w:hAnsi="Arial" w:cs="Arial"/>
          <w:sz w:val="18"/>
          <w:szCs w:val="18"/>
          <w:lang w:val="fr-CA"/>
        </w:rPr>
        <w:t>–</w:t>
      </w:r>
      <w:r w:rsidRPr="00BD22C2">
        <w:rPr>
          <w:rFonts w:ascii="Arial" w:hAnsi="Arial" w:cs="Arial"/>
          <w:sz w:val="18"/>
          <w:szCs w:val="18"/>
          <w:lang w:val="fr-CA"/>
        </w:rPr>
        <w:t xml:space="preserve">66; </w:t>
      </w:r>
      <w:r w:rsidRPr="00BD22C2">
        <w:rPr>
          <w:rFonts w:ascii="Arial" w:hAnsi="Arial" w:cs="Arial"/>
          <w:i/>
          <w:sz w:val="18"/>
          <w:szCs w:val="18"/>
          <w:lang w:val="fr-CA"/>
        </w:rPr>
        <w:t>S.L</w:t>
      </w:r>
      <w:r w:rsidRPr="00BD22C2">
        <w:rPr>
          <w:rFonts w:ascii="Arial" w:hAnsi="Arial" w:cs="Arial"/>
          <w:sz w:val="18"/>
          <w:szCs w:val="18"/>
          <w:lang w:val="fr-CA"/>
        </w:rPr>
        <w:t xml:space="preserve">. c. </w:t>
      </w:r>
      <w:r w:rsidRPr="00BD22C2">
        <w:rPr>
          <w:rFonts w:ascii="Arial" w:hAnsi="Arial" w:cs="Arial"/>
          <w:i/>
          <w:sz w:val="18"/>
          <w:szCs w:val="18"/>
          <w:lang w:val="fr-CA"/>
        </w:rPr>
        <w:t>Commission scolaire des Chênes</w:t>
      </w:r>
      <w:r w:rsidRPr="00BD22C2">
        <w:rPr>
          <w:rFonts w:ascii="Arial" w:hAnsi="Arial" w:cs="Arial"/>
          <w:sz w:val="18"/>
          <w:szCs w:val="18"/>
          <w:lang w:val="fr-CA"/>
        </w:rPr>
        <w:t>, [2012] 1</w:t>
      </w:r>
      <w:r w:rsidR="00B32B61">
        <w:rPr>
          <w:rFonts w:ascii="Arial" w:hAnsi="Arial" w:cs="Arial"/>
          <w:sz w:val="18"/>
          <w:szCs w:val="18"/>
          <w:lang w:val="fr-CA"/>
        </w:rPr>
        <w:t> </w:t>
      </w:r>
      <w:r w:rsidRPr="00BD22C2">
        <w:rPr>
          <w:rFonts w:ascii="Arial" w:hAnsi="Arial" w:cs="Arial"/>
          <w:sz w:val="18"/>
          <w:szCs w:val="18"/>
          <w:lang w:val="fr-CA"/>
        </w:rPr>
        <w:t>R.C.S.</w:t>
      </w:r>
      <w:r w:rsidR="003D2E26">
        <w:rPr>
          <w:rFonts w:ascii="Arial" w:hAnsi="Arial" w:cs="Arial"/>
          <w:sz w:val="18"/>
          <w:szCs w:val="18"/>
          <w:lang w:val="fr-CA"/>
        </w:rPr>
        <w:t> </w:t>
      </w:r>
      <w:r w:rsidRPr="00BD22C2">
        <w:rPr>
          <w:rFonts w:ascii="Arial" w:hAnsi="Arial" w:cs="Arial"/>
          <w:sz w:val="18"/>
          <w:szCs w:val="18"/>
          <w:lang w:val="fr-CA"/>
        </w:rPr>
        <w:t>235, par. 39.</w:t>
      </w:r>
    </w:p>
  </w:endnote>
  <w:endnote w:id="514">
    <w:p w14:paraId="10395766" w14:textId="0B9B58C2" w:rsidR="00DB0A8A" w:rsidRPr="00BD22C2" w:rsidRDefault="00DB0A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Pr="00BD22C2">
        <w:rPr>
          <w:rFonts w:ascii="Arial" w:hAnsi="Arial" w:cs="Arial"/>
          <w:i/>
          <w:sz w:val="18"/>
          <w:szCs w:val="18"/>
          <w:lang w:val="fr-CA"/>
        </w:rPr>
        <w:t>Mémoire à la Commission des institutions de l’Assemblée nationale sur le Projet de loi n°</w:t>
      </w:r>
      <w:r w:rsidR="003D2E26">
        <w:rPr>
          <w:rFonts w:ascii="Arial" w:hAnsi="Arial" w:cs="Arial"/>
          <w:i/>
          <w:sz w:val="18"/>
          <w:szCs w:val="18"/>
          <w:lang w:val="fr-CA"/>
        </w:rPr>
        <w:t> </w:t>
      </w:r>
      <w:r w:rsidRPr="00BD22C2">
        <w:rPr>
          <w:rFonts w:ascii="Arial" w:hAnsi="Arial" w:cs="Arial"/>
          <w:i/>
          <w:sz w:val="18"/>
          <w:szCs w:val="18"/>
          <w:lang w:val="fr-CA"/>
        </w:rPr>
        <w:t>60, Charte affirmant les valeurs de laïcité et de neutralité religieuse de l’État ainsi que d’égalité entre les femmes et les hommes et encadrant les demandes d’accommodement</w:t>
      </w:r>
      <w:r w:rsidRPr="00BD22C2">
        <w:rPr>
          <w:rFonts w:ascii="Arial" w:hAnsi="Arial" w:cs="Arial"/>
          <w:sz w:val="18"/>
          <w:szCs w:val="18"/>
          <w:lang w:val="fr-CA"/>
        </w:rPr>
        <w:t xml:space="preserve">, </w:t>
      </w:r>
      <w:r w:rsidR="00AE0946" w:rsidRPr="00BD22C2">
        <w:rPr>
          <w:rFonts w:ascii="Arial" w:hAnsi="Arial" w:cs="Arial"/>
          <w:sz w:val="18"/>
          <w:szCs w:val="18"/>
          <w:lang w:val="fr-CA"/>
        </w:rPr>
        <w:t>(</w:t>
      </w:r>
      <w:r w:rsidRPr="00BD22C2">
        <w:rPr>
          <w:rFonts w:ascii="Arial" w:hAnsi="Arial" w:cs="Arial"/>
          <w:sz w:val="18"/>
          <w:szCs w:val="18"/>
          <w:lang w:val="fr-CA"/>
        </w:rPr>
        <w:t>Cat. 2.113-2.13</w:t>
      </w:r>
      <w:r w:rsidR="00AE0946" w:rsidRPr="00BD22C2">
        <w:rPr>
          <w:rFonts w:ascii="Arial" w:hAnsi="Arial" w:cs="Arial"/>
          <w:sz w:val="18"/>
          <w:szCs w:val="18"/>
          <w:lang w:val="fr-CA"/>
        </w:rPr>
        <w:t>)</w:t>
      </w:r>
      <w:r w:rsidRPr="00BD22C2">
        <w:rPr>
          <w:rFonts w:ascii="Arial" w:hAnsi="Arial" w:cs="Arial"/>
          <w:sz w:val="18"/>
          <w:szCs w:val="18"/>
          <w:lang w:val="fr-CA"/>
        </w:rPr>
        <w:t>, 2013, p.</w:t>
      </w:r>
      <w:r w:rsidR="003D2E26">
        <w:rPr>
          <w:rFonts w:ascii="Arial" w:hAnsi="Arial" w:cs="Arial"/>
          <w:sz w:val="18"/>
          <w:szCs w:val="18"/>
          <w:lang w:val="fr-CA"/>
        </w:rPr>
        <w:t> </w:t>
      </w:r>
      <w:r w:rsidRPr="00BD22C2">
        <w:rPr>
          <w:rFonts w:ascii="Arial" w:hAnsi="Arial" w:cs="Arial"/>
          <w:sz w:val="18"/>
          <w:szCs w:val="18"/>
          <w:lang w:val="fr-CA"/>
        </w:rPr>
        <w:t>92</w:t>
      </w:r>
      <w:r w:rsidR="000025F6">
        <w:rPr>
          <w:rFonts w:ascii="Arial" w:hAnsi="Arial" w:cs="Arial"/>
          <w:sz w:val="18"/>
          <w:szCs w:val="18"/>
          <w:lang w:val="fr-CA"/>
        </w:rPr>
        <w:t xml:space="preserve"> et </w:t>
      </w:r>
      <w:r w:rsidRPr="00BD22C2">
        <w:rPr>
          <w:rFonts w:ascii="Arial" w:hAnsi="Arial" w:cs="Arial"/>
          <w:sz w:val="18"/>
          <w:szCs w:val="18"/>
          <w:lang w:val="fr-CA"/>
        </w:rPr>
        <w:t>93</w:t>
      </w:r>
      <w:r w:rsidR="00B41D67" w:rsidRPr="00BD22C2">
        <w:rPr>
          <w:rFonts w:ascii="Arial" w:hAnsi="Arial" w:cs="Arial"/>
          <w:sz w:val="18"/>
          <w:szCs w:val="18"/>
          <w:lang w:val="fr-CA"/>
        </w:rPr>
        <w:t> </w:t>
      </w:r>
      <w:r w:rsidRPr="00BD22C2">
        <w:rPr>
          <w:rFonts w:ascii="Arial" w:hAnsi="Arial" w:cs="Arial"/>
          <w:sz w:val="18"/>
          <w:szCs w:val="18"/>
          <w:lang w:val="fr-CA"/>
        </w:rPr>
        <w:t xml:space="preserve">; </w:t>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353941" w:rsidRPr="00BD22C2">
        <w:rPr>
          <w:rFonts w:ascii="Arial" w:hAnsi="Arial" w:cs="Arial"/>
          <w:iCs/>
          <w:sz w:val="18"/>
          <w:szCs w:val="18"/>
          <w:lang w:val="fr-CA"/>
        </w:rPr>
        <w:t xml:space="preserve">préc., note </w:t>
      </w:r>
      <w:r w:rsidR="00712AC4" w:rsidRPr="00BD22C2">
        <w:rPr>
          <w:rFonts w:ascii="Arial" w:hAnsi="Arial" w:cs="Arial"/>
          <w:iCs/>
          <w:sz w:val="18"/>
          <w:szCs w:val="18"/>
          <w:lang w:val="fr-CA"/>
        </w:rPr>
        <w:fldChar w:fldCharType="begin"/>
      </w:r>
      <w:r w:rsidR="00712AC4" w:rsidRPr="00BD22C2">
        <w:rPr>
          <w:rFonts w:ascii="Arial" w:hAnsi="Arial" w:cs="Arial"/>
          <w:iCs/>
          <w:sz w:val="18"/>
          <w:szCs w:val="18"/>
          <w:lang w:val="fr-CA"/>
        </w:rPr>
        <w:instrText xml:space="preserve"> NOTEREF _Ref166753186 \h </w:instrText>
      </w:r>
      <w:r w:rsidR="00712AC4" w:rsidRPr="00BD22C2">
        <w:rPr>
          <w:rFonts w:ascii="Arial" w:hAnsi="Arial" w:cs="Arial"/>
          <w:iCs/>
          <w:sz w:val="18"/>
          <w:szCs w:val="18"/>
          <w:lang w:val="fr-CA"/>
        </w:rPr>
      </w:r>
      <w:r w:rsidR="00712AC4" w:rsidRPr="00BD22C2">
        <w:rPr>
          <w:rFonts w:ascii="Arial" w:hAnsi="Arial" w:cs="Arial"/>
          <w:iCs/>
          <w:sz w:val="18"/>
          <w:szCs w:val="18"/>
          <w:lang w:val="fr-CA"/>
        </w:rPr>
        <w:fldChar w:fldCharType="separate"/>
      </w:r>
      <w:r w:rsidR="004B4881">
        <w:rPr>
          <w:rFonts w:ascii="Arial" w:hAnsi="Arial" w:cs="Arial"/>
          <w:iCs/>
          <w:sz w:val="18"/>
          <w:szCs w:val="18"/>
          <w:lang w:val="fr-CA"/>
        </w:rPr>
        <w:t>478</w:t>
      </w:r>
      <w:r w:rsidR="00712AC4" w:rsidRPr="00BD22C2">
        <w:rPr>
          <w:rFonts w:ascii="Arial" w:hAnsi="Arial" w:cs="Arial"/>
          <w:iCs/>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76</w:t>
      </w:r>
      <w:r w:rsidR="000025F6">
        <w:rPr>
          <w:rFonts w:ascii="Arial" w:hAnsi="Arial" w:cs="Arial"/>
          <w:sz w:val="18"/>
          <w:szCs w:val="18"/>
          <w:lang w:val="fr-CA"/>
        </w:rPr>
        <w:t xml:space="preserve"> et </w:t>
      </w:r>
      <w:r w:rsidRPr="00BD22C2">
        <w:rPr>
          <w:rFonts w:ascii="Arial" w:hAnsi="Arial" w:cs="Arial"/>
          <w:sz w:val="18"/>
          <w:szCs w:val="18"/>
          <w:lang w:val="fr-CA"/>
        </w:rPr>
        <w:t>77.</w:t>
      </w:r>
    </w:p>
    <w:p w14:paraId="02DAA0AD" w14:textId="469307EA" w:rsidR="00DB0A8A" w:rsidRPr="00BD22C2" w:rsidRDefault="001E26FD" w:rsidP="00B36D7C">
      <w:pPr>
        <w:pStyle w:val="Notedefin"/>
        <w:tabs>
          <w:tab w:val="left" w:pos="709"/>
        </w:tabs>
        <w:spacing w:after="120" w:line="240" w:lineRule="auto"/>
        <w:ind w:left="709" w:hanging="709"/>
        <w:rPr>
          <w:rFonts w:ascii="Arial" w:hAnsi="Arial" w:cs="Arial"/>
          <w:sz w:val="18"/>
          <w:szCs w:val="18"/>
          <w:lang w:val="fr-CA"/>
        </w:rPr>
      </w:pPr>
      <w:r w:rsidRPr="00BD22C2">
        <w:rPr>
          <w:rFonts w:ascii="Arial" w:hAnsi="Arial" w:cs="Arial"/>
          <w:sz w:val="18"/>
          <w:szCs w:val="18"/>
          <w:lang w:val="fr-CA"/>
        </w:rPr>
        <w:tab/>
      </w:r>
      <w:r w:rsidR="00DB0A8A" w:rsidRPr="00BD22C2">
        <w:rPr>
          <w:rFonts w:ascii="Arial" w:hAnsi="Arial" w:cs="Arial"/>
          <w:sz w:val="18"/>
          <w:szCs w:val="18"/>
          <w:lang w:val="fr-CA"/>
        </w:rPr>
        <w:t xml:space="preserve">Voir aussi : </w:t>
      </w:r>
      <w:r w:rsidR="00DB0A8A" w:rsidRPr="00BD22C2">
        <w:rPr>
          <w:rFonts w:ascii="Arial" w:hAnsi="Arial" w:cs="Arial"/>
          <w:smallCaps/>
          <w:sz w:val="18"/>
          <w:szCs w:val="18"/>
          <w:lang w:val="fr-CA"/>
        </w:rPr>
        <w:t>Commission des droits de la personne et des droits de la jeunesse</w:t>
      </w:r>
      <w:r w:rsidR="00DB0A8A" w:rsidRPr="00BD22C2">
        <w:rPr>
          <w:rFonts w:ascii="Arial" w:hAnsi="Arial" w:cs="Arial"/>
          <w:sz w:val="18"/>
          <w:szCs w:val="18"/>
          <w:lang w:val="fr-CA"/>
        </w:rPr>
        <w:t xml:space="preserve">, </w:t>
      </w:r>
      <w:r w:rsidR="00DB0A8A" w:rsidRPr="00BD22C2">
        <w:rPr>
          <w:rFonts w:ascii="Arial" w:hAnsi="Arial" w:cs="Arial"/>
          <w:i/>
          <w:sz w:val="18"/>
          <w:szCs w:val="18"/>
          <w:lang w:val="fr-CA"/>
        </w:rPr>
        <w:t>Mémoire sur le projet de loi n°</w:t>
      </w:r>
      <w:r w:rsidR="003D2E26">
        <w:rPr>
          <w:rFonts w:ascii="Arial" w:hAnsi="Arial" w:cs="Arial"/>
          <w:i/>
          <w:sz w:val="18"/>
          <w:szCs w:val="18"/>
          <w:lang w:val="fr-CA"/>
        </w:rPr>
        <w:t> </w:t>
      </w:r>
      <w:r w:rsidR="00DB0A8A" w:rsidRPr="00BD22C2">
        <w:rPr>
          <w:rFonts w:ascii="Arial" w:hAnsi="Arial" w:cs="Arial"/>
          <w:i/>
          <w:sz w:val="18"/>
          <w:szCs w:val="18"/>
          <w:lang w:val="fr-CA"/>
        </w:rPr>
        <w:t>62, Loi favorisant le respect de la neutralité religieuse de l’État et visant notamment à encadrer les demandes d’accommodement religieux dans certains organismes</w:t>
      </w:r>
      <w:r w:rsidR="00DB0A8A" w:rsidRPr="00BD22C2">
        <w:rPr>
          <w:rFonts w:ascii="Arial" w:hAnsi="Arial" w:cs="Arial"/>
          <w:sz w:val="18"/>
          <w:szCs w:val="18"/>
          <w:lang w:val="fr-CA"/>
        </w:rPr>
        <w:t xml:space="preserve">, </w:t>
      </w:r>
      <w:r w:rsidR="00E66620" w:rsidRPr="00BD22C2">
        <w:rPr>
          <w:rFonts w:ascii="Arial" w:hAnsi="Arial" w:cs="Arial"/>
          <w:sz w:val="18"/>
          <w:szCs w:val="18"/>
          <w:lang w:val="fr-CA"/>
        </w:rPr>
        <w:t>(</w:t>
      </w:r>
      <w:r w:rsidR="00DB0A8A" w:rsidRPr="00BD22C2">
        <w:rPr>
          <w:rFonts w:ascii="Arial" w:hAnsi="Arial" w:cs="Arial"/>
          <w:sz w:val="18"/>
          <w:szCs w:val="18"/>
          <w:lang w:val="fr-CA"/>
        </w:rPr>
        <w:t>Cat. 2.412.113.1</w:t>
      </w:r>
      <w:r w:rsidR="00E66620" w:rsidRPr="00BD22C2">
        <w:rPr>
          <w:rFonts w:ascii="Arial" w:hAnsi="Arial" w:cs="Arial"/>
          <w:sz w:val="18"/>
          <w:szCs w:val="18"/>
          <w:lang w:val="fr-CA"/>
        </w:rPr>
        <w:t>)</w:t>
      </w:r>
      <w:r w:rsidR="00DB0A8A" w:rsidRPr="00BD22C2">
        <w:rPr>
          <w:rFonts w:ascii="Arial" w:hAnsi="Arial" w:cs="Arial"/>
          <w:sz w:val="18"/>
          <w:szCs w:val="18"/>
          <w:lang w:val="fr-CA"/>
        </w:rPr>
        <w:t>, 2015, p.</w:t>
      </w:r>
      <w:r w:rsidR="003D2E26">
        <w:rPr>
          <w:rFonts w:ascii="Arial" w:hAnsi="Arial" w:cs="Arial"/>
          <w:sz w:val="18"/>
          <w:szCs w:val="18"/>
          <w:lang w:val="fr-CA"/>
        </w:rPr>
        <w:t> </w:t>
      </w:r>
      <w:r w:rsidR="00DB0A8A" w:rsidRPr="00BD22C2">
        <w:rPr>
          <w:rFonts w:ascii="Arial" w:hAnsi="Arial" w:cs="Arial"/>
          <w:sz w:val="18"/>
          <w:szCs w:val="18"/>
          <w:lang w:val="fr-CA"/>
        </w:rPr>
        <w:t xml:space="preserve">35. </w:t>
      </w:r>
    </w:p>
  </w:endnote>
  <w:endnote w:id="515">
    <w:p w14:paraId="315259CD" w14:textId="23917409" w:rsidR="003E46DA" w:rsidRPr="00BD22C2" w:rsidRDefault="003E46D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Commissaire aux droits de l’homme</w:t>
      </w:r>
      <w:r w:rsidR="00A01A04" w:rsidRPr="00BD22C2">
        <w:rPr>
          <w:rFonts w:ascii="Arial" w:hAnsi="Arial" w:cs="Arial"/>
          <w:smallCaps/>
          <w:sz w:val="18"/>
          <w:szCs w:val="18"/>
          <w:lang w:val="fr-CA"/>
        </w:rPr>
        <w:t xml:space="preserve"> — Conseil de l’Europe</w:t>
      </w:r>
      <w:r w:rsidRPr="00BD22C2">
        <w:rPr>
          <w:rFonts w:ascii="Arial" w:hAnsi="Arial" w:cs="Arial"/>
          <w:sz w:val="18"/>
          <w:szCs w:val="18"/>
          <w:lang w:val="fr-CA"/>
        </w:rPr>
        <w:t xml:space="preserve">, </w:t>
      </w:r>
      <w:r w:rsidR="00A01A04" w:rsidRPr="00BD22C2">
        <w:rPr>
          <w:rFonts w:ascii="Arial" w:hAnsi="Arial" w:cs="Arial"/>
          <w:iCs/>
          <w:sz w:val="18"/>
          <w:szCs w:val="18"/>
          <w:lang w:val="fr-CA"/>
        </w:rPr>
        <w:t>préc., note</w:t>
      </w:r>
      <w:r w:rsidR="003D2E26">
        <w:rPr>
          <w:rFonts w:ascii="Arial" w:hAnsi="Arial" w:cs="Arial"/>
          <w:iCs/>
          <w:sz w:val="18"/>
          <w:szCs w:val="18"/>
          <w:lang w:val="fr-CA"/>
        </w:rPr>
        <w:t> </w:t>
      </w:r>
      <w:r w:rsidR="00A01A04" w:rsidRPr="00BD22C2">
        <w:rPr>
          <w:rFonts w:ascii="Arial" w:hAnsi="Arial" w:cs="Arial"/>
          <w:iCs/>
          <w:sz w:val="18"/>
          <w:szCs w:val="18"/>
          <w:lang w:val="fr-CA"/>
        </w:rPr>
        <w:fldChar w:fldCharType="begin"/>
      </w:r>
      <w:r w:rsidR="00A01A04" w:rsidRPr="00BD22C2">
        <w:rPr>
          <w:rFonts w:ascii="Arial" w:hAnsi="Arial" w:cs="Arial"/>
          <w:iCs/>
          <w:sz w:val="18"/>
          <w:szCs w:val="18"/>
          <w:lang w:val="fr-CA"/>
        </w:rPr>
        <w:instrText xml:space="preserve"> NOTEREF _Ref166751055 \h </w:instrText>
      </w:r>
      <w:r w:rsidR="00A01A04" w:rsidRPr="00BD22C2">
        <w:rPr>
          <w:rFonts w:ascii="Arial" w:hAnsi="Arial" w:cs="Arial"/>
          <w:iCs/>
          <w:sz w:val="18"/>
          <w:szCs w:val="18"/>
          <w:lang w:val="fr-CA"/>
        </w:rPr>
      </w:r>
      <w:r w:rsidR="00A01A04" w:rsidRPr="00BD22C2">
        <w:rPr>
          <w:rFonts w:ascii="Arial" w:hAnsi="Arial" w:cs="Arial"/>
          <w:iCs/>
          <w:sz w:val="18"/>
          <w:szCs w:val="18"/>
          <w:lang w:val="fr-CA"/>
        </w:rPr>
        <w:fldChar w:fldCharType="separate"/>
      </w:r>
      <w:r w:rsidR="004B4881">
        <w:rPr>
          <w:rFonts w:ascii="Arial" w:hAnsi="Arial" w:cs="Arial"/>
          <w:iCs/>
          <w:sz w:val="18"/>
          <w:szCs w:val="18"/>
          <w:lang w:val="fr-CA"/>
        </w:rPr>
        <w:t>304</w:t>
      </w:r>
      <w:r w:rsidR="00A01A04" w:rsidRPr="00BD22C2">
        <w:rPr>
          <w:rFonts w:ascii="Arial" w:hAnsi="Arial" w:cs="Arial"/>
          <w:iCs/>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66.</w:t>
      </w:r>
    </w:p>
  </w:endnote>
  <w:endnote w:id="516">
    <w:p w14:paraId="1852BE4E" w14:textId="52AC36A2" w:rsidR="00DB0A8A" w:rsidRPr="00E16C03" w:rsidRDefault="00DB0A8A" w:rsidP="00B36D7C">
      <w:pPr>
        <w:pStyle w:val="Notedefin"/>
        <w:tabs>
          <w:tab w:val="left" w:pos="709"/>
        </w:tabs>
        <w:spacing w:after="120" w:line="240" w:lineRule="auto"/>
        <w:ind w:left="709" w:hanging="709"/>
        <w:rPr>
          <w:rFonts w:ascii="Arial" w:hAnsi="Arial" w:cs="Arial"/>
          <w:sz w:val="18"/>
          <w:szCs w:val="18"/>
          <w:lang w:val="en-CA"/>
        </w:rPr>
      </w:pPr>
      <w:r w:rsidRPr="00BD22C2">
        <w:rPr>
          <w:rStyle w:val="Appeldenotedefin"/>
          <w:rFonts w:ascii="Arial" w:hAnsi="Arial" w:cs="Arial"/>
          <w:sz w:val="18"/>
          <w:szCs w:val="18"/>
          <w:lang w:val="fr-CA"/>
        </w:rPr>
        <w:endnoteRef/>
      </w:r>
      <w:r w:rsidRPr="00E16C03">
        <w:rPr>
          <w:rFonts w:ascii="Arial" w:hAnsi="Arial" w:cs="Arial"/>
          <w:sz w:val="18"/>
          <w:szCs w:val="18"/>
          <w:lang w:val="en-CA"/>
        </w:rPr>
        <w:t xml:space="preserve"> </w:t>
      </w:r>
      <w:r w:rsidRPr="00E16C03">
        <w:rPr>
          <w:rFonts w:ascii="Arial" w:hAnsi="Arial" w:cs="Arial"/>
          <w:sz w:val="18"/>
          <w:szCs w:val="18"/>
          <w:lang w:val="en-CA"/>
        </w:rPr>
        <w:tab/>
      </w:r>
      <w:r w:rsidRPr="00E16C03">
        <w:rPr>
          <w:rFonts w:ascii="Arial" w:hAnsi="Arial" w:cs="Arial"/>
          <w:i/>
          <w:sz w:val="18"/>
          <w:szCs w:val="18"/>
          <w:lang w:val="en-CA"/>
        </w:rPr>
        <w:t>N. B</w:t>
      </w:r>
      <w:r w:rsidRPr="00E16C03">
        <w:rPr>
          <w:rFonts w:ascii="Arial" w:hAnsi="Arial" w:cs="Arial"/>
          <w:sz w:val="18"/>
          <w:szCs w:val="18"/>
          <w:lang w:val="en-CA"/>
        </w:rPr>
        <w:t xml:space="preserve">. </w:t>
      </w:r>
      <w:r w:rsidR="00AE0946" w:rsidRPr="00E16C03">
        <w:rPr>
          <w:rFonts w:ascii="Arial" w:hAnsi="Arial" w:cs="Arial"/>
          <w:sz w:val="18"/>
          <w:szCs w:val="18"/>
          <w:lang w:val="en-CA"/>
        </w:rPr>
        <w:t>c</w:t>
      </w:r>
      <w:r w:rsidRPr="00E16C03">
        <w:rPr>
          <w:rFonts w:ascii="Arial" w:hAnsi="Arial" w:cs="Arial"/>
          <w:sz w:val="18"/>
          <w:szCs w:val="18"/>
          <w:lang w:val="en-CA"/>
        </w:rPr>
        <w:t xml:space="preserve">. </w:t>
      </w:r>
      <w:r w:rsidRPr="00E16C03">
        <w:rPr>
          <w:rFonts w:ascii="Arial" w:hAnsi="Arial" w:cs="Arial"/>
          <w:i/>
          <w:sz w:val="18"/>
          <w:szCs w:val="18"/>
          <w:lang w:val="en-CA"/>
        </w:rPr>
        <w:t>Ottawa-Carleton District School Board</w:t>
      </w:r>
      <w:r w:rsidRPr="00E16C03">
        <w:rPr>
          <w:rFonts w:ascii="Arial" w:hAnsi="Arial" w:cs="Arial"/>
          <w:sz w:val="18"/>
          <w:szCs w:val="18"/>
          <w:lang w:val="en-CA"/>
        </w:rPr>
        <w:t xml:space="preserve">, 2022 HRTO 1044, par. 72, 116, </w:t>
      </w:r>
      <w:r w:rsidR="00AE0946" w:rsidRPr="00E16C03">
        <w:rPr>
          <w:rFonts w:ascii="Arial" w:hAnsi="Arial" w:cs="Arial"/>
          <w:sz w:val="18"/>
          <w:szCs w:val="18"/>
          <w:lang w:val="en-CA"/>
        </w:rPr>
        <w:t xml:space="preserve">et </w:t>
      </w:r>
      <w:r w:rsidRPr="00E16C03">
        <w:rPr>
          <w:rFonts w:ascii="Arial" w:hAnsi="Arial" w:cs="Arial"/>
          <w:sz w:val="18"/>
          <w:szCs w:val="18"/>
          <w:lang w:val="en-CA"/>
        </w:rPr>
        <w:t>119</w:t>
      </w:r>
      <w:r w:rsidR="00AE0946" w:rsidRPr="00E16C03">
        <w:rPr>
          <w:rFonts w:ascii="Arial" w:hAnsi="Arial" w:cs="Arial"/>
          <w:sz w:val="18"/>
          <w:szCs w:val="18"/>
          <w:lang w:val="en-CA"/>
        </w:rPr>
        <w:t>.</w:t>
      </w:r>
    </w:p>
  </w:endnote>
  <w:endnote w:id="517">
    <w:p w14:paraId="395B6552" w14:textId="59838D5E" w:rsidR="00DB0A8A" w:rsidRPr="00BD22C2" w:rsidRDefault="00DB0A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E039B6" w:rsidRPr="00BD22C2">
        <w:rPr>
          <w:rFonts w:ascii="Arial" w:hAnsi="Arial" w:cs="Arial"/>
          <w:i/>
          <w:sz w:val="18"/>
          <w:szCs w:val="18"/>
          <w:lang w:val="fr-CA"/>
        </w:rPr>
        <w:t>Id.</w:t>
      </w:r>
      <w:r w:rsidRPr="00BD22C2">
        <w:rPr>
          <w:rFonts w:ascii="Arial" w:hAnsi="Arial" w:cs="Arial"/>
          <w:sz w:val="18"/>
          <w:szCs w:val="18"/>
          <w:lang w:val="fr-CA"/>
        </w:rPr>
        <w:t>, par. 10.</w:t>
      </w:r>
    </w:p>
  </w:endnote>
  <w:endnote w:id="518">
    <w:p w14:paraId="024AC100" w14:textId="0FBFE6A1" w:rsidR="00DB0A8A" w:rsidRPr="00BD22C2" w:rsidRDefault="00DB0A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14FA2" w:rsidRPr="00BD22C2">
        <w:rPr>
          <w:rFonts w:ascii="Arial" w:hAnsi="Arial" w:cs="Arial"/>
          <w:i/>
          <w:sz w:val="18"/>
          <w:szCs w:val="18"/>
          <w:lang w:val="fr-CA"/>
        </w:rPr>
        <w:t>Id.</w:t>
      </w:r>
      <w:r w:rsidRPr="00BD22C2">
        <w:rPr>
          <w:rFonts w:ascii="Arial" w:hAnsi="Arial" w:cs="Arial"/>
          <w:sz w:val="18"/>
          <w:szCs w:val="18"/>
          <w:lang w:val="fr-CA"/>
        </w:rPr>
        <w:t>, par. 175.</w:t>
      </w:r>
    </w:p>
  </w:endnote>
  <w:endnote w:id="519">
    <w:p w14:paraId="08DAD80C" w14:textId="731632C7" w:rsidR="00DB0A8A" w:rsidRPr="00BD22C2" w:rsidRDefault="00DB0A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14FA2" w:rsidRPr="00BD22C2">
        <w:rPr>
          <w:rFonts w:ascii="Arial" w:hAnsi="Arial" w:cs="Arial"/>
          <w:i/>
          <w:sz w:val="18"/>
          <w:szCs w:val="18"/>
          <w:lang w:val="fr-CA"/>
        </w:rPr>
        <w:t>Id.</w:t>
      </w:r>
      <w:r w:rsidRPr="00BD22C2">
        <w:rPr>
          <w:rFonts w:ascii="Arial" w:hAnsi="Arial" w:cs="Arial"/>
          <w:sz w:val="18"/>
          <w:szCs w:val="18"/>
          <w:lang w:val="fr-CA"/>
        </w:rPr>
        <w:t>, par. 218.</w:t>
      </w:r>
    </w:p>
  </w:endnote>
  <w:endnote w:id="520">
    <w:p w14:paraId="445A2C9D" w14:textId="64A3F5DD" w:rsidR="00DB0A8A" w:rsidRPr="00BD22C2" w:rsidRDefault="00DB0A8A"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14FA2" w:rsidRPr="00BD22C2">
        <w:rPr>
          <w:rFonts w:ascii="Arial" w:hAnsi="Arial" w:cs="Arial"/>
          <w:i/>
          <w:sz w:val="18"/>
          <w:szCs w:val="18"/>
          <w:lang w:val="fr-CA"/>
        </w:rPr>
        <w:t>Id.</w:t>
      </w:r>
      <w:r w:rsidRPr="00BD22C2">
        <w:rPr>
          <w:rFonts w:ascii="Arial" w:hAnsi="Arial" w:cs="Arial"/>
          <w:sz w:val="18"/>
          <w:szCs w:val="18"/>
          <w:lang w:val="fr-CA"/>
        </w:rPr>
        <w:t xml:space="preserve">, par. 223 citant </w:t>
      </w:r>
      <w:r w:rsidRPr="00E55D71">
        <w:rPr>
          <w:rFonts w:ascii="Arial" w:hAnsi="Arial" w:cs="Arial"/>
          <w:i/>
          <w:sz w:val="18"/>
          <w:szCs w:val="18"/>
          <w:lang w:val="fr-CA"/>
        </w:rPr>
        <w:t>Chamberlain</w:t>
      </w:r>
      <w:r w:rsidRPr="00BD22C2">
        <w:rPr>
          <w:rFonts w:ascii="Arial" w:hAnsi="Arial" w:cs="Arial"/>
          <w:sz w:val="18"/>
          <w:szCs w:val="18"/>
          <w:lang w:val="fr-CA"/>
        </w:rPr>
        <w:t xml:space="preserve"> c. </w:t>
      </w:r>
      <w:r w:rsidRPr="00BD22C2">
        <w:rPr>
          <w:rFonts w:ascii="Arial" w:hAnsi="Arial" w:cs="Arial"/>
          <w:i/>
          <w:sz w:val="18"/>
          <w:szCs w:val="18"/>
          <w:lang w:val="fr-CA"/>
        </w:rPr>
        <w:t>Surrey School District No.</w:t>
      </w:r>
      <w:r w:rsidR="003D2E26">
        <w:rPr>
          <w:rFonts w:ascii="Arial" w:hAnsi="Arial" w:cs="Arial"/>
          <w:i/>
          <w:sz w:val="18"/>
          <w:szCs w:val="18"/>
          <w:lang w:val="fr-CA"/>
        </w:rPr>
        <w:t> </w:t>
      </w:r>
      <w:r w:rsidRPr="00BD22C2">
        <w:rPr>
          <w:rFonts w:ascii="Arial" w:hAnsi="Arial" w:cs="Arial"/>
          <w:i/>
          <w:sz w:val="18"/>
          <w:szCs w:val="18"/>
          <w:lang w:val="fr-CA"/>
        </w:rPr>
        <w:t>36</w:t>
      </w:r>
      <w:r w:rsidRPr="00BD22C2">
        <w:rPr>
          <w:rFonts w:ascii="Arial" w:hAnsi="Arial" w:cs="Arial"/>
          <w:sz w:val="18"/>
          <w:szCs w:val="18"/>
          <w:lang w:val="fr-CA"/>
        </w:rPr>
        <w:t>,</w:t>
      </w:r>
      <w:r w:rsidR="00305381" w:rsidRPr="00BD22C2">
        <w:rPr>
          <w:rFonts w:ascii="Arial" w:hAnsi="Arial" w:cs="Arial"/>
          <w:sz w:val="18"/>
          <w:szCs w:val="18"/>
          <w:lang w:val="fr-CA"/>
        </w:rPr>
        <w:t xml:space="preserve"> </w:t>
      </w:r>
      <w:r w:rsidR="00131570" w:rsidRPr="00BD22C2">
        <w:rPr>
          <w:rFonts w:ascii="Arial" w:hAnsi="Arial" w:cs="Arial"/>
          <w:sz w:val="18"/>
          <w:szCs w:val="18"/>
          <w:lang w:val="fr-CA"/>
        </w:rPr>
        <w:t>préc., note</w:t>
      </w:r>
      <w:r w:rsidR="003D2E26">
        <w:rPr>
          <w:rFonts w:ascii="Arial" w:hAnsi="Arial" w:cs="Arial"/>
          <w:sz w:val="18"/>
          <w:szCs w:val="18"/>
          <w:lang w:val="fr-CA"/>
        </w:rPr>
        <w:t> </w:t>
      </w:r>
      <w:r w:rsidR="00131570" w:rsidRPr="00BD22C2">
        <w:rPr>
          <w:rFonts w:ascii="Arial" w:hAnsi="Arial" w:cs="Arial"/>
          <w:sz w:val="18"/>
          <w:szCs w:val="18"/>
          <w:lang w:val="fr-CA"/>
        </w:rPr>
        <w:fldChar w:fldCharType="begin"/>
      </w:r>
      <w:r w:rsidR="00131570" w:rsidRPr="00BD22C2">
        <w:rPr>
          <w:rFonts w:ascii="Arial" w:hAnsi="Arial" w:cs="Arial"/>
          <w:sz w:val="18"/>
          <w:szCs w:val="18"/>
          <w:lang w:val="fr-CA"/>
        </w:rPr>
        <w:instrText xml:space="preserve"> NOTEREF _Ref166756383 \h </w:instrText>
      </w:r>
      <w:r w:rsidR="00131570" w:rsidRPr="00BD22C2">
        <w:rPr>
          <w:rFonts w:ascii="Arial" w:hAnsi="Arial" w:cs="Arial"/>
          <w:sz w:val="18"/>
          <w:szCs w:val="18"/>
          <w:lang w:val="fr-CA"/>
        </w:rPr>
      </w:r>
      <w:r w:rsidR="00131570" w:rsidRPr="00BD22C2">
        <w:rPr>
          <w:rFonts w:ascii="Arial" w:hAnsi="Arial" w:cs="Arial"/>
          <w:sz w:val="18"/>
          <w:szCs w:val="18"/>
          <w:lang w:val="fr-CA"/>
        </w:rPr>
        <w:fldChar w:fldCharType="separate"/>
      </w:r>
      <w:r w:rsidR="004B4881">
        <w:rPr>
          <w:rFonts w:ascii="Arial" w:hAnsi="Arial" w:cs="Arial"/>
          <w:sz w:val="18"/>
          <w:szCs w:val="18"/>
          <w:lang w:val="fr-CA"/>
        </w:rPr>
        <w:t>512</w:t>
      </w:r>
      <w:r w:rsidR="00131570" w:rsidRPr="00BD22C2">
        <w:rPr>
          <w:rFonts w:ascii="Arial" w:hAnsi="Arial" w:cs="Arial"/>
          <w:sz w:val="18"/>
          <w:szCs w:val="18"/>
          <w:lang w:val="fr-CA"/>
        </w:rPr>
        <w:fldChar w:fldCharType="end"/>
      </w:r>
      <w:r w:rsidRPr="00BD22C2">
        <w:rPr>
          <w:rFonts w:ascii="Arial" w:hAnsi="Arial" w:cs="Arial"/>
          <w:sz w:val="18"/>
          <w:szCs w:val="18"/>
          <w:lang w:val="fr-CA"/>
        </w:rPr>
        <w:t>, par. 64</w:t>
      </w:r>
      <w:r w:rsidR="0051216B" w:rsidRPr="00BD22C2">
        <w:rPr>
          <w:rFonts w:ascii="Arial" w:hAnsi="Arial" w:cs="Arial"/>
          <w:sz w:val="18"/>
          <w:szCs w:val="18"/>
          <w:lang w:val="fr-CA"/>
        </w:rPr>
        <w:t>–</w:t>
      </w:r>
      <w:r w:rsidRPr="00BD22C2">
        <w:rPr>
          <w:rFonts w:ascii="Arial" w:hAnsi="Arial" w:cs="Arial"/>
          <w:sz w:val="18"/>
          <w:szCs w:val="18"/>
          <w:lang w:val="fr-CA"/>
        </w:rPr>
        <w:t>67.</w:t>
      </w:r>
    </w:p>
  </w:endnote>
  <w:endnote w:id="521">
    <w:p w14:paraId="17F429F5" w14:textId="29D20B0E" w:rsidR="00D45645" w:rsidRPr="00243F67" w:rsidRDefault="00D45645" w:rsidP="002C5FDB">
      <w:pPr>
        <w:pStyle w:val="Notedefin"/>
        <w:spacing w:after="120" w:line="240" w:lineRule="auto"/>
        <w:ind w:left="709" w:hanging="709"/>
        <w:rPr>
          <w:rStyle w:val="Appeldenotedefin"/>
          <w:rFonts w:ascii="Arial" w:hAnsi="Arial" w:cs="Arial"/>
          <w:sz w:val="18"/>
          <w:szCs w:val="18"/>
          <w:lang w:val="fr-CA"/>
        </w:rPr>
      </w:pPr>
      <w:r>
        <w:rPr>
          <w:rStyle w:val="Appeldenotedefin"/>
        </w:rPr>
        <w:endnoteRef/>
      </w:r>
      <w:r w:rsidRPr="00D45645">
        <w:rPr>
          <w:lang w:val="fr-CA"/>
        </w:rPr>
        <w:t xml:space="preserve"> </w:t>
      </w:r>
      <w:r>
        <w:rPr>
          <w:lang w:val="fr-CA"/>
        </w:rPr>
        <w:tab/>
      </w:r>
      <w:r w:rsidR="002C5FDB" w:rsidRPr="00800B69">
        <w:rPr>
          <w:rFonts w:ascii="Arial" w:hAnsi="Arial" w:cs="Arial"/>
          <w:smallCaps/>
          <w:sz w:val="18"/>
          <w:szCs w:val="18"/>
          <w:lang w:val="fr-CA"/>
        </w:rPr>
        <w:t>Commission des droits de la personne et des droits de la jeunesse,</w:t>
      </w:r>
      <w:r w:rsidR="00800B69" w:rsidRPr="00800B69">
        <w:rPr>
          <w:rFonts w:ascii="Arial" w:hAnsi="Arial" w:cs="Arial"/>
          <w:sz w:val="18"/>
          <w:szCs w:val="18"/>
          <w:lang w:val="fr-CA"/>
        </w:rPr>
        <w:t xml:space="preserve"> </w:t>
      </w:r>
      <w:r w:rsidR="00800B69" w:rsidRPr="00800B69">
        <w:rPr>
          <w:rFonts w:ascii="Arial" w:hAnsi="Arial" w:cs="Arial"/>
          <w:i/>
          <w:iCs/>
          <w:sz w:val="18"/>
          <w:szCs w:val="18"/>
          <w:lang w:val="fr-CA"/>
        </w:rPr>
        <w:t>Notes pour la présentation de la Commission des droits de la personne et des droits de la jeunesse devant la Commission de l</w:t>
      </w:r>
      <w:r w:rsidR="00E7143D">
        <w:rPr>
          <w:rFonts w:ascii="Arial" w:hAnsi="Arial" w:cs="Arial"/>
          <w:i/>
          <w:iCs/>
          <w:sz w:val="18"/>
          <w:szCs w:val="18"/>
          <w:lang w:val="fr-CA"/>
        </w:rPr>
        <w:t>’</w:t>
      </w:r>
      <w:r w:rsidR="00800B69" w:rsidRPr="00800B69">
        <w:rPr>
          <w:rFonts w:ascii="Arial" w:hAnsi="Arial" w:cs="Arial"/>
          <w:i/>
          <w:iCs/>
          <w:sz w:val="18"/>
          <w:szCs w:val="18"/>
          <w:lang w:val="fr-CA"/>
        </w:rPr>
        <w:t>éducation de l</w:t>
      </w:r>
      <w:r w:rsidR="00E7143D">
        <w:rPr>
          <w:rFonts w:ascii="Arial" w:hAnsi="Arial" w:cs="Arial"/>
          <w:i/>
          <w:iCs/>
          <w:sz w:val="18"/>
          <w:szCs w:val="18"/>
          <w:lang w:val="fr-CA"/>
        </w:rPr>
        <w:t>’</w:t>
      </w:r>
      <w:r w:rsidR="00800B69" w:rsidRPr="00800B69">
        <w:rPr>
          <w:rFonts w:ascii="Arial" w:hAnsi="Arial" w:cs="Arial"/>
          <w:i/>
          <w:iCs/>
          <w:sz w:val="18"/>
          <w:szCs w:val="18"/>
          <w:lang w:val="fr-CA"/>
        </w:rPr>
        <w:t>Assemblée nationale à l</w:t>
      </w:r>
      <w:r w:rsidR="00E7143D">
        <w:rPr>
          <w:rFonts w:ascii="Arial" w:hAnsi="Arial" w:cs="Arial"/>
          <w:i/>
          <w:iCs/>
          <w:sz w:val="18"/>
          <w:szCs w:val="18"/>
          <w:lang w:val="fr-CA"/>
        </w:rPr>
        <w:t>’</w:t>
      </w:r>
      <w:r w:rsidR="00800B69" w:rsidRPr="00800B69">
        <w:rPr>
          <w:rFonts w:ascii="Arial" w:hAnsi="Arial" w:cs="Arial"/>
          <w:i/>
          <w:iCs/>
          <w:sz w:val="18"/>
          <w:szCs w:val="18"/>
          <w:lang w:val="fr-CA"/>
        </w:rPr>
        <w:t>occasion des audiences sur l</w:t>
      </w:r>
      <w:r w:rsidR="00E7143D">
        <w:rPr>
          <w:rFonts w:ascii="Arial" w:hAnsi="Arial" w:cs="Arial"/>
          <w:i/>
          <w:iCs/>
          <w:sz w:val="18"/>
          <w:szCs w:val="18"/>
          <w:lang w:val="fr-CA"/>
        </w:rPr>
        <w:t>’</w:t>
      </w:r>
      <w:r w:rsidR="00800B69" w:rsidRPr="00800B69">
        <w:rPr>
          <w:rFonts w:ascii="Arial" w:hAnsi="Arial" w:cs="Arial"/>
          <w:i/>
          <w:iCs/>
          <w:sz w:val="18"/>
          <w:szCs w:val="18"/>
          <w:lang w:val="fr-CA"/>
        </w:rPr>
        <w:t>Avant-projet de loi modifiant la Loi sur l</w:t>
      </w:r>
      <w:r w:rsidR="00E7143D">
        <w:rPr>
          <w:rFonts w:ascii="Arial" w:hAnsi="Arial" w:cs="Arial"/>
          <w:i/>
          <w:iCs/>
          <w:sz w:val="18"/>
          <w:szCs w:val="18"/>
          <w:lang w:val="fr-CA"/>
        </w:rPr>
        <w:t>’</w:t>
      </w:r>
      <w:r w:rsidR="00800B69" w:rsidRPr="00800B69">
        <w:rPr>
          <w:rFonts w:ascii="Arial" w:hAnsi="Arial" w:cs="Arial"/>
          <w:i/>
          <w:iCs/>
          <w:sz w:val="18"/>
          <w:szCs w:val="18"/>
          <w:lang w:val="fr-CA"/>
        </w:rPr>
        <w:t>instruction publique l’éducation de l’Assemblée nationale</w:t>
      </w:r>
      <w:r w:rsidR="00800B69" w:rsidRPr="00800B69">
        <w:rPr>
          <w:rFonts w:ascii="Arial" w:hAnsi="Arial" w:cs="Arial"/>
          <w:sz w:val="18"/>
          <w:szCs w:val="18"/>
          <w:lang w:val="fr-CA"/>
        </w:rPr>
        <w:t>, (Cat. 2.412-84.3), 1997, p.</w:t>
      </w:r>
      <w:r w:rsidR="003D2E26">
        <w:rPr>
          <w:rFonts w:ascii="Arial" w:hAnsi="Arial" w:cs="Arial"/>
          <w:sz w:val="18"/>
          <w:szCs w:val="18"/>
          <w:lang w:val="fr-CA"/>
        </w:rPr>
        <w:t> </w:t>
      </w:r>
      <w:r w:rsidR="00800B69" w:rsidRPr="00800B69">
        <w:rPr>
          <w:rFonts w:ascii="Arial" w:hAnsi="Arial" w:cs="Arial"/>
          <w:sz w:val="18"/>
          <w:szCs w:val="18"/>
          <w:lang w:val="fr-CA"/>
        </w:rPr>
        <w:t>5</w:t>
      </w:r>
      <w:r w:rsidR="002C5FDB" w:rsidRPr="00800B69">
        <w:rPr>
          <w:rFonts w:ascii="Arial" w:hAnsi="Arial" w:cs="Arial"/>
          <w:smallCaps/>
          <w:sz w:val="18"/>
          <w:szCs w:val="18"/>
          <w:lang w:val="fr-CA"/>
        </w:rPr>
        <w:t xml:space="preserve"> ;</w:t>
      </w:r>
      <w:r w:rsidR="004A25B2">
        <w:rPr>
          <w:rFonts w:ascii="Arial" w:hAnsi="Arial" w:cs="Arial"/>
          <w:smallCaps/>
          <w:sz w:val="18"/>
          <w:szCs w:val="18"/>
          <w:lang w:val="fr-CA"/>
        </w:rPr>
        <w:t xml:space="preserve"> </w:t>
      </w:r>
      <w:r w:rsidRPr="00800B69">
        <w:rPr>
          <w:rFonts w:ascii="Arial" w:hAnsi="Arial" w:cs="Arial"/>
          <w:smallCaps/>
          <w:sz w:val="18"/>
          <w:szCs w:val="18"/>
          <w:lang w:val="fr-CA"/>
        </w:rPr>
        <w:t>Commission des droits de la personne et des droits de la jeunesse</w:t>
      </w:r>
      <w:r w:rsidR="003765B8" w:rsidRPr="00800B69">
        <w:rPr>
          <w:rFonts w:ascii="Arial" w:hAnsi="Arial" w:cs="Arial"/>
          <w:smallCaps/>
          <w:sz w:val="18"/>
          <w:szCs w:val="18"/>
          <w:lang w:val="fr-CA"/>
        </w:rPr>
        <w:t xml:space="preserve">, </w:t>
      </w:r>
      <w:r w:rsidR="003765B8" w:rsidRPr="00800B69">
        <w:rPr>
          <w:rFonts w:ascii="Arial" w:hAnsi="Arial" w:cs="Arial"/>
          <w:sz w:val="18"/>
          <w:szCs w:val="18"/>
          <w:lang w:val="fr-CA"/>
        </w:rPr>
        <w:t>préc., note</w:t>
      </w:r>
      <w:r w:rsidR="003D2E26">
        <w:rPr>
          <w:rFonts w:ascii="Arial" w:hAnsi="Arial" w:cs="Arial"/>
          <w:smallCaps/>
          <w:sz w:val="18"/>
          <w:szCs w:val="18"/>
          <w:lang w:val="fr-CA"/>
        </w:rPr>
        <w:t> </w:t>
      </w:r>
      <w:r w:rsidR="003765B8" w:rsidRPr="00800B69">
        <w:rPr>
          <w:rFonts w:ascii="Arial" w:hAnsi="Arial" w:cs="Arial"/>
          <w:smallCaps/>
          <w:sz w:val="18"/>
          <w:szCs w:val="18"/>
          <w:lang w:val="fr-CA"/>
        </w:rPr>
        <w:fldChar w:fldCharType="begin"/>
      </w:r>
      <w:r w:rsidR="003765B8" w:rsidRPr="00800B69">
        <w:rPr>
          <w:rFonts w:ascii="Arial" w:hAnsi="Arial" w:cs="Arial"/>
          <w:smallCaps/>
          <w:sz w:val="18"/>
          <w:szCs w:val="18"/>
          <w:lang w:val="fr-CA"/>
        </w:rPr>
        <w:instrText xml:space="preserve"> NOTEREF _Ref166749061 \h </w:instrText>
      </w:r>
      <w:r w:rsidR="002C5FDB" w:rsidRPr="00800B69">
        <w:rPr>
          <w:rFonts w:ascii="Arial" w:hAnsi="Arial" w:cs="Arial"/>
          <w:smallCaps/>
          <w:sz w:val="18"/>
          <w:szCs w:val="18"/>
          <w:lang w:val="fr-CA"/>
        </w:rPr>
        <w:instrText xml:space="preserve"> \* MERGEFORMAT </w:instrText>
      </w:r>
      <w:r w:rsidR="003765B8" w:rsidRPr="00800B69">
        <w:rPr>
          <w:rFonts w:ascii="Arial" w:hAnsi="Arial" w:cs="Arial"/>
          <w:smallCaps/>
          <w:sz w:val="18"/>
          <w:szCs w:val="18"/>
          <w:lang w:val="fr-CA"/>
        </w:rPr>
      </w:r>
      <w:r w:rsidR="003765B8" w:rsidRPr="00800B69">
        <w:rPr>
          <w:rFonts w:ascii="Arial" w:hAnsi="Arial" w:cs="Arial"/>
          <w:smallCaps/>
          <w:sz w:val="18"/>
          <w:szCs w:val="18"/>
          <w:lang w:val="fr-CA"/>
        </w:rPr>
        <w:fldChar w:fldCharType="separate"/>
      </w:r>
      <w:r w:rsidR="004B4881">
        <w:rPr>
          <w:rFonts w:ascii="Arial" w:hAnsi="Arial" w:cs="Arial"/>
          <w:smallCaps/>
          <w:sz w:val="18"/>
          <w:szCs w:val="18"/>
          <w:lang w:val="fr-CA"/>
        </w:rPr>
        <w:t>449</w:t>
      </w:r>
      <w:r w:rsidR="003765B8" w:rsidRPr="00800B69">
        <w:rPr>
          <w:rFonts w:ascii="Arial" w:hAnsi="Arial" w:cs="Arial"/>
          <w:smallCaps/>
          <w:sz w:val="18"/>
          <w:szCs w:val="18"/>
          <w:lang w:val="fr-CA"/>
        </w:rPr>
        <w:fldChar w:fldCharType="end"/>
      </w:r>
      <w:r w:rsidR="00C23AF3">
        <w:rPr>
          <w:rFonts w:ascii="Arial" w:hAnsi="Arial" w:cs="Arial"/>
          <w:smallCaps/>
          <w:sz w:val="18"/>
          <w:szCs w:val="18"/>
          <w:lang w:val="fr-CA"/>
        </w:rPr>
        <w:t xml:space="preserve">, </w:t>
      </w:r>
      <w:r w:rsidR="00C23AF3" w:rsidRPr="00C23AF3">
        <w:rPr>
          <w:rFonts w:ascii="Arial" w:hAnsi="Arial" w:cs="Arial"/>
          <w:sz w:val="18"/>
          <w:szCs w:val="18"/>
          <w:lang w:val="fr-CA"/>
        </w:rPr>
        <w:t>p.</w:t>
      </w:r>
      <w:r w:rsidR="003D2E26">
        <w:rPr>
          <w:rFonts w:ascii="Arial" w:hAnsi="Arial" w:cs="Arial"/>
          <w:sz w:val="18"/>
          <w:szCs w:val="18"/>
          <w:lang w:val="fr-CA"/>
        </w:rPr>
        <w:t> </w:t>
      </w:r>
      <w:r w:rsidR="00C23AF3" w:rsidRPr="00C23AF3">
        <w:rPr>
          <w:rFonts w:ascii="Arial" w:hAnsi="Arial" w:cs="Arial"/>
          <w:sz w:val="18"/>
          <w:szCs w:val="18"/>
          <w:lang w:val="fr-CA"/>
        </w:rPr>
        <w:t>37</w:t>
      </w:r>
      <w:r w:rsidR="004A25B2">
        <w:rPr>
          <w:rFonts w:ascii="Arial" w:hAnsi="Arial" w:cs="Arial"/>
          <w:smallCaps/>
          <w:sz w:val="18"/>
          <w:szCs w:val="18"/>
          <w:lang w:val="fr-CA"/>
        </w:rPr>
        <w:t xml:space="preserve">; </w:t>
      </w:r>
      <w:r w:rsidR="004A25B2" w:rsidRPr="00800B69">
        <w:rPr>
          <w:rFonts w:ascii="Arial" w:hAnsi="Arial" w:cs="Arial"/>
          <w:smallCaps/>
          <w:sz w:val="18"/>
          <w:szCs w:val="18"/>
          <w:lang w:val="fr-CA"/>
        </w:rPr>
        <w:t>Commission des droits de la personne et des droits de la jeunesse</w:t>
      </w:r>
      <w:r w:rsidR="004A25B2">
        <w:rPr>
          <w:rFonts w:ascii="Arial" w:hAnsi="Arial" w:cs="Arial"/>
          <w:smallCaps/>
          <w:sz w:val="18"/>
          <w:szCs w:val="18"/>
          <w:lang w:val="fr-CA"/>
        </w:rPr>
        <w:t xml:space="preserve">, </w:t>
      </w:r>
      <w:r w:rsidR="0018157D" w:rsidRPr="00243F67">
        <w:rPr>
          <w:rFonts w:ascii="Arial" w:hAnsi="Arial" w:cs="Arial"/>
          <w:i/>
          <w:iCs/>
          <w:sz w:val="18"/>
          <w:szCs w:val="18"/>
          <w:lang w:val="fr-CA"/>
        </w:rPr>
        <w:t xml:space="preserve">Mémoire </w:t>
      </w:r>
      <w:r w:rsidR="009C6585" w:rsidRPr="00243F67">
        <w:rPr>
          <w:rFonts w:ascii="Arial" w:hAnsi="Arial" w:cs="Arial"/>
          <w:i/>
          <w:iCs/>
          <w:sz w:val="18"/>
          <w:szCs w:val="18"/>
          <w:lang w:val="fr-CA"/>
        </w:rPr>
        <w:t>Consultation sur le</w:t>
      </w:r>
      <w:r w:rsidR="005D6B4A" w:rsidRPr="00243F67">
        <w:rPr>
          <w:rFonts w:ascii="Arial" w:hAnsi="Arial" w:cs="Arial"/>
          <w:i/>
          <w:iCs/>
          <w:sz w:val="18"/>
          <w:szCs w:val="18"/>
          <w:lang w:val="fr-CA"/>
        </w:rPr>
        <w:t xml:space="preserve"> programme d’études Éthique et culture religieuse</w:t>
      </w:r>
      <w:r w:rsidR="005D6B4A" w:rsidRPr="00243F67">
        <w:rPr>
          <w:rFonts w:ascii="Arial" w:hAnsi="Arial" w:cs="Arial"/>
          <w:smallCaps/>
          <w:sz w:val="18"/>
          <w:szCs w:val="18"/>
          <w:lang w:val="fr-CA"/>
        </w:rPr>
        <w:t>,</w:t>
      </w:r>
      <w:r w:rsidR="009C6585" w:rsidRPr="00243F67">
        <w:rPr>
          <w:rFonts w:ascii="Arial" w:hAnsi="Arial" w:cs="Arial"/>
          <w:smallCaps/>
          <w:sz w:val="18"/>
          <w:szCs w:val="18"/>
          <w:lang w:val="fr-CA"/>
        </w:rPr>
        <w:t xml:space="preserve"> </w:t>
      </w:r>
      <w:r w:rsidR="00FF3000">
        <w:rPr>
          <w:rFonts w:ascii="Arial" w:hAnsi="Arial" w:cs="Arial"/>
          <w:smallCaps/>
          <w:sz w:val="18"/>
          <w:szCs w:val="18"/>
          <w:lang w:val="fr-CA"/>
        </w:rPr>
        <w:t>(</w:t>
      </w:r>
      <w:r w:rsidR="004D5ED7" w:rsidRPr="00243F67">
        <w:rPr>
          <w:rFonts w:ascii="Arial" w:hAnsi="Arial" w:cs="Arial"/>
          <w:sz w:val="18"/>
          <w:szCs w:val="18"/>
          <w:lang w:val="fr-CA"/>
        </w:rPr>
        <w:t>Cat. 2.120-4.22.1</w:t>
      </w:r>
      <w:r w:rsidR="00FF3000">
        <w:rPr>
          <w:rFonts w:ascii="Arial" w:hAnsi="Arial" w:cs="Arial"/>
          <w:sz w:val="18"/>
          <w:szCs w:val="18"/>
          <w:lang w:val="fr-CA"/>
        </w:rPr>
        <w:t>)</w:t>
      </w:r>
      <w:r w:rsidR="004D5ED7" w:rsidRPr="00243F67">
        <w:rPr>
          <w:rFonts w:ascii="Arial" w:hAnsi="Arial" w:cs="Arial"/>
          <w:sz w:val="18"/>
          <w:szCs w:val="18"/>
          <w:lang w:val="fr-CA"/>
        </w:rPr>
        <w:t>, 2020,</w:t>
      </w:r>
      <w:r w:rsidR="00243F67" w:rsidRPr="00243F67">
        <w:rPr>
          <w:rFonts w:ascii="Arial" w:hAnsi="Arial" w:cs="Arial"/>
          <w:sz w:val="18"/>
          <w:szCs w:val="18"/>
          <w:lang w:val="fr-CA"/>
        </w:rPr>
        <w:t xml:space="preserve"> p.</w:t>
      </w:r>
      <w:r w:rsidR="003D2E26">
        <w:rPr>
          <w:rFonts w:ascii="Arial" w:hAnsi="Arial" w:cs="Arial"/>
          <w:sz w:val="18"/>
          <w:szCs w:val="18"/>
          <w:lang w:val="fr-CA"/>
        </w:rPr>
        <w:t> </w:t>
      </w:r>
      <w:r w:rsidR="00243F67" w:rsidRPr="00243F67">
        <w:rPr>
          <w:rFonts w:ascii="Arial" w:hAnsi="Arial" w:cs="Arial"/>
          <w:sz w:val="18"/>
          <w:szCs w:val="18"/>
          <w:lang w:val="fr-CA"/>
        </w:rPr>
        <w:t>25.</w:t>
      </w:r>
      <w:r w:rsidR="004D5ED7" w:rsidRPr="00243F67">
        <w:rPr>
          <w:rStyle w:val="Appeldenotedefin"/>
          <w:rFonts w:ascii="Arial" w:hAnsi="Arial" w:cs="Arial"/>
          <w:sz w:val="18"/>
          <w:szCs w:val="18"/>
          <w:lang w:val="fr-CA"/>
        </w:rPr>
        <w:t xml:space="preserve"> </w:t>
      </w:r>
    </w:p>
  </w:endnote>
  <w:endnote w:id="522">
    <w:p w14:paraId="609A0F06" w14:textId="539700B8" w:rsidR="00661FF7" w:rsidRPr="00BD22C2" w:rsidRDefault="00661FF7"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DC2A49" w:rsidRPr="00BD22C2">
        <w:rPr>
          <w:rFonts w:ascii="Arial" w:hAnsi="Arial" w:cs="Arial"/>
          <w:smallCaps/>
          <w:sz w:val="18"/>
          <w:szCs w:val="18"/>
          <w:lang w:val="fr-CA"/>
        </w:rPr>
        <w:t>Commission des droits de la personne et des droits de la jeunesse</w:t>
      </w:r>
      <w:r w:rsidR="00DC2A49" w:rsidRPr="00BD22C2">
        <w:rPr>
          <w:rFonts w:ascii="Arial" w:hAnsi="Arial" w:cs="Arial"/>
          <w:sz w:val="18"/>
          <w:szCs w:val="18"/>
          <w:lang w:val="fr-CA"/>
        </w:rPr>
        <w:t xml:space="preserve">, </w:t>
      </w:r>
      <w:r w:rsidR="00DC2A49" w:rsidRPr="00212D07">
        <w:rPr>
          <w:rFonts w:ascii="Arial" w:hAnsi="Arial" w:cs="Arial"/>
          <w:i/>
          <w:iCs/>
          <w:sz w:val="18"/>
          <w:szCs w:val="18"/>
          <w:lang w:val="fr-CA"/>
        </w:rPr>
        <w:t>Lettre à l’attention de Madame Marie-Dominique Taillon, sous-ministre adjointe au Secteur de l’excellence scolaire et de la pédagogie, ministère de l’Éducation</w:t>
      </w:r>
      <w:r w:rsidR="00CB727A" w:rsidRPr="00212D07">
        <w:rPr>
          <w:rFonts w:ascii="Arial" w:hAnsi="Arial" w:cs="Arial"/>
          <w:i/>
          <w:iCs/>
          <w:sz w:val="18"/>
          <w:szCs w:val="18"/>
          <w:lang w:val="fr-CA"/>
        </w:rPr>
        <w:t xml:space="preserve"> portant sur Commentaires généraux sur le contenu du Programme d’études primaire et secondaire provisoire : Culture et citoyenneté québécoise</w:t>
      </w:r>
      <w:r w:rsidR="00CB727A" w:rsidRPr="00BD22C2">
        <w:rPr>
          <w:rFonts w:ascii="Arial" w:hAnsi="Arial" w:cs="Arial"/>
          <w:sz w:val="18"/>
          <w:szCs w:val="18"/>
          <w:lang w:val="fr-CA"/>
        </w:rPr>
        <w:t xml:space="preserve">, </w:t>
      </w:r>
      <w:r w:rsidR="00DC2A49" w:rsidRPr="00BD22C2">
        <w:rPr>
          <w:rFonts w:ascii="Arial" w:hAnsi="Arial" w:cs="Arial"/>
          <w:sz w:val="18"/>
          <w:szCs w:val="18"/>
          <w:lang w:val="fr-CA"/>
        </w:rPr>
        <w:t>22</w:t>
      </w:r>
      <w:r w:rsidR="009D3E22">
        <w:rPr>
          <w:rFonts w:ascii="Arial" w:hAnsi="Arial" w:cs="Arial"/>
          <w:sz w:val="18"/>
          <w:szCs w:val="18"/>
          <w:lang w:val="fr-CA"/>
        </w:rPr>
        <w:t> </w:t>
      </w:r>
      <w:r w:rsidR="00DC2A49" w:rsidRPr="00BD22C2">
        <w:rPr>
          <w:rFonts w:ascii="Arial" w:hAnsi="Arial" w:cs="Arial"/>
          <w:sz w:val="18"/>
          <w:szCs w:val="18"/>
          <w:lang w:val="fr-CA"/>
        </w:rPr>
        <w:t>décembre 2022, p.</w:t>
      </w:r>
      <w:r w:rsidR="000F68BF" w:rsidRPr="00BD22C2">
        <w:rPr>
          <w:rFonts w:ascii="Arial" w:hAnsi="Arial" w:cs="Arial"/>
          <w:sz w:val="18"/>
          <w:szCs w:val="18"/>
          <w:lang w:val="fr-CA"/>
        </w:rPr>
        <w:t> </w:t>
      </w:r>
      <w:r w:rsidR="00572241" w:rsidRPr="00BD22C2">
        <w:rPr>
          <w:rFonts w:ascii="Arial" w:hAnsi="Arial" w:cs="Arial"/>
          <w:sz w:val="18"/>
          <w:szCs w:val="18"/>
          <w:lang w:val="fr-CA"/>
        </w:rPr>
        <w:t>3.</w:t>
      </w:r>
    </w:p>
  </w:endnote>
  <w:endnote w:id="523">
    <w:p w14:paraId="132F8FBA" w14:textId="446BB015" w:rsidR="00E25231" w:rsidRPr="00BD22C2" w:rsidRDefault="00E2523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Style w:val="NoteBasPageCar"/>
          <w:smallCaps/>
          <w:lang w:val="fr-CA"/>
        </w:rPr>
        <w:t>Gouvernement du Québec</w:t>
      </w:r>
      <w:r w:rsidRPr="00BD22C2">
        <w:rPr>
          <w:rStyle w:val="NoteBasPageCar"/>
          <w:lang w:val="fr-CA"/>
        </w:rPr>
        <w:t xml:space="preserve">, </w:t>
      </w:r>
      <w:r w:rsidR="007B1820" w:rsidRPr="00BD22C2">
        <w:rPr>
          <w:rStyle w:val="NoteBasPageCar"/>
          <w:iCs/>
          <w:lang w:val="fr-CA"/>
        </w:rPr>
        <w:t>préc., note</w:t>
      </w:r>
      <w:r w:rsidR="003D2E26">
        <w:rPr>
          <w:rStyle w:val="NoteBasPageCar"/>
          <w:iCs/>
          <w:lang w:val="fr-CA"/>
        </w:rPr>
        <w:t> </w:t>
      </w:r>
      <w:r w:rsidR="007B1820" w:rsidRPr="00BD22C2">
        <w:rPr>
          <w:rStyle w:val="NoteBasPageCar"/>
          <w:iCs/>
          <w:lang w:val="fr-CA"/>
        </w:rPr>
        <w:fldChar w:fldCharType="begin"/>
      </w:r>
      <w:r w:rsidR="007B1820" w:rsidRPr="00BD22C2">
        <w:rPr>
          <w:rStyle w:val="NoteBasPageCar"/>
          <w:iCs/>
          <w:lang w:val="fr-CA"/>
        </w:rPr>
        <w:instrText xml:space="preserve"> NOTEREF _Ref166750289 \h </w:instrText>
      </w:r>
      <w:r w:rsidR="007B1820" w:rsidRPr="00BD22C2">
        <w:rPr>
          <w:rStyle w:val="NoteBasPageCar"/>
          <w:iCs/>
          <w:lang w:val="fr-CA"/>
        </w:rPr>
      </w:r>
      <w:r w:rsidR="007B1820" w:rsidRPr="00BD22C2">
        <w:rPr>
          <w:rStyle w:val="NoteBasPageCar"/>
          <w:iCs/>
          <w:lang w:val="fr-CA"/>
        </w:rPr>
        <w:fldChar w:fldCharType="separate"/>
      </w:r>
      <w:r w:rsidR="004B4881">
        <w:rPr>
          <w:rStyle w:val="NoteBasPageCar"/>
          <w:iCs/>
          <w:lang w:val="fr-CA"/>
        </w:rPr>
        <w:t>24</w:t>
      </w:r>
      <w:r w:rsidR="007B1820" w:rsidRPr="00BD22C2">
        <w:rPr>
          <w:rStyle w:val="NoteBasPageCar"/>
          <w:iCs/>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12.</w:t>
      </w:r>
    </w:p>
  </w:endnote>
  <w:endnote w:id="524">
    <w:p w14:paraId="65AE18BB" w14:textId="588DA88B"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bookmarkStart w:id="210" w:name="_Hlk166072406"/>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bookmarkEnd w:id="210"/>
      <w:r w:rsidR="00714FA2" w:rsidRPr="00BD22C2">
        <w:rPr>
          <w:rFonts w:ascii="Arial" w:hAnsi="Arial" w:cs="Arial"/>
          <w:sz w:val="18"/>
          <w:szCs w:val="18"/>
          <w:lang w:val="fr-CA"/>
        </w:rPr>
        <w:t>préc., note</w:t>
      </w:r>
      <w:r w:rsidR="003D2E26">
        <w:rPr>
          <w:rFonts w:ascii="Arial" w:hAnsi="Arial" w:cs="Arial"/>
          <w:sz w:val="18"/>
          <w:szCs w:val="18"/>
          <w:lang w:val="fr-CA"/>
        </w:rPr>
        <w:t> </w:t>
      </w:r>
      <w:r w:rsidR="00714FA2" w:rsidRPr="00BD22C2">
        <w:rPr>
          <w:rFonts w:ascii="Arial" w:hAnsi="Arial" w:cs="Arial"/>
          <w:sz w:val="18"/>
          <w:szCs w:val="18"/>
          <w:lang w:val="fr-CA"/>
        </w:rPr>
        <w:fldChar w:fldCharType="begin"/>
      </w:r>
      <w:r w:rsidR="00714FA2" w:rsidRPr="00BD22C2">
        <w:rPr>
          <w:rFonts w:ascii="Arial" w:hAnsi="Arial" w:cs="Arial"/>
          <w:sz w:val="18"/>
          <w:szCs w:val="18"/>
          <w:lang w:val="fr-CA"/>
        </w:rPr>
        <w:instrText xml:space="preserve"> NOTEREF _Ref166755895 \h </w:instrText>
      </w:r>
      <w:r w:rsidR="00714FA2" w:rsidRPr="00BD22C2">
        <w:rPr>
          <w:rFonts w:ascii="Arial" w:hAnsi="Arial" w:cs="Arial"/>
          <w:sz w:val="18"/>
          <w:szCs w:val="18"/>
          <w:lang w:val="fr-CA"/>
        </w:rPr>
      </w:r>
      <w:r w:rsidR="00714FA2" w:rsidRPr="00BD22C2">
        <w:rPr>
          <w:rFonts w:ascii="Arial" w:hAnsi="Arial" w:cs="Arial"/>
          <w:sz w:val="18"/>
          <w:szCs w:val="18"/>
          <w:lang w:val="fr-CA"/>
        </w:rPr>
        <w:fldChar w:fldCharType="separate"/>
      </w:r>
      <w:r w:rsidR="004B4881">
        <w:rPr>
          <w:rFonts w:ascii="Arial" w:hAnsi="Arial" w:cs="Arial"/>
          <w:sz w:val="18"/>
          <w:szCs w:val="18"/>
          <w:lang w:val="fr-CA"/>
        </w:rPr>
        <w:t>521</w:t>
      </w:r>
      <w:r w:rsidR="00714FA2" w:rsidRPr="00BD22C2">
        <w:rPr>
          <w:rFonts w:ascii="Arial" w:hAnsi="Arial" w:cs="Arial"/>
          <w:sz w:val="18"/>
          <w:szCs w:val="18"/>
          <w:lang w:val="fr-CA"/>
        </w:rPr>
        <w:fldChar w:fldCharType="end"/>
      </w:r>
      <w:r w:rsidRPr="00BD22C2">
        <w:rPr>
          <w:rFonts w:ascii="Arial" w:hAnsi="Arial" w:cs="Arial"/>
          <w:sz w:val="18"/>
          <w:szCs w:val="18"/>
          <w:lang w:val="fr-CA"/>
        </w:rPr>
        <w:t>, p.</w:t>
      </w:r>
      <w:r w:rsidR="000F68BF" w:rsidRPr="00BD22C2">
        <w:rPr>
          <w:rFonts w:ascii="Arial" w:hAnsi="Arial" w:cs="Arial"/>
          <w:sz w:val="18"/>
          <w:szCs w:val="18"/>
          <w:lang w:val="fr-CA"/>
        </w:rPr>
        <w:t> </w:t>
      </w:r>
      <w:r w:rsidRPr="00BD22C2">
        <w:rPr>
          <w:rFonts w:ascii="Arial" w:hAnsi="Arial" w:cs="Arial"/>
          <w:sz w:val="18"/>
          <w:szCs w:val="18"/>
          <w:lang w:val="fr-CA"/>
        </w:rPr>
        <w:t xml:space="preserve">10. </w:t>
      </w:r>
    </w:p>
  </w:endnote>
  <w:endnote w:id="525">
    <w:p w14:paraId="4F2B4DA3" w14:textId="3013E42B" w:rsidR="00F20E94" w:rsidRPr="00BD22C2" w:rsidRDefault="00F20E94"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Ministère de l’Éducation</w:t>
      </w:r>
      <w:r w:rsidRPr="00BD22C2">
        <w:rPr>
          <w:rFonts w:ascii="Arial" w:hAnsi="Arial" w:cs="Arial"/>
          <w:sz w:val="18"/>
          <w:szCs w:val="18"/>
          <w:lang w:val="fr-CA"/>
        </w:rPr>
        <w:t xml:space="preserve">, </w:t>
      </w:r>
      <w:r w:rsidR="00E476B3" w:rsidRPr="00BD22C2">
        <w:rPr>
          <w:rFonts w:ascii="Arial" w:hAnsi="Arial" w:cs="Arial"/>
          <w:sz w:val="18"/>
          <w:szCs w:val="18"/>
          <w:lang w:val="fr-CA"/>
        </w:rPr>
        <w:t>«</w:t>
      </w:r>
      <w:r w:rsidR="0051216B" w:rsidRPr="00BD22C2">
        <w:rPr>
          <w:rFonts w:ascii="Arial" w:hAnsi="Arial" w:cs="Arial"/>
          <w:sz w:val="18"/>
          <w:szCs w:val="18"/>
          <w:lang w:val="fr-CA"/>
        </w:rPr>
        <w:t> </w:t>
      </w:r>
      <w:r w:rsidR="00E476B3" w:rsidRPr="00BD22C2">
        <w:rPr>
          <w:rFonts w:ascii="Arial" w:hAnsi="Arial" w:cs="Arial"/>
          <w:sz w:val="18"/>
          <w:szCs w:val="18"/>
          <w:lang w:val="fr-CA"/>
        </w:rPr>
        <w:t xml:space="preserve">Information pour les parents </w:t>
      </w:r>
      <w:r w:rsidR="0051216B" w:rsidRPr="00BD22C2">
        <w:rPr>
          <w:rFonts w:ascii="Arial" w:hAnsi="Arial" w:cs="Arial"/>
          <w:sz w:val="18"/>
          <w:szCs w:val="18"/>
          <w:lang w:val="fr-CA"/>
        </w:rPr>
        <w:t>—</w:t>
      </w:r>
      <w:r w:rsidR="00E476B3" w:rsidRPr="00BD22C2">
        <w:rPr>
          <w:rFonts w:ascii="Arial" w:hAnsi="Arial" w:cs="Arial"/>
          <w:sz w:val="18"/>
          <w:szCs w:val="18"/>
          <w:lang w:val="fr-CA"/>
        </w:rPr>
        <w:t xml:space="preserve"> </w:t>
      </w:r>
      <w:r w:rsidRPr="00BD22C2">
        <w:rPr>
          <w:rFonts w:ascii="Arial" w:hAnsi="Arial" w:cs="Arial"/>
          <w:sz w:val="18"/>
          <w:szCs w:val="18"/>
          <w:lang w:val="fr-CA"/>
        </w:rPr>
        <w:t>Programme d’études Culture et citoyenneté québécoise, Éducation primaire et secondaire</w:t>
      </w:r>
      <w:r w:rsidR="0051216B" w:rsidRPr="00BD22C2">
        <w:rPr>
          <w:rFonts w:ascii="Arial" w:hAnsi="Arial" w:cs="Arial"/>
          <w:sz w:val="18"/>
          <w:szCs w:val="18"/>
          <w:lang w:val="fr-CA"/>
        </w:rPr>
        <w:t> </w:t>
      </w:r>
      <w:r w:rsidR="00E476B3" w:rsidRPr="00BD22C2">
        <w:rPr>
          <w:rFonts w:ascii="Arial" w:hAnsi="Arial" w:cs="Arial"/>
          <w:sz w:val="18"/>
          <w:szCs w:val="18"/>
          <w:lang w:val="fr-CA"/>
        </w:rPr>
        <w:t>»</w:t>
      </w:r>
      <w:r w:rsidRPr="00BD22C2">
        <w:rPr>
          <w:rFonts w:ascii="Arial" w:hAnsi="Arial" w:cs="Arial"/>
          <w:sz w:val="18"/>
          <w:szCs w:val="18"/>
          <w:lang w:val="fr-CA"/>
        </w:rPr>
        <w:t xml:space="preserve">, </w:t>
      </w:r>
      <w:r w:rsidR="006322BB" w:rsidRPr="00BD22C2">
        <w:rPr>
          <w:rFonts w:ascii="Arial" w:hAnsi="Arial" w:cs="Arial"/>
          <w:sz w:val="18"/>
          <w:szCs w:val="18"/>
          <w:lang w:val="fr-CA"/>
        </w:rPr>
        <w:t>14</w:t>
      </w:r>
      <w:r w:rsidR="009D3E22">
        <w:rPr>
          <w:rFonts w:ascii="Arial" w:hAnsi="Arial" w:cs="Arial"/>
          <w:sz w:val="18"/>
          <w:szCs w:val="18"/>
          <w:lang w:val="fr-CA"/>
        </w:rPr>
        <w:t> </w:t>
      </w:r>
      <w:r w:rsidR="006322BB" w:rsidRPr="00BD22C2">
        <w:rPr>
          <w:rFonts w:ascii="Arial" w:hAnsi="Arial" w:cs="Arial"/>
          <w:sz w:val="18"/>
          <w:szCs w:val="18"/>
          <w:lang w:val="fr-CA"/>
        </w:rPr>
        <w:t xml:space="preserve">mars </w:t>
      </w:r>
      <w:r w:rsidR="00E476B3" w:rsidRPr="00BD22C2">
        <w:rPr>
          <w:rFonts w:ascii="Arial" w:hAnsi="Arial" w:cs="Arial"/>
          <w:sz w:val="18"/>
          <w:szCs w:val="18"/>
          <w:lang w:val="fr-CA"/>
        </w:rPr>
        <w:t>2024</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3.</w:t>
      </w:r>
      <w:r w:rsidR="000B78A4" w:rsidRPr="00BD22C2">
        <w:rPr>
          <w:rFonts w:ascii="Arial" w:hAnsi="Arial" w:cs="Arial"/>
          <w:sz w:val="18"/>
          <w:szCs w:val="18"/>
          <w:lang w:val="fr-CA"/>
        </w:rPr>
        <w:t xml:space="preserve"> (notre soulignement) </w:t>
      </w:r>
    </w:p>
  </w:endnote>
  <w:endnote w:id="526">
    <w:p w14:paraId="34BFA3D0" w14:textId="69A75BB5" w:rsidR="00B775A1" w:rsidRPr="00BD22C2" w:rsidRDefault="00B775A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044379" w:rsidRPr="00BD22C2">
        <w:rPr>
          <w:rFonts w:ascii="Arial" w:hAnsi="Arial" w:cs="Arial"/>
          <w:sz w:val="18"/>
          <w:szCs w:val="18"/>
          <w:lang w:val="fr-CA"/>
        </w:rPr>
        <w:tab/>
      </w:r>
      <w:r w:rsidR="00044379" w:rsidRPr="00BD22C2">
        <w:rPr>
          <w:rFonts w:ascii="Arial" w:hAnsi="Arial" w:cs="Arial"/>
          <w:smallCaps/>
          <w:sz w:val="18"/>
          <w:szCs w:val="18"/>
          <w:lang w:val="fr-CA"/>
        </w:rPr>
        <w:t>Ministère de l’Éducation</w:t>
      </w:r>
      <w:r w:rsidR="00044379" w:rsidRPr="00BD22C2">
        <w:rPr>
          <w:rFonts w:ascii="Arial" w:hAnsi="Arial" w:cs="Arial"/>
          <w:sz w:val="18"/>
          <w:szCs w:val="18"/>
          <w:lang w:val="fr-CA"/>
        </w:rPr>
        <w:t xml:space="preserve">, </w:t>
      </w:r>
      <w:r w:rsidR="009B538D" w:rsidRPr="00BD22C2">
        <w:rPr>
          <w:rFonts w:ascii="Arial" w:hAnsi="Arial" w:cs="Arial"/>
          <w:sz w:val="18"/>
          <w:szCs w:val="18"/>
          <w:lang w:val="fr-CA"/>
        </w:rPr>
        <w:t>préc., note</w:t>
      </w:r>
      <w:r w:rsidR="003D2E26">
        <w:rPr>
          <w:rFonts w:ascii="Arial" w:hAnsi="Arial" w:cs="Arial"/>
          <w:sz w:val="18"/>
          <w:szCs w:val="18"/>
          <w:lang w:val="fr-CA"/>
        </w:rPr>
        <w:t> </w:t>
      </w:r>
      <w:r w:rsidR="009B538D" w:rsidRPr="00BD22C2">
        <w:rPr>
          <w:rFonts w:ascii="Arial" w:hAnsi="Arial" w:cs="Arial"/>
          <w:sz w:val="18"/>
          <w:szCs w:val="18"/>
          <w:lang w:val="fr-CA"/>
        </w:rPr>
        <w:fldChar w:fldCharType="begin"/>
      </w:r>
      <w:r w:rsidR="009B538D" w:rsidRPr="00BD22C2">
        <w:rPr>
          <w:rFonts w:ascii="Arial" w:hAnsi="Arial" w:cs="Arial"/>
          <w:sz w:val="18"/>
          <w:szCs w:val="18"/>
          <w:lang w:val="fr-CA"/>
        </w:rPr>
        <w:instrText xml:space="preserve"> NOTEREF _Ref168049670 \h </w:instrText>
      </w:r>
      <w:r w:rsidR="009B538D" w:rsidRPr="00BD22C2">
        <w:rPr>
          <w:rFonts w:ascii="Arial" w:hAnsi="Arial" w:cs="Arial"/>
          <w:sz w:val="18"/>
          <w:szCs w:val="18"/>
          <w:lang w:val="fr-CA"/>
        </w:rPr>
      </w:r>
      <w:r w:rsidR="009B538D" w:rsidRPr="00BD22C2">
        <w:rPr>
          <w:rFonts w:ascii="Arial" w:hAnsi="Arial" w:cs="Arial"/>
          <w:sz w:val="18"/>
          <w:szCs w:val="18"/>
          <w:lang w:val="fr-CA"/>
        </w:rPr>
        <w:fldChar w:fldCharType="separate"/>
      </w:r>
      <w:r w:rsidR="004B4881">
        <w:rPr>
          <w:rFonts w:ascii="Arial" w:hAnsi="Arial" w:cs="Arial"/>
          <w:sz w:val="18"/>
          <w:szCs w:val="18"/>
          <w:lang w:val="fr-CA"/>
        </w:rPr>
        <w:t>510</w:t>
      </w:r>
      <w:r w:rsidR="009B538D" w:rsidRPr="00BD22C2">
        <w:rPr>
          <w:rFonts w:ascii="Arial" w:hAnsi="Arial" w:cs="Arial"/>
          <w:sz w:val="18"/>
          <w:szCs w:val="18"/>
          <w:lang w:val="fr-CA"/>
        </w:rPr>
        <w:fldChar w:fldCharType="end"/>
      </w:r>
      <w:r w:rsidR="00044379" w:rsidRPr="00BD22C2">
        <w:rPr>
          <w:rFonts w:ascii="Arial" w:hAnsi="Arial" w:cs="Arial"/>
          <w:sz w:val="18"/>
          <w:szCs w:val="18"/>
          <w:lang w:val="fr-CA"/>
        </w:rPr>
        <w:t>,</w:t>
      </w:r>
      <w:r w:rsidR="0045042D" w:rsidRPr="00BD22C2">
        <w:rPr>
          <w:rFonts w:ascii="Arial" w:hAnsi="Arial" w:cs="Arial"/>
          <w:sz w:val="18"/>
          <w:szCs w:val="18"/>
          <w:lang w:val="fr-CA"/>
        </w:rPr>
        <w:t xml:space="preserve"> p.</w:t>
      </w:r>
      <w:r w:rsidR="003D2E26">
        <w:rPr>
          <w:rFonts w:ascii="Arial" w:hAnsi="Arial" w:cs="Arial"/>
          <w:sz w:val="18"/>
          <w:szCs w:val="18"/>
          <w:lang w:val="fr-CA"/>
        </w:rPr>
        <w:t> </w:t>
      </w:r>
      <w:r w:rsidR="0045042D" w:rsidRPr="00BD22C2">
        <w:rPr>
          <w:rFonts w:ascii="Arial" w:hAnsi="Arial" w:cs="Arial"/>
          <w:sz w:val="18"/>
          <w:szCs w:val="18"/>
          <w:lang w:val="fr-CA"/>
        </w:rPr>
        <w:t>55</w:t>
      </w:r>
      <w:r w:rsidR="003E3C1E">
        <w:rPr>
          <w:rFonts w:ascii="Arial" w:hAnsi="Arial" w:cs="Arial"/>
          <w:sz w:val="18"/>
          <w:szCs w:val="18"/>
          <w:lang w:val="fr-CA"/>
        </w:rPr>
        <w:t xml:space="preserve"> et </w:t>
      </w:r>
      <w:r w:rsidR="00B24130" w:rsidRPr="00BD22C2">
        <w:rPr>
          <w:rFonts w:ascii="Arial" w:hAnsi="Arial" w:cs="Arial"/>
          <w:sz w:val="18"/>
          <w:szCs w:val="18"/>
          <w:lang w:val="fr-CA"/>
        </w:rPr>
        <w:t xml:space="preserve">56. </w:t>
      </w:r>
    </w:p>
  </w:endnote>
  <w:endnote w:id="527">
    <w:p w14:paraId="4BE1EDD8" w14:textId="238CCF45" w:rsidR="001B3AA1" w:rsidRPr="00BD22C2" w:rsidRDefault="001B3AA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14FA2" w:rsidRPr="00BD22C2">
        <w:rPr>
          <w:rFonts w:ascii="Arial" w:hAnsi="Arial" w:cs="Arial"/>
          <w:i/>
          <w:sz w:val="18"/>
          <w:szCs w:val="18"/>
          <w:lang w:val="fr-CA"/>
        </w:rPr>
        <w:t>Id</w:t>
      </w:r>
      <w:r w:rsidR="00714FA2" w:rsidRPr="00BD22C2">
        <w:rPr>
          <w:rFonts w:ascii="Arial" w:hAnsi="Arial" w:cs="Arial"/>
          <w:smallCaps/>
          <w:sz w:val="18"/>
          <w:szCs w:val="18"/>
          <w:lang w:val="fr-CA"/>
        </w:rPr>
        <w:t>.</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55</w:t>
      </w:r>
      <w:r w:rsidR="000025F6">
        <w:rPr>
          <w:rFonts w:ascii="Arial" w:hAnsi="Arial" w:cs="Arial"/>
          <w:sz w:val="18"/>
          <w:szCs w:val="18"/>
          <w:lang w:val="fr-CA"/>
        </w:rPr>
        <w:t xml:space="preserve"> à </w:t>
      </w:r>
      <w:r w:rsidRPr="00BD22C2">
        <w:rPr>
          <w:rFonts w:ascii="Arial" w:hAnsi="Arial" w:cs="Arial"/>
          <w:sz w:val="18"/>
          <w:szCs w:val="18"/>
          <w:lang w:val="fr-CA"/>
        </w:rPr>
        <w:t>57.</w:t>
      </w:r>
    </w:p>
  </w:endnote>
  <w:endnote w:id="528">
    <w:p w14:paraId="79BCE272" w14:textId="50E3AD7E" w:rsidR="00904E3D" w:rsidRPr="00BD22C2" w:rsidRDefault="00904E3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DE70CE" w:rsidRPr="00BD22C2">
        <w:rPr>
          <w:rFonts w:ascii="Arial" w:hAnsi="Arial" w:cs="Arial"/>
          <w:sz w:val="18"/>
          <w:szCs w:val="18"/>
          <w:lang w:val="fr-CA"/>
        </w:rPr>
        <w:tab/>
      </w:r>
      <w:r w:rsidR="00DE70CE" w:rsidRPr="00BD22C2">
        <w:rPr>
          <w:rStyle w:val="NoteBasPageCar"/>
          <w:smallCaps/>
          <w:lang w:val="fr-CA"/>
        </w:rPr>
        <w:t>Gouvernement du Québec</w:t>
      </w:r>
      <w:r w:rsidR="00DE70CE" w:rsidRPr="00BD22C2">
        <w:rPr>
          <w:rStyle w:val="NoteBasPageCar"/>
          <w:lang w:val="fr-CA"/>
        </w:rPr>
        <w:t xml:space="preserve">, </w:t>
      </w:r>
      <w:r w:rsidR="007B1820" w:rsidRPr="00BD22C2">
        <w:rPr>
          <w:rStyle w:val="NoteBasPageCar"/>
          <w:iCs/>
          <w:lang w:val="fr-CA"/>
        </w:rPr>
        <w:t>préc., note</w:t>
      </w:r>
      <w:r w:rsidR="003D2E26">
        <w:rPr>
          <w:rStyle w:val="NoteBasPageCar"/>
          <w:iCs/>
          <w:lang w:val="fr-CA"/>
        </w:rPr>
        <w:t> </w:t>
      </w:r>
      <w:r w:rsidR="007B1820" w:rsidRPr="00BD22C2">
        <w:rPr>
          <w:rStyle w:val="NoteBasPageCar"/>
          <w:iCs/>
          <w:lang w:val="fr-CA"/>
        </w:rPr>
        <w:fldChar w:fldCharType="begin"/>
      </w:r>
      <w:r w:rsidR="007B1820" w:rsidRPr="00BD22C2">
        <w:rPr>
          <w:rStyle w:val="NoteBasPageCar"/>
          <w:iCs/>
          <w:lang w:val="fr-CA"/>
        </w:rPr>
        <w:instrText xml:space="preserve"> NOTEREF _Ref166750289 \h </w:instrText>
      </w:r>
      <w:r w:rsidR="007B1820" w:rsidRPr="00BD22C2">
        <w:rPr>
          <w:rStyle w:val="NoteBasPageCar"/>
          <w:iCs/>
          <w:lang w:val="fr-CA"/>
        </w:rPr>
      </w:r>
      <w:r w:rsidR="007B1820" w:rsidRPr="00BD22C2">
        <w:rPr>
          <w:rStyle w:val="NoteBasPageCar"/>
          <w:iCs/>
          <w:lang w:val="fr-CA"/>
        </w:rPr>
        <w:fldChar w:fldCharType="separate"/>
      </w:r>
      <w:r w:rsidR="004B4881">
        <w:rPr>
          <w:rStyle w:val="NoteBasPageCar"/>
          <w:iCs/>
          <w:lang w:val="fr-CA"/>
        </w:rPr>
        <w:t>24</w:t>
      </w:r>
      <w:r w:rsidR="007B1820" w:rsidRPr="00BD22C2">
        <w:rPr>
          <w:rStyle w:val="NoteBasPageCar"/>
          <w:iCs/>
          <w:lang w:val="fr-CA"/>
        </w:rPr>
        <w:fldChar w:fldCharType="end"/>
      </w:r>
      <w:r w:rsidR="00DE70CE" w:rsidRPr="00BD22C2">
        <w:rPr>
          <w:rFonts w:ascii="Arial" w:hAnsi="Arial" w:cs="Arial"/>
          <w:sz w:val="18"/>
          <w:szCs w:val="18"/>
          <w:lang w:val="fr-CA"/>
        </w:rPr>
        <w:t>, p.</w:t>
      </w:r>
      <w:r w:rsidR="003D2E26">
        <w:rPr>
          <w:rFonts w:ascii="Arial" w:hAnsi="Arial" w:cs="Arial"/>
          <w:sz w:val="18"/>
          <w:szCs w:val="18"/>
          <w:lang w:val="fr-CA"/>
        </w:rPr>
        <w:t> </w:t>
      </w:r>
      <w:r w:rsidR="00DE70CE" w:rsidRPr="00BD22C2">
        <w:rPr>
          <w:rFonts w:ascii="Arial" w:hAnsi="Arial" w:cs="Arial"/>
          <w:sz w:val="18"/>
          <w:szCs w:val="18"/>
          <w:lang w:val="fr-CA"/>
        </w:rPr>
        <w:t>12.</w:t>
      </w:r>
    </w:p>
  </w:endnote>
  <w:endnote w:id="529">
    <w:p w14:paraId="0528B6E1" w14:textId="573124FC" w:rsidR="007A6DF1" w:rsidRPr="00BD22C2" w:rsidRDefault="007A6DF1"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BD22C2">
        <w:rPr>
          <w:rFonts w:ascii="Arial" w:hAnsi="Arial" w:cs="Arial"/>
          <w:smallCaps/>
          <w:sz w:val="18"/>
          <w:szCs w:val="18"/>
          <w:lang w:val="fr-CA"/>
        </w:rPr>
        <w:t>U</w:t>
      </w:r>
      <w:r w:rsidR="00901A4D">
        <w:rPr>
          <w:rFonts w:ascii="Arial" w:hAnsi="Arial" w:cs="Arial"/>
          <w:smallCaps/>
          <w:sz w:val="18"/>
          <w:szCs w:val="18"/>
          <w:lang w:val="fr-CA"/>
        </w:rPr>
        <w:t>nesco</w:t>
      </w:r>
      <w:r w:rsidRPr="00BD22C2">
        <w:rPr>
          <w:rFonts w:ascii="Arial" w:hAnsi="Arial" w:cs="Arial"/>
          <w:sz w:val="18"/>
          <w:szCs w:val="18"/>
          <w:lang w:val="fr-CA"/>
        </w:rPr>
        <w:t xml:space="preserve">, </w:t>
      </w:r>
      <w:r w:rsidR="00794B2A" w:rsidRPr="00BD22C2">
        <w:rPr>
          <w:rFonts w:ascii="Arial" w:hAnsi="Arial" w:cs="Arial"/>
          <w:iCs/>
          <w:sz w:val="18"/>
          <w:szCs w:val="18"/>
          <w:lang w:val="fr-CA"/>
        </w:rPr>
        <w:t xml:space="preserve">préc., note </w:t>
      </w:r>
      <w:r w:rsidR="00794B2A" w:rsidRPr="00BD22C2">
        <w:rPr>
          <w:rFonts w:ascii="Arial" w:hAnsi="Arial" w:cs="Arial"/>
          <w:iCs/>
          <w:sz w:val="18"/>
          <w:szCs w:val="18"/>
          <w:lang w:val="fr-CA"/>
        </w:rPr>
        <w:fldChar w:fldCharType="begin"/>
      </w:r>
      <w:r w:rsidR="00794B2A" w:rsidRPr="00BD22C2">
        <w:rPr>
          <w:rFonts w:ascii="Arial" w:hAnsi="Arial" w:cs="Arial"/>
          <w:iCs/>
          <w:sz w:val="18"/>
          <w:szCs w:val="18"/>
          <w:lang w:val="fr-CA"/>
        </w:rPr>
        <w:instrText xml:space="preserve"> NOTEREF _Ref166748974 \h </w:instrText>
      </w:r>
      <w:r w:rsidR="00794B2A" w:rsidRPr="00BD22C2">
        <w:rPr>
          <w:rFonts w:ascii="Arial" w:hAnsi="Arial" w:cs="Arial"/>
          <w:iCs/>
          <w:sz w:val="18"/>
          <w:szCs w:val="18"/>
          <w:lang w:val="fr-CA"/>
        </w:rPr>
      </w:r>
      <w:r w:rsidR="00794B2A" w:rsidRPr="00BD22C2">
        <w:rPr>
          <w:rFonts w:ascii="Arial" w:hAnsi="Arial" w:cs="Arial"/>
          <w:iCs/>
          <w:sz w:val="18"/>
          <w:szCs w:val="18"/>
          <w:lang w:val="fr-CA"/>
        </w:rPr>
        <w:fldChar w:fldCharType="separate"/>
      </w:r>
      <w:r w:rsidR="004B4881">
        <w:rPr>
          <w:rFonts w:ascii="Arial" w:hAnsi="Arial" w:cs="Arial"/>
          <w:iCs/>
          <w:sz w:val="18"/>
          <w:szCs w:val="18"/>
          <w:lang w:val="fr-CA"/>
        </w:rPr>
        <w:t>448</w:t>
      </w:r>
      <w:r w:rsidR="00794B2A" w:rsidRPr="00BD22C2">
        <w:rPr>
          <w:rFonts w:ascii="Arial" w:hAnsi="Arial" w:cs="Arial"/>
          <w:iCs/>
          <w:sz w:val="18"/>
          <w:szCs w:val="18"/>
          <w:lang w:val="fr-CA"/>
        </w:rPr>
        <w:fldChar w:fldCharType="end"/>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26.</w:t>
      </w:r>
    </w:p>
  </w:endnote>
  <w:endnote w:id="530">
    <w:p w14:paraId="48447C90" w14:textId="47027B8D"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00A2310B" w:rsidRPr="00BD22C2">
        <w:rPr>
          <w:rFonts w:ascii="Arial" w:hAnsi="Arial" w:cs="Arial"/>
          <w:smallCaps/>
          <w:sz w:val="18"/>
          <w:szCs w:val="18"/>
          <w:lang w:val="fr-CA"/>
        </w:rPr>
        <w:t>Ministère de l’Éducation</w:t>
      </w:r>
      <w:r w:rsidR="00A2310B" w:rsidRPr="00BD22C2">
        <w:rPr>
          <w:rFonts w:ascii="Arial" w:hAnsi="Arial" w:cs="Arial"/>
          <w:sz w:val="18"/>
          <w:szCs w:val="18"/>
          <w:lang w:val="fr-CA"/>
        </w:rPr>
        <w:t xml:space="preserve">, </w:t>
      </w:r>
      <w:r w:rsidR="00A2310B" w:rsidRPr="00BD22C2">
        <w:rPr>
          <w:rFonts w:ascii="Arial" w:hAnsi="Arial" w:cs="Arial"/>
          <w:i/>
          <w:sz w:val="18"/>
          <w:szCs w:val="18"/>
          <w:lang w:val="fr-CA"/>
        </w:rPr>
        <w:t xml:space="preserve">Programme </w:t>
      </w:r>
      <w:r w:rsidR="007C3AC7" w:rsidRPr="00BD22C2">
        <w:rPr>
          <w:rFonts w:ascii="Arial" w:hAnsi="Arial" w:cs="Arial"/>
          <w:i/>
          <w:sz w:val="18"/>
          <w:szCs w:val="18"/>
          <w:lang w:val="fr-CA"/>
        </w:rPr>
        <w:t xml:space="preserve">provisoire </w:t>
      </w:r>
      <w:r w:rsidR="00A2310B" w:rsidRPr="00BD22C2">
        <w:rPr>
          <w:rFonts w:ascii="Arial" w:hAnsi="Arial" w:cs="Arial"/>
          <w:i/>
          <w:sz w:val="18"/>
          <w:szCs w:val="18"/>
          <w:lang w:val="fr-CA"/>
        </w:rPr>
        <w:t>Culture et citoyenneté québécoise, Programme</w:t>
      </w:r>
      <w:r w:rsidR="00D3667D" w:rsidRPr="00BD22C2">
        <w:rPr>
          <w:rFonts w:ascii="Arial" w:hAnsi="Arial" w:cs="Arial"/>
          <w:i/>
          <w:sz w:val="18"/>
          <w:szCs w:val="18"/>
          <w:lang w:val="fr-CA"/>
        </w:rPr>
        <w:t xml:space="preserve"> </w:t>
      </w:r>
      <w:r w:rsidR="00A2310B" w:rsidRPr="00BD22C2">
        <w:rPr>
          <w:rFonts w:ascii="Arial" w:hAnsi="Arial" w:cs="Arial"/>
          <w:i/>
          <w:sz w:val="18"/>
          <w:szCs w:val="18"/>
          <w:lang w:val="fr-CA"/>
        </w:rPr>
        <w:t>de formation de l’école québécoise,</w:t>
      </w:r>
      <w:r w:rsidR="007848F6" w:rsidRPr="00BD22C2">
        <w:rPr>
          <w:rFonts w:ascii="Arial" w:hAnsi="Arial" w:cs="Arial"/>
          <w:i/>
          <w:sz w:val="18"/>
          <w:szCs w:val="18"/>
          <w:lang w:val="fr-CA"/>
        </w:rPr>
        <w:t xml:space="preserve"> </w:t>
      </w:r>
      <w:r w:rsidRPr="00BD22C2">
        <w:rPr>
          <w:rFonts w:ascii="Arial" w:hAnsi="Arial" w:cs="Arial"/>
          <w:i/>
          <w:sz w:val="18"/>
          <w:szCs w:val="18"/>
          <w:lang w:val="fr-CA"/>
        </w:rPr>
        <w:t>Annexe</w:t>
      </w:r>
      <w:r w:rsidR="000F68BF" w:rsidRPr="00BD22C2">
        <w:rPr>
          <w:rFonts w:ascii="Arial" w:hAnsi="Arial" w:cs="Arial"/>
          <w:i/>
          <w:sz w:val="18"/>
          <w:szCs w:val="18"/>
          <w:lang w:val="fr-CA"/>
        </w:rPr>
        <w:t> </w:t>
      </w:r>
      <w:r w:rsidRPr="00BD22C2">
        <w:rPr>
          <w:rFonts w:ascii="Arial" w:hAnsi="Arial" w:cs="Arial"/>
          <w:i/>
          <w:sz w:val="18"/>
          <w:szCs w:val="18"/>
          <w:lang w:val="fr-CA"/>
        </w:rPr>
        <w:t>1 Intentions éducatives en éducation à la sexualité (niveau primaire) et Annexe</w:t>
      </w:r>
      <w:r w:rsidR="000F68BF" w:rsidRPr="00BD22C2">
        <w:rPr>
          <w:rFonts w:ascii="Arial" w:hAnsi="Arial" w:cs="Arial"/>
          <w:i/>
          <w:sz w:val="18"/>
          <w:szCs w:val="18"/>
          <w:lang w:val="fr-CA"/>
        </w:rPr>
        <w:t> </w:t>
      </w:r>
      <w:r w:rsidRPr="00BD22C2">
        <w:rPr>
          <w:rFonts w:ascii="Arial" w:hAnsi="Arial" w:cs="Arial"/>
          <w:i/>
          <w:sz w:val="18"/>
          <w:szCs w:val="18"/>
          <w:lang w:val="fr-CA"/>
        </w:rPr>
        <w:t>2 Notions d’éducation à la sexualité au primaire</w:t>
      </w:r>
      <w:r w:rsidRPr="00BD22C2">
        <w:rPr>
          <w:rFonts w:ascii="Arial" w:hAnsi="Arial" w:cs="Arial"/>
          <w:sz w:val="18"/>
          <w:szCs w:val="18"/>
          <w:lang w:val="fr-CA"/>
        </w:rPr>
        <w:t xml:space="preserve">, </w:t>
      </w:r>
      <w:r w:rsidR="007C3AC7" w:rsidRPr="00BD22C2">
        <w:rPr>
          <w:rFonts w:ascii="Arial" w:hAnsi="Arial" w:cs="Arial"/>
          <w:sz w:val="18"/>
          <w:szCs w:val="18"/>
          <w:lang w:val="fr-CA"/>
        </w:rPr>
        <w:t xml:space="preserve">2022, </w:t>
      </w:r>
      <w:r w:rsidRPr="00BD22C2">
        <w:rPr>
          <w:rFonts w:ascii="Arial" w:hAnsi="Arial" w:cs="Arial"/>
          <w:sz w:val="18"/>
          <w:szCs w:val="18"/>
          <w:lang w:val="fr-CA"/>
        </w:rPr>
        <w:t>p.</w:t>
      </w:r>
      <w:r w:rsidR="000F68BF" w:rsidRPr="00BD22C2">
        <w:rPr>
          <w:rFonts w:ascii="Arial" w:hAnsi="Arial" w:cs="Arial"/>
          <w:sz w:val="18"/>
          <w:szCs w:val="18"/>
          <w:lang w:val="fr-CA"/>
        </w:rPr>
        <w:t> </w:t>
      </w:r>
      <w:r w:rsidRPr="00BD22C2">
        <w:rPr>
          <w:rFonts w:ascii="Arial" w:hAnsi="Arial" w:cs="Arial"/>
          <w:sz w:val="18"/>
          <w:szCs w:val="18"/>
          <w:lang w:val="fr-CA"/>
        </w:rPr>
        <w:t>52</w:t>
      </w:r>
      <w:r w:rsidR="004F292F">
        <w:rPr>
          <w:rFonts w:ascii="Arial" w:hAnsi="Arial" w:cs="Arial"/>
          <w:sz w:val="18"/>
          <w:szCs w:val="18"/>
          <w:lang w:val="fr-CA"/>
        </w:rPr>
        <w:t xml:space="preserve"> à </w:t>
      </w:r>
      <w:r w:rsidRPr="00BD22C2">
        <w:rPr>
          <w:rFonts w:ascii="Arial" w:hAnsi="Arial" w:cs="Arial"/>
          <w:sz w:val="18"/>
          <w:szCs w:val="18"/>
          <w:lang w:val="fr-CA"/>
        </w:rPr>
        <w:t xml:space="preserve">59. </w:t>
      </w:r>
    </w:p>
  </w:endnote>
  <w:endnote w:id="531">
    <w:p w14:paraId="066B68FF" w14:textId="182CBDB1"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631402" w:rsidRPr="00BD22C2">
        <w:rPr>
          <w:rFonts w:ascii="Arial" w:hAnsi="Arial" w:cs="Arial"/>
          <w:sz w:val="18"/>
          <w:szCs w:val="18"/>
          <w:lang w:val="fr-CA"/>
        </w:rPr>
        <w:t>préc., note</w:t>
      </w:r>
      <w:r w:rsidR="003D2E26">
        <w:rPr>
          <w:rFonts w:ascii="Arial" w:hAnsi="Arial" w:cs="Arial"/>
          <w:sz w:val="18"/>
          <w:szCs w:val="18"/>
          <w:lang w:val="fr-CA"/>
        </w:rPr>
        <w:t> </w:t>
      </w:r>
      <w:r w:rsidR="00305381" w:rsidRPr="00BD22C2">
        <w:rPr>
          <w:rFonts w:ascii="Arial" w:hAnsi="Arial" w:cs="Arial"/>
          <w:sz w:val="18"/>
          <w:szCs w:val="18"/>
          <w:lang w:val="fr-CA"/>
        </w:rPr>
        <w:fldChar w:fldCharType="begin"/>
      </w:r>
      <w:r w:rsidR="00305381" w:rsidRPr="00BD22C2">
        <w:rPr>
          <w:rFonts w:ascii="Arial" w:hAnsi="Arial" w:cs="Arial"/>
          <w:sz w:val="18"/>
          <w:szCs w:val="18"/>
          <w:lang w:val="fr-CA"/>
        </w:rPr>
        <w:instrText xml:space="preserve"> NOTEREF _Ref166755895 \h </w:instrText>
      </w:r>
      <w:r w:rsidR="00305381" w:rsidRPr="00BD22C2">
        <w:rPr>
          <w:rFonts w:ascii="Arial" w:hAnsi="Arial" w:cs="Arial"/>
          <w:sz w:val="18"/>
          <w:szCs w:val="18"/>
          <w:lang w:val="fr-CA"/>
        </w:rPr>
      </w:r>
      <w:r w:rsidR="00305381" w:rsidRPr="00BD22C2">
        <w:rPr>
          <w:rFonts w:ascii="Arial" w:hAnsi="Arial" w:cs="Arial"/>
          <w:sz w:val="18"/>
          <w:szCs w:val="18"/>
          <w:lang w:val="fr-CA"/>
        </w:rPr>
        <w:fldChar w:fldCharType="separate"/>
      </w:r>
      <w:r w:rsidR="004B4881">
        <w:rPr>
          <w:rFonts w:ascii="Arial" w:hAnsi="Arial" w:cs="Arial"/>
          <w:sz w:val="18"/>
          <w:szCs w:val="18"/>
          <w:lang w:val="fr-CA"/>
        </w:rPr>
        <w:t>521</w:t>
      </w:r>
      <w:r w:rsidR="00305381" w:rsidRPr="00BD22C2">
        <w:rPr>
          <w:rFonts w:ascii="Arial" w:hAnsi="Arial" w:cs="Arial"/>
          <w:sz w:val="18"/>
          <w:szCs w:val="18"/>
          <w:lang w:val="fr-CA"/>
        </w:rPr>
        <w:fldChar w:fldCharType="end"/>
      </w:r>
      <w:r w:rsidRPr="00BD22C2">
        <w:rPr>
          <w:rFonts w:ascii="Arial" w:hAnsi="Arial" w:cs="Arial"/>
          <w:sz w:val="18"/>
          <w:szCs w:val="18"/>
          <w:lang w:val="fr-CA"/>
        </w:rPr>
        <w:t>, p.</w:t>
      </w:r>
      <w:r w:rsidR="000F68BF" w:rsidRPr="00BD22C2">
        <w:rPr>
          <w:rFonts w:ascii="Arial" w:hAnsi="Arial" w:cs="Arial"/>
          <w:sz w:val="18"/>
          <w:szCs w:val="18"/>
          <w:lang w:val="fr-CA"/>
        </w:rPr>
        <w:t> </w:t>
      </w:r>
      <w:r w:rsidRPr="00BD22C2">
        <w:rPr>
          <w:rFonts w:ascii="Arial" w:hAnsi="Arial" w:cs="Arial"/>
          <w:sz w:val="18"/>
          <w:szCs w:val="18"/>
          <w:lang w:val="fr-CA"/>
        </w:rPr>
        <w:t xml:space="preserve">10, référant à </w:t>
      </w:r>
      <w:r w:rsidRPr="00BD22C2">
        <w:rPr>
          <w:rFonts w:ascii="Arial" w:hAnsi="Arial" w:cs="Arial"/>
          <w:smallCaps/>
          <w:sz w:val="18"/>
          <w:szCs w:val="18"/>
          <w:lang w:val="fr-CA"/>
        </w:rPr>
        <w:t>Statistique Canada</w:t>
      </w:r>
      <w:r w:rsidRPr="00BD22C2">
        <w:rPr>
          <w:rFonts w:ascii="Arial" w:hAnsi="Arial" w:cs="Arial"/>
          <w:sz w:val="18"/>
          <w:szCs w:val="18"/>
          <w:lang w:val="fr-CA"/>
        </w:rPr>
        <w:t xml:space="preserve">, </w:t>
      </w:r>
      <w:r w:rsidR="007848F6" w:rsidRPr="00BD22C2">
        <w:rPr>
          <w:rFonts w:ascii="Arial" w:hAnsi="Arial" w:cs="Arial"/>
          <w:sz w:val="18"/>
          <w:szCs w:val="18"/>
          <w:lang w:val="fr-CA"/>
        </w:rPr>
        <w:t>«</w:t>
      </w:r>
      <w:r w:rsidR="0051216B" w:rsidRPr="00BD22C2">
        <w:rPr>
          <w:rFonts w:ascii="Arial" w:hAnsi="Arial" w:cs="Arial"/>
          <w:sz w:val="18"/>
          <w:szCs w:val="18"/>
          <w:lang w:val="fr-CA"/>
        </w:rPr>
        <w:t> </w:t>
      </w:r>
      <w:r w:rsidRPr="00BD22C2">
        <w:rPr>
          <w:rFonts w:ascii="Arial" w:hAnsi="Arial" w:cs="Arial"/>
          <w:sz w:val="18"/>
          <w:szCs w:val="18"/>
          <w:lang w:val="fr-CA"/>
        </w:rPr>
        <w:t>Graphique</w:t>
      </w:r>
      <w:r w:rsidR="000F68BF" w:rsidRPr="00BD22C2">
        <w:rPr>
          <w:rFonts w:ascii="Arial" w:hAnsi="Arial" w:cs="Arial"/>
          <w:sz w:val="18"/>
          <w:szCs w:val="18"/>
          <w:lang w:val="fr-CA"/>
        </w:rPr>
        <w:t> </w:t>
      </w:r>
      <w:r w:rsidRPr="00BD22C2">
        <w:rPr>
          <w:rFonts w:ascii="Arial" w:hAnsi="Arial" w:cs="Arial"/>
          <w:sz w:val="18"/>
          <w:szCs w:val="18"/>
          <w:lang w:val="fr-CA"/>
        </w:rPr>
        <w:t xml:space="preserve">1 </w:t>
      </w:r>
      <w:r w:rsidR="0051216B" w:rsidRPr="00BD22C2">
        <w:rPr>
          <w:rFonts w:ascii="Arial" w:hAnsi="Arial" w:cs="Arial"/>
          <w:sz w:val="18"/>
          <w:szCs w:val="18"/>
          <w:lang w:val="fr-CA"/>
        </w:rPr>
        <w:t>—</w:t>
      </w:r>
      <w:r w:rsidRPr="00BD22C2">
        <w:rPr>
          <w:rFonts w:ascii="Arial" w:hAnsi="Arial" w:cs="Arial"/>
          <w:sz w:val="18"/>
          <w:szCs w:val="18"/>
          <w:lang w:val="fr-CA"/>
        </w:rPr>
        <w:t xml:space="preserve"> L’écart générationnel chez les personnes transgenres et non-binaires</w:t>
      </w:r>
      <w:r w:rsidR="0051216B" w:rsidRPr="00BD22C2">
        <w:rPr>
          <w:rFonts w:ascii="Arial" w:hAnsi="Arial" w:cs="Arial"/>
          <w:sz w:val="18"/>
          <w:szCs w:val="18"/>
          <w:lang w:val="fr-CA"/>
        </w:rPr>
        <w:t> </w:t>
      </w:r>
      <w:r w:rsidR="007848F6" w:rsidRPr="00BD22C2">
        <w:rPr>
          <w:rFonts w:ascii="Arial" w:hAnsi="Arial" w:cs="Arial"/>
          <w:sz w:val="18"/>
          <w:szCs w:val="18"/>
          <w:lang w:val="fr-CA"/>
        </w:rPr>
        <w:t>»</w:t>
      </w:r>
      <w:r w:rsidRPr="00BD22C2">
        <w:rPr>
          <w:rFonts w:ascii="Arial" w:hAnsi="Arial" w:cs="Arial"/>
          <w:sz w:val="18"/>
          <w:szCs w:val="18"/>
          <w:lang w:val="fr-CA"/>
        </w:rPr>
        <w:t>, 27</w:t>
      </w:r>
      <w:r w:rsidR="009D3E22">
        <w:rPr>
          <w:rFonts w:ascii="Arial" w:hAnsi="Arial" w:cs="Arial"/>
          <w:sz w:val="18"/>
          <w:szCs w:val="18"/>
          <w:lang w:val="fr-CA"/>
        </w:rPr>
        <w:t> </w:t>
      </w:r>
      <w:r w:rsidRPr="00BD22C2">
        <w:rPr>
          <w:rFonts w:ascii="Arial" w:hAnsi="Arial" w:cs="Arial"/>
          <w:sz w:val="18"/>
          <w:szCs w:val="18"/>
          <w:lang w:val="fr-CA"/>
        </w:rPr>
        <w:t>avril 2022.</w:t>
      </w:r>
    </w:p>
  </w:endnote>
  <w:endnote w:id="532">
    <w:p w14:paraId="61A7B974" w14:textId="4597D812" w:rsidR="004D384D" w:rsidRPr="00BD22C2" w:rsidRDefault="004D384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475019" w:rsidRPr="00BD22C2">
        <w:rPr>
          <w:rFonts w:ascii="Arial" w:hAnsi="Arial" w:cs="Arial"/>
          <w:sz w:val="18"/>
          <w:szCs w:val="18"/>
          <w:lang w:val="fr-CA"/>
        </w:rPr>
        <w:tab/>
      </w:r>
      <w:r w:rsidRPr="00BD22C2">
        <w:rPr>
          <w:rFonts w:ascii="Arial" w:hAnsi="Arial" w:cs="Arial"/>
          <w:smallCaps/>
          <w:sz w:val="18"/>
          <w:szCs w:val="18"/>
          <w:lang w:val="fr-CA"/>
        </w:rPr>
        <w:t>Commission des droits de la personne et des droits de la jeunesse</w:t>
      </w:r>
      <w:r w:rsidRPr="00BD22C2">
        <w:rPr>
          <w:rFonts w:ascii="Arial" w:hAnsi="Arial" w:cs="Arial"/>
          <w:sz w:val="18"/>
          <w:szCs w:val="18"/>
          <w:lang w:val="fr-CA"/>
        </w:rPr>
        <w:t xml:space="preserve">, </w:t>
      </w:r>
      <w:r w:rsidR="00305381" w:rsidRPr="00BD22C2">
        <w:rPr>
          <w:rFonts w:ascii="Arial" w:hAnsi="Arial" w:cs="Arial"/>
          <w:i/>
          <w:iCs/>
          <w:sz w:val="18"/>
          <w:szCs w:val="18"/>
          <w:lang w:val="fr-CA"/>
        </w:rPr>
        <w:t>id</w:t>
      </w:r>
      <w:r w:rsidR="00305381" w:rsidRPr="00BD22C2">
        <w:rPr>
          <w:rFonts w:ascii="Arial" w:hAnsi="Arial" w:cs="Arial"/>
          <w:sz w:val="18"/>
          <w:szCs w:val="18"/>
          <w:lang w:val="fr-CA"/>
        </w:rPr>
        <w:t>.</w:t>
      </w:r>
      <w:r w:rsidRPr="00BD22C2">
        <w:rPr>
          <w:rFonts w:ascii="Arial" w:hAnsi="Arial" w:cs="Arial"/>
          <w:sz w:val="18"/>
          <w:szCs w:val="18"/>
          <w:lang w:val="fr-CA"/>
        </w:rPr>
        <w:t>, p.</w:t>
      </w:r>
      <w:r w:rsidR="000F68BF" w:rsidRPr="00BD22C2">
        <w:rPr>
          <w:rFonts w:ascii="Arial" w:hAnsi="Arial" w:cs="Arial"/>
          <w:sz w:val="18"/>
          <w:szCs w:val="18"/>
          <w:lang w:val="fr-CA"/>
        </w:rPr>
        <w:t> </w:t>
      </w:r>
      <w:r w:rsidRPr="00BD22C2">
        <w:rPr>
          <w:rFonts w:ascii="Arial" w:hAnsi="Arial" w:cs="Arial"/>
          <w:sz w:val="18"/>
          <w:szCs w:val="18"/>
          <w:lang w:val="fr-CA"/>
        </w:rPr>
        <w:t>11.</w:t>
      </w:r>
    </w:p>
  </w:endnote>
  <w:endnote w:id="533">
    <w:p w14:paraId="4A2D2037" w14:textId="53751C57" w:rsidR="00E55EED" w:rsidRPr="00BD22C2" w:rsidRDefault="00E55EED"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006342E2" w:rsidRPr="00BD22C2">
        <w:rPr>
          <w:rFonts w:ascii="Arial" w:hAnsi="Arial" w:cs="Arial"/>
          <w:sz w:val="18"/>
          <w:szCs w:val="18"/>
          <w:lang w:val="fr-CA"/>
        </w:rPr>
        <w:tab/>
      </w:r>
      <w:r w:rsidR="006342E2" w:rsidRPr="00BD22C2">
        <w:rPr>
          <w:rFonts w:ascii="Arial" w:hAnsi="Arial" w:cs="Arial"/>
          <w:smallCaps/>
          <w:sz w:val="18"/>
          <w:szCs w:val="18"/>
          <w:lang w:val="fr-CA"/>
        </w:rPr>
        <w:t>Ministère de l’Éducation</w:t>
      </w:r>
      <w:r w:rsidR="006342E2" w:rsidRPr="00BD22C2">
        <w:rPr>
          <w:rFonts w:ascii="Arial" w:hAnsi="Arial" w:cs="Arial"/>
          <w:sz w:val="18"/>
          <w:szCs w:val="18"/>
          <w:lang w:val="fr-CA"/>
        </w:rPr>
        <w:t xml:space="preserve">, </w:t>
      </w:r>
      <w:r w:rsidR="00305381" w:rsidRPr="00BD22C2">
        <w:rPr>
          <w:rFonts w:ascii="Arial" w:hAnsi="Arial" w:cs="Arial"/>
          <w:iCs/>
          <w:sz w:val="18"/>
          <w:szCs w:val="18"/>
          <w:lang w:val="fr-CA"/>
        </w:rPr>
        <w:t>préc., note</w:t>
      </w:r>
      <w:r w:rsidR="003D2E26">
        <w:rPr>
          <w:rFonts w:ascii="Arial" w:hAnsi="Arial" w:cs="Arial"/>
          <w:iCs/>
          <w:sz w:val="18"/>
          <w:szCs w:val="18"/>
          <w:lang w:val="fr-CA"/>
        </w:rPr>
        <w:t> </w:t>
      </w:r>
      <w:r w:rsidR="003745AE" w:rsidRPr="00BD22C2">
        <w:rPr>
          <w:rFonts w:ascii="Arial" w:hAnsi="Arial" w:cs="Arial"/>
          <w:iCs/>
          <w:sz w:val="18"/>
          <w:szCs w:val="18"/>
          <w:lang w:val="fr-CA"/>
        </w:rPr>
        <w:fldChar w:fldCharType="begin"/>
      </w:r>
      <w:r w:rsidR="003745AE" w:rsidRPr="00BD22C2">
        <w:rPr>
          <w:rFonts w:ascii="Arial" w:hAnsi="Arial" w:cs="Arial"/>
          <w:iCs/>
          <w:sz w:val="18"/>
          <w:szCs w:val="18"/>
          <w:lang w:val="fr-CA"/>
        </w:rPr>
        <w:instrText xml:space="preserve"> NOTEREF _Ref168049670 \h </w:instrText>
      </w:r>
      <w:r w:rsidR="003745AE" w:rsidRPr="00BD22C2">
        <w:rPr>
          <w:rFonts w:ascii="Arial" w:hAnsi="Arial" w:cs="Arial"/>
          <w:iCs/>
          <w:sz w:val="18"/>
          <w:szCs w:val="18"/>
          <w:lang w:val="fr-CA"/>
        </w:rPr>
      </w:r>
      <w:r w:rsidR="003745AE" w:rsidRPr="00BD22C2">
        <w:rPr>
          <w:rFonts w:ascii="Arial" w:hAnsi="Arial" w:cs="Arial"/>
          <w:iCs/>
          <w:sz w:val="18"/>
          <w:szCs w:val="18"/>
          <w:lang w:val="fr-CA"/>
        </w:rPr>
        <w:fldChar w:fldCharType="separate"/>
      </w:r>
      <w:r w:rsidR="004B4881">
        <w:rPr>
          <w:rFonts w:ascii="Arial" w:hAnsi="Arial" w:cs="Arial"/>
          <w:iCs/>
          <w:sz w:val="18"/>
          <w:szCs w:val="18"/>
          <w:lang w:val="fr-CA"/>
        </w:rPr>
        <w:t>510</w:t>
      </w:r>
      <w:r w:rsidR="003745AE" w:rsidRPr="00BD22C2">
        <w:rPr>
          <w:rFonts w:ascii="Arial" w:hAnsi="Arial" w:cs="Arial"/>
          <w:iCs/>
          <w:sz w:val="18"/>
          <w:szCs w:val="18"/>
          <w:lang w:val="fr-CA"/>
        </w:rPr>
        <w:fldChar w:fldCharType="end"/>
      </w:r>
      <w:r w:rsidR="00E55CAC">
        <w:rPr>
          <w:rFonts w:ascii="Arial" w:hAnsi="Arial" w:cs="Arial"/>
          <w:iCs/>
          <w:sz w:val="18"/>
          <w:szCs w:val="18"/>
          <w:lang w:val="fr-CA"/>
        </w:rPr>
        <w:t>,</w:t>
      </w:r>
      <w:r w:rsidR="00305381" w:rsidRPr="00BD22C2">
        <w:rPr>
          <w:rFonts w:ascii="Arial" w:hAnsi="Arial" w:cs="Arial"/>
          <w:iCs/>
          <w:sz w:val="18"/>
          <w:szCs w:val="18"/>
          <w:lang w:val="fr-CA"/>
        </w:rPr>
        <w:t xml:space="preserve"> </w:t>
      </w:r>
      <w:r w:rsidR="006342E2" w:rsidRPr="00BD22C2">
        <w:rPr>
          <w:rFonts w:ascii="Arial" w:hAnsi="Arial" w:cs="Arial"/>
          <w:sz w:val="18"/>
          <w:szCs w:val="18"/>
          <w:lang w:val="fr-CA"/>
        </w:rPr>
        <w:t>p.</w:t>
      </w:r>
      <w:r w:rsidR="003D2E26">
        <w:rPr>
          <w:rFonts w:ascii="Arial" w:hAnsi="Arial" w:cs="Arial"/>
          <w:sz w:val="18"/>
          <w:szCs w:val="18"/>
          <w:lang w:val="fr-CA"/>
        </w:rPr>
        <w:t> </w:t>
      </w:r>
      <w:r w:rsidR="006342E2" w:rsidRPr="00BD22C2">
        <w:rPr>
          <w:rFonts w:ascii="Arial" w:hAnsi="Arial" w:cs="Arial"/>
          <w:sz w:val="18"/>
          <w:szCs w:val="18"/>
          <w:lang w:val="fr-CA"/>
        </w:rPr>
        <w:t>13.</w:t>
      </w:r>
    </w:p>
  </w:endnote>
  <w:endnote w:id="534">
    <w:p w14:paraId="782CC03C" w14:textId="2C2C9635" w:rsidR="007918B8" w:rsidRPr="003D6F7B" w:rsidRDefault="007918B8" w:rsidP="00B36D7C">
      <w:pPr>
        <w:pStyle w:val="Notedefin"/>
        <w:tabs>
          <w:tab w:val="left" w:pos="709"/>
        </w:tabs>
        <w:spacing w:after="120" w:line="240" w:lineRule="auto"/>
        <w:ind w:left="709" w:hanging="709"/>
        <w:rPr>
          <w:rFonts w:ascii="Arial" w:hAnsi="Arial" w:cs="Arial"/>
          <w:sz w:val="18"/>
          <w:szCs w:val="18"/>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Pr="007F3814">
        <w:rPr>
          <w:rFonts w:ascii="Arial" w:hAnsi="Arial" w:cs="Arial"/>
          <w:smallCaps/>
          <w:sz w:val="18"/>
          <w:szCs w:val="18"/>
          <w:lang w:val="fr-CA"/>
        </w:rPr>
        <w:t>Ministère de l’Éducation</w:t>
      </w:r>
      <w:r w:rsidRPr="00BD22C2">
        <w:rPr>
          <w:rFonts w:ascii="Arial" w:hAnsi="Arial" w:cs="Arial"/>
          <w:sz w:val="18"/>
          <w:szCs w:val="18"/>
          <w:lang w:val="fr-CA"/>
        </w:rPr>
        <w:t xml:space="preserve">, </w:t>
      </w:r>
      <w:r w:rsidRPr="00B562A5">
        <w:rPr>
          <w:rFonts w:ascii="Arial" w:hAnsi="Arial" w:cs="Arial"/>
          <w:i/>
          <w:iCs/>
          <w:sz w:val="18"/>
          <w:szCs w:val="18"/>
          <w:lang w:val="fr-CA"/>
        </w:rPr>
        <w:t>Éducation à la sexualité</w:t>
      </w:r>
      <w:r w:rsidRPr="00BD22C2">
        <w:rPr>
          <w:rFonts w:ascii="Arial" w:hAnsi="Arial" w:cs="Arial"/>
          <w:sz w:val="18"/>
          <w:szCs w:val="18"/>
          <w:lang w:val="fr-CA"/>
        </w:rPr>
        <w:t>, [En ligne]</w:t>
      </w:r>
      <w:r w:rsidR="00234961">
        <w:rPr>
          <w:rFonts w:ascii="Arial" w:hAnsi="Arial" w:cs="Arial"/>
          <w:sz w:val="18"/>
          <w:szCs w:val="18"/>
          <w:lang w:val="fr-CA"/>
        </w:rPr>
        <w:t>.</w:t>
      </w:r>
      <w:r w:rsidRPr="00BD22C2">
        <w:rPr>
          <w:rFonts w:ascii="Arial" w:hAnsi="Arial" w:cs="Arial"/>
          <w:sz w:val="18"/>
          <w:szCs w:val="18"/>
          <w:lang w:val="fr-CA"/>
        </w:rPr>
        <w:t xml:space="preserve"> </w:t>
      </w:r>
      <w:r w:rsidR="00234961">
        <w:fldChar w:fldCharType="begin"/>
      </w:r>
      <w:r w:rsidR="00234961" w:rsidRPr="003E3312">
        <w:rPr>
          <w:lang w:val="fr-CA"/>
        </w:rPr>
        <w:instrText>HYPERLINK "https://www.education.gouv.qc.ca/parents-et-tuteurs/education-a-la-sexualite/"</w:instrText>
      </w:r>
      <w:r w:rsidR="00234961">
        <w:fldChar w:fldCharType="separate"/>
      </w:r>
      <w:r w:rsidR="00234961" w:rsidRPr="003D6F7B">
        <w:rPr>
          <w:rStyle w:val="Lienhypertexte"/>
          <w:rFonts w:ascii="Arial" w:hAnsi="Arial" w:cs="Arial"/>
          <w:sz w:val="18"/>
          <w:szCs w:val="18"/>
        </w:rPr>
        <w:t>https://www.education.gouv.qc.ca/parents-et-tuteurs/education-a-la-sexualite/</w:t>
      </w:r>
      <w:r w:rsidR="00234961">
        <w:rPr>
          <w:rStyle w:val="Lienhypertexte"/>
          <w:rFonts w:ascii="Arial" w:hAnsi="Arial" w:cs="Arial"/>
          <w:sz w:val="18"/>
          <w:szCs w:val="18"/>
        </w:rPr>
        <w:fldChar w:fldCharType="end"/>
      </w:r>
      <w:r w:rsidR="00234961" w:rsidRPr="003D6F7B">
        <w:rPr>
          <w:rFonts w:ascii="Arial" w:hAnsi="Arial" w:cs="Arial"/>
          <w:sz w:val="18"/>
          <w:szCs w:val="18"/>
        </w:rPr>
        <w:t xml:space="preserve"> </w:t>
      </w:r>
    </w:p>
  </w:endnote>
  <w:endnote w:id="535">
    <w:p w14:paraId="0B86A27D" w14:textId="0A26FEEA" w:rsidR="00EC3668" w:rsidRPr="00BD22C2" w:rsidRDefault="00EC366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9A00D5" w:rsidRPr="00BD22C2">
        <w:rPr>
          <w:rFonts w:ascii="Arial" w:hAnsi="Arial" w:cs="Arial"/>
          <w:smallCaps/>
          <w:sz w:val="18"/>
          <w:szCs w:val="18"/>
          <w:lang w:val="fr-CA"/>
        </w:rPr>
        <w:t>U</w:t>
      </w:r>
      <w:r w:rsidR="00C34A17">
        <w:rPr>
          <w:rFonts w:ascii="Arial" w:hAnsi="Arial" w:cs="Arial"/>
          <w:smallCaps/>
          <w:sz w:val="18"/>
          <w:szCs w:val="18"/>
          <w:lang w:val="fr-CA"/>
        </w:rPr>
        <w:t>nesco</w:t>
      </w:r>
      <w:r w:rsidR="009A00D5" w:rsidRPr="00BD22C2">
        <w:rPr>
          <w:rFonts w:ascii="Arial" w:hAnsi="Arial" w:cs="Arial"/>
          <w:sz w:val="18"/>
          <w:szCs w:val="18"/>
          <w:lang w:val="fr-CA"/>
        </w:rPr>
        <w:t xml:space="preserve">, </w:t>
      </w:r>
      <w:r w:rsidR="00794B2A" w:rsidRPr="00BD22C2">
        <w:rPr>
          <w:rFonts w:ascii="Arial" w:hAnsi="Arial" w:cs="Arial"/>
          <w:iCs/>
          <w:sz w:val="18"/>
          <w:szCs w:val="18"/>
          <w:lang w:val="fr-CA"/>
        </w:rPr>
        <w:t xml:space="preserve">préc., note </w:t>
      </w:r>
      <w:r w:rsidR="00794B2A" w:rsidRPr="00BD22C2">
        <w:rPr>
          <w:rFonts w:ascii="Arial" w:hAnsi="Arial" w:cs="Arial"/>
          <w:iCs/>
          <w:sz w:val="18"/>
          <w:szCs w:val="18"/>
          <w:lang w:val="fr-CA"/>
        </w:rPr>
        <w:fldChar w:fldCharType="begin"/>
      </w:r>
      <w:r w:rsidR="00794B2A" w:rsidRPr="00BD22C2">
        <w:rPr>
          <w:rFonts w:ascii="Arial" w:hAnsi="Arial" w:cs="Arial"/>
          <w:iCs/>
          <w:sz w:val="18"/>
          <w:szCs w:val="18"/>
          <w:lang w:val="fr-CA"/>
        </w:rPr>
        <w:instrText xml:space="preserve"> NOTEREF _Ref166748974 \h </w:instrText>
      </w:r>
      <w:r w:rsidR="00794B2A" w:rsidRPr="00BD22C2">
        <w:rPr>
          <w:rFonts w:ascii="Arial" w:hAnsi="Arial" w:cs="Arial"/>
          <w:iCs/>
          <w:sz w:val="18"/>
          <w:szCs w:val="18"/>
          <w:lang w:val="fr-CA"/>
        </w:rPr>
      </w:r>
      <w:r w:rsidR="00794B2A" w:rsidRPr="00BD22C2">
        <w:rPr>
          <w:rFonts w:ascii="Arial" w:hAnsi="Arial" w:cs="Arial"/>
          <w:iCs/>
          <w:sz w:val="18"/>
          <w:szCs w:val="18"/>
          <w:lang w:val="fr-CA"/>
        </w:rPr>
        <w:fldChar w:fldCharType="separate"/>
      </w:r>
      <w:r w:rsidR="004B4881">
        <w:rPr>
          <w:rFonts w:ascii="Arial" w:hAnsi="Arial" w:cs="Arial"/>
          <w:iCs/>
          <w:sz w:val="18"/>
          <w:szCs w:val="18"/>
          <w:lang w:val="fr-CA"/>
        </w:rPr>
        <w:t>448</w:t>
      </w:r>
      <w:r w:rsidR="00794B2A" w:rsidRPr="00BD22C2">
        <w:rPr>
          <w:rFonts w:ascii="Arial" w:hAnsi="Arial" w:cs="Arial"/>
          <w:iCs/>
          <w:sz w:val="18"/>
          <w:szCs w:val="18"/>
          <w:lang w:val="fr-CA"/>
        </w:rPr>
        <w:fldChar w:fldCharType="end"/>
      </w:r>
      <w:r w:rsidR="009A00D5" w:rsidRPr="00BD22C2">
        <w:rPr>
          <w:rFonts w:ascii="Arial" w:hAnsi="Arial" w:cs="Arial"/>
          <w:sz w:val="18"/>
          <w:szCs w:val="18"/>
          <w:lang w:val="fr-CA"/>
        </w:rPr>
        <w:t>, p.</w:t>
      </w:r>
      <w:r w:rsidR="003D2E26">
        <w:rPr>
          <w:rFonts w:ascii="Arial" w:hAnsi="Arial" w:cs="Arial"/>
          <w:sz w:val="18"/>
          <w:szCs w:val="18"/>
          <w:lang w:val="fr-CA"/>
        </w:rPr>
        <w:t> </w:t>
      </w:r>
      <w:r w:rsidR="009A00D5" w:rsidRPr="00BD22C2">
        <w:rPr>
          <w:rFonts w:ascii="Arial" w:hAnsi="Arial" w:cs="Arial"/>
          <w:sz w:val="18"/>
          <w:szCs w:val="18"/>
          <w:lang w:val="fr-CA"/>
        </w:rPr>
        <w:t>19.</w:t>
      </w:r>
    </w:p>
  </w:endnote>
  <w:endnote w:id="536">
    <w:p w14:paraId="47144CC8" w14:textId="2C72EA9F" w:rsidR="00206668" w:rsidRPr="00BD22C2" w:rsidRDefault="00206668"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94B2A" w:rsidRPr="00BD22C2">
        <w:rPr>
          <w:rFonts w:ascii="Arial" w:hAnsi="Arial" w:cs="Arial"/>
          <w:i/>
          <w:sz w:val="18"/>
          <w:szCs w:val="18"/>
          <w:lang w:val="fr-CA"/>
        </w:rPr>
        <w:t>Id.</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16.</w:t>
      </w:r>
    </w:p>
  </w:endnote>
  <w:endnote w:id="537">
    <w:p w14:paraId="70D27769" w14:textId="3A155028" w:rsidR="00771433" w:rsidRPr="00BD22C2" w:rsidRDefault="00771433" w:rsidP="00B36D7C">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94B2A" w:rsidRPr="00BD22C2">
        <w:rPr>
          <w:rFonts w:ascii="Arial" w:hAnsi="Arial" w:cs="Arial"/>
          <w:i/>
          <w:iCs/>
          <w:sz w:val="18"/>
          <w:szCs w:val="18"/>
          <w:lang w:val="fr-CA"/>
        </w:rPr>
        <w:t>Id</w:t>
      </w:r>
      <w:r w:rsidR="00794B2A" w:rsidRPr="00BD22C2">
        <w:rPr>
          <w:rFonts w:ascii="Arial" w:hAnsi="Arial" w:cs="Arial"/>
          <w:sz w:val="18"/>
          <w:szCs w:val="18"/>
          <w:lang w:val="fr-CA"/>
        </w:rPr>
        <w:t>.</w:t>
      </w:r>
      <w:r w:rsidRPr="00BD22C2">
        <w:rPr>
          <w:rFonts w:ascii="Arial" w:hAnsi="Arial" w:cs="Arial"/>
          <w:sz w:val="18"/>
          <w:szCs w:val="18"/>
          <w:lang w:val="fr-CA"/>
        </w:rPr>
        <w:t>, p.</w:t>
      </w:r>
      <w:r w:rsidR="003D2E26">
        <w:rPr>
          <w:rFonts w:ascii="Arial" w:hAnsi="Arial" w:cs="Arial"/>
          <w:sz w:val="18"/>
          <w:szCs w:val="18"/>
          <w:lang w:val="fr-CA"/>
        </w:rPr>
        <w:t> </w:t>
      </w:r>
      <w:r w:rsidR="009E04CD" w:rsidRPr="00BD22C2">
        <w:rPr>
          <w:rFonts w:ascii="Arial" w:hAnsi="Arial" w:cs="Arial"/>
          <w:sz w:val="18"/>
          <w:szCs w:val="18"/>
          <w:lang w:val="fr-CA"/>
        </w:rPr>
        <w:t xml:space="preserve">16 et </w:t>
      </w:r>
      <w:r w:rsidRPr="00BD22C2">
        <w:rPr>
          <w:rFonts w:ascii="Arial" w:hAnsi="Arial" w:cs="Arial"/>
          <w:sz w:val="18"/>
          <w:szCs w:val="18"/>
          <w:lang w:val="fr-CA"/>
        </w:rPr>
        <w:t>19.</w:t>
      </w:r>
    </w:p>
  </w:endnote>
  <w:endnote w:id="538">
    <w:p w14:paraId="5C7679F5" w14:textId="0A134427" w:rsidR="00D33933" w:rsidRPr="00B36D7C" w:rsidRDefault="00D33933" w:rsidP="00383CAD">
      <w:pPr>
        <w:pStyle w:val="Notedefin"/>
        <w:tabs>
          <w:tab w:val="left" w:pos="709"/>
        </w:tabs>
        <w:spacing w:after="120" w:line="240" w:lineRule="auto"/>
        <w:ind w:left="709" w:hanging="709"/>
        <w:rPr>
          <w:rFonts w:ascii="Arial" w:hAnsi="Arial" w:cs="Arial"/>
          <w:sz w:val="18"/>
          <w:szCs w:val="18"/>
          <w:lang w:val="fr-CA"/>
        </w:rPr>
      </w:pPr>
      <w:r w:rsidRPr="00BD22C2">
        <w:rPr>
          <w:rStyle w:val="Appeldenotedefin"/>
          <w:rFonts w:ascii="Arial" w:hAnsi="Arial" w:cs="Arial"/>
          <w:sz w:val="18"/>
          <w:szCs w:val="18"/>
          <w:lang w:val="fr-CA"/>
        </w:rPr>
        <w:endnoteRef/>
      </w:r>
      <w:r w:rsidRPr="00BD22C2">
        <w:rPr>
          <w:rFonts w:ascii="Arial" w:hAnsi="Arial" w:cs="Arial"/>
          <w:sz w:val="18"/>
          <w:szCs w:val="18"/>
          <w:lang w:val="fr-CA"/>
        </w:rPr>
        <w:t xml:space="preserve"> </w:t>
      </w:r>
      <w:r w:rsidRPr="00BD22C2">
        <w:rPr>
          <w:rFonts w:ascii="Arial" w:hAnsi="Arial" w:cs="Arial"/>
          <w:sz w:val="18"/>
          <w:szCs w:val="18"/>
          <w:lang w:val="fr-CA"/>
        </w:rPr>
        <w:tab/>
      </w:r>
      <w:r w:rsidR="00794B2A" w:rsidRPr="00BD22C2">
        <w:rPr>
          <w:rFonts w:ascii="Arial" w:hAnsi="Arial" w:cs="Arial"/>
          <w:i/>
          <w:iCs/>
          <w:sz w:val="18"/>
          <w:szCs w:val="18"/>
          <w:lang w:val="fr-CA"/>
        </w:rPr>
        <w:t>Id</w:t>
      </w:r>
      <w:r w:rsidR="00794B2A" w:rsidRPr="00BD22C2">
        <w:rPr>
          <w:rFonts w:ascii="Arial" w:hAnsi="Arial" w:cs="Arial"/>
          <w:sz w:val="18"/>
          <w:szCs w:val="18"/>
          <w:lang w:val="fr-CA"/>
        </w:rPr>
        <w:t>.</w:t>
      </w:r>
      <w:r w:rsidRPr="00BD22C2">
        <w:rPr>
          <w:rFonts w:ascii="Arial" w:hAnsi="Arial" w:cs="Arial"/>
          <w:sz w:val="18"/>
          <w:szCs w:val="18"/>
          <w:lang w:val="fr-CA"/>
        </w:rPr>
        <w:t>, p.</w:t>
      </w:r>
      <w:r w:rsidR="003D2E26">
        <w:rPr>
          <w:rFonts w:ascii="Arial" w:hAnsi="Arial" w:cs="Arial"/>
          <w:sz w:val="18"/>
          <w:szCs w:val="18"/>
          <w:lang w:val="fr-CA"/>
        </w:rPr>
        <w:t> </w:t>
      </w:r>
      <w:r w:rsidRPr="00BD22C2">
        <w:rPr>
          <w:rFonts w:ascii="Arial" w:hAnsi="Arial" w:cs="Arial"/>
          <w:sz w:val="18"/>
          <w:szCs w:val="18"/>
          <w:lang w:val="fr-CA"/>
        </w:rPr>
        <w:t>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7EDF8" w14:textId="782EC5EC" w:rsidR="00631A1F" w:rsidRPr="00BD22C2" w:rsidRDefault="00631A1F" w:rsidP="003F117D">
    <w:pPr>
      <w:pBdr>
        <w:top w:val="dotted" w:sz="4" w:space="1" w:color="auto"/>
      </w:pBdr>
      <w:rPr>
        <w:i/>
        <w:iCs/>
        <w:sz w:val="18"/>
        <w:szCs w:val="18"/>
      </w:rPr>
    </w:pPr>
    <w:r w:rsidRPr="00BD22C2">
      <w:rPr>
        <w:i/>
        <w:iCs/>
        <w:sz w:val="18"/>
        <w:szCs w:val="18"/>
      </w:rPr>
      <w:t xml:space="preserve">Page </w:t>
    </w:r>
    <w:sdt>
      <w:sdtPr>
        <w:rPr>
          <w:i/>
          <w:iCs/>
          <w:sz w:val="18"/>
          <w:szCs w:val="18"/>
        </w:rPr>
        <w:id w:val="365724431"/>
        <w:docPartObj>
          <w:docPartGallery w:val="Page Numbers (Bottom of Page)"/>
          <w:docPartUnique/>
        </w:docPartObj>
      </w:sdtPr>
      <w:sdtEndPr/>
      <w:sdtContent>
        <w:r w:rsidRPr="00BD22C2">
          <w:rPr>
            <w:i/>
            <w:iCs/>
            <w:sz w:val="18"/>
            <w:szCs w:val="18"/>
          </w:rPr>
          <w:fldChar w:fldCharType="begin"/>
        </w:r>
        <w:r w:rsidRPr="00BD22C2">
          <w:rPr>
            <w:i/>
            <w:iCs/>
            <w:sz w:val="18"/>
            <w:szCs w:val="18"/>
          </w:rPr>
          <w:instrText>PAGE   \* MERGEFORMAT</w:instrText>
        </w:r>
        <w:r w:rsidRPr="00BD22C2">
          <w:rPr>
            <w:i/>
            <w:iCs/>
            <w:sz w:val="18"/>
            <w:szCs w:val="18"/>
          </w:rPr>
          <w:fldChar w:fldCharType="separate"/>
        </w:r>
        <w:r w:rsidRPr="00BD22C2">
          <w:rPr>
            <w:i/>
            <w:sz w:val="18"/>
            <w:szCs w:val="18"/>
          </w:rPr>
          <w:t>2</w:t>
        </w:r>
        <w:r w:rsidRPr="00BD22C2">
          <w:rPr>
            <w:i/>
            <w:iCs/>
            <w:sz w:val="18"/>
            <w:szCs w:val="18"/>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264256"/>
      <w:docPartObj>
        <w:docPartGallery w:val="Page Numbers (Bottom of Page)"/>
        <w:docPartUnique/>
      </w:docPartObj>
    </w:sdtPr>
    <w:sdtEndPr/>
    <w:sdtContent>
      <w:p w14:paraId="22187F53" w14:textId="1BFB2717" w:rsidR="003F16C8" w:rsidRDefault="003F16C8">
        <w:pPr>
          <w:pStyle w:val="Pieddepage"/>
          <w:jc w:val="center"/>
        </w:pPr>
        <w:r>
          <w:fldChar w:fldCharType="begin"/>
        </w:r>
        <w:r>
          <w:instrText>PAGE   \* MERGEFORMAT</w:instrText>
        </w:r>
        <w:r>
          <w:fldChar w:fldCharType="separate"/>
        </w:r>
        <w:r>
          <w:rPr>
            <w:lang w:val="fr-FR"/>
          </w:rPr>
          <w:t>2</w:t>
        </w:r>
        <w:r>
          <w:fldChar w:fldCharType="end"/>
        </w:r>
      </w:p>
    </w:sdtContent>
  </w:sdt>
  <w:p w14:paraId="6D17205F" w14:textId="6BF645D5" w:rsidR="003D428C" w:rsidRPr="00654293" w:rsidRDefault="003D428C" w:rsidP="00654293">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2229316"/>
      <w:docPartObj>
        <w:docPartGallery w:val="Page Numbers (Bottom of Page)"/>
        <w:docPartUnique/>
      </w:docPartObj>
    </w:sdtPr>
    <w:sdtEndPr/>
    <w:sdtContent>
      <w:p w14:paraId="54801993" w14:textId="0BF5B599" w:rsidR="00AF5C03" w:rsidRPr="00BD22C2" w:rsidRDefault="00AF5C03">
        <w:pPr>
          <w:pStyle w:val="Pieddepage"/>
          <w:jc w:val="center"/>
        </w:pPr>
        <w:r w:rsidRPr="00BD22C2">
          <w:fldChar w:fldCharType="begin"/>
        </w:r>
        <w:r w:rsidRPr="00BD22C2">
          <w:instrText>PAGE   \* MERGEFORMAT</w:instrText>
        </w:r>
        <w:r w:rsidRPr="00BD22C2">
          <w:fldChar w:fldCharType="separate"/>
        </w:r>
        <w:r w:rsidRPr="00BD22C2">
          <w:t>2</w:t>
        </w:r>
        <w:r w:rsidRPr="00BD22C2">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911172"/>
      <w:docPartObj>
        <w:docPartGallery w:val="Page Numbers (Bottom of Page)"/>
        <w:docPartUnique/>
      </w:docPartObj>
    </w:sdtPr>
    <w:sdtEndPr>
      <w:rPr>
        <w:i/>
        <w:iCs/>
        <w:sz w:val="18"/>
        <w:szCs w:val="18"/>
      </w:rPr>
    </w:sdtEndPr>
    <w:sdtContent>
      <w:p w14:paraId="6AE6D80C" w14:textId="254C23C1" w:rsidR="001E26FD" w:rsidRPr="00BD22C2" w:rsidRDefault="001E26FD" w:rsidP="00090159">
        <w:pPr>
          <w:pBdr>
            <w:top w:val="dotted" w:sz="4" w:space="1" w:color="auto"/>
          </w:pBdr>
          <w:jc w:val="left"/>
          <w:rPr>
            <w:i/>
            <w:iCs/>
            <w:sz w:val="18"/>
            <w:szCs w:val="18"/>
          </w:rPr>
        </w:pPr>
        <w:r w:rsidRPr="00BD22C2">
          <w:rPr>
            <w:i/>
            <w:iCs/>
            <w:sz w:val="18"/>
            <w:szCs w:val="18"/>
          </w:rPr>
          <w:t xml:space="preserve">Page. </w:t>
        </w:r>
        <w:r w:rsidRPr="00BD22C2">
          <w:rPr>
            <w:i/>
            <w:iCs/>
            <w:sz w:val="18"/>
            <w:szCs w:val="18"/>
          </w:rPr>
          <w:fldChar w:fldCharType="begin"/>
        </w:r>
        <w:r w:rsidRPr="00BD22C2">
          <w:rPr>
            <w:i/>
            <w:iCs/>
            <w:sz w:val="18"/>
            <w:szCs w:val="18"/>
          </w:rPr>
          <w:instrText xml:space="preserve"> PAGE  \* Arabic  \* MERGEFORMAT </w:instrText>
        </w:r>
        <w:r w:rsidRPr="00BD22C2">
          <w:rPr>
            <w:i/>
            <w:iCs/>
            <w:sz w:val="18"/>
            <w:szCs w:val="18"/>
          </w:rPr>
          <w:fldChar w:fldCharType="separate"/>
        </w:r>
        <w:r w:rsidRPr="00BD22C2">
          <w:rPr>
            <w:i/>
            <w:iCs/>
            <w:sz w:val="18"/>
            <w:szCs w:val="18"/>
          </w:rPr>
          <w:t>1</w:t>
        </w:r>
        <w:r w:rsidRPr="00BD22C2">
          <w:rPr>
            <w:i/>
            <w:iCs/>
            <w:sz w:val="18"/>
            <w:szCs w:val="18"/>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881709"/>
      <w:docPartObj>
        <w:docPartGallery w:val="Page Numbers (Bottom of Page)"/>
        <w:docPartUnique/>
      </w:docPartObj>
    </w:sdtPr>
    <w:sdtEndPr>
      <w:rPr>
        <w:sz w:val="18"/>
        <w:szCs w:val="18"/>
      </w:rPr>
    </w:sdtEndPr>
    <w:sdtContent>
      <w:p w14:paraId="6FD2830C" w14:textId="77777777" w:rsidR="001E26FD" w:rsidRPr="00BD22C2" w:rsidRDefault="001E26FD" w:rsidP="001E26FD">
        <w:pPr>
          <w:pStyle w:val="Pieddepage"/>
          <w:jc w:val="center"/>
          <w:rPr>
            <w:sz w:val="18"/>
            <w:szCs w:val="18"/>
          </w:rPr>
        </w:pPr>
        <w:r w:rsidRPr="00BD22C2">
          <w:rPr>
            <w:sz w:val="18"/>
            <w:szCs w:val="18"/>
          </w:rPr>
          <w:t xml:space="preserve">p. </w:t>
        </w:r>
        <w:r w:rsidRPr="00BD22C2">
          <w:rPr>
            <w:sz w:val="18"/>
            <w:szCs w:val="18"/>
          </w:rPr>
          <w:fldChar w:fldCharType="begin"/>
        </w:r>
        <w:r w:rsidRPr="00BD22C2">
          <w:rPr>
            <w:sz w:val="18"/>
            <w:szCs w:val="18"/>
          </w:rPr>
          <w:instrText>PAGE   \* MERGEFORMAT</w:instrText>
        </w:r>
        <w:r w:rsidRPr="00BD22C2">
          <w:rPr>
            <w:sz w:val="18"/>
            <w:szCs w:val="18"/>
          </w:rPr>
          <w:fldChar w:fldCharType="separate"/>
        </w:r>
        <w:r w:rsidRPr="00BD22C2">
          <w:rPr>
            <w:sz w:val="18"/>
            <w:szCs w:val="18"/>
          </w:rPr>
          <w:t>A</w:t>
        </w:r>
        <w:r w:rsidRPr="00BD22C2">
          <w:rPr>
            <w:sz w:val="18"/>
            <w:szCs w:val="18"/>
          </w:rPr>
          <w:fldChar w:fldCharType="end"/>
        </w:r>
      </w:p>
    </w:sdtContent>
  </w:sdt>
  <w:p w14:paraId="018100D9" w14:textId="55B8ACBB" w:rsidR="001E26FD" w:rsidRPr="00BD22C2" w:rsidRDefault="001E26FD" w:rsidP="001E26FD">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4528477"/>
      <w:docPartObj>
        <w:docPartGallery w:val="Page Numbers (Bottom of Page)"/>
        <w:docPartUnique/>
      </w:docPartObj>
    </w:sdtPr>
    <w:sdtEndPr>
      <w:rPr>
        <w:sz w:val="18"/>
        <w:szCs w:val="18"/>
      </w:rPr>
    </w:sdtEndPr>
    <w:sdtContent>
      <w:p w14:paraId="101AFFE8" w14:textId="77777777" w:rsidR="001E26FD" w:rsidRPr="00BD22C2" w:rsidRDefault="001E26FD" w:rsidP="001E26FD">
        <w:pPr>
          <w:pStyle w:val="Pieddepage"/>
          <w:jc w:val="center"/>
          <w:rPr>
            <w:sz w:val="18"/>
            <w:szCs w:val="18"/>
          </w:rPr>
        </w:pPr>
        <w:r w:rsidRPr="00BD22C2">
          <w:rPr>
            <w:sz w:val="18"/>
            <w:szCs w:val="18"/>
          </w:rPr>
          <w:t xml:space="preserve">p. </w:t>
        </w:r>
        <w:r w:rsidRPr="00BD22C2">
          <w:rPr>
            <w:sz w:val="18"/>
            <w:szCs w:val="18"/>
          </w:rPr>
          <w:fldChar w:fldCharType="begin"/>
        </w:r>
        <w:r w:rsidRPr="00BD22C2">
          <w:rPr>
            <w:sz w:val="18"/>
            <w:szCs w:val="18"/>
          </w:rPr>
          <w:instrText>PAGE   \* MERGEFORMAT</w:instrText>
        </w:r>
        <w:r w:rsidRPr="00BD22C2">
          <w:rPr>
            <w:sz w:val="18"/>
            <w:szCs w:val="18"/>
          </w:rPr>
          <w:fldChar w:fldCharType="separate"/>
        </w:r>
        <w:r w:rsidRPr="00BD22C2">
          <w:rPr>
            <w:sz w:val="18"/>
            <w:szCs w:val="18"/>
          </w:rPr>
          <w:t>A</w:t>
        </w:r>
        <w:r w:rsidRPr="00BD22C2">
          <w:rPr>
            <w:sz w:val="18"/>
            <w:szCs w:val="18"/>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171735"/>
      <w:docPartObj>
        <w:docPartGallery w:val="Page Numbers (Bottom of Page)"/>
        <w:docPartUnique/>
      </w:docPartObj>
    </w:sdtPr>
    <w:sdtEndPr>
      <w:rPr>
        <w:sz w:val="18"/>
        <w:szCs w:val="18"/>
      </w:rPr>
    </w:sdtEndPr>
    <w:sdtContent>
      <w:p w14:paraId="617E0363" w14:textId="3B56C45E" w:rsidR="005F5490" w:rsidRPr="00BD22C2" w:rsidRDefault="005F5490" w:rsidP="001E26FD">
        <w:pPr>
          <w:pStyle w:val="Pieddepage"/>
          <w:jc w:val="center"/>
          <w:rPr>
            <w:sz w:val="18"/>
            <w:szCs w:val="18"/>
          </w:rPr>
        </w:pPr>
        <w:r w:rsidRPr="00BD22C2">
          <w:rPr>
            <w:sz w:val="18"/>
            <w:szCs w:val="18"/>
          </w:rPr>
          <w:t xml:space="preserve">p. </w:t>
        </w:r>
        <w:r w:rsidRPr="00BD22C2">
          <w:rPr>
            <w:sz w:val="18"/>
            <w:szCs w:val="18"/>
          </w:rPr>
          <w:fldChar w:fldCharType="begin"/>
        </w:r>
        <w:r w:rsidRPr="00BD22C2">
          <w:rPr>
            <w:sz w:val="18"/>
            <w:szCs w:val="18"/>
          </w:rPr>
          <w:instrText>PAGE   \* MERGEFORMAT</w:instrText>
        </w:r>
        <w:r w:rsidRPr="00BD22C2">
          <w:rPr>
            <w:sz w:val="18"/>
            <w:szCs w:val="18"/>
          </w:rPr>
          <w:fldChar w:fldCharType="separate"/>
        </w:r>
        <w:r w:rsidRPr="00BD22C2">
          <w:rPr>
            <w:sz w:val="18"/>
            <w:szCs w:val="18"/>
          </w:rPr>
          <w:t>2</w:t>
        </w:r>
        <w:r w:rsidRPr="00BD22C2">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407A" w14:textId="6B112A44" w:rsidR="00C106C1" w:rsidRPr="00BD22C2" w:rsidRDefault="00C106C1" w:rsidP="00C106C1">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A95EA" w14:textId="13269C63" w:rsidR="00631A1F" w:rsidRPr="00BD22C2" w:rsidRDefault="00631A1F" w:rsidP="00DD54DC">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802972"/>
      <w:docPartObj>
        <w:docPartGallery w:val="Page Numbers (Bottom of Page)"/>
        <w:docPartUnique/>
      </w:docPartObj>
    </w:sdtPr>
    <w:sdtEndPr/>
    <w:sdtContent>
      <w:p w14:paraId="41A81A6B" w14:textId="77777777" w:rsidR="00AE632E" w:rsidRPr="00BD22C2" w:rsidRDefault="00AE632E" w:rsidP="00C106C1">
        <w:pPr>
          <w:pStyle w:val="Pieddepage"/>
          <w:jc w:val="center"/>
        </w:pPr>
        <w:r w:rsidRPr="00BD22C2">
          <w:fldChar w:fldCharType="begin"/>
        </w:r>
        <w:r w:rsidRPr="00BD22C2">
          <w:instrText>PAGE   \* MERGEFORMAT</w:instrText>
        </w:r>
        <w:r w:rsidRPr="00BD22C2">
          <w:fldChar w:fldCharType="separate"/>
        </w:r>
        <w:r w:rsidRPr="00BD22C2">
          <w:t>i</w:t>
        </w:r>
        <w:r w:rsidRPr="00BD22C2">
          <w:fldChar w:fldCharType="end"/>
        </w:r>
      </w:p>
    </w:sdtContent>
  </w:sdt>
  <w:p w14:paraId="690A4CFE" w14:textId="77777777" w:rsidR="00AE632E" w:rsidRDefault="00AE632E"/>
  <w:p w14:paraId="4B38891C" w14:textId="77777777" w:rsidR="00AE632E" w:rsidRDefault="00AE632E"/>
  <w:p w14:paraId="52F0D308" w14:textId="77777777" w:rsidR="00AE632E" w:rsidRDefault="00AE632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DDE1C" w14:textId="77777777" w:rsidR="00AE632E" w:rsidRPr="00BD22C2" w:rsidRDefault="00AE632E">
    <w:pPr>
      <w:pStyle w:val="Pieddepage"/>
      <w:jc w:val="center"/>
    </w:pPr>
  </w:p>
  <w:p w14:paraId="759EB741" w14:textId="77777777" w:rsidR="00AE632E" w:rsidRDefault="00AE632E"/>
  <w:p w14:paraId="64E925B5" w14:textId="77777777" w:rsidR="00AE632E" w:rsidRDefault="00AE632E"/>
  <w:p w14:paraId="5F587C93" w14:textId="77777777" w:rsidR="00AE632E" w:rsidRDefault="00AE632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491728"/>
      <w:docPartObj>
        <w:docPartGallery w:val="Page Numbers (Bottom of Page)"/>
        <w:docPartUnique/>
      </w:docPartObj>
    </w:sdtPr>
    <w:sdtEndPr/>
    <w:sdtContent>
      <w:p w14:paraId="4C4EABD1" w14:textId="77777777" w:rsidR="00B92595" w:rsidRPr="00BD22C2" w:rsidRDefault="00B92595" w:rsidP="00C106C1">
        <w:pPr>
          <w:pStyle w:val="Pieddepage"/>
          <w:jc w:val="center"/>
        </w:pPr>
        <w:r w:rsidRPr="00BD22C2">
          <w:fldChar w:fldCharType="begin"/>
        </w:r>
        <w:r w:rsidRPr="00BD22C2">
          <w:instrText>PAGE   \* MERGEFORMAT</w:instrText>
        </w:r>
        <w:r w:rsidRPr="00BD22C2">
          <w:fldChar w:fldCharType="separate"/>
        </w:r>
        <w:r w:rsidRPr="00BD22C2">
          <w:t>i</w:t>
        </w:r>
        <w:r w:rsidRPr="00BD22C2">
          <w:fldChar w:fldCharType="end"/>
        </w:r>
      </w:p>
    </w:sdtContent>
  </w:sdt>
  <w:p w14:paraId="01224680" w14:textId="77777777" w:rsidR="00B92595" w:rsidRDefault="00B92595"/>
  <w:p w14:paraId="1AF73A40" w14:textId="77777777" w:rsidR="00B92595" w:rsidRDefault="00B92595"/>
  <w:p w14:paraId="19826100" w14:textId="77777777" w:rsidR="00B92595" w:rsidRDefault="00B9259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DB73" w14:textId="77777777" w:rsidR="00B92595" w:rsidRPr="00BD22C2" w:rsidRDefault="00B92595">
    <w:pPr>
      <w:pStyle w:val="Pieddepage"/>
      <w:jc w:val="center"/>
    </w:pPr>
  </w:p>
  <w:p w14:paraId="2E1EC0A4" w14:textId="77777777" w:rsidR="00B92595" w:rsidRDefault="00B92595"/>
  <w:p w14:paraId="6CD122B3" w14:textId="77777777" w:rsidR="00B92595" w:rsidRDefault="00B92595"/>
  <w:p w14:paraId="2E2D260A" w14:textId="77777777" w:rsidR="00B92595" w:rsidRDefault="00B9259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602023"/>
      <w:docPartObj>
        <w:docPartGallery w:val="Page Numbers (Bottom of Page)"/>
        <w:docPartUnique/>
      </w:docPartObj>
    </w:sdtPr>
    <w:sdtEndPr/>
    <w:sdtContent>
      <w:p w14:paraId="368C9F27" w14:textId="77777777" w:rsidR="00C106C1" w:rsidRPr="00BD22C2" w:rsidRDefault="00C106C1" w:rsidP="00C106C1">
        <w:pPr>
          <w:pStyle w:val="Pieddepage"/>
          <w:jc w:val="center"/>
        </w:pPr>
        <w:r w:rsidRPr="00BD22C2">
          <w:fldChar w:fldCharType="begin"/>
        </w:r>
        <w:r w:rsidRPr="00BD22C2">
          <w:instrText>PAGE   \* MERGEFORMAT</w:instrText>
        </w:r>
        <w:r w:rsidRPr="00BD22C2">
          <w:fldChar w:fldCharType="separate"/>
        </w:r>
        <w:r w:rsidRPr="00BD22C2">
          <w:t>i</w:t>
        </w:r>
        <w:r w:rsidRPr="00BD22C2">
          <w:fldChar w:fldCharType="end"/>
        </w:r>
      </w:p>
    </w:sdtContent>
  </w:sdt>
  <w:p w14:paraId="1CDAC579" w14:textId="77777777" w:rsidR="00097930" w:rsidRDefault="00097930"/>
  <w:p w14:paraId="5421BBF8" w14:textId="77777777" w:rsidR="00097930" w:rsidRDefault="00097930"/>
  <w:p w14:paraId="169C0F72" w14:textId="77777777" w:rsidR="00097930" w:rsidRDefault="0009793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5AF63" w14:textId="30C5999B" w:rsidR="00B04FFF" w:rsidRPr="00BD22C2" w:rsidRDefault="00B04FFF">
    <w:pPr>
      <w:pStyle w:val="Pieddepage"/>
      <w:jc w:val="center"/>
    </w:pPr>
  </w:p>
  <w:p w14:paraId="7F5F1ED5" w14:textId="77777777" w:rsidR="00097930" w:rsidRDefault="00097930"/>
  <w:p w14:paraId="23513E08" w14:textId="77777777" w:rsidR="00097930" w:rsidRDefault="00097930"/>
  <w:p w14:paraId="1CDFF649" w14:textId="77777777" w:rsidR="00097930" w:rsidRDefault="00097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07E7" w14:textId="77777777" w:rsidR="00F03C08" w:rsidRPr="00BD22C2" w:rsidRDefault="00F03C08">
      <w:r w:rsidRPr="00BD22C2">
        <w:separator/>
      </w:r>
    </w:p>
  </w:footnote>
  <w:footnote w:type="continuationSeparator" w:id="0">
    <w:p w14:paraId="304392C5" w14:textId="77777777" w:rsidR="00F03C08" w:rsidRPr="00BD22C2" w:rsidRDefault="00F03C08" w:rsidP="00063DB0">
      <w:r w:rsidRPr="00BD22C2">
        <w:separator/>
      </w:r>
    </w:p>
  </w:footnote>
  <w:footnote w:type="continuationNotice" w:id="1">
    <w:p w14:paraId="76C66B3B" w14:textId="77777777" w:rsidR="00F03C08" w:rsidRPr="00BD22C2" w:rsidRDefault="00F03C08" w:rsidP="00A031D3">
      <w:pPr>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3BCA9" w14:textId="005C6D2B" w:rsidR="00631A1F" w:rsidRPr="00BD22C2" w:rsidRDefault="001039F7" w:rsidP="004D5B7B">
    <w:pPr>
      <w:pBdr>
        <w:bottom w:val="single" w:sz="4" w:space="1" w:color="auto"/>
      </w:pBdr>
      <w:spacing w:line="240" w:lineRule="auto"/>
      <w:jc w:val="left"/>
      <w:rPr>
        <w:b/>
        <w:i/>
        <w:iCs/>
        <w:sz w:val="14"/>
        <w:szCs w:val="14"/>
      </w:rPr>
    </w:pPr>
    <w:r w:rsidRPr="00BD22C2">
      <w:rPr>
        <w:rFonts w:cs="Arial"/>
        <w:b/>
        <w:i/>
        <w:iCs/>
        <w:sz w:val="14"/>
        <w:szCs w:val="14"/>
      </w:rPr>
      <w:t>Table des matières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31BDE" w14:textId="77777777" w:rsidR="00B92595" w:rsidRPr="00351EB3" w:rsidRDefault="00B92595" w:rsidP="00F33CCB">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p w14:paraId="7D20F7E6" w14:textId="77777777" w:rsidR="00B92595" w:rsidRPr="00702640" w:rsidRDefault="00B92595">
    <w:pPr>
      <w:pStyle w:val="En-tte"/>
      <w:rPr>
        <w:lang w:val="fr-FR"/>
      </w:rPr>
    </w:pPr>
  </w:p>
  <w:p w14:paraId="74D3341A" w14:textId="77777777" w:rsidR="00B92595" w:rsidRDefault="00B92595"/>
  <w:p w14:paraId="6582CBE5" w14:textId="77777777" w:rsidR="00B92595" w:rsidRDefault="00B92595"/>
  <w:p w14:paraId="65D4F32B" w14:textId="77777777" w:rsidR="00B92595" w:rsidRDefault="00B9259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F8CE" w14:textId="77777777" w:rsidR="00B92595" w:rsidRPr="001F54CC" w:rsidRDefault="00B92595" w:rsidP="001F54CC">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F2648" w14:textId="77777777" w:rsidR="00016222" w:rsidRPr="00351EB3" w:rsidRDefault="00016222" w:rsidP="00016222">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p w14:paraId="0FF7BEEA" w14:textId="7AF55692" w:rsidR="00FF30BF" w:rsidRPr="00BD22C2" w:rsidRDefault="00FF30BF">
    <w:pPr>
      <w:pStyle w:val="En-tte"/>
    </w:pPr>
  </w:p>
  <w:p w14:paraId="4F45E916" w14:textId="77777777" w:rsidR="00097930" w:rsidRDefault="00097930"/>
  <w:p w14:paraId="0EDD6482" w14:textId="77777777" w:rsidR="00097930" w:rsidRDefault="00097930"/>
  <w:p w14:paraId="2F1DD130" w14:textId="77777777" w:rsidR="00097930" w:rsidRDefault="0009793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847CE" w14:textId="77777777" w:rsidR="00F33CCB" w:rsidRPr="00351EB3" w:rsidRDefault="00F33CCB" w:rsidP="00F33CCB">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p w14:paraId="24F5C874" w14:textId="143BB637" w:rsidR="00FF30BF" w:rsidRPr="00702640" w:rsidRDefault="00FF30BF">
    <w:pPr>
      <w:pStyle w:val="En-tte"/>
      <w:rPr>
        <w:lang w:val="fr-FR"/>
      </w:rPr>
    </w:pPr>
  </w:p>
  <w:p w14:paraId="406D9EED" w14:textId="77777777" w:rsidR="00097930" w:rsidRDefault="00097930"/>
  <w:p w14:paraId="4E72C856" w14:textId="77777777" w:rsidR="00097930" w:rsidRDefault="00097930"/>
  <w:p w14:paraId="64365DAC" w14:textId="77777777" w:rsidR="00097930" w:rsidRDefault="0009793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D229" w14:textId="77777777" w:rsidR="00097930" w:rsidRPr="00567CA3" w:rsidRDefault="00097930">
    <w:pP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DFF5" w14:textId="23B03255" w:rsidR="00B04FFF" w:rsidRPr="00BB7A38" w:rsidRDefault="00410EDB" w:rsidP="002277D9">
    <w:pPr>
      <w:pStyle w:val="En-tte"/>
      <w:pBdr>
        <w:bottom w:val="single" w:sz="4" w:space="1" w:color="A6A6A6" w:themeColor="background1" w:themeShade="A6"/>
      </w:pBdr>
      <w:spacing w:line="240" w:lineRule="auto"/>
      <w:jc w:val="right"/>
      <w:rPr>
        <w:rFonts w:cs="Arial"/>
        <w:b/>
        <w:bCs/>
        <w:i/>
        <w:iCs/>
        <w:color w:val="000000"/>
        <w:sz w:val="14"/>
        <w:szCs w:val="14"/>
        <w:shd w:val="clear" w:color="auto" w:fill="FFFFFF"/>
      </w:rPr>
    </w:pPr>
    <w:r>
      <w:rPr>
        <w:rFonts w:cs="Arial"/>
        <w:b/>
        <w:bCs/>
        <w:i/>
        <w:iCs/>
        <w:color w:val="000000"/>
        <w:sz w:val="14"/>
        <w:szCs w:val="14"/>
        <w:shd w:val="clear" w:color="auto" w:fill="FFFFFF"/>
      </w:rPr>
      <w:t>Mémoire au Comité de sages sur l’identité de genre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38F4" w14:textId="2E65899D" w:rsidR="00F33CCB" w:rsidRPr="00C25E8C" w:rsidRDefault="001A57DC" w:rsidP="002277D9">
    <w:pPr>
      <w:pStyle w:val="En-tte"/>
      <w:pBdr>
        <w:bottom w:val="single" w:sz="4" w:space="1" w:color="A6A6A6" w:themeColor="background1" w:themeShade="A6"/>
      </w:pBdr>
      <w:spacing w:line="240" w:lineRule="auto"/>
      <w:jc w:val="left"/>
      <w:rPr>
        <w:rFonts w:cs="Arial"/>
        <w:b/>
        <w:bCs/>
        <w:i/>
        <w:iCs/>
        <w:color w:val="000000"/>
        <w:sz w:val="14"/>
        <w:szCs w:val="14"/>
        <w:shd w:val="clear" w:color="auto" w:fill="FFFFFF"/>
      </w:rPr>
    </w:pPr>
    <w:r>
      <w:rPr>
        <w:rFonts w:cs="Arial"/>
        <w:b/>
        <w:bCs/>
        <w:i/>
        <w:iCs/>
        <w:color w:val="000000"/>
        <w:sz w:val="14"/>
        <w:szCs w:val="14"/>
        <w:shd w:val="clear" w:color="auto" w:fill="FFFFFF"/>
      </w:rPr>
      <w:t>Mémoire au Comité de sages sur l’identité de genre</w:t>
    </w:r>
  </w:p>
  <w:p w14:paraId="777CBAA9" w14:textId="51455DC4" w:rsidR="00FF30BF" w:rsidRPr="00F21BD8" w:rsidRDefault="00FF30BF" w:rsidP="00F33CCB">
    <w:pPr>
      <w:pStyle w:val="En-tte"/>
      <w:jc w:val="cent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47CAD" w14:textId="18D16BCA" w:rsidR="004C045A" w:rsidRPr="00447756" w:rsidRDefault="004C045A" w:rsidP="00447756">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06F3" w14:textId="4425F59A" w:rsidR="00FF30BF" w:rsidRPr="00F21BD8" w:rsidRDefault="00F21BD8" w:rsidP="00F21BD8">
    <w:pPr>
      <w:pStyle w:val="En-tte"/>
      <w:pBdr>
        <w:bottom w:val="single" w:sz="4" w:space="1" w:color="A6A6A6" w:themeColor="background1" w:themeShade="A6"/>
      </w:pBdr>
      <w:spacing w:line="240" w:lineRule="auto"/>
      <w:rPr>
        <w:rFonts w:cs="Arial"/>
        <w:b/>
        <w:bCs/>
        <w:i/>
        <w:iCs/>
        <w:color w:val="000000"/>
        <w:sz w:val="14"/>
        <w:szCs w:val="14"/>
        <w:shd w:val="clear" w:color="auto" w:fill="FFFFFF"/>
        <w:lang w:val="fr-FR"/>
      </w:rPr>
    </w:pPr>
    <w:r>
      <w:rPr>
        <w:rFonts w:cs="Arial"/>
        <w:b/>
        <w:bCs/>
        <w:i/>
        <w:iCs/>
        <w:color w:val="000000"/>
        <w:sz w:val="14"/>
        <w:szCs w:val="14"/>
        <w:shd w:val="clear" w:color="auto" w:fill="FFFFFF"/>
        <w:lang w:val="fr-FR"/>
      </w:rPr>
      <w:t>Références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4F8FF" w14:textId="6A7A63A2" w:rsidR="00FF30BF" w:rsidRPr="00F21BD8" w:rsidRDefault="00F21BD8" w:rsidP="00F21BD8">
    <w:pPr>
      <w:pStyle w:val="En-tte"/>
      <w:pBdr>
        <w:bottom w:val="single" w:sz="4" w:space="1" w:color="A6A6A6" w:themeColor="background1" w:themeShade="A6"/>
      </w:pBdr>
      <w:spacing w:line="240" w:lineRule="auto"/>
      <w:jc w:val="right"/>
      <w:rPr>
        <w:rFonts w:cs="Arial"/>
        <w:b/>
        <w:bCs/>
        <w:i/>
        <w:iCs/>
        <w:color w:val="000000"/>
        <w:sz w:val="14"/>
        <w:szCs w:val="14"/>
        <w:shd w:val="clear" w:color="auto" w:fill="FFFFFF"/>
        <w:lang w:val="fr-FR"/>
      </w:rPr>
    </w:pPr>
    <w:r>
      <w:rPr>
        <w:rFonts w:cs="Arial"/>
        <w:b/>
        <w:bCs/>
        <w:i/>
        <w:iCs/>
        <w:color w:val="000000"/>
        <w:sz w:val="14"/>
        <w:szCs w:val="14"/>
        <w:shd w:val="clear" w:color="auto" w:fill="FFFFFF"/>
        <w:lang w:val="fr-FR"/>
      </w:rPr>
      <w:t>Références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FDC97" w14:textId="72FA1DF6" w:rsidR="00631A1F" w:rsidRPr="00BD22C2" w:rsidRDefault="00356438">
    <w:pPr>
      <w:pStyle w:val="En-tte"/>
    </w:pPr>
    <w:r w:rsidRPr="00A66D0E">
      <w:rPr>
        <w:noProof/>
      </w:rPr>
      <w:drawing>
        <wp:inline distT="0" distB="0" distL="0" distR="0" wp14:anchorId="114EF647" wp14:editId="3268AFFF">
          <wp:extent cx="2325600" cy="561600"/>
          <wp:effectExtent l="0" t="0" r="0" b="0"/>
          <wp:docPr id="593657285" name="Image 1" descr="Une image contenant étoile, noir, espace, constell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68204" name="Image 1" descr="Une image contenant étoile, noir, espace, constella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561600"/>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EE15E" w14:textId="3581B169" w:rsidR="005F5490" w:rsidRPr="003D1F50" w:rsidRDefault="005F5490">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65000" w14:textId="77777777" w:rsidR="00B92595" w:rsidRDefault="00B92595">
    <w:pPr>
      <w:pStyle w:val="En-tte"/>
    </w:pPr>
    <w:r>
      <w:rPr>
        <w:noProof/>
      </w:rPr>
      <mc:AlternateContent>
        <mc:Choice Requires="wps">
          <w:drawing>
            <wp:anchor distT="0" distB="0" distL="114300" distR="114300" simplePos="0" relativeHeight="251657216" behindDoc="1" locked="0" layoutInCell="0" allowOverlap="1" wp14:anchorId="360F20F1" wp14:editId="7D6F9344">
              <wp:simplePos x="0" y="0"/>
              <wp:positionH relativeFrom="margin">
                <wp:align>center</wp:align>
              </wp:positionH>
              <wp:positionV relativeFrom="margin">
                <wp:align>center</wp:align>
              </wp:positionV>
              <wp:extent cx="5788025" cy="1653540"/>
              <wp:effectExtent l="0" t="1704975" r="0" b="1480185"/>
              <wp:wrapNone/>
              <wp:docPr id="69232212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8025" cy="1653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9D86CE" w14:textId="77777777" w:rsidR="00B92595" w:rsidRDefault="00B92595">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F20F1" id="_x0000_t202" coordsize="21600,21600" o:spt="202" path="m,l,21600r21600,l21600,xe">
              <v:stroke joinstyle="miter"/>
              <v:path gradientshapeok="t" o:connecttype="rect"/>
            </v:shapetype>
            <v:shape id="Zone de texte 1" o:spid="_x0000_s1026" type="#_x0000_t202" style="position:absolute;left:0;text-align:left;margin-left:0;margin-top:0;width:455.75pt;height:130.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" o:allowincell="f" filled="f" stroked="f">
              <v:stroke joinstyle="round"/>
              <o:lock v:ext="edit" shapetype="t"/>
              <v:textbox style="mso-fit-shape-to-text:t">
                <w:txbxContent>
                  <w:p w14:paraId="679D86CE" w14:textId="77777777" w:rsidR="00B92595" w:rsidRDefault="00B92595">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9C28C" w14:textId="77777777" w:rsidR="00B92595" w:rsidRDefault="00B92595">
    <w:pPr>
      <w:pStyle w:val="En-tte"/>
    </w:pPr>
    <w:r>
      <w:rPr>
        <w:noProof/>
      </w:rPr>
      <mc:AlternateContent>
        <mc:Choice Requires="wps">
          <w:drawing>
            <wp:anchor distT="0" distB="0" distL="114300" distR="114300" simplePos="0" relativeHeight="251662336" behindDoc="1" locked="0" layoutInCell="0" allowOverlap="1" wp14:anchorId="3C71901D" wp14:editId="6BB27E7A">
              <wp:simplePos x="0" y="0"/>
              <wp:positionH relativeFrom="margin">
                <wp:align>center</wp:align>
              </wp:positionH>
              <wp:positionV relativeFrom="margin">
                <wp:align>center</wp:align>
              </wp:positionV>
              <wp:extent cx="5788025" cy="1653540"/>
              <wp:effectExtent l="0" t="1704975" r="0" b="1480185"/>
              <wp:wrapNone/>
              <wp:docPr id="16122588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8025" cy="1653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C5CAC" w14:textId="77777777" w:rsidR="00B92595" w:rsidRDefault="00B92595">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71901D" id="_x0000_t202" coordsize="21600,21600" o:spt="202" path="m,l,21600r21600,l21600,xe">
              <v:stroke joinstyle="miter"/>
              <v:path gradientshapeok="t" o:connecttype="rect"/>
            </v:shapetype>
            <v:shape id="Zone de texte 2" o:spid="_x0000_s1027" type="#_x0000_t202" style="position:absolute;left:0;text-align:left;margin-left:0;margin-top:0;width:455.75pt;height:130.2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" o:allowincell="f" filled="f" stroked="f">
              <v:stroke joinstyle="round"/>
              <o:lock v:ext="edit" shapetype="t"/>
              <v:textbox style="mso-fit-shape-to-text:t">
                <w:txbxContent>
                  <w:p w14:paraId="1C1C5CAC" w14:textId="77777777" w:rsidR="00B92595" w:rsidRDefault="00B92595">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EA38" w14:textId="77777777" w:rsidR="00B92595" w:rsidRPr="00685410" w:rsidRDefault="00B9259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3C5C" w14:textId="77777777" w:rsidR="00AE632E" w:rsidRPr="00351EB3" w:rsidRDefault="00AE632E" w:rsidP="00016222">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p w14:paraId="2A776167" w14:textId="77777777" w:rsidR="00AE632E" w:rsidRPr="00BD22C2" w:rsidRDefault="00AE632E">
    <w:pPr>
      <w:pStyle w:val="En-tte"/>
    </w:pPr>
  </w:p>
  <w:p w14:paraId="40E066F0" w14:textId="77777777" w:rsidR="00AE632E" w:rsidRDefault="00AE632E"/>
  <w:p w14:paraId="7BD9D9B4" w14:textId="77777777" w:rsidR="00AE632E" w:rsidRDefault="00AE632E"/>
  <w:p w14:paraId="6F81CA65" w14:textId="77777777" w:rsidR="00AE632E" w:rsidRDefault="00AE632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B049" w14:textId="77777777" w:rsidR="00AE632E" w:rsidRPr="00351EB3" w:rsidRDefault="00AE632E" w:rsidP="00F33CCB">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p w14:paraId="09FCC2FB" w14:textId="77777777" w:rsidR="00AE632E" w:rsidRPr="00702640" w:rsidRDefault="00AE632E">
    <w:pPr>
      <w:pStyle w:val="En-tte"/>
      <w:rPr>
        <w:lang w:val="fr-FR"/>
      </w:rPr>
    </w:pPr>
  </w:p>
  <w:p w14:paraId="40D0BE39" w14:textId="77777777" w:rsidR="00AE632E" w:rsidRDefault="00AE632E"/>
  <w:p w14:paraId="231E5C89" w14:textId="77777777" w:rsidR="00AE632E" w:rsidRDefault="00AE632E"/>
  <w:p w14:paraId="5ED0C6B7" w14:textId="77777777" w:rsidR="00AE632E" w:rsidRDefault="00AE632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0A47" w14:textId="77777777" w:rsidR="00AE632E" w:rsidRPr="001F54CC" w:rsidRDefault="00AE632E" w:rsidP="001F54C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3512" w14:textId="77777777" w:rsidR="00B92595" w:rsidRPr="00351EB3" w:rsidRDefault="00B92595" w:rsidP="00016222">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p w14:paraId="3E1CAECF" w14:textId="77777777" w:rsidR="00B92595" w:rsidRPr="00BD22C2" w:rsidRDefault="00B92595">
    <w:pPr>
      <w:pStyle w:val="En-tte"/>
    </w:pPr>
  </w:p>
  <w:p w14:paraId="6D6B08AC" w14:textId="77777777" w:rsidR="00B92595" w:rsidRDefault="00B92595"/>
  <w:p w14:paraId="3E38A7A5" w14:textId="77777777" w:rsidR="00B92595" w:rsidRDefault="00B92595"/>
  <w:p w14:paraId="1E8433D8" w14:textId="77777777" w:rsidR="00B92595" w:rsidRDefault="00B925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EDE524E"/>
    <w:lvl w:ilvl="0">
      <w:start w:val="1"/>
      <w:numFmt w:val="bullet"/>
      <w:pStyle w:val="Listepuces"/>
      <w:lvlText w:val=""/>
      <w:lvlJc w:val="left"/>
      <w:pPr>
        <w:ind w:left="360" w:hanging="360"/>
      </w:pPr>
      <w:rPr>
        <w:rFonts w:ascii="Wingdings" w:hAnsi="Wingdings" w:hint="default"/>
      </w:rPr>
    </w:lvl>
  </w:abstractNum>
  <w:abstractNum w:abstractNumId="1" w15:restartNumberingAfterBreak="0">
    <w:nsid w:val="025A5F98"/>
    <w:multiLevelType w:val="multilevel"/>
    <w:tmpl w:val="0A36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323D0"/>
    <w:multiLevelType w:val="hybridMultilevel"/>
    <w:tmpl w:val="0E8690E6"/>
    <w:lvl w:ilvl="0" w:tplc="4298467A">
      <w:start w:val="1"/>
      <w:numFmt w:val="upperLetter"/>
      <w:pStyle w:val="Titre4"/>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8F71EBF"/>
    <w:multiLevelType w:val="multilevel"/>
    <w:tmpl w:val="FEE8C1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ED94B5C"/>
    <w:multiLevelType w:val="hybridMultilevel"/>
    <w:tmpl w:val="B5F05E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E05CF0"/>
    <w:multiLevelType w:val="hybridMultilevel"/>
    <w:tmpl w:val="43B625B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6" w15:restartNumberingAfterBreak="0">
    <w:nsid w:val="1BD02526"/>
    <w:multiLevelType w:val="multilevel"/>
    <w:tmpl w:val="DDD2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B7117"/>
    <w:multiLevelType w:val="hybridMultilevel"/>
    <w:tmpl w:val="BEF8DB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FE8341E"/>
    <w:multiLevelType w:val="hybridMultilevel"/>
    <w:tmpl w:val="38B29756"/>
    <w:lvl w:ilvl="0" w:tplc="AF06EE9A">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A22FC5"/>
    <w:multiLevelType w:val="hybridMultilevel"/>
    <w:tmpl w:val="84808422"/>
    <w:lvl w:ilvl="0" w:tplc="0C0C0005">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0" w15:restartNumberingAfterBreak="0">
    <w:nsid w:val="25B7120B"/>
    <w:multiLevelType w:val="hybridMultilevel"/>
    <w:tmpl w:val="E4D09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8586EEF"/>
    <w:multiLevelType w:val="hybridMultilevel"/>
    <w:tmpl w:val="0CC421D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D67F0F"/>
    <w:multiLevelType w:val="hybridMultilevel"/>
    <w:tmpl w:val="78CC97F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36147BF"/>
    <w:multiLevelType w:val="hybridMultilevel"/>
    <w:tmpl w:val="FFFAE946"/>
    <w:lvl w:ilvl="0" w:tplc="32789262">
      <w:start w:val="1"/>
      <w:numFmt w:val="bullet"/>
      <w:lvlText w:val=""/>
      <w:lvlJc w:val="left"/>
      <w:pPr>
        <w:ind w:left="720" w:hanging="360"/>
      </w:pPr>
      <w:rPr>
        <w:rFonts w:ascii="Wingdings" w:hAnsi="Wingdings" w:hint="default"/>
        <w:caps w:val="0"/>
        <w:strike w:val="0"/>
        <w:dstrike w:val="0"/>
        <w:vanish w:val="0"/>
        <w:color w:va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5E69CD"/>
    <w:multiLevelType w:val="hybridMultilevel"/>
    <w:tmpl w:val="500C4DA8"/>
    <w:lvl w:ilvl="0" w:tplc="32789262">
      <w:start w:val="1"/>
      <w:numFmt w:val="bullet"/>
      <w:lvlText w:val=""/>
      <w:lvlJc w:val="left"/>
      <w:pPr>
        <w:ind w:left="720" w:hanging="360"/>
      </w:pPr>
      <w:rPr>
        <w:rFonts w:ascii="Wingdings" w:hAnsi="Wingdings" w:hint="default"/>
        <w:caps w:val="0"/>
        <w:strike w:val="0"/>
        <w:dstrike w:val="0"/>
        <w:vanish w:val="0"/>
        <w:color w:va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710E7B"/>
    <w:multiLevelType w:val="hybridMultilevel"/>
    <w:tmpl w:val="4B2408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2654FCE"/>
    <w:multiLevelType w:val="hybridMultilevel"/>
    <w:tmpl w:val="A8B00DC6"/>
    <w:lvl w:ilvl="0" w:tplc="4A7AACFA">
      <w:start w:val="1"/>
      <w:numFmt w:val="bullet"/>
      <w:lvlText w:val="—"/>
      <w:lvlJc w:val="left"/>
      <w:pPr>
        <w:ind w:left="1429" w:hanging="360"/>
      </w:pPr>
      <w:rPr>
        <w:rFonts w:ascii="Arial" w:hAnsi="Aria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7" w15:restartNumberingAfterBreak="0">
    <w:nsid w:val="43056310"/>
    <w:multiLevelType w:val="multilevel"/>
    <w:tmpl w:val="4A60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10DD2"/>
    <w:multiLevelType w:val="hybridMultilevel"/>
    <w:tmpl w:val="E758DB6A"/>
    <w:lvl w:ilvl="0" w:tplc="0C0C0005">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9" w15:restartNumberingAfterBreak="0">
    <w:nsid w:val="45A479E3"/>
    <w:multiLevelType w:val="hybridMultilevel"/>
    <w:tmpl w:val="7A2433B0"/>
    <w:lvl w:ilvl="0" w:tplc="AF06EE9A">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891285C"/>
    <w:multiLevelType w:val="hybridMultilevel"/>
    <w:tmpl w:val="DE8C3652"/>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C20759"/>
    <w:multiLevelType w:val="multilevel"/>
    <w:tmpl w:val="0368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D65684"/>
    <w:multiLevelType w:val="hybridMultilevel"/>
    <w:tmpl w:val="8CFAF0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F95A0A"/>
    <w:multiLevelType w:val="multilevel"/>
    <w:tmpl w:val="F22A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DC78A1"/>
    <w:multiLevelType w:val="hybridMultilevel"/>
    <w:tmpl w:val="273EE6E0"/>
    <w:lvl w:ilvl="0" w:tplc="0C0C0005">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5" w15:restartNumberingAfterBreak="0">
    <w:nsid w:val="500B69D3"/>
    <w:multiLevelType w:val="multilevel"/>
    <w:tmpl w:val="2FB8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7F3D8B"/>
    <w:multiLevelType w:val="hybridMultilevel"/>
    <w:tmpl w:val="7C4603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2B529C1"/>
    <w:multiLevelType w:val="hybridMultilevel"/>
    <w:tmpl w:val="5CE642A2"/>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5C18ED"/>
    <w:multiLevelType w:val="hybridMultilevel"/>
    <w:tmpl w:val="3FE20C84"/>
    <w:lvl w:ilvl="0" w:tplc="AF06EE9A">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4C54607"/>
    <w:multiLevelType w:val="hybridMultilevel"/>
    <w:tmpl w:val="69CADB4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C5A3950"/>
    <w:multiLevelType w:val="hybridMultilevel"/>
    <w:tmpl w:val="00005C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EBF0288"/>
    <w:multiLevelType w:val="hybridMultilevel"/>
    <w:tmpl w:val="5F68A60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FC022F7"/>
    <w:multiLevelType w:val="hybridMultilevel"/>
    <w:tmpl w:val="2ECCC29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6916639"/>
    <w:multiLevelType w:val="hybridMultilevel"/>
    <w:tmpl w:val="B2FCF7F8"/>
    <w:lvl w:ilvl="0" w:tplc="27A67FCA">
      <w:start w:val="1"/>
      <w:numFmt w:val="bullet"/>
      <w:lvlText w:val=""/>
      <w:lvlJc w:val="left"/>
      <w:pPr>
        <w:ind w:left="4340" w:hanging="360"/>
      </w:pPr>
      <w:rPr>
        <w:rFonts w:ascii="Symbol" w:hAnsi="Symbol" w:hint="default"/>
      </w:rPr>
    </w:lvl>
    <w:lvl w:ilvl="1" w:tplc="0C0C0003" w:tentative="1">
      <w:start w:val="1"/>
      <w:numFmt w:val="bullet"/>
      <w:lvlText w:val="o"/>
      <w:lvlJc w:val="left"/>
      <w:pPr>
        <w:ind w:left="1450" w:hanging="360"/>
      </w:pPr>
      <w:rPr>
        <w:rFonts w:ascii="Courier New" w:hAnsi="Courier New" w:cs="Courier New" w:hint="default"/>
      </w:rPr>
    </w:lvl>
    <w:lvl w:ilvl="2" w:tplc="0C0C0005" w:tentative="1">
      <w:start w:val="1"/>
      <w:numFmt w:val="bullet"/>
      <w:lvlText w:val=""/>
      <w:lvlJc w:val="left"/>
      <w:pPr>
        <w:ind w:left="2170" w:hanging="360"/>
      </w:pPr>
      <w:rPr>
        <w:rFonts w:ascii="Wingdings" w:hAnsi="Wingdings" w:hint="default"/>
      </w:rPr>
    </w:lvl>
    <w:lvl w:ilvl="3" w:tplc="0C0C0001" w:tentative="1">
      <w:start w:val="1"/>
      <w:numFmt w:val="bullet"/>
      <w:lvlText w:val=""/>
      <w:lvlJc w:val="left"/>
      <w:pPr>
        <w:ind w:left="2890" w:hanging="360"/>
      </w:pPr>
      <w:rPr>
        <w:rFonts w:ascii="Symbol" w:hAnsi="Symbol" w:hint="default"/>
      </w:rPr>
    </w:lvl>
    <w:lvl w:ilvl="4" w:tplc="0C0C0003" w:tentative="1">
      <w:start w:val="1"/>
      <w:numFmt w:val="bullet"/>
      <w:lvlText w:val="o"/>
      <w:lvlJc w:val="left"/>
      <w:pPr>
        <w:ind w:left="3610" w:hanging="360"/>
      </w:pPr>
      <w:rPr>
        <w:rFonts w:ascii="Courier New" w:hAnsi="Courier New" w:cs="Courier New" w:hint="default"/>
      </w:rPr>
    </w:lvl>
    <w:lvl w:ilvl="5" w:tplc="0C0C0005" w:tentative="1">
      <w:start w:val="1"/>
      <w:numFmt w:val="bullet"/>
      <w:lvlText w:val=""/>
      <w:lvlJc w:val="left"/>
      <w:pPr>
        <w:ind w:left="4330" w:hanging="360"/>
      </w:pPr>
      <w:rPr>
        <w:rFonts w:ascii="Wingdings" w:hAnsi="Wingdings" w:hint="default"/>
      </w:rPr>
    </w:lvl>
    <w:lvl w:ilvl="6" w:tplc="0C0C0001" w:tentative="1">
      <w:start w:val="1"/>
      <w:numFmt w:val="bullet"/>
      <w:lvlText w:val=""/>
      <w:lvlJc w:val="left"/>
      <w:pPr>
        <w:ind w:left="5050" w:hanging="360"/>
      </w:pPr>
      <w:rPr>
        <w:rFonts w:ascii="Symbol" w:hAnsi="Symbol" w:hint="default"/>
      </w:rPr>
    </w:lvl>
    <w:lvl w:ilvl="7" w:tplc="0C0C0003" w:tentative="1">
      <w:start w:val="1"/>
      <w:numFmt w:val="bullet"/>
      <w:lvlText w:val="o"/>
      <w:lvlJc w:val="left"/>
      <w:pPr>
        <w:ind w:left="5770" w:hanging="360"/>
      </w:pPr>
      <w:rPr>
        <w:rFonts w:ascii="Courier New" w:hAnsi="Courier New" w:cs="Courier New" w:hint="default"/>
      </w:rPr>
    </w:lvl>
    <w:lvl w:ilvl="8" w:tplc="0C0C0005" w:tentative="1">
      <w:start w:val="1"/>
      <w:numFmt w:val="bullet"/>
      <w:lvlText w:val=""/>
      <w:lvlJc w:val="left"/>
      <w:pPr>
        <w:ind w:left="6490" w:hanging="360"/>
      </w:pPr>
      <w:rPr>
        <w:rFonts w:ascii="Wingdings" w:hAnsi="Wingdings" w:hint="default"/>
      </w:rPr>
    </w:lvl>
  </w:abstractNum>
  <w:abstractNum w:abstractNumId="34" w15:restartNumberingAfterBreak="0">
    <w:nsid w:val="78A2213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D326B3"/>
    <w:multiLevelType w:val="multilevel"/>
    <w:tmpl w:val="AD9A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071034">
    <w:abstractNumId w:val="0"/>
  </w:num>
  <w:num w:numId="2" w16cid:durableId="1751807282">
    <w:abstractNumId w:val="22"/>
  </w:num>
  <w:num w:numId="3" w16cid:durableId="708798322">
    <w:abstractNumId w:val="26"/>
  </w:num>
  <w:num w:numId="4" w16cid:durableId="257102441">
    <w:abstractNumId w:val="3"/>
  </w:num>
  <w:num w:numId="5" w16cid:durableId="1524399069">
    <w:abstractNumId w:val="10"/>
  </w:num>
  <w:num w:numId="6" w16cid:durableId="667055013">
    <w:abstractNumId w:val="8"/>
  </w:num>
  <w:num w:numId="7" w16cid:durableId="822740250">
    <w:abstractNumId w:val="28"/>
  </w:num>
  <w:num w:numId="8" w16cid:durableId="1143160567">
    <w:abstractNumId w:val="15"/>
  </w:num>
  <w:num w:numId="9" w16cid:durableId="111292447">
    <w:abstractNumId w:val="19"/>
  </w:num>
  <w:num w:numId="10" w16cid:durableId="477385238">
    <w:abstractNumId w:val="20"/>
  </w:num>
  <w:num w:numId="11" w16cid:durableId="1152062093">
    <w:abstractNumId w:val="29"/>
  </w:num>
  <w:num w:numId="12" w16cid:durableId="542713527">
    <w:abstractNumId w:val="2"/>
  </w:num>
  <w:num w:numId="13" w16cid:durableId="1399744273">
    <w:abstractNumId w:val="18"/>
  </w:num>
  <w:num w:numId="14" w16cid:durableId="1064334922">
    <w:abstractNumId w:val="24"/>
  </w:num>
  <w:num w:numId="15" w16cid:durableId="1313949197">
    <w:abstractNumId w:val="2"/>
    <w:lvlOverride w:ilvl="0">
      <w:startOverride w:val="1"/>
    </w:lvlOverride>
  </w:num>
  <w:num w:numId="16" w16cid:durableId="2092696232">
    <w:abstractNumId w:val="2"/>
  </w:num>
  <w:num w:numId="17" w16cid:durableId="243295352">
    <w:abstractNumId w:val="27"/>
  </w:num>
  <w:num w:numId="18" w16cid:durableId="659964185">
    <w:abstractNumId w:val="17"/>
  </w:num>
  <w:num w:numId="19" w16cid:durableId="2039893630">
    <w:abstractNumId w:val="33"/>
  </w:num>
  <w:num w:numId="20" w16cid:durableId="1394766930">
    <w:abstractNumId w:val="23"/>
  </w:num>
  <w:num w:numId="21" w16cid:durableId="1502500080">
    <w:abstractNumId w:val="6"/>
  </w:num>
  <w:num w:numId="22" w16cid:durableId="571157457">
    <w:abstractNumId w:val="25"/>
  </w:num>
  <w:num w:numId="23" w16cid:durableId="744255484">
    <w:abstractNumId w:val="35"/>
  </w:num>
  <w:num w:numId="24" w16cid:durableId="473180934">
    <w:abstractNumId w:val="1"/>
  </w:num>
  <w:num w:numId="25" w16cid:durableId="671251697">
    <w:abstractNumId w:val="21"/>
  </w:num>
  <w:num w:numId="26" w16cid:durableId="1628588452">
    <w:abstractNumId w:val="30"/>
  </w:num>
  <w:num w:numId="27" w16cid:durableId="1496722475">
    <w:abstractNumId w:val="7"/>
  </w:num>
  <w:num w:numId="28" w16cid:durableId="1310212484">
    <w:abstractNumId w:val="12"/>
  </w:num>
  <w:num w:numId="29" w16cid:durableId="1480614371">
    <w:abstractNumId w:val="4"/>
  </w:num>
  <w:num w:numId="30" w16cid:durableId="1830175028">
    <w:abstractNumId w:val="11"/>
  </w:num>
  <w:num w:numId="31" w16cid:durableId="947543731">
    <w:abstractNumId w:val="16"/>
  </w:num>
  <w:num w:numId="32" w16cid:durableId="239683912">
    <w:abstractNumId w:val="9"/>
  </w:num>
  <w:num w:numId="33" w16cid:durableId="1757550650">
    <w:abstractNumId w:val="31"/>
  </w:num>
  <w:num w:numId="34" w16cid:durableId="408232816">
    <w:abstractNumId w:val="2"/>
    <w:lvlOverride w:ilvl="0">
      <w:startOverride w:val="1"/>
    </w:lvlOverride>
  </w:num>
  <w:num w:numId="35" w16cid:durableId="794715541">
    <w:abstractNumId w:val="32"/>
  </w:num>
  <w:num w:numId="36" w16cid:durableId="1012957156">
    <w:abstractNumId w:val="14"/>
  </w:num>
  <w:num w:numId="37" w16cid:durableId="917059700">
    <w:abstractNumId w:val="13"/>
  </w:num>
  <w:num w:numId="38" w16cid:durableId="2051031186">
    <w:abstractNumId w:val="2"/>
    <w:lvlOverride w:ilvl="0">
      <w:startOverride w:val="1"/>
    </w:lvlOverride>
  </w:num>
  <w:num w:numId="39" w16cid:durableId="3384315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1WngjVIcAFfImLBBcm7jDISDgUxsh9cLscOhLodoSnuH+Jxykhhjxnse0/CjyRBOtzga37GywHB0GkCzulye3A==" w:salt="okb2qqEmDT8SGt+HuC2KYA=="/>
  <w:defaultTabStop w:val="706"/>
  <w:hyphenationZone w:val="432"/>
  <w:drawingGridHorizontalSpacing w:val="120"/>
  <w:drawingGridVerticalSpacing w:val="163"/>
  <w:displayHorizontalDrawingGridEvery w:val="0"/>
  <w:displayVerticalDrawingGridEvery w:val="2"/>
  <w:noPunctuationKerning/>
  <w:characterSpacingControl w:val="doNotCompress"/>
  <w:hdrShapeDefaults>
    <o:shapedefaults v:ext="edit" spidmax="2050" style="mso-position-horizontal-relative:margin;mso-position-vertical-relative:margin" o:allowincell="f" fillcolor="silver" stroke="f">
      <v:fill color="silver"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88"/>
    <w:rsid w:val="00000070"/>
    <w:rsid w:val="00000089"/>
    <w:rsid w:val="0000019D"/>
    <w:rsid w:val="00000215"/>
    <w:rsid w:val="000002D3"/>
    <w:rsid w:val="0000036A"/>
    <w:rsid w:val="000003C1"/>
    <w:rsid w:val="00000430"/>
    <w:rsid w:val="0000053E"/>
    <w:rsid w:val="000006BA"/>
    <w:rsid w:val="000006F0"/>
    <w:rsid w:val="00000A5B"/>
    <w:rsid w:val="00000B1D"/>
    <w:rsid w:val="00000B2B"/>
    <w:rsid w:val="00001072"/>
    <w:rsid w:val="0000107F"/>
    <w:rsid w:val="0000108C"/>
    <w:rsid w:val="000010E9"/>
    <w:rsid w:val="00001145"/>
    <w:rsid w:val="000011D9"/>
    <w:rsid w:val="000011F5"/>
    <w:rsid w:val="0000122C"/>
    <w:rsid w:val="00001291"/>
    <w:rsid w:val="000012F2"/>
    <w:rsid w:val="00001338"/>
    <w:rsid w:val="00001357"/>
    <w:rsid w:val="00001474"/>
    <w:rsid w:val="000014D3"/>
    <w:rsid w:val="000014F8"/>
    <w:rsid w:val="0000150A"/>
    <w:rsid w:val="0000153D"/>
    <w:rsid w:val="00001585"/>
    <w:rsid w:val="0000159F"/>
    <w:rsid w:val="0000161E"/>
    <w:rsid w:val="00001655"/>
    <w:rsid w:val="000016A7"/>
    <w:rsid w:val="00001710"/>
    <w:rsid w:val="0000182B"/>
    <w:rsid w:val="00001985"/>
    <w:rsid w:val="000019ED"/>
    <w:rsid w:val="00001A20"/>
    <w:rsid w:val="00001A5E"/>
    <w:rsid w:val="00001A8F"/>
    <w:rsid w:val="00001ADD"/>
    <w:rsid w:val="00001B64"/>
    <w:rsid w:val="00001BA1"/>
    <w:rsid w:val="00001BF3"/>
    <w:rsid w:val="00001C42"/>
    <w:rsid w:val="00001CE0"/>
    <w:rsid w:val="00001D1C"/>
    <w:rsid w:val="00001D6B"/>
    <w:rsid w:val="00001DA0"/>
    <w:rsid w:val="00001DFF"/>
    <w:rsid w:val="00001E9A"/>
    <w:rsid w:val="00001E9B"/>
    <w:rsid w:val="00001F67"/>
    <w:rsid w:val="00001F9F"/>
    <w:rsid w:val="00002028"/>
    <w:rsid w:val="00002032"/>
    <w:rsid w:val="0000216D"/>
    <w:rsid w:val="00002172"/>
    <w:rsid w:val="000021AE"/>
    <w:rsid w:val="000021C6"/>
    <w:rsid w:val="00002297"/>
    <w:rsid w:val="000022BE"/>
    <w:rsid w:val="0000231C"/>
    <w:rsid w:val="000024B7"/>
    <w:rsid w:val="000025B5"/>
    <w:rsid w:val="000025F6"/>
    <w:rsid w:val="000026C2"/>
    <w:rsid w:val="000026E8"/>
    <w:rsid w:val="00002783"/>
    <w:rsid w:val="000027B5"/>
    <w:rsid w:val="000027D2"/>
    <w:rsid w:val="0000284F"/>
    <w:rsid w:val="00002855"/>
    <w:rsid w:val="000028A8"/>
    <w:rsid w:val="000028E5"/>
    <w:rsid w:val="0000298B"/>
    <w:rsid w:val="000029F1"/>
    <w:rsid w:val="00002B55"/>
    <w:rsid w:val="00002B8F"/>
    <w:rsid w:val="00002C01"/>
    <w:rsid w:val="00002CD1"/>
    <w:rsid w:val="00002D29"/>
    <w:rsid w:val="00002DB4"/>
    <w:rsid w:val="00002E02"/>
    <w:rsid w:val="00002E3A"/>
    <w:rsid w:val="00002E57"/>
    <w:rsid w:val="0000311E"/>
    <w:rsid w:val="00003123"/>
    <w:rsid w:val="00003210"/>
    <w:rsid w:val="0000334D"/>
    <w:rsid w:val="000033F6"/>
    <w:rsid w:val="000035AC"/>
    <w:rsid w:val="00003651"/>
    <w:rsid w:val="00003670"/>
    <w:rsid w:val="00003677"/>
    <w:rsid w:val="000037FA"/>
    <w:rsid w:val="0000388D"/>
    <w:rsid w:val="000038D1"/>
    <w:rsid w:val="00003943"/>
    <w:rsid w:val="00003BC0"/>
    <w:rsid w:val="00003BF8"/>
    <w:rsid w:val="00003D76"/>
    <w:rsid w:val="00003D98"/>
    <w:rsid w:val="00003DFD"/>
    <w:rsid w:val="00003F88"/>
    <w:rsid w:val="00003FAE"/>
    <w:rsid w:val="00003FB4"/>
    <w:rsid w:val="00003FC7"/>
    <w:rsid w:val="00003FD8"/>
    <w:rsid w:val="00003FD9"/>
    <w:rsid w:val="0000405F"/>
    <w:rsid w:val="00004094"/>
    <w:rsid w:val="00004108"/>
    <w:rsid w:val="00004150"/>
    <w:rsid w:val="0000421B"/>
    <w:rsid w:val="000043A1"/>
    <w:rsid w:val="000043CA"/>
    <w:rsid w:val="0000440E"/>
    <w:rsid w:val="00004463"/>
    <w:rsid w:val="000044E6"/>
    <w:rsid w:val="00004599"/>
    <w:rsid w:val="000045B5"/>
    <w:rsid w:val="000047CC"/>
    <w:rsid w:val="00004860"/>
    <w:rsid w:val="00004865"/>
    <w:rsid w:val="00004982"/>
    <w:rsid w:val="000049B8"/>
    <w:rsid w:val="000049E8"/>
    <w:rsid w:val="00004A10"/>
    <w:rsid w:val="00004B76"/>
    <w:rsid w:val="00004B91"/>
    <w:rsid w:val="00004B9D"/>
    <w:rsid w:val="00004C6B"/>
    <w:rsid w:val="00004FA7"/>
    <w:rsid w:val="00004FD9"/>
    <w:rsid w:val="00005060"/>
    <w:rsid w:val="0000507C"/>
    <w:rsid w:val="0000509E"/>
    <w:rsid w:val="000051BD"/>
    <w:rsid w:val="000051DF"/>
    <w:rsid w:val="00005205"/>
    <w:rsid w:val="00005257"/>
    <w:rsid w:val="0000531F"/>
    <w:rsid w:val="00005569"/>
    <w:rsid w:val="0000556C"/>
    <w:rsid w:val="000058AF"/>
    <w:rsid w:val="00005A0B"/>
    <w:rsid w:val="00005AE8"/>
    <w:rsid w:val="00005AFD"/>
    <w:rsid w:val="00005B84"/>
    <w:rsid w:val="00005BB8"/>
    <w:rsid w:val="00005C10"/>
    <w:rsid w:val="00005C37"/>
    <w:rsid w:val="00005CCB"/>
    <w:rsid w:val="00005D76"/>
    <w:rsid w:val="00005D89"/>
    <w:rsid w:val="00005E9F"/>
    <w:rsid w:val="00005EAD"/>
    <w:rsid w:val="00005EC0"/>
    <w:rsid w:val="00005EEE"/>
    <w:rsid w:val="00006000"/>
    <w:rsid w:val="000060A0"/>
    <w:rsid w:val="00006124"/>
    <w:rsid w:val="0000612B"/>
    <w:rsid w:val="0000650C"/>
    <w:rsid w:val="000065AD"/>
    <w:rsid w:val="0000661B"/>
    <w:rsid w:val="00006624"/>
    <w:rsid w:val="00006654"/>
    <w:rsid w:val="00006711"/>
    <w:rsid w:val="00006760"/>
    <w:rsid w:val="00006773"/>
    <w:rsid w:val="0000681A"/>
    <w:rsid w:val="000068E4"/>
    <w:rsid w:val="00006AB7"/>
    <w:rsid w:val="00006ABB"/>
    <w:rsid w:val="00006B4D"/>
    <w:rsid w:val="00006B83"/>
    <w:rsid w:val="00006D4F"/>
    <w:rsid w:val="00006DD0"/>
    <w:rsid w:val="00006E38"/>
    <w:rsid w:val="00006E44"/>
    <w:rsid w:val="00006E8C"/>
    <w:rsid w:val="00007130"/>
    <w:rsid w:val="00007181"/>
    <w:rsid w:val="000072DB"/>
    <w:rsid w:val="00007300"/>
    <w:rsid w:val="00007316"/>
    <w:rsid w:val="00007431"/>
    <w:rsid w:val="00007487"/>
    <w:rsid w:val="000074F0"/>
    <w:rsid w:val="0000763A"/>
    <w:rsid w:val="0000776B"/>
    <w:rsid w:val="000078AB"/>
    <w:rsid w:val="000078C8"/>
    <w:rsid w:val="00007996"/>
    <w:rsid w:val="000079C3"/>
    <w:rsid w:val="000079D0"/>
    <w:rsid w:val="00007A68"/>
    <w:rsid w:val="00007A8D"/>
    <w:rsid w:val="00007B24"/>
    <w:rsid w:val="00007B3C"/>
    <w:rsid w:val="00007B86"/>
    <w:rsid w:val="00007BFA"/>
    <w:rsid w:val="00007D15"/>
    <w:rsid w:val="00007E25"/>
    <w:rsid w:val="00007E8E"/>
    <w:rsid w:val="00007FA4"/>
    <w:rsid w:val="00007FCB"/>
    <w:rsid w:val="00007FD2"/>
    <w:rsid w:val="00010018"/>
    <w:rsid w:val="00010026"/>
    <w:rsid w:val="000100E1"/>
    <w:rsid w:val="000100FB"/>
    <w:rsid w:val="0001019D"/>
    <w:rsid w:val="00010396"/>
    <w:rsid w:val="000103EC"/>
    <w:rsid w:val="000103F9"/>
    <w:rsid w:val="00010427"/>
    <w:rsid w:val="00010513"/>
    <w:rsid w:val="00010570"/>
    <w:rsid w:val="000105EF"/>
    <w:rsid w:val="00010631"/>
    <w:rsid w:val="0001063A"/>
    <w:rsid w:val="000106F4"/>
    <w:rsid w:val="0001075C"/>
    <w:rsid w:val="00010878"/>
    <w:rsid w:val="000108A7"/>
    <w:rsid w:val="00010A79"/>
    <w:rsid w:val="00010A92"/>
    <w:rsid w:val="00010AA7"/>
    <w:rsid w:val="00010B5B"/>
    <w:rsid w:val="00010B87"/>
    <w:rsid w:val="00010BFD"/>
    <w:rsid w:val="00010CA5"/>
    <w:rsid w:val="00010CDF"/>
    <w:rsid w:val="00010CE0"/>
    <w:rsid w:val="00010CED"/>
    <w:rsid w:val="00010D09"/>
    <w:rsid w:val="00010D91"/>
    <w:rsid w:val="00010E2C"/>
    <w:rsid w:val="00011107"/>
    <w:rsid w:val="0001112F"/>
    <w:rsid w:val="000111EE"/>
    <w:rsid w:val="0001127D"/>
    <w:rsid w:val="000113EC"/>
    <w:rsid w:val="000113FE"/>
    <w:rsid w:val="000114BB"/>
    <w:rsid w:val="00011552"/>
    <w:rsid w:val="00011559"/>
    <w:rsid w:val="000115DE"/>
    <w:rsid w:val="00011656"/>
    <w:rsid w:val="0001166C"/>
    <w:rsid w:val="00011754"/>
    <w:rsid w:val="0001175A"/>
    <w:rsid w:val="00011A45"/>
    <w:rsid w:val="00011B25"/>
    <w:rsid w:val="00011B27"/>
    <w:rsid w:val="00011B65"/>
    <w:rsid w:val="00011E7F"/>
    <w:rsid w:val="00011FDA"/>
    <w:rsid w:val="00012002"/>
    <w:rsid w:val="00012158"/>
    <w:rsid w:val="0001217A"/>
    <w:rsid w:val="00012387"/>
    <w:rsid w:val="0001238A"/>
    <w:rsid w:val="00012398"/>
    <w:rsid w:val="000123EF"/>
    <w:rsid w:val="0001242C"/>
    <w:rsid w:val="00012438"/>
    <w:rsid w:val="0001248D"/>
    <w:rsid w:val="00012594"/>
    <w:rsid w:val="000125A5"/>
    <w:rsid w:val="00012647"/>
    <w:rsid w:val="0001267E"/>
    <w:rsid w:val="0001268B"/>
    <w:rsid w:val="0001290E"/>
    <w:rsid w:val="0001293E"/>
    <w:rsid w:val="00012976"/>
    <w:rsid w:val="00012A35"/>
    <w:rsid w:val="00012B0C"/>
    <w:rsid w:val="00012C0B"/>
    <w:rsid w:val="00012C23"/>
    <w:rsid w:val="00012CA2"/>
    <w:rsid w:val="00012CE1"/>
    <w:rsid w:val="00012E7F"/>
    <w:rsid w:val="00012EE8"/>
    <w:rsid w:val="00012F33"/>
    <w:rsid w:val="00012F62"/>
    <w:rsid w:val="00012FA5"/>
    <w:rsid w:val="00012FF6"/>
    <w:rsid w:val="0001300D"/>
    <w:rsid w:val="0001331E"/>
    <w:rsid w:val="000133C7"/>
    <w:rsid w:val="000133DE"/>
    <w:rsid w:val="0001353E"/>
    <w:rsid w:val="000135BC"/>
    <w:rsid w:val="000136F3"/>
    <w:rsid w:val="00013760"/>
    <w:rsid w:val="0001378B"/>
    <w:rsid w:val="00013795"/>
    <w:rsid w:val="000138B1"/>
    <w:rsid w:val="000138CE"/>
    <w:rsid w:val="00013A5C"/>
    <w:rsid w:val="00013A77"/>
    <w:rsid w:val="00013B14"/>
    <w:rsid w:val="00013B34"/>
    <w:rsid w:val="00013B53"/>
    <w:rsid w:val="00013B6C"/>
    <w:rsid w:val="00013C27"/>
    <w:rsid w:val="00013CAC"/>
    <w:rsid w:val="00013D46"/>
    <w:rsid w:val="00013E36"/>
    <w:rsid w:val="00013E40"/>
    <w:rsid w:val="00013EEF"/>
    <w:rsid w:val="000142A3"/>
    <w:rsid w:val="00014352"/>
    <w:rsid w:val="000143C1"/>
    <w:rsid w:val="0001442E"/>
    <w:rsid w:val="00014447"/>
    <w:rsid w:val="000144AD"/>
    <w:rsid w:val="000144D6"/>
    <w:rsid w:val="0001476C"/>
    <w:rsid w:val="000147AB"/>
    <w:rsid w:val="000147AF"/>
    <w:rsid w:val="0001486E"/>
    <w:rsid w:val="0001499C"/>
    <w:rsid w:val="00014AF0"/>
    <w:rsid w:val="00014B1E"/>
    <w:rsid w:val="00014C16"/>
    <w:rsid w:val="00014D16"/>
    <w:rsid w:val="00014E25"/>
    <w:rsid w:val="00014E91"/>
    <w:rsid w:val="00015010"/>
    <w:rsid w:val="00015022"/>
    <w:rsid w:val="00015067"/>
    <w:rsid w:val="0001506B"/>
    <w:rsid w:val="00015088"/>
    <w:rsid w:val="00015247"/>
    <w:rsid w:val="0001530E"/>
    <w:rsid w:val="0001537F"/>
    <w:rsid w:val="000154A9"/>
    <w:rsid w:val="000154D9"/>
    <w:rsid w:val="00015801"/>
    <w:rsid w:val="00015860"/>
    <w:rsid w:val="000158B5"/>
    <w:rsid w:val="00015980"/>
    <w:rsid w:val="000159CF"/>
    <w:rsid w:val="00015A26"/>
    <w:rsid w:val="00015A8C"/>
    <w:rsid w:val="00015AE2"/>
    <w:rsid w:val="00015B05"/>
    <w:rsid w:val="00015B3F"/>
    <w:rsid w:val="00015B76"/>
    <w:rsid w:val="00015C57"/>
    <w:rsid w:val="00015E0B"/>
    <w:rsid w:val="00015FF5"/>
    <w:rsid w:val="0001605D"/>
    <w:rsid w:val="00016219"/>
    <w:rsid w:val="00016222"/>
    <w:rsid w:val="00016356"/>
    <w:rsid w:val="00016369"/>
    <w:rsid w:val="0001645A"/>
    <w:rsid w:val="000164A5"/>
    <w:rsid w:val="000164C7"/>
    <w:rsid w:val="00016647"/>
    <w:rsid w:val="00016675"/>
    <w:rsid w:val="00016678"/>
    <w:rsid w:val="00016698"/>
    <w:rsid w:val="00016738"/>
    <w:rsid w:val="00016748"/>
    <w:rsid w:val="000168B0"/>
    <w:rsid w:val="000168C3"/>
    <w:rsid w:val="00016B42"/>
    <w:rsid w:val="00016BE1"/>
    <w:rsid w:val="00016BEF"/>
    <w:rsid w:val="00016C17"/>
    <w:rsid w:val="00016D5B"/>
    <w:rsid w:val="00016D96"/>
    <w:rsid w:val="00016E00"/>
    <w:rsid w:val="00016F58"/>
    <w:rsid w:val="00016F88"/>
    <w:rsid w:val="00016FA8"/>
    <w:rsid w:val="000170AB"/>
    <w:rsid w:val="000171CA"/>
    <w:rsid w:val="00017201"/>
    <w:rsid w:val="00017215"/>
    <w:rsid w:val="00017265"/>
    <w:rsid w:val="000172B9"/>
    <w:rsid w:val="00017318"/>
    <w:rsid w:val="000173DE"/>
    <w:rsid w:val="00017436"/>
    <w:rsid w:val="000174C9"/>
    <w:rsid w:val="00017575"/>
    <w:rsid w:val="0001762D"/>
    <w:rsid w:val="0001765D"/>
    <w:rsid w:val="000176AB"/>
    <w:rsid w:val="000176BA"/>
    <w:rsid w:val="00017853"/>
    <w:rsid w:val="000178B0"/>
    <w:rsid w:val="000178E8"/>
    <w:rsid w:val="00017A6C"/>
    <w:rsid w:val="00017B04"/>
    <w:rsid w:val="00017D06"/>
    <w:rsid w:val="00017D09"/>
    <w:rsid w:val="00017E28"/>
    <w:rsid w:val="00017E8C"/>
    <w:rsid w:val="00017F23"/>
    <w:rsid w:val="00017FEC"/>
    <w:rsid w:val="0002002C"/>
    <w:rsid w:val="000201A3"/>
    <w:rsid w:val="00020201"/>
    <w:rsid w:val="000204D5"/>
    <w:rsid w:val="00020523"/>
    <w:rsid w:val="0002058D"/>
    <w:rsid w:val="00020697"/>
    <w:rsid w:val="00020742"/>
    <w:rsid w:val="0002074B"/>
    <w:rsid w:val="00020758"/>
    <w:rsid w:val="00020799"/>
    <w:rsid w:val="000207D4"/>
    <w:rsid w:val="000207FD"/>
    <w:rsid w:val="00020830"/>
    <w:rsid w:val="00020871"/>
    <w:rsid w:val="00020A40"/>
    <w:rsid w:val="00020A8F"/>
    <w:rsid w:val="00020AE1"/>
    <w:rsid w:val="00020B99"/>
    <w:rsid w:val="00020C5D"/>
    <w:rsid w:val="00020CBA"/>
    <w:rsid w:val="00020CE2"/>
    <w:rsid w:val="00020CF5"/>
    <w:rsid w:val="00020D6D"/>
    <w:rsid w:val="00020D82"/>
    <w:rsid w:val="00020EAD"/>
    <w:rsid w:val="00020EAE"/>
    <w:rsid w:val="00020EE6"/>
    <w:rsid w:val="00020F6C"/>
    <w:rsid w:val="00020F72"/>
    <w:rsid w:val="00020FE9"/>
    <w:rsid w:val="000211EB"/>
    <w:rsid w:val="00021281"/>
    <w:rsid w:val="000213CD"/>
    <w:rsid w:val="0002140B"/>
    <w:rsid w:val="000214E4"/>
    <w:rsid w:val="000214FF"/>
    <w:rsid w:val="00021533"/>
    <w:rsid w:val="00021565"/>
    <w:rsid w:val="000215FC"/>
    <w:rsid w:val="0002186F"/>
    <w:rsid w:val="000218CE"/>
    <w:rsid w:val="00021922"/>
    <w:rsid w:val="00021987"/>
    <w:rsid w:val="00021B1F"/>
    <w:rsid w:val="00021B44"/>
    <w:rsid w:val="00021D21"/>
    <w:rsid w:val="00021DC0"/>
    <w:rsid w:val="00021DC2"/>
    <w:rsid w:val="00021E75"/>
    <w:rsid w:val="00021E98"/>
    <w:rsid w:val="00021EBA"/>
    <w:rsid w:val="00021EF6"/>
    <w:rsid w:val="00021F55"/>
    <w:rsid w:val="00021F5B"/>
    <w:rsid w:val="00021F9B"/>
    <w:rsid w:val="00021FC8"/>
    <w:rsid w:val="00021FDA"/>
    <w:rsid w:val="00021FEE"/>
    <w:rsid w:val="0002205A"/>
    <w:rsid w:val="00022072"/>
    <w:rsid w:val="000220CD"/>
    <w:rsid w:val="00022156"/>
    <w:rsid w:val="000222A4"/>
    <w:rsid w:val="000222F8"/>
    <w:rsid w:val="00022301"/>
    <w:rsid w:val="0002234C"/>
    <w:rsid w:val="000223CC"/>
    <w:rsid w:val="00022411"/>
    <w:rsid w:val="0002246A"/>
    <w:rsid w:val="00022492"/>
    <w:rsid w:val="00022505"/>
    <w:rsid w:val="000226EC"/>
    <w:rsid w:val="000227C5"/>
    <w:rsid w:val="00022921"/>
    <w:rsid w:val="0002297C"/>
    <w:rsid w:val="00022ACB"/>
    <w:rsid w:val="00022AD8"/>
    <w:rsid w:val="00022BD3"/>
    <w:rsid w:val="00022BD9"/>
    <w:rsid w:val="00022C30"/>
    <w:rsid w:val="00022C3D"/>
    <w:rsid w:val="0002315D"/>
    <w:rsid w:val="000231A6"/>
    <w:rsid w:val="00023220"/>
    <w:rsid w:val="000232F7"/>
    <w:rsid w:val="00023398"/>
    <w:rsid w:val="000233A2"/>
    <w:rsid w:val="000234E8"/>
    <w:rsid w:val="0002361C"/>
    <w:rsid w:val="00023636"/>
    <w:rsid w:val="000236C0"/>
    <w:rsid w:val="000237AA"/>
    <w:rsid w:val="000237DF"/>
    <w:rsid w:val="000237E1"/>
    <w:rsid w:val="00023827"/>
    <w:rsid w:val="000238A5"/>
    <w:rsid w:val="00023A07"/>
    <w:rsid w:val="00023A69"/>
    <w:rsid w:val="00023A6F"/>
    <w:rsid w:val="00023AD4"/>
    <w:rsid w:val="00023AF1"/>
    <w:rsid w:val="00023B6F"/>
    <w:rsid w:val="00023C88"/>
    <w:rsid w:val="00023CD8"/>
    <w:rsid w:val="00023D39"/>
    <w:rsid w:val="00023D72"/>
    <w:rsid w:val="00023D77"/>
    <w:rsid w:val="00023DD7"/>
    <w:rsid w:val="00023E2C"/>
    <w:rsid w:val="00023E57"/>
    <w:rsid w:val="00023F44"/>
    <w:rsid w:val="00023F78"/>
    <w:rsid w:val="0002407E"/>
    <w:rsid w:val="0002413D"/>
    <w:rsid w:val="00024201"/>
    <w:rsid w:val="0002429E"/>
    <w:rsid w:val="0002431C"/>
    <w:rsid w:val="0002434E"/>
    <w:rsid w:val="00024366"/>
    <w:rsid w:val="00024386"/>
    <w:rsid w:val="00024493"/>
    <w:rsid w:val="00024518"/>
    <w:rsid w:val="000245B0"/>
    <w:rsid w:val="000245D9"/>
    <w:rsid w:val="00024614"/>
    <w:rsid w:val="000246A5"/>
    <w:rsid w:val="000246E9"/>
    <w:rsid w:val="00024806"/>
    <w:rsid w:val="00024816"/>
    <w:rsid w:val="00024998"/>
    <w:rsid w:val="00024A66"/>
    <w:rsid w:val="00024A8F"/>
    <w:rsid w:val="00024B85"/>
    <w:rsid w:val="00024C14"/>
    <w:rsid w:val="00024CB4"/>
    <w:rsid w:val="00024CDC"/>
    <w:rsid w:val="00024D5E"/>
    <w:rsid w:val="00024DCB"/>
    <w:rsid w:val="00024DE3"/>
    <w:rsid w:val="00024E11"/>
    <w:rsid w:val="00024E22"/>
    <w:rsid w:val="00024F69"/>
    <w:rsid w:val="0002507A"/>
    <w:rsid w:val="00025134"/>
    <w:rsid w:val="0002515A"/>
    <w:rsid w:val="00025187"/>
    <w:rsid w:val="0002523C"/>
    <w:rsid w:val="00025487"/>
    <w:rsid w:val="00025503"/>
    <w:rsid w:val="0002558D"/>
    <w:rsid w:val="00025776"/>
    <w:rsid w:val="000257E1"/>
    <w:rsid w:val="0002585E"/>
    <w:rsid w:val="00025931"/>
    <w:rsid w:val="00025986"/>
    <w:rsid w:val="000259A0"/>
    <w:rsid w:val="00025A0D"/>
    <w:rsid w:val="00025A7C"/>
    <w:rsid w:val="00025B10"/>
    <w:rsid w:val="00025B72"/>
    <w:rsid w:val="00025BFC"/>
    <w:rsid w:val="00025CB6"/>
    <w:rsid w:val="00025D42"/>
    <w:rsid w:val="00025DD5"/>
    <w:rsid w:val="00025ECE"/>
    <w:rsid w:val="00025F08"/>
    <w:rsid w:val="00025F44"/>
    <w:rsid w:val="00025FAD"/>
    <w:rsid w:val="00025FFC"/>
    <w:rsid w:val="0002608A"/>
    <w:rsid w:val="000260B0"/>
    <w:rsid w:val="0002610D"/>
    <w:rsid w:val="0002616A"/>
    <w:rsid w:val="000261E5"/>
    <w:rsid w:val="00026238"/>
    <w:rsid w:val="000262AF"/>
    <w:rsid w:val="00026363"/>
    <w:rsid w:val="0002644A"/>
    <w:rsid w:val="00026696"/>
    <w:rsid w:val="000266BC"/>
    <w:rsid w:val="000267BC"/>
    <w:rsid w:val="000267BE"/>
    <w:rsid w:val="000267F3"/>
    <w:rsid w:val="000267F7"/>
    <w:rsid w:val="000269C8"/>
    <w:rsid w:val="000269DB"/>
    <w:rsid w:val="00026B0A"/>
    <w:rsid w:val="00026B6F"/>
    <w:rsid w:val="00026BBB"/>
    <w:rsid w:val="00026BCC"/>
    <w:rsid w:val="00026C13"/>
    <w:rsid w:val="00026C58"/>
    <w:rsid w:val="00026D8C"/>
    <w:rsid w:val="00026DD9"/>
    <w:rsid w:val="00026E1E"/>
    <w:rsid w:val="00026E8D"/>
    <w:rsid w:val="00026EC6"/>
    <w:rsid w:val="00026F20"/>
    <w:rsid w:val="00026F23"/>
    <w:rsid w:val="000271F3"/>
    <w:rsid w:val="00027206"/>
    <w:rsid w:val="00027240"/>
    <w:rsid w:val="00027282"/>
    <w:rsid w:val="0002734E"/>
    <w:rsid w:val="000273B9"/>
    <w:rsid w:val="00027433"/>
    <w:rsid w:val="00027475"/>
    <w:rsid w:val="000274AE"/>
    <w:rsid w:val="00027501"/>
    <w:rsid w:val="000275E9"/>
    <w:rsid w:val="00027656"/>
    <w:rsid w:val="00027690"/>
    <w:rsid w:val="000276B0"/>
    <w:rsid w:val="0002775A"/>
    <w:rsid w:val="00027767"/>
    <w:rsid w:val="000277C8"/>
    <w:rsid w:val="00027820"/>
    <w:rsid w:val="000278A7"/>
    <w:rsid w:val="00027920"/>
    <w:rsid w:val="00027991"/>
    <w:rsid w:val="000279B6"/>
    <w:rsid w:val="000279D0"/>
    <w:rsid w:val="000279E3"/>
    <w:rsid w:val="00027A1E"/>
    <w:rsid w:val="00027A98"/>
    <w:rsid w:val="00027AC8"/>
    <w:rsid w:val="00027ACD"/>
    <w:rsid w:val="00027AEA"/>
    <w:rsid w:val="00027B93"/>
    <w:rsid w:val="00027F43"/>
    <w:rsid w:val="00027F57"/>
    <w:rsid w:val="00027F67"/>
    <w:rsid w:val="00027FF9"/>
    <w:rsid w:val="00030021"/>
    <w:rsid w:val="0003005C"/>
    <w:rsid w:val="0003028B"/>
    <w:rsid w:val="00030298"/>
    <w:rsid w:val="000302EC"/>
    <w:rsid w:val="0003036A"/>
    <w:rsid w:val="00030397"/>
    <w:rsid w:val="000303A4"/>
    <w:rsid w:val="000303EF"/>
    <w:rsid w:val="00030448"/>
    <w:rsid w:val="00030501"/>
    <w:rsid w:val="00030623"/>
    <w:rsid w:val="00030684"/>
    <w:rsid w:val="000307AE"/>
    <w:rsid w:val="0003083F"/>
    <w:rsid w:val="000308DB"/>
    <w:rsid w:val="000308DC"/>
    <w:rsid w:val="00030974"/>
    <w:rsid w:val="00030982"/>
    <w:rsid w:val="00030984"/>
    <w:rsid w:val="0003099C"/>
    <w:rsid w:val="000309C6"/>
    <w:rsid w:val="00030A81"/>
    <w:rsid w:val="00030B33"/>
    <w:rsid w:val="00030B5A"/>
    <w:rsid w:val="00030B6C"/>
    <w:rsid w:val="00030CF1"/>
    <w:rsid w:val="00030D09"/>
    <w:rsid w:val="00030DC5"/>
    <w:rsid w:val="00030DEB"/>
    <w:rsid w:val="00030F2E"/>
    <w:rsid w:val="00030F82"/>
    <w:rsid w:val="00031063"/>
    <w:rsid w:val="000310ED"/>
    <w:rsid w:val="00031173"/>
    <w:rsid w:val="000311F5"/>
    <w:rsid w:val="00031210"/>
    <w:rsid w:val="0003131D"/>
    <w:rsid w:val="0003134C"/>
    <w:rsid w:val="0003141E"/>
    <w:rsid w:val="0003142D"/>
    <w:rsid w:val="00031481"/>
    <w:rsid w:val="00031531"/>
    <w:rsid w:val="00031533"/>
    <w:rsid w:val="0003159F"/>
    <w:rsid w:val="000317C6"/>
    <w:rsid w:val="0003183E"/>
    <w:rsid w:val="0003191C"/>
    <w:rsid w:val="00031AA4"/>
    <w:rsid w:val="00031AF1"/>
    <w:rsid w:val="00031B79"/>
    <w:rsid w:val="00031C61"/>
    <w:rsid w:val="00031C81"/>
    <w:rsid w:val="00031D32"/>
    <w:rsid w:val="00031DEC"/>
    <w:rsid w:val="00031EE0"/>
    <w:rsid w:val="00032056"/>
    <w:rsid w:val="00032148"/>
    <w:rsid w:val="000321C3"/>
    <w:rsid w:val="000321D4"/>
    <w:rsid w:val="000321F5"/>
    <w:rsid w:val="000322EB"/>
    <w:rsid w:val="000324F4"/>
    <w:rsid w:val="0003252E"/>
    <w:rsid w:val="00032539"/>
    <w:rsid w:val="000325A2"/>
    <w:rsid w:val="000326F8"/>
    <w:rsid w:val="0003277D"/>
    <w:rsid w:val="000327DF"/>
    <w:rsid w:val="000329AD"/>
    <w:rsid w:val="000329E0"/>
    <w:rsid w:val="00032A87"/>
    <w:rsid w:val="00032B1B"/>
    <w:rsid w:val="00032B31"/>
    <w:rsid w:val="00032CCF"/>
    <w:rsid w:val="00032DA2"/>
    <w:rsid w:val="00032E71"/>
    <w:rsid w:val="00032F6E"/>
    <w:rsid w:val="00032FB6"/>
    <w:rsid w:val="00033032"/>
    <w:rsid w:val="00033122"/>
    <w:rsid w:val="0003323A"/>
    <w:rsid w:val="0003326F"/>
    <w:rsid w:val="00033374"/>
    <w:rsid w:val="000333BB"/>
    <w:rsid w:val="000333CC"/>
    <w:rsid w:val="00033487"/>
    <w:rsid w:val="0003351E"/>
    <w:rsid w:val="00033634"/>
    <w:rsid w:val="00033849"/>
    <w:rsid w:val="000339EB"/>
    <w:rsid w:val="00033B24"/>
    <w:rsid w:val="00033B54"/>
    <w:rsid w:val="00033B8A"/>
    <w:rsid w:val="00033BD1"/>
    <w:rsid w:val="00033C7E"/>
    <w:rsid w:val="00033C92"/>
    <w:rsid w:val="00033D1D"/>
    <w:rsid w:val="00033DBD"/>
    <w:rsid w:val="00033DE9"/>
    <w:rsid w:val="00033E7C"/>
    <w:rsid w:val="00033F1B"/>
    <w:rsid w:val="0003411C"/>
    <w:rsid w:val="000341DA"/>
    <w:rsid w:val="00034351"/>
    <w:rsid w:val="00034464"/>
    <w:rsid w:val="000344C7"/>
    <w:rsid w:val="00034746"/>
    <w:rsid w:val="0003474C"/>
    <w:rsid w:val="00034981"/>
    <w:rsid w:val="00034C4E"/>
    <w:rsid w:val="00034D1C"/>
    <w:rsid w:val="00034DBF"/>
    <w:rsid w:val="00034E55"/>
    <w:rsid w:val="00034FCB"/>
    <w:rsid w:val="00034FCC"/>
    <w:rsid w:val="00034FE8"/>
    <w:rsid w:val="000350FA"/>
    <w:rsid w:val="00035157"/>
    <w:rsid w:val="000351A3"/>
    <w:rsid w:val="0003532A"/>
    <w:rsid w:val="000353D3"/>
    <w:rsid w:val="00035523"/>
    <w:rsid w:val="000355AA"/>
    <w:rsid w:val="00035615"/>
    <w:rsid w:val="00035616"/>
    <w:rsid w:val="0003561C"/>
    <w:rsid w:val="00035792"/>
    <w:rsid w:val="000358B3"/>
    <w:rsid w:val="00035A0A"/>
    <w:rsid w:val="00035A17"/>
    <w:rsid w:val="00035B72"/>
    <w:rsid w:val="00035BD9"/>
    <w:rsid w:val="00035C0E"/>
    <w:rsid w:val="00035CFC"/>
    <w:rsid w:val="00035D24"/>
    <w:rsid w:val="00035D30"/>
    <w:rsid w:val="00035E43"/>
    <w:rsid w:val="00035E6A"/>
    <w:rsid w:val="00035EE1"/>
    <w:rsid w:val="00035F23"/>
    <w:rsid w:val="00035F2D"/>
    <w:rsid w:val="00036009"/>
    <w:rsid w:val="000360F3"/>
    <w:rsid w:val="0003619B"/>
    <w:rsid w:val="00036278"/>
    <w:rsid w:val="000363B0"/>
    <w:rsid w:val="000363E7"/>
    <w:rsid w:val="0003645F"/>
    <w:rsid w:val="000364C9"/>
    <w:rsid w:val="0003650A"/>
    <w:rsid w:val="00036638"/>
    <w:rsid w:val="000366A5"/>
    <w:rsid w:val="000366CB"/>
    <w:rsid w:val="0003671B"/>
    <w:rsid w:val="0003672E"/>
    <w:rsid w:val="00036783"/>
    <w:rsid w:val="00036880"/>
    <w:rsid w:val="000369B6"/>
    <w:rsid w:val="000369FD"/>
    <w:rsid w:val="00036C6F"/>
    <w:rsid w:val="00036D3A"/>
    <w:rsid w:val="00036D6F"/>
    <w:rsid w:val="00036F65"/>
    <w:rsid w:val="00037086"/>
    <w:rsid w:val="0003710C"/>
    <w:rsid w:val="0003710F"/>
    <w:rsid w:val="00037116"/>
    <w:rsid w:val="000371A6"/>
    <w:rsid w:val="000371E4"/>
    <w:rsid w:val="00037210"/>
    <w:rsid w:val="00037223"/>
    <w:rsid w:val="000372A6"/>
    <w:rsid w:val="000372C6"/>
    <w:rsid w:val="00037347"/>
    <w:rsid w:val="00037365"/>
    <w:rsid w:val="000373D0"/>
    <w:rsid w:val="0003746C"/>
    <w:rsid w:val="000375E4"/>
    <w:rsid w:val="000376CC"/>
    <w:rsid w:val="000376EF"/>
    <w:rsid w:val="000378B1"/>
    <w:rsid w:val="000379E3"/>
    <w:rsid w:val="00037ACC"/>
    <w:rsid w:val="00037AED"/>
    <w:rsid w:val="00037CBF"/>
    <w:rsid w:val="00037CEA"/>
    <w:rsid w:val="00037D15"/>
    <w:rsid w:val="00037D55"/>
    <w:rsid w:val="00037DE4"/>
    <w:rsid w:val="00037E7E"/>
    <w:rsid w:val="00037E91"/>
    <w:rsid w:val="00037F47"/>
    <w:rsid w:val="00037FCA"/>
    <w:rsid w:val="00040085"/>
    <w:rsid w:val="00040197"/>
    <w:rsid w:val="000401BE"/>
    <w:rsid w:val="000401D3"/>
    <w:rsid w:val="00040254"/>
    <w:rsid w:val="0004026F"/>
    <w:rsid w:val="000402C0"/>
    <w:rsid w:val="000402CC"/>
    <w:rsid w:val="000402F7"/>
    <w:rsid w:val="0004041B"/>
    <w:rsid w:val="0004060B"/>
    <w:rsid w:val="00040672"/>
    <w:rsid w:val="0004073B"/>
    <w:rsid w:val="000407A7"/>
    <w:rsid w:val="000407C2"/>
    <w:rsid w:val="0004091C"/>
    <w:rsid w:val="000409DD"/>
    <w:rsid w:val="00040A18"/>
    <w:rsid w:val="00040A70"/>
    <w:rsid w:val="00040AA3"/>
    <w:rsid w:val="00040C17"/>
    <w:rsid w:val="00040C4B"/>
    <w:rsid w:val="00040CFA"/>
    <w:rsid w:val="00040E68"/>
    <w:rsid w:val="00040F1F"/>
    <w:rsid w:val="000412B9"/>
    <w:rsid w:val="000412C7"/>
    <w:rsid w:val="00041319"/>
    <w:rsid w:val="00041373"/>
    <w:rsid w:val="000414CA"/>
    <w:rsid w:val="000415D1"/>
    <w:rsid w:val="000415E5"/>
    <w:rsid w:val="00041644"/>
    <w:rsid w:val="000416DA"/>
    <w:rsid w:val="000416DB"/>
    <w:rsid w:val="00041825"/>
    <w:rsid w:val="000419F6"/>
    <w:rsid w:val="00041AEB"/>
    <w:rsid w:val="00041CDF"/>
    <w:rsid w:val="00041CE6"/>
    <w:rsid w:val="00041E4E"/>
    <w:rsid w:val="00041E91"/>
    <w:rsid w:val="00041F96"/>
    <w:rsid w:val="00041FA1"/>
    <w:rsid w:val="0004200D"/>
    <w:rsid w:val="000420C5"/>
    <w:rsid w:val="000420D1"/>
    <w:rsid w:val="00042105"/>
    <w:rsid w:val="00042112"/>
    <w:rsid w:val="0004213B"/>
    <w:rsid w:val="000421FB"/>
    <w:rsid w:val="0004225A"/>
    <w:rsid w:val="00042295"/>
    <w:rsid w:val="000422D5"/>
    <w:rsid w:val="0004230E"/>
    <w:rsid w:val="0004235B"/>
    <w:rsid w:val="000423B2"/>
    <w:rsid w:val="0004243F"/>
    <w:rsid w:val="000424F2"/>
    <w:rsid w:val="00042651"/>
    <w:rsid w:val="000426AF"/>
    <w:rsid w:val="00042820"/>
    <w:rsid w:val="0004283E"/>
    <w:rsid w:val="00042930"/>
    <w:rsid w:val="000429DF"/>
    <w:rsid w:val="00042A96"/>
    <w:rsid w:val="00042B1A"/>
    <w:rsid w:val="00042C87"/>
    <w:rsid w:val="00042CC2"/>
    <w:rsid w:val="00042CF4"/>
    <w:rsid w:val="00042D1A"/>
    <w:rsid w:val="00042D4C"/>
    <w:rsid w:val="00042DD0"/>
    <w:rsid w:val="00042DF6"/>
    <w:rsid w:val="00043281"/>
    <w:rsid w:val="000432B3"/>
    <w:rsid w:val="000432CA"/>
    <w:rsid w:val="00043379"/>
    <w:rsid w:val="000433C8"/>
    <w:rsid w:val="000433D2"/>
    <w:rsid w:val="000433D7"/>
    <w:rsid w:val="00043402"/>
    <w:rsid w:val="000434B8"/>
    <w:rsid w:val="000434ED"/>
    <w:rsid w:val="0004352D"/>
    <w:rsid w:val="00043539"/>
    <w:rsid w:val="000435A9"/>
    <w:rsid w:val="00043695"/>
    <w:rsid w:val="000437F4"/>
    <w:rsid w:val="000438E8"/>
    <w:rsid w:val="0004394D"/>
    <w:rsid w:val="00043955"/>
    <w:rsid w:val="00043969"/>
    <w:rsid w:val="000439A4"/>
    <w:rsid w:val="00043BAD"/>
    <w:rsid w:val="00043BD1"/>
    <w:rsid w:val="00043CE2"/>
    <w:rsid w:val="00043CE5"/>
    <w:rsid w:val="00043D99"/>
    <w:rsid w:val="00043E08"/>
    <w:rsid w:val="00043E32"/>
    <w:rsid w:val="00043E63"/>
    <w:rsid w:val="00043EDA"/>
    <w:rsid w:val="00043EE5"/>
    <w:rsid w:val="00043F50"/>
    <w:rsid w:val="00043F7C"/>
    <w:rsid w:val="000440C7"/>
    <w:rsid w:val="00044137"/>
    <w:rsid w:val="00044147"/>
    <w:rsid w:val="000442D6"/>
    <w:rsid w:val="00044379"/>
    <w:rsid w:val="000443FD"/>
    <w:rsid w:val="00044446"/>
    <w:rsid w:val="0004453F"/>
    <w:rsid w:val="00044540"/>
    <w:rsid w:val="000445A8"/>
    <w:rsid w:val="000445D8"/>
    <w:rsid w:val="0004460E"/>
    <w:rsid w:val="00044733"/>
    <w:rsid w:val="000448F4"/>
    <w:rsid w:val="00044A34"/>
    <w:rsid w:val="00044B1E"/>
    <w:rsid w:val="00044B6A"/>
    <w:rsid w:val="00044B86"/>
    <w:rsid w:val="00044BBA"/>
    <w:rsid w:val="00044BC6"/>
    <w:rsid w:val="00044BD1"/>
    <w:rsid w:val="00044C4A"/>
    <w:rsid w:val="00044CD2"/>
    <w:rsid w:val="00044D72"/>
    <w:rsid w:val="00044D93"/>
    <w:rsid w:val="00044D99"/>
    <w:rsid w:val="00044DBA"/>
    <w:rsid w:val="00044DC7"/>
    <w:rsid w:val="00044E60"/>
    <w:rsid w:val="00044F30"/>
    <w:rsid w:val="00044F3F"/>
    <w:rsid w:val="00044F9F"/>
    <w:rsid w:val="00045171"/>
    <w:rsid w:val="000451C9"/>
    <w:rsid w:val="000451E4"/>
    <w:rsid w:val="00045307"/>
    <w:rsid w:val="00045335"/>
    <w:rsid w:val="00045357"/>
    <w:rsid w:val="000453EA"/>
    <w:rsid w:val="000453F4"/>
    <w:rsid w:val="0004541B"/>
    <w:rsid w:val="000454C5"/>
    <w:rsid w:val="0004552E"/>
    <w:rsid w:val="00045559"/>
    <w:rsid w:val="000455BB"/>
    <w:rsid w:val="000455C3"/>
    <w:rsid w:val="00045669"/>
    <w:rsid w:val="000457F7"/>
    <w:rsid w:val="00045835"/>
    <w:rsid w:val="0004598F"/>
    <w:rsid w:val="00045A39"/>
    <w:rsid w:val="00045A68"/>
    <w:rsid w:val="00045B01"/>
    <w:rsid w:val="00045B86"/>
    <w:rsid w:val="00045BBD"/>
    <w:rsid w:val="00045BFA"/>
    <w:rsid w:val="00045C36"/>
    <w:rsid w:val="00045C7C"/>
    <w:rsid w:val="00045C86"/>
    <w:rsid w:val="00045C93"/>
    <w:rsid w:val="00045CEA"/>
    <w:rsid w:val="00045D47"/>
    <w:rsid w:val="00045E9C"/>
    <w:rsid w:val="00046002"/>
    <w:rsid w:val="00046057"/>
    <w:rsid w:val="00046094"/>
    <w:rsid w:val="000460CD"/>
    <w:rsid w:val="0004625A"/>
    <w:rsid w:val="0004625F"/>
    <w:rsid w:val="00046271"/>
    <w:rsid w:val="00046349"/>
    <w:rsid w:val="000463E0"/>
    <w:rsid w:val="000463E2"/>
    <w:rsid w:val="0004640C"/>
    <w:rsid w:val="000464BA"/>
    <w:rsid w:val="00046538"/>
    <w:rsid w:val="000465C5"/>
    <w:rsid w:val="000465E2"/>
    <w:rsid w:val="0004661E"/>
    <w:rsid w:val="00046628"/>
    <w:rsid w:val="000466D3"/>
    <w:rsid w:val="00046767"/>
    <w:rsid w:val="000467A8"/>
    <w:rsid w:val="000468A6"/>
    <w:rsid w:val="000468E1"/>
    <w:rsid w:val="000468E4"/>
    <w:rsid w:val="00046923"/>
    <w:rsid w:val="0004694F"/>
    <w:rsid w:val="00046B73"/>
    <w:rsid w:val="00046C96"/>
    <w:rsid w:val="00046CEE"/>
    <w:rsid w:val="00046D1B"/>
    <w:rsid w:val="00046D78"/>
    <w:rsid w:val="00046E86"/>
    <w:rsid w:val="00046ECB"/>
    <w:rsid w:val="00046FF9"/>
    <w:rsid w:val="000470C4"/>
    <w:rsid w:val="0004715E"/>
    <w:rsid w:val="000471D2"/>
    <w:rsid w:val="00047289"/>
    <w:rsid w:val="0004729A"/>
    <w:rsid w:val="000472AD"/>
    <w:rsid w:val="00047381"/>
    <w:rsid w:val="0004748E"/>
    <w:rsid w:val="00047677"/>
    <w:rsid w:val="0004768D"/>
    <w:rsid w:val="000476FA"/>
    <w:rsid w:val="00047711"/>
    <w:rsid w:val="000477AF"/>
    <w:rsid w:val="000478CB"/>
    <w:rsid w:val="000479B3"/>
    <w:rsid w:val="000479E2"/>
    <w:rsid w:val="00047A07"/>
    <w:rsid w:val="00047AAD"/>
    <w:rsid w:val="00047AD2"/>
    <w:rsid w:val="00047BCB"/>
    <w:rsid w:val="00047CEE"/>
    <w:rsid w:val="00047D22"/>
    <w:rsid w:val="00047D31"/>
    <w:rsid w:val="00047D60"/>
    <w:rsid w:val="00047D98"/>
    <w:rsid w:val="00047DC4"/>
    <w:rsid w:val="00047DF8"/>
    <w:rsid w:val="00047E1F"/>
    <w:rsid w:val="00047F1C"/>
    <w:rsid w:val="00047F27"/>
    <w:rsid w:val="00047F5A"/>
    <w:rsid w:val="00047F6E"/>
    <w:rsid w:val="00047FF6"/>
    <w:rsid w:val="000500B4"/>
    <w:rsid w:val="000501AD"/>
    <w:rsid w:val="00050271"/>
    <w:rsid w:val="000502DB"/>
    <w:rsid w:val="000503DF"/>
    <w:rsid w:val="000504B9"/>
    <w:rsid w:val="0005058C"/>
    <w:rsid w:val="000505E2"/>
    <w:rsid w:val="000505E7"/>
    <w:rsid w:val="0005061D"/>
    <w:rsid w:val="00050675"/>
    <w:rsid w:val="0005068B"/>
    <w:rsid w:val="00050795"/>
    <w:rsid w:val="0005086A"/>
    <w:rsid w:val="00050871"/>
    <w:rsid w:val="000508D9"/>
    <w:rsid w:val="00050B05"/>
    <w:rsid w:val="00050B3D"/>
    <w:rsid w:val="00050C09"/>
    <w:rsid w:val="00050C38"/>
    <w:rsid w:val="00050D55"/>
    <w:rsid w:val="00050E41"/>
    <w:rsid w:val="00050EEF"/>
    <w:rsid w:val="00050F17"/>
    <w:rsid w:val="00050F43"/>
    <w:rsid w:val="00050FDF"/>
    <w:rsid w:val="0005107B"/>
    <w:rsid w:val="00051121"/>
    <w:rsid w:val="000511DE"/>
    <w:rsid w:val="0005123F"/>
    <w:rsid w:val="000512B2"/>
    <w:rsid w:val="0005140F"/>
    <w:rsid w:val="00051439"/>
    <w:rsid w:val="00051535"/>
    <w:rsid w:val="000515E2"/>
    <w:rsid w:val="0005162F"/>
    <w:rsid w:val="00051639"/>
    <w:rsid w:val="00051783"/>
    <w:rsid w:val="000517FF"/>
    <w:rsid w:val="0005190A"/>
    <w:rsid w:val="00051B9C"/>
    <w:rsid w:val="00051BA5"/>
    <w:rsid w:val="00051CBA"/>
    <w:rsid w:val="00051D93"/>
    <w:rsid w:val="00051DA8"/>
    <w:rsid w:val="00051E22"/>
    <w:rsid w:val="00051E55"/>
    <w:rsid w:val="00051EA7"/>
    <w:rsid w:val="0005203E"/>
    <w:rsid w:val="00052052"/>
    <w:rsid w:val="0005208E"/>
    <w:rsid w:val="00052099"/>
    <w:rsid w:val="0005211A"/>
    <w:rsid w:val="0005211D"/>
    <w:rsid w:val="0005218B"/>
    <w:rsid w:val="000521C7"/>
    <w:rsid w:val="00052242"/>
    <w:rsid w:val="000522B8"/>
    <w:rsid w:val="000522FE"/>
    <w:rsid w:val="00052378"/>
    <w:rsid w:val="0005238E"/>
    <w:rsid w:val="0005243D"/>
    <w:rsid w:val="00052467"/>
    <w:rsid w:val="0005259C"/>
    <w:rsid w:val="000526C6"/>
    <w:rsid w:val="000527CA"/>
    <w:rsid w:val="00052822"/>
    <w:rsid w:val="00052860"/>
    <w:rsid w:val="00052925"/>
    <w:rsid w:val="00052A88"/>
    <w:rsid w:val="00052AC3"/>
    <w:rsid w:val="00052BD2"/>
    <w:rsid w:val="00052C6C"/>
    <w:rsid w:val="00052CF1"/>
    <w:rsid w:val="00052D23"/>
    <w:rsid w:val="00052D53"/>
    <w:rsid w:val="00052DF4"/>
    <w:rsid w:val="00052EB2"/>
    <w:rsid w:val="00052FE3"/>
    <w:rsid w:val="00053079"/>
    <w:rsid w:val="000530AB"/>
    <w:rsid w:val="00053106"/>
    <w:rsid w:val="00053133"/>
    <w:rsid w:val="000531C5"/>
    <w:rsid w:val="000534BB"/>
    <w:rsid w:val="00053553"/>
    <w:rsid w:val="000535B6"/>
    <w:rsid w:val="0005362E"/>
    <w:rsid w:val="0005368A"/>
    <w:rsid w:val="000536AB"/>
    <w:rsid w:val="000536E7"/>
    <w:rsid w:val="000536FA"/>
    <w:rsid w:val="0005370A"/>
    <w:rsid w:val="0005373F"/>
    <w:rsid w:val="00053786"/>
    <w:rsid w:val="000537AB"/>
    <w:rsid w:val="00053821"/>
    <w:rsid w:val="00053902"/>
    <w:rsid w:val="00053A77"/>
    <w:rsid w:val="00053BBC"/>
    <w:rsid w:val="00053C27"/>
    <w:rsid w:val="00053D39"/>
    <w:rsid w:val="00053EAC"/>
    <w:rsid w:val="00053F64"/>
    <w:rsid w:val="00054016"/>
    <w:rsid w:val="00054019"/>
    <w:rsid w:val="0005406A"/>
    <w:rsid w:val="0005406D"/>
    <w:rsid w:val="000541C1"/>
    <w:rsid w:val="000541F7"/>
    <w:rsid w:val="000542D7"/>
    <w:rsid w:val="00054385"/>
    <w:rsid w:val="00054474"/>
    <w:rsid w:val="000544F9"/>
    <w:rsid w:val="00054522"/>
    <w:rsid w:val="00054594"/>
    <w:rsid w:val="00054720"/>
    <w:rsid w:val="000547D4"/>
    <w:rsid w:val="000547DF"/>
    <w:rsid w:val="000547F4"/>
    <w:rsid w:val="00054811"/>
    <w:rsid w:val="0005487F"/>
    <w:rsid w:val="00054915"/>
    <w:rsid w:val="00054923"/>
    <w:rsid w:val="0005492D"/>
    <w:rsid w:val="000549B5"/>
    <w:rsid w:val="00054A6D"/>
    <w:rsid w:val="00054B16"/>
    <w:rsid w:val="00054CF3"/>
    <w:rsid w:val="00054EB3"/>
    <w:rsid w:val="00054EE6"/>
    <w:rsid w:val="0005502D"/>
    <w:rsid w:val="000550FA"/>
    <w:rsid w:val="000550FC"/>
    <w:rsid w:val="00055163"/>
    <w:rsid w:val="000551A7"/>
    <w:rsid w:val="00055216"/>
    <w:rsid w:val="0005523D"/>
    <w:rsid w:val="00055243"/>
    <w:rsid w:val="000552CD"/>
    <w:rsid w:val="000553D7"/>
    <w:rsid w:val="000553DF"/>
    <w:rsid w:val="00055402"/>
    <w:rsid w:val="00055496"/>
    <w:rsid w:val="000554A1"/>
    <w:rsid w:val="000554C4"/>
    <w:rsid w:val="000555AE"/>
    <w:rsid w:val="000555D3"/>
    <w:rsid w:val="00055610"/>
    <w:rsid w:val="00055622"/>
    <w:rsid w:val="00055624"/>
    <w:rsid w:val="0005567D"/>
    <w:rsid w:val="00055821"/>
    <w:rsid w:val="0005582D"/>
    <w:rsid w:val="00055AD4"/>
    <w:rsid w:val="00055AE7"/>
    <w:rsid w:val="00055B7B"/>
    <w:rsid w:val="00055B8E"/>
    <w:rsid w:val="00055C6A"/>
    <w:rsid w:val="00055C79"/>
    <w:rsid w:val="00055CA6"/>
    <w:rsid w:val="00055D17"/>
    <w:rsid w:val="00055E83"/>
    <w:rsid w:val="00055F22"/>
    <w:rsid w:val="00055F32"/>
    <w:rsid w:val="00055F74"/>
    <w:rsid w:val="00055FC8"/>
    <w:rsid w:val="00055FF6"/>
    <w:rsid w:val="00056005"/>
    <w:rsid w:val="00056021"/>
    <w:rsid w:val="0005605C"/>
    <w:rsid w:val="000560E1"/>
    <w:rsid w:val="00056103"/>
    <w:rsid w:val="000561EE"/>
    <w:rsid w:val="0005620D"/>
    <w:rsid w:val="0005627B"/>
    <w:rsid w:val="0005628F"/>
    <w:rsid w:val="000562F4"/>
    <w:rsid w:val="00056314"/>
    <w:rsid w:val="0005634E"/>
    <w:rsid w:val="000564B4"/>
    <w:rsid w:val="0005658B"/>
    <w:rsid w:val="000565C8"/>
    <w:rsid w:val="0005660A"/>
    <w:rsid w:val="00056646"/>
    <w:rsid w:val="00056647"/>
    <w:rsid w:val="0005664D"/>
    <w:rsid w:val="0005665E"/>
    <w:rsid w:val="00056759"/>
    <w:rsid w:val="00056771"/>
    <w:rsid w:val="000567CB"/>
    <w:rsid w:val="000569CC"/>
    <w:rsid w:val="00056A05"/>
    <w:rsid w:val="00056AA0"/>
    <w:rsid w:val="00056D38"/>
    <w:rsid w:val="00056D6D"/>
    <w:rsid w:val="00056D71"/>
    <w:rsid w:val="00056F36"/>
    <w:rsid w:val="00056F87"/>
    <w:rsid w:val="00056FE8"/>
    <w:rsid w:val="00057016"/>
    <w:rsid w:val="00057066"/>
    <w:rsid w:val="000570C6"/>
    <w:rsid w:val="000572EE"/>
    <w:rsid w:val="0005734F"/>
    <w:rsid w:val="00057376"/>
    <w:rsid w:val="00057458"/>
    <w:rsid w:val="0005747B"/>
    <w:rsid w:val="00057485"/>
    <w:rsid w:val="00057537"/>
    <w:rsid w:val="0005761E"/>
    <w:rsid w:val="0005767C"/>
    <w:rsid w:val="000576DB"/>
    <w:rsid w:val="00057788"/>
    <w:rsid w:val="0005780D"/>
    <w:rsid w:val="00057877"/>
    <w:rsid w:val="00057899"/>
    <w:rsid w:val="000579A1"/>
    <w:rsid w:val="00057A3F"/>
    <w:rsid w:val="00057A51"/>
    <w:rsid w:val="00057A65"/>
    <w:rsid w:val="00057C70"/>
    <w:rsid w:val="00057C7A"/>
    <w:rsid w:val="00057F39"/>
    <w:rsid w:val="00057F61"/>
    <w:rsid w:val="00057F96"/>
    <w:rsid w:val="00057FB4"/>
    <w:rsid w:val="00060087"/>
    <w:rsid w:val="00060197"/>
    <w:rsid w:val="000601AA"/>
    <w:rsid w:val="0006020D"/>
    <w:rsid w:val="0006020E"/>
    <w:rsid w:val="000602C1"/>
    <w:rsid w:val="000602F6"/>
    <w:rsid w:val="00060301"/>
    <w:rsid w:val="00060441"/>
    <w:rsid w:val="000604A1"/>
    <w:rsid w:val="000604E1"/>
    <w:rsid w:val="0006057A"/>
    <w:rsid w:val="000605F6"/>
    <w:rsid w:val="00060605"/>
    <w:rsid w:val="00060645"/>
    <w:rsid w:val="000606BB"/>
    <w:rsid w:val="0006071F"/>
    <w:rsid w:val="0006075C"/>
    <w:rsid w:val="000607B2"/>
    <w:rsid w:val="000607C2"/>
    <w:rsid w:val="00060842"/>
    <w:rsid w:val="0006087A"/>
    <w:rsid w:val="0006087C"/>
    <w:rsid w:val="000608EA"/>
    <w:rsid w:val="000609DA"/>
    <w:rsid w:val="00060A07"/>
    <w:rsid w:val="00060A16"/>
    <w:rsid w:val="00060BA8"/>
    <w:rsid w:val="00060CC0"/>
    <w:rsid w:val="00060CC3"/>
    <w:rsid w:val="00060CD6"/>
    <w:rsid w:val="00060D07"/>
    <w:rsid w:val="00060DDA"/>
    <w:rsid w:val="00061019"/>
    <w:rsid w:val="0006125D"/>
    <w:rsid w:val="0006128C"/>
    <w:rsid w:val="000612B3"/>
    <w:rsid w:val="0006131E"/>
    <w:rsid w:val="00061450"/>
    <w:rsid w:val="0006150A"/>
    <w:rsid w:val="00061586"/>
    <w:rsid w:val="0006160E"/>
    <w:rsid w:val="00061764"/>
    <w:rsid w:val="00061794"/>
    <w:rsid w:val="0006179F"/>
    <w:rsid w:val="000617BB"/>
    <w:rsid w:val="000617CC"/>
    <w:rsid w:val="000617DA"/>
    <w:rsid w:val="00061807"/>
    <w:rsid w:val="00061845"/>
    <w:rsid w:val="00061ADE"/>
    <w:rsid w:val="00061C91"/>
    <w:rsid w:val="00061C9D"/>
    <w:rsid w:val="00061DA9"/>
    <w:rsid w:val="00061F80"/>
    <w:rsid w:val="00061FAC"/>
    <w:rsid w:val="00061FEC"/>
    <w:rsid w:val="000620FE"/>
    <w:rsid w:val="000621AF"/>
    <w:rsid w:val="000621D2"/>
    <w:rsid w:val="00062283"/>
    <w:rsid w:val="000622C2"/>
    <w:rsid w:val="0006234D"/>
    <w:rsid w:val="0006237A"/>
    <w:rsid w:val="0006244D"/>
    <w:rsid w:val="00062468"/>
    <w:rsid w:val="0006256C"/>
    <w:rsid w:val="00062680"/>
    <w:rsid w:val="000626CC"/>
    <w:rsid w:val="00062745"/>
    <w:rsid w:val="00062746"/>
    <w:rsid w:val="00062844"/>
    <w:rsid w:val="00062861"/>
    <w:rsid w:val="000628BD"/>
    <w:rsid w:val="00062947"/>
    <w:rsid w:val="00062949"/>
    <w:rsid w:val="00062A97"/>
    <w:rsid w:val="00062AB1"/>
    <w:rsid w:val="00062BB8"/>
    <w:rsid w:val="00062C9F"/>
    <w:rsid w:val="00062D6C"/>
    <w:rsid w:val="00062EB2"/>
    <w:rsid w:val="00063046"/>
    <w:rsid w:val="00063066"/>
    <w:rsid w:val="000630C8"/>
    <w:rsid w:val="00063296"/>
    <w:rsid w:val="000632F7"/>
    <w:rsid w:val="00063343"/>
    <w:rsid w:val="00063352"/>
    <w:rsid w:val="00063389"/>
    <w:rsid w:val="00063396"/>
    <w:rsid w:val="000634F1"/>
    <w:rsid w:val="00063689"/>
    <w:rsid w:val="00063714"/>
    <w:rsid w:val="0006378A"/>
    <w:rsid w:val="000638B4"/>
    <w:rsid w:val="000638D6"/>
    <w:rsid w:val="00063ACE"/>
    <w:rsid w:val="00063BA1"/>
    <w:rsid w:val="00063C4D"/>
    <w:rsid w:val="00063CA2"/>
    <w:rsid w:val="00063CBD"/>
    <w:rsid w:val="00063D6A"/>
    <w:rsid w:val="00063DB0"/>
    <w:rsid w:val="00063DE5"/>
    <w:rsid w:val="00063DFF"/>
    <w:rsid w:val="00063F30"/>
    <w:rsid w:val="000640B8"/>
    <w:rsid w:val="000642BE"/>
    <w:rsid w:val="000643DB"/>
    <w:rsid w:val="000644A3"/>
    <w:rsid w:val="0006459B"/>
    <w:rsid w:val="00064655"/>
    <w:rsid w:val="00064724"/>
    <w:rsid w:val="00064886"/>
    <w:rsid w:val="000648A2"/>
    <w:rsid w:val="000648C7"/>
    <w:rsid w:val="000648EF"/>
    <w:rsid w:val="000649D8"/>
    <w:rsid w:val="00064AAB"/>
    <w:rsid w:val="00064ADC"/>
    <w:rsid w:val="00064B28"/>
    <w:rsid w:val="00064B49"/>
    <w:rsid w:val="00064B6D"/>
    <w:rsid w:val="00064B76"/>
    <w:rsid w:val="00064B7C"/>
    <w:rsid w:val="00064B94"/>
    <w:rsid w:val="00064BB4"/>
    <w:rsid w:val="00064C5F"/>
    <w:rsid w:val="00064CB8"/>
    <w:rsid w:val="00064E13"/>
    <w:rsid w:val="00064E7E"/>
    <w:rsid w:val="00064ED5"/>
    <w:rsid w:val="00064F22"/>
    <w:rsid w:val="00064F42"/>
    <w:rsid w:val="00064FED"/>
    <w:rsid w:val="00065074"/>
    <w:rsid w:val="000650A1"/>
    <w:rsid w:val="000650DC"/>
    <w:rsid w:val="0006512F"/>
    <w:rsid w:val="00065155"/>
    <w:rsid w:val="00065192"/>
    <w:rsid w:val="000652A8"/>
    <w:rsid w:val="00065365"/>
    <w:rsid w:val="00065382"/>
    <w:rsid w:val="00065447"/>
    <w:rsid w:val="00065553"/>
    <w:rsid w:val="00065582"/>
    <w:rsid w:val="0006558F"/>
    <w:rsid w:val="000655C2"/>
    <w:rsid w:val="000655CC"/>
    <w:rsid w:val="0006565E"/>
    <w:rsid w:val="0006574D"/>
    <w:rsid w:val="000657B7"/>
    <w:rsid w:val="00065800"/>
    <w:rsid w:val="0006589D"/>
    <w:rsid w:val="000658D8"/>
    <w:rsid w:val="0006595E"/>
    <w:rsid w:val="00065A15"/>
    <w:rsid w:val="00065A7B"/>
    <w:rsid w:val="00065BBE"/>
    <w:rsid w:val="00065DC6"/>
    <w:rsid w:val="00065DC9"/>
    <w:rsid w:val="00065DEA"/>
    <w:rsid w:val="00065E9D"/>
    <w:rsid w:val="00065E9E"/>
    <w:rsid w:val="00065EC6"/>
    <w:rsid w:val="00065FEF"/>
    <w:rsid w:val="000660EC"/>
    <w:rsid w:val="00066129"/>
    <w:rsid w:val="00066192"/>
    <w:rsid w:val="0006619A"/>
    <w:rsid w:val="0006628A"/>
    <w:rsid w:val="00066293"/>
    <w:rsid w:val="000663C1"/>
    <w:rsid w:val="00066456"/>
    <w:rsid w:val="00066478"/>
    <w:rsid w:val="00066568"/>
    <w:rsid w:val="000666C9"/>
    <w:rsid w:val="00066741"/>
    <w:rsid w:val="0006674E"/>
    <w:rsid w:val="000668BB"/>
    <w:rsid w:val="000668F9"/>
    <w:rsid w:val="000669D8"/>
    <w:rsid w:val="00066A6A"/>
    <w:rsid w:val="00066A80"/>
    <w:rsid w:val="00066B16"/>
    <w:rsid w:val="00066B22"/>
    <w:rsid w:val="00066C02"/>
    <w:rsid w:val="00066CDD"/>
    <w:rsid w:val="00066DA8"/>
    <w:rsid w:val="00066E2A"/>
    <w:rsid w:val="0006704F"/>
    <w:rsid w:val="000670CA"/>
    <w:rsid w:val="000671CA"/>
    <w:rsid w:val="000671F0"/>
    <w:rsid w:val="000671F9"/>
    <w:rsid w:val="00067203"/>
    <w:rsid w:val="000673A7"/>
    <w:rsid w:val="0006740A"/>
    <w:rsid w:val="0006740B"/>
    <w:rsid w:val="000674B6"/>
    <w:rsid w:val="00067555"/>
    <w:rsid w:val="000675A0"/>
    <w:rsid w:val="000675B8"/>
    <w:rsid w:val="000675CB"/>
    <w:rsid w:val="0006760C"/>
    <w:rsid w:val="000678EC"/>
    <w:rsid w:val="00067954"/>
    <w:rsid w:val="00067ABD"/>
    <w:rsid w:val="00067AD5"/>
    <w:rsid w:val="00067B00"/>
    <w:rsid w:val="00067B50"/>
    <w:rsid w:val="00067B9E"/>
    <w:rsid w:val="00067BBE"/>
    <w:rsid w:val="00067BE7"/>
    <w:rsid w:val="00067C6D"/>
    <w:rsid w:val="00067CEE"/>
    <w:rsid w:val="00067D2A"/>
    <w:rsid w:val="00067E61"/>
    <w:rsid w:val="00067F10"/>
    <w:rsid w:val="00067F69"/>
    <w:rsid w:val="00070009"/>
    <w:rsid w:val="0007006A"/>
    <w:rsid w:val="00070241"/>
    <w:rsid w:val="00070267"/>
    <w:rsid w:val="0007026B"/>
    <w:rsid w:val="00070275"/>
    <w:rsid w:val="00070353"/>
    <w:rsid w:val="0007035B"/>
    <w:rsid w:val="00070444"/>
    <w:rsid w:val="0007048F"/>
    <w:rsid w:val="000705C6"/>
    <w:rsid w:val="000706F0"/>
    <w:rsid w:val="00070718"/>
    <w:rsid w:val="000707C9"/>
    <w:rsid w:val="00070812"/>
    <w:rsid w:val="00070A07"/>
    <w:rsid w:val="00070A0C"/>
    <w:rsid w:val="00070A77"/>
    <w:rsid w:val="00070AD0"/>
    <w:rsid w:val="00070BB5"/>
    <w:rsid w:val="00070D73"/>
    <w:rsid w:val="00070DCE"/>
    <w:rsid w:val="00070E18"/>
    <w:rsid w:val="00070FD0"/>
    <w:rsid w:val="0007107F"/>
    <w:rsid w:val="000710F2"/>
    <w:rsid w:val="00071183"/>
    <w:rsid w:val="00071339"/>
    <w:rsid w:val="00071389"/>
    <w:rsid w:val="00071410"/>
    <w:rsid w:val="0007145B"/>
    <w:rsid w:val="00071506"/>
    <w:rsid w:val="00071647"/>
    <w:rsid w:val="00071657"/>
    <w:rsid w:val="0007168C"/>
    <w:rsid w:val="0007168F"/>
    <w:rsid w:val="0007178A"/>
    <w:rsid w:val="000717E6"/>
    <w:rsid w:val="00071834"/>
    <w:rsid w:val="000718AF"/>
    <w:rsid w:val="00071A4F"/>
    <w:rsid w:val="00071B90"/>
    <w:rsid w:val="00071C71"/>
    <w:rsid w:val="00071CC7"/>
    <w:rsid w:val="00071E1D"/>
    <w:rsid w:val="00071E77"/>
    <w:rsid w:val="00071EF6"/>
    <w:rsid w:val="00071F9D"/>
    <w:rsid w:val="0007212E"/>
    <w:rsid w:val="00072229"/>
    <w:rsid w:val="00072239"/>
    <w:rsid w:val="000723B7"/>
    <w:rsid w:val="000723F0"/>
    <w:rsid w:val="00072474"/>
    <w:rsid w:val="000724FE"/>
    <w:rsid w:val="00072582"/>
    <w:rsid w:val="00072588"/>
    <w:rsid w:val="000725CE"/>
    <w:rsid w:val="0007262D"/>
    <w:rsid w:val="0007265C"/>
    <w:rsid w:val="00072684"/>
    <w:rsid w:val="000726DD"/>
    <w:rsid w:val="000726F8"/>
    <w:rsid w:val="0007274C"/>
    <w:rsid w:val="000727BB"/>
    <w:rsid w:val="00072881"/>
    <w:rsid w:val="000728CC"/>
    <w:rsid w:val="000728DD"/>
    <w:rsid w:val="000728EA"/>
    <w:rsid w:val="00072B85"/>
    <w:rsid w:val="00072C53"/>
    <w:rsid w:val="00072C76"/>
    <w:rsid w:val="00072C97"/>
    <w:rsid w:val="00072DF3"/>
    <w:rsid w:val="00072F6A"/>
    <w:rsid w:val="00072F9E"/>
    <w:rsid w:val="00073021"/>
    <w:rsid w:val="00073064"/>
    <w:rsid w:val="00073121"/>
    <w:rsid w:val="00073161"/>
    <w:rsid w:val="000731C4"/>
    <w:rsid w:val="00073261"/>
    <w:rsid w:val="0007330E"/>
    <w:rsid w:val="00073362"/>
    <w:rsid w:val="00073369"/>
    <w:rsid w:val="000733A5"/>
    <w:rsid w:val="000734BA"/>
    <w:rsid w:val="000734BC"/>
    <w:rsid w:val="00073637"/>
    <w:rsid w:val="00073642"/>
    <w:rsid w:val="00073782"/>
    <w:rsid w:val="000737CA"/>
    <w:rsid w:val="00073852"/>
    <w:rsid w:val="00073909"/>
    <w:rsid w:val="00073ABA"/>
    <w:rsid w:val="00073BA0"/>
    <w:rsid w:val="00073C14"/>
    <w:rsid w:val="00073D90"/>
    <w:rsid w:val="00073E0D"/>
    <w:rsid w:val="00073E5D"/>
    <w:rsid w:val="00073E7E"/>
    <w:rsid w:val="0007410E"/>
    <w:rsid w:val="00074137"/>
    <w:rsid w:val="00074142"/>
    <w:rsid w:val="00074151"/>
    <w:rsid w:val="00074281"/>
    <w:rsid w:val="00074336"/>
    <w:rsid w:val="00074374"/>
    <w:rsid w:val="000743D9"/>
    <w:rsid w:val="00074489"/>
    <w:rsid w:val="00074504"/>
    <w:rsid w:val="0007476C"/>
    <w:rsid w:val="000747FB"/>
    <w:rsid w:val="00074911"/>
    <w:rsid w:val="000749B3"/>
    <w:rsid w:val="00074A62"/>
    <w:rsid w:val="00074A81"/>
    <w:rsid w:val="00074B28"/>
    <w:rsid w:val="00074B9B"/>
    <w:rsid w:val="00074BC8"/>
    <w:rsid w:val="00074C01"/>
    <w:rsid w:val="00074C41"/>
    <w:rsid w:val="00074CF7"/>
    <w:rsid w:val="00074D73"/>
    <w:rsid w:val="00075047"/>
    <w:rsid w:val="000750CC"/>
    <w:rsid w:val="000750EC"/>
    <w:rsid w:val="000750F3"/>
    <w:rsid w:val="00075140"/>
    <w:rsid w:val="00075171"/>
    <w:rsid w:val="0007518A"/>
    <w:rsid w:val="00075202"/>
    <w:rsid w:val="00075302"/>
    <w:rsid w:val="0007533D"/>
    <w:rsid w:val="000753BD"/>
    <w:rsid w:val="000753F9"/>
    <w:rsid w:val="00075422"/>
    <w:rsid w:val="0007542D"/>
    <w:rsid w:val="00075510"/>
    <w:rsid w:val="0007554D"/>
    <w:rsid w:val="000755B2"/>
    <w:rsid w:val="00075672"/>
    <w:rsid w:val="0007570C"/>
    <w:rsid w:val="00075729"/>
    <w:rsid w:val="0007578A"/>
    <w:rsid w:val="00075939"/>
    <w:rsid w:val="00075A59"/>
    <w:rsid w:val="00075ABF"/>
    <w:rsid w:val="00075AE1"/>
    <w:rsid w:val="00075B3E"/>
    <w:rsid w:val="00075BA3"/>
    <w:rsid w:val="00075BDC"/>
    <w:rsid w:val="00075CFF"/>
    <w:rsid w:val="00075E95"/>
    <w:rsid w:val="00075F36"/>
    <w:rsid w:val="00075FA6"/>
    <w:rsid w:val="00076026"/>
    <w:rsid w:val="00076058"/>
    <w:rsid w:val="00076088"/>
    <w:rsid w:val="0007619D"/>
    <w:rsid w:val="000761F6"/>
    <w:rsid w:val="00076275"/>
    <w:rsid w:val="000763DF"/>
    <w:rsid w:val="00076456"/>
    <w:rsid w:val="0007658F"/>
    <w:rsid w:val="00076599"/>
    <w:rsid w:val="00076608"/>
    <w:rsid w:val="0007664D"/>
    <w:rsid w:val="00076735"/>
    <w:rsid w:val="00076933"/>
    <w:rsid w:val="000769E9"/>
    <w:rsid w:val="00076B01"/>
    <w:rsid w:val="00076B57"/>
    <w:rsid w:val="00076BA1"/>
    <w:rsid w:val="00076C48"/>
    <w:rsid w:val="00076CA1"/>
    <w:rsid w:val="00076CC6"/>
    <w:rsid w:val="00076DBD"/>
    <w:rsid w:val="00076E2B"/>
    <w:rsid w:val="00076EE9"/>
    <w:rsid w:val="00076F17"/>
    <w:rsid w:val="00076FF9"/>
    <w:rsid w:val="00076FFD"/>
    <w:rsid w:val="000770B2"/>
    <w:rsid w:val="000770BF"/>
    <w:rsid w:val="000770F9"/>
    <w:rsid w:val="00077152"/>
    <w:rsid w:val="000771C5"/>
    <w:rsid w:val="000771C7"/>
    <w:rsid w:val="00077205"/>
    <w:rsid w:val="0007720E"/>
    <w:rsid w:val="0007737F"/>
    <w:rsid w:val="00077433"/>
    <w:rsid w:val="0007747D"/>
    <w:rsid w:val="0007754D"/>
    <w:rsid w:val="000775D2"/>
    <w:rsid w:val="000776E5"/>
    <w:rsid w:val="000776E7"/>
    <w:rsid w:val="00077705"/>
    <w:rsid w:val="00077721"/>
    <w:rsid w:val="00077917"/>
    <w:rsid w:val="00077973"/>
    <w:rsid w:val="000779C2"/>
    <w:rsid w:val="000779F3"/>
    <w:rsid w:val="00077ADE"/>
    <w:rsid w:val="00077B73"/>
    <w:rsid w:val="00077B8F"/>
    <w:rsid w:val="00077C0B"/>
    <w:rsid w:val="00077C30"/>
    <w:rsid w:val="00077C65"/>
    <w:rsid w:val="00077CC6"/>
    <w:rsid w:val="00077D1E"/>
    <w:rsid w:val="00077D23"/>
    <w:rsid w:val="00077D78"/>
    <w:rsid w:val="00077E04"/>
    <w:rsid w:val="00077E07"/>
    <w:rsid w:val="00077E80"/>
    <w:rsid w:val="00077EAB"/>
    <w:rsid w:val="00077EFF"/>
    <w:rsid w:val="00080006"/>
    <w:rsid w:val="0008004F"/>
    <w:rsid w:val="000800A6"/>
    <w:rsid w:val="00080105"/>
    <w:rsid w:val="00080259"/>
    <w:rsid w:val="000802DC"/>
    <w:rsid w:val="00080329"/>
    <w:rsid w:val="0008033D"/>
    <w:rsid w:val="000803C5"/>
    <w:rsid w:val="000803EF"/>
    <w:rsid w:val="0008044D"/>
    <w:rsid w:val="000804E8"/>
    <w:rsid w:val="000804F8"/>
    <w:rsid w:val="0008055A"/>
    <w:rsid w:val="000805C9"/>
    <w:rsid w:val="00080614"/>
    <w:rsid w:val="00080623"/>
    <w:rsid w:val="000806D4"/>
    <w:rsid w:val="000806DC"/>
    <w:rsid w:val="0008083D"/>
    <w:rsid w:val="00080889"/>
    <w:rsid w:val="000808AB"/>
    <w:rsid w:val="0008095B"/>
    <w:rsid w:val="00080963"/>
    <w:rsid w:val="000809AC"/>
    <w:rsid w:val="00080A2C"/>
    <w:rsid w:val="00080B7E"/>
    <w:rsid w:val="00080B88"/>
    <w:rsid w:val="00080BBA"/>
    <w:rsid w:val="00080C53"/>
    <w:rsid w:val="00080C59"/>
    <w:rsid w:val="00080CF5"/>
    <w:rsid w:val="00080D08"/>
    <w:rsid w:val="00080E2A"/>
    <w:rsid w:val="00080E39"/>
    <w:rsid w:val="00080EA9"/>
    <w:rsid w:val="00080EAE"/>
    <w:rsid w:val="00080ECD"/>
    <w:rsid w:val="00081078"/>
    <w:rsid w:val="000810D7"/>
    <w:rsid w:val="00081148"/>
    <w:rsid w:val="000811F9"/>
    <w:rsid w:val="0008122F"/>
    <w:rsid w:val="000812A6"/>
    <w:rsid w:val="000812AC"/>
    <w:rsid w:val="000812C0"/>
    <w:rsid w:val="000812D2"/>
    <w:rsid w:val="00081356"/>
    <w:rsid w:val="00081390"/>
    <w:rsid w:val="000813D9"/>
    <w:rsid w:val="00081485"/>
    <w:rsid w:val="00081539"/>
    <w:rsid w:val="00081552"/>
    <w:rsid w:val="00081612"/>
    <w:rsid w:val="00081722"/>
    <w:rsid w:val="00081765"/>
    <w:rsid w:val="000817CE"/>
    <w:rsid w:val="0008182A"/>
    <w:rsid w:val="00081949"/>
    <w:rsid w:val="0008194F"/>
    <w:rsid w:val="00081970"/>
    <w:rsid w:val="00081AC2"/>
    <w:rsid w:val="00081CB5"/>
    <w:rsid w:val="00081CC3"/>
    <w:rsid w:val="00081DF5"/>
    <w:rsid w:val="00081EB9"/>
    <w:rsid w:val="00081F1A"/>
    <w:rsid w:val="00081F4F"/>
    <w:rsid w:val="00082040"/>
    <w:rsid w:val="0008205E"/>
    <w:rsid w:val="000820A3"/>
    <w:rsid w:val="00082137"/>
    <w:rsid w:val="000821EF"/>
    <w:rsid w:val="00082281"/>
    <w:rsid w:val="00082306"/>
    <w:rsid w:val="000823A7"/>
    <w:rsid w:val="000823E1"/>
    <w:rsid w:val="00082436"/>
    <w:rsid w:val="00082440"/>
    <w:rsid w:val="00082510"/>
    <w:rsid w:val="000825D1"/>
    <w:rsid w:val="00082611"/>
    <w:rsid w:val="00082617"/>
    <w:rsid w:val="000826A9"/>
    <w:rsid w:val="000826D6"/>
    <w:rsid w:val="0008271D"/>
    <w:rsid w:val="0008272B"/>
    <w:rsid w:val="00082895"/>
    <w:rsid w:val="000828F1"/>
    <w:rsid w:val="00082904"/>
    <w:rsid w:val="00082945"/>
    <w:rsid w:val="00082ACB"/>
    <w:rsid w:val="00082B2C"/>
    <w:rsid w:val="00082BE7"/>
    <w:rsid w:val="00082C3A"/>
    <w:rsid w:val="00082D0C"/>
    <w:rsid w:val="00082D2C"/>
    <w:rsid w:val="00082E26"/>
    <w:rsid w:val="00082E28"/>
    <w:rsid w:val="00082EA0"/>
    <w:rsid w:val="00082F4F"/>
    <w:rsid w:val="00082F5F"/>
    <w:rsid w:val="00083156"/>
    <w:rsid w:val="000832AD"/>
    <w:rsid w:val="00083345"/>
    <w:rsid w:val="00083399"/>
    <w:rsid w:val="00083525"/>
    <w:rsid w:val="00083531"/>
    <w:rsid w:val="00083694"/>
    <w:rsid w:val="00083723"/>
    <w:rsid w:val="0008375F"/>
    <w:rsid w:val="000837A6"/>
    <w:rsid w:val="000838E5"/>
    <w:rsid w:val="0008395F"/>
    <w:rsid w:val="0008396F"/>
    <w:rsid w:val="00083A90"/>
    <w:rsid w:val="00083AD4"/>
    <w:rsid w:val="00083AE7"/>
    <w:rsid w:val="00083C0C"/>
    <w:rsid w:val="00083C35"/>
    <w:rsid w:val="00083C6F"/>
    <w:rsid w:val="00083DA1"/>
    <w:rsid w:val="00083DCB"/>
    <w:rsid w:val="00083E78"/>
    <w:rsid w:val="00083F06"/>
    <w:rsid w:val="00083FF3"/>
    <w:rsid w:val="0008406C"/>
    <w:rsid w:val="00084072"/>
    <w:rsid w:val="00084076"/>
    <w:rsid w:val="000840E7"/>
    <w:rsid w:val="0008410E"/>
    <w:rsid w:val="00084206"/>
    <w:rsid w:val="0008435B"/>
    <w:rsid w:val="0008438F"/>
    <w:rsid w:val="00084468"/>
    <w:rsid w:val="000844BE"/>
    <w:rsid w:val="00084505"/>
    <w:rsid w:val="00084552"/>
    <w:rsid w:val="000846A5"/>
    <w:rsid w:val="000846B6"/>
    <w:rsid w:val="0008481F"/>
    <w:rsid w:val="0008492D"/>
    <w:rsid w:val="0008495E"/>
    <w:rsid w:val="0008496F"/>
    <w:rsid w:val="00084991"/>
    <w:rsid w:val="000849CA"/>
    <w:rsid w:val="000849FA"/>
    <w:rsid w:val="00084A1F"/>
    <w:rsid w:val="00084A38"/>
    <w:rsid w:val="00084AA5"/>
    <w:rsid w:val="00084AC4"/>
    <w:rsid w:val="00084AFD"/>
    <w:rsid w:val="00084B28"/>
    <w:rsid w:val="00084B8B"/>
    <w:rsid w:val="00084C75"/>
    <w:rsid w:val="00084D8D"/>
    <w:rsid w:val="00084DA9"/>
    <w:rsid w:val="00084F90"/>
    <w:rsid w:val="00084F96"/>
    <w:rsid w:val="00084FFB"/>
    <w:rsid w:val="00085033"/>
    <w:rsid w:val="00085040"/>
    <w:rsid w:val="00085082"/>
    <w:rsid w:val="00085188"/>
    <w:rsid w:val="0008518F"/>
    <w:rsid w:val="00085222"/>
    <w:rsid w:val="0008535D"/>
    <w:rsid w:val="000853AB"/>
    <w:rsid w:val="000853CC"/>
    <w:rsid w:val="0008553F"/>
    <w:rsid w:val="000855EE"/>
    <w:rsid w:val="000856D2"/>
    <w:rsid w:val="000858B9"/>
    <w:rsid w:val="000859F5"/>
    <w:rsid w:val="00085A3A"/>
    <w:rsid w:val="00085B04"/>
    <w:rsid w:val="00085BFD"/>
    <w:rsid w:val="00085D49"/>
    <w:rsid w:val="00085DC8"/>
    <w:rsid w:val="00085E06"/>
    <w:rsid w:val="00085EA2"/>
    <w:rsid w:val="00085EEB"/>
    <w:rsid w:val="00085F30"/>
    <w:rsid w:val="00085F89"/>
    <w:rsid w:val="000861E9"/>
    <w:rsid w:val="000862EA"/>
    <w:rsid w:val="0008638A"/>
    <w:rsid w:val="0008644C"/>
    <w:rsid w:val="00086481"/>
    <w:rsid w:val="00086511"/>
    <w:rsid w:val="00086539"/>
    <w:rsid w:val="000865A2"/>
    <w:rsid w:val="000865BA"/>
    <w:rsid w:val="000865FF"/>
    <w:rsid w:val="00086652"/>
    <w:rsid w:val="00086686"/>
    <w:rsid w:val="000866DC"/>
    <w:rsid w:val="000867F2"/>
    <w:rsid w:val="000867F6"/>
    <w:rsid w:val="0008680B"/>
    <w:rsid w:val="00086831"/>
    <w:rsid w:val="00086B6B"/>
    <w:rsid w:val="00086B8C"/>
    <w:rsid w:val="00086B8F"/>
    <w:rsid w:val="00086BD8"/>
    <w:rsid w:val="00086D7A"/>
    <w:rsid w:val="00086DAD"/>
    <w:rsid w:val="00086DF7"/>
    <w:rsid w:val="00086E26"/>
    <w:rsid w:val="00086E97"/>
    <w:rsid w:val="00086FDB"/>
    <w:rsid w:val="000871AE"/>
    <w:rsid w:val="0008728F"/>
    <w:rsid w:val="000872B5"/>
    <w:rsid w:val="000874DC"/>
    <w:rsid w:val="00087515"/>
    <w:rsid w:val="0008756C"/>
    <w:rsid w:val="00087575"/>
    <w:rsid w:val="0008757C"/>
    <w:rsid w:val="000875D7"/>
    <w:rsid w:val="00087606"/>
    <w:rsid w:val="00087681"/>
    <w:rsid w:val="000876AF"/>
    <w:rsid w:val="000876BB"/>
    <w:rsid w:val="000876BF"/>
    <w:rsid w:val="000876E0"/>
    <w:rsid w:val="000877A4"/>
    <w:rsid w:val="000878B5"/>
    <w:rsid w:val="000879DB"/>
    <w:rsid w:val="00087A14"/>
    <w:rsid w:val="00087A2D"/>
    <w:rsid w:val="00087A58"/>
    <w:rsid w:val="00087AD1"/>
    <w:rsid w:val="00087AF9"/>
    <w:rsid w:val="00087B3A"/>
    <w:rsid w:val="00087C93"/>
    <w:rsid w:val="00087D24"/>
    <w:rsid w:val="00087D76"/>
    <w:rsid w:val="00087DD8"/>
    <w:rsid w:val="00087DDE"/>
    <w:rsid w:val="00087E15"/>
    <w:rsid w:val="00087E4C"/>
    <w:rsid w:val="00087E91"/>
    <w:rsid w:val="00087F87"/>
    <w:rsid w:val="00090159"/>
    <w:rsid w:val="000901F5"/>
    <w:rsid w:val="00090223"/>
    <w:rsid w:val="0009022C"/>
    <w:rsid w:val="00090244"/>
    <w:rsid w:val="0009027F"/>
    <w:rsid w:val="000902DD"/>
    <w:rsid w:val="00090324"/>
    <w:rsid w:val="000904D0"/>
    <w:rsid w:val="000904F3"/>
    <w:rsid w:val="00090587"/>
    <w:rsid w:val="000905F8"/>
    <w:rsid w:val="00090746"/>
    <w:rsid w:val="0009075A"/>
    <w:rsid w:val="00090835"/>
    <w:rsid w:val="00090928"/>
    <w:rsid w:val="00090AF7"/>
    <w:rsid w:val="00090BC9"/>
    <w:rsid w:val="00090C26"/>
    <w:rsid w:val="00090D12"/>
    <w:rsid w:val="00090D2C"/>
    <w:rsid w:val="00090DA3"/>
    <w:rsid w:val="00090DBB"/>
    <w:rsid w:val="00090DEC"/>
    <w:rsid w:val="00090DFE"/>
    <w:rsid w:val="00091069"/>
    <w:rsid w:val="000910FA"/>
    <w:rsid w:val="00091172"/>
    <w:rsid w:val="00091247"/>
    <w:rsid w:val="00091298"/>
    <w:rsid w:val="000912A7"/>
    <w:rsid w:val="000912E4"/>
    <w:rsid w:val="00091469"/>
    <w:rsid w:val="000914B7"/>
    <w:rsid w:val="000914BF"/>
    <w:rsid w:val="00091543"/>
    <w:rsid w:val="0009168B"/>
    <w:rsid w:val="000916A6"/>
    <w:rsid w:val="000916C6"/>
    <w:rsid w:val="000916D8"/>
    <w:rsid w:val="00091726"/>
    <w:rsid w:val="00091728"/>
    <w:rsid w:val="00091757"/>
    <w:rsid w:val="0009184C"/>
    <w:rsid w:val="00091899"/>
    <w:rsid w:val="00091916"/>
    <w:rsid w:val="00091937"/>
    <w:rsid w:val="000919D7"/>
    <w:rsid w:val="000919DD"/>
    <w:rsid w:val="00091A2C"/>
    <w:rsid w:val="00091AFD"/>
    <w:rsid w:val="00091BB2"/>
    <w:rsid w:val="00091C7A"/>
    <w:rsid w:val="00091CDC"/>
    <w:rsid w:val="00091D1D"/>
    <w:rsid w:val="00091DC9"/>
    <w:rsid w:val="00091E47"/>
    <w:rsid w:val="00091E99"/>
    <w:rsid w:val="00091F3C"/>
    <w:rsid w:val="00091FE7"/>
    <w:rsid w:val="0009203A"/>
    <w:rsid w:val="0009205D"/>
    <w:rsid w:val="000920C2"/>
    <w:rsid w:val="000921A2"/>
    <w:rsid w:val="0009222F"/>
    <w:rsid w:val="00092239"/>
    <w:rsid w:val="0009226B"/>
    <w:rsid w:val="00092295"/>
    <w:rsid w:val="0009232E"/>
    <w:rsid w:val="000923A8"/>
    <w:rsid w:val="00092506"/>
    <w:rsid w:val="00092592"/>
    <w:rsid w:val="00092643"/>
    <w:rsid w:val="0009264F"/>
    <w:rsid w:val="00092751"/>
    <w:rsid w:val="0009276F"/>
    <w:rsid w:val="00092818"/>
    <w:rsid w:val="00092858"/>
    <w:rsid w:val="00092885"/>
    <w:rsid w:val="000928DC"/>
    <w:rsid w:val="0009290A"/>
    <w:rsid w:val="000929DE"/>
    <w:rsid w:val="00092B73"/>
    <w:rsid w:val="00092BC8"/>
    <w:rsid w:val="00092C16"/>
    <w:rsid w:val="00092C93"/>
    <w:rsid w:val="00092D9E"/>
    <w:rsid w:val="00092E38"/>
    <w:rsid w:val="00092E8F"/>
    <w:rsid w:val="00092FC1"/>
    <w:rsid w:val="00092FE1"/>
    <w:rsid w:val="00093145"/>
    <w:rsid w:val="0009315D"/>
    <w:rsid w:val="0009317D"/>
    <w:rsid w:val="0009321A"/>
    <w:rsid w:val="000932DB"/>
    <w:rsid w:val="000933F9"/>
    <w:rsid w:val="000933FB"/>
    <w:rsid w:val="00093416"/>
    <w:rsid w:val="00093447"/>
    <w:rsid w:val="0009345A"/>
    <w:rsid w:val="000934B4"/>
    <w:rsid w:val="000934D5"/>
    <w:rsid w:val="00093508"/>
    <w:rsid w:val="0009357D"/>
    <w:rsid w:val="000935BC"/>
    <w:rsid w:val="000935EC"/>
    <w:rsid w:val="00093623"/>
    <w:rsid w:val="00093657"/>
    <w:rsid w:val="0009374A"/>
    <w:rsid w:val="000937BA"/>
    <w:rsid w:val="00093896"/>
    <w:rsid w:val="000938E4"/>
    <w:rsid w:val="00093917"/>
    <w:rsid w:val="00093AD6"/>
    <w:rsid w:val="00093B47"/>
    <w:rsid w:val="00093B76"/>
    <w:rsid w:val="00093BD4"/>
    <w:rsid w:val="00093C46"/>
    <w:rsid w:val="00093CBB"/>
    <w:rsid w:val="00093DD7"/>
    <w:rsid w:val="00093E62"/>
    <w:rsid w:val="00093E96"/>
    <w:rsid w:val="00093FEF"/>
    <w:rsid w:val="00094019"/>
    <w:rsid w:val="0009404D"/>
    <w:rsid w:val="0009409A"/>
    <w:rsid w:val="000940F7"/>
    <w:rsid w:val="0009422F"/>
    <w:rsid w:val="00094302"/>
    <w:rsid w:val="00094390"/>
    <w:rsid w:val="000943AA"/>
    <w:rsid w:val="000943F7"/>
    <w:rsid w:val="000943F9"/>
    <w:rsid w:val="00094413"/>
    <w:rsid w:val="00094414"/>
    <w:rsid w:val="00094457"/>
    <w:rsid w:val="00094594"/>
    <w:rsid w:val="000945E9"/>
    <w:rsid w:val="0009469A"/>
    <w:rsid w:val="000946DF"/>
    <w:rsid w:val="0009499C"/>
    <w:rsid w:val="000949DA"/>
    <w:rsid w:val="000949F9"/>
    <w:rsid w:val="00094A00"/>
    <w:rsid w:val="00094A66"/>
    <w:rsid w:val="00094AB8"/>
    <w:rsid w:val="00094AE8"/>
    <w:rsid w:val="00094B32"/>
    <w:rsid w:val="00094BC6"/>
    <w:rsid w:val="00094C55"/>
    <w:rsid w:val="00094D13"/>
    <w:rsid w:val="00094DCB"/>
    <w:rsid w:val="00094DE8"/>
    <w:rsid w:val="00094EFD"/>
    <w:rsid w:val="00094F55"/>
    <w:rsid w:val="00094F90"/>
    <w:rsid w:val="00094FA6"/>
    <w:rsid w:val="00095081"/>
    <w:rsid w:val="0009514F"/>
    <w:rsid w:val="00095161"/>
    <w:rsid w:val="0009516F"/>
    <w:rsid w:val="00095192"/>
    <w:rsid w:val="00095196"/>
    <w:rsid w:val="000951AA"/>
    <w:rsid w:val="000951C8"/>
    <w:rsid w:val="000951FF"/>
    <w:rsid w:val="000953CC"/>
    <w:rsid w:val="000953F5"/>
    <w:rsid w:val="00095400"/>
    <w:rsid w:val="0009540C"/>
    <w:rsid w:val="0009541E"/>
    <w:rsid w:val="000954C0"/>
    <w:rsid w:val="000954CD"/>
    <w:rsid w:val="0009569E"/>
    <w:rsid w:val="00095795"/>
    <w:rsid w:val="00095897"/>
    <w:rsid w:val="000958B2"/>
    <w:rsid w:val="000958F7"/>
    <w:rsid w:val="00095925"/>
    <w:rsid w:val="00095966"/>
    <w:rsid w:val="00095AF9"/>
    <w:rsid w:val="00095D5D"/>
    <w:rsid w:val="00095D91"/>
    <w:rsid w:val="00095DF2"/>
    <w:rsid w:val="00095F3A"/>
    <w:rsid w:val="00095F80"/>
    <w:rsid w:val="00095FB2"/>
    <w:rsid w:val="000960CE"/>
    <w:rsid w:val="00096126"/>
    <w:rsid w:val="00096282"/>
    <w:rsid w:val="000962B6"/>
    <w:rsid w:val="0009631C"/>
    <w:rsid w:val="000963F9"/>
    <w:rsid w:val="0009646A"/>
    <w:rsid w:val="000964DE"/>
    <w:rsid w:val="000965FA"/>
    <w:rsid w:val="00096610"/>
    <w:rsid w:val="000966CE"/>
    <w:rsid w:val="00096716"/>
    <w:rsid w:val="0009675E"/>
    <w:rsid w:val="00096952"/>
    <w:rsid w:val="00096998"/>
    <w:rsid w:val="000969A7"/>
    <w:rsid w:val="00096A82"/>
    <w:rsid w:val="00096ADD"/>
    <w:rsid w:val="00096CB4"/>
    <w:rsid w:val="00096D03"/>
    <w:rsid w:val="00096D16"/>
    <w:rsid w:val="00096E54"/>
    <w:rsid w:val="00096EA2"/>
    <w:rsid w:val="00096EC8"/>
    <w:rsid w:val="00096EF8"/>
    <w:rsid w:val="000970F8"/>
    <w:rsid w:val="0009714C"/>
    <w:rsid w:val="0009721D"/>
    <w:rsid w:val="00097249"/>
    <w:rsid w:val="0009731E"/>
    <w:rsid w:val="00097324"/>
    <w:rsid w:val="00097372"/>
    <w:rsid w:val="000973BC"/>
    <w:rsid w:val="000973EC"/>
    <w:rsid w:val="0009742F"/>
    <w:rsid w:val="00097437"/>
    <w:rsid w:val="0009747F"/>
    <w:rsid w:val="00097490"/>
    <w:rsid w:val="000974EE"/>
    <w:rsid w:val="000975A4"/>
    <w:rsid w:val="00097602"/>
    <w:rsid w:val="00097848"/>
    <w:rsid w:val="00097868"/>
    <w:rsid w:val="000978E5"/>
    <w:rsid w:val="00097930"/>
    <w:rsid w:val="00097949"/>
    <w:rsid w:val="00097A78"/>
    <w:rsid w:val="00097A80"/>
    <w:rsid w:val="00097B11"/>
    <w:rsid w:val="00097BC4"/>
    <w:rsid w:val="00097BF6"/>
    <w:rsid w:val="00097C17"/>
    <w:rsid w:val="00097E1A"/>
    <w:rsid w:val="00097E43"/>
    <w:rsid w:val="00097E7D"/>
    <w:rsid w:val="00097E9F"/>
    <w:rsid w:val="00097EAC"/>
    <w:rsid w:val="00097EF4"/>
    <w:rsid w:val="00097EF6"/>
    <w:rsid w:val="00097F44"/>
    <w:rsid w:val="00097FBA"/>
    <w:rsid w:val="000A00C0"/>
    <w:rsid w:val="000A0117"/>
    <w:rsid w:val="000A019A"/>
    <w:rsid w:val="000A01AB"/>
    <w:rsid w:val="000A01E9"/>
    <w:rsid w:val="000A01FC"/>
    <w:rsid w:val="000A0236"/>
    <w:rsid w:val="000A024F"/>
    <w:rsid w:val="000A028D"/>
    <w:rsid w:val="000A0315"/>
    <w:rsid w:val="000A033C"/>
    <w:rsid w:val="000A0405"/>
    <w:rsid w:val="000A04B2"/>
    <w:rsid w:val="000A0539"/>
    <w:rsid w:val="000A05F9"/>
    <w:rsid w:val="000A05FF"/>
    <w:rsid w:val="000A0615"/>
    <w:rsid w:val="000A063C"/>
    <w:rsid w:val="000A06B9"/>
    <w:rsid w:val="000A07E3"/>
    <w:rsid w:val="000A0850"/>
    <w:rsid w:val="000A08A4"/>
    <w:rsid w:val="000A08AD"/>
    <w:rsid w:val="000A0A6D"/>
    <w:rsid w:val="000A0BF8"/>
    <w:rsid w:val="000A0C25"/>
    <w:rsid w:val="000A0C57"/>
    <w:rsid w:val="000A0FA5"/>
    <w:rsid w:val="000A0FB5"/>
    <w:rsid w:val="000A1064"/>
    <w:rsid w:val="000A1065"/>
    <w:rsid w:val="000A10B6"/>
    <w:rsid w:val="000A11A7"/>
    <w:rsid w:val="000A125F"/>
    <w:rsid w:val="000A144D"/>
    <w:rsid w:val="000A1455"/>
    <w:rsid w:val="000A153F"/>
    <w:rsid w:val="000A176C"/>
    <w:rsid w:val="000A176F"/>
    <w:rsid w:val="000A17F8"/>
    <w:rsid w:val="000A18CE"/>
    <w:rsid w:val="000A19B2"/>
    <w:rsid w:val="000A19F2"/>
    <w:rsid w:val="000A1B62"/>
    <w:rsid w:val="000A1BCA"/>
    <w:rsid w:val="000A1C1F"/>
    <w:rsid w:val="000A1DE2"/>
    <w:rsid w:val="000A1E10"/>
    <w:rsid w:val="000A1E95"/>
    <w:rsid w:val="000A1F6A"/>
    <w:rsid w:val="000A1FC7"/>
    <w:rsid w:val="000A2002"/>
    <w:rsid w:val="000A20F4"/>
    <w:rsid w:val="000A21EA"/>
    <w:rsid w:val="000A221F"/>
    <w:rsid w:val="000A2324"/>
    <w:rsid w:val="000A245C"/>
    <w:rsid w:val="000A2630"/>
    <w:rsid w:val="000A26AC"/>
    <w:rsid w:val="000A26D1"/>
    <w:rsid w:val="000A26E3"/>
    <w:rsid w:val="000A2742"/>
    <w:rsid w:val="000A27F0"/>
    <w:rsid w:val="000A2804"/>
    <w:rsid w:val="000A2922"/>
    <w:rsid w:val="000A2948"/>
    <w:rsid w:val="000A29CD"/>
    <w:rsid w:val="000A29F1"/>
    <w:rsid w:val="000A2B8D"/>
    <w:rsid w:val="000A2BCA"/>
    <w:rsid w:val="000A2C1E"/>
    <w:rsid w:val="000A2C41"/>
    <w:rsid w:val="000A2CC0"/>
    <w:rsid w:val="000A2E20"/>
    <w:rsid w:val="000A2F4A"/>
    <w:rsid w:val="000A307F"/>
    <w:rsid w:val="000A3112"/>
    <w:rsid w:val="000A317A"/>
    <w:rsid w:val="000A3206"/>
    <w:rsid w:val="000A3270"/>
    <w:rsid w:val="000A3282"/>
    <w:rsid w:val="000A3304"/>
    <w:rsid w:val="000A341D"/>
    <w:rsid w:val="000A3476"/>
    <w:rsid w:val="000A3548"/>
    <w:rsid w:val="000A3670"/>
    <w:rsid w:val="000A367F"/>
    <w:rsid w:val="000A36FC"/>
    <w:rsid w:val="000A3892"/>
    <w:rsid w:val="000A393E"/>
    <w:rsid w:val="000A3A3B"/>
    <w:rsid w:val="000A3A65"/>
    <w:rsid w:val="000A3B05"/>
    <w:rsid w:val="000A3D21"/>
    <w:rsid w:val="000A3DCF"/>
    <w:rsid w:val="000A3E50"/>
    <w:rsid w:val="000A3FDF"/>
    <w:rsid w:val="000A4011"/>
    <w:rsid w:val="000A4029"/>
    <w:rsid w:val="000A403C"/>
    <w:rsid w:val="000A413A"/>
    <w:rsid w:val="000A42BE"/>
    <w:rsid w:val="000A4330"/>
    <w:rsid w:val="000A4333"/>
    <w:rsid w:val="000A435B"/>
    <w:rsid w:val="000A44E5"/>
    <w:rsid w:val="000A4644"/>
    <w:rsid w:val="000A46A6"/>
    <w:rsid w:val="000A4832"/>
    <w:rsid w:val="000A48D3"/>
    <w:rsid w:val="000A4963"/>
    <w:rsid w:val="000A4983"/>
    <w:rsid w:val="000A4ACD"/>
    <w:rsid w:val="000A4B4A"/>
    <w:rsid w:val="000A4B4E"/>
    <w:rsid w:val="000A4B91"/>
    <w:rsid w:val="000A4C2F"/>
    <w:rsid w:val="000A4C30"/>
    <w:rsid w:val="000A4E51"/>
    <w:rsid w:val="000A5094"/>
    <w:rsid w:val="000A50EF"/>
    <w:rsid w:val="000A5124"/>
    <w:rsid w:val="000A5176"/>
    <w:rsid w:val="000A5304"/>
    <w:rsid w:val="000A531F"/>
    <w:rsid w:val="000A536F"/>
    <w:rsid w:val="000A538E"/>
    <w:rsid w:val="000A55E6"/>
    <w:rsid w:val="000A56B2"/>
    <w:rsid w:val="000A5819"/>
    <w:rsid w:val="000A5836"/>
    <w:rsid w:val="000A58C2"/>
    <w:rsid w:val="000A58EA"/>
    <w:rsid w:val="000A594B"/>
    <w:rsid w:val="000A5A3E"/>
    <w:rsid w:val="000A5BAD"/>
    <w:rsid w:val="000A5C5E"/>
    <w:rsid w:val="000A5D8F"/>
    <w:rsid w:val="000A5E3A"/>
    <w:rsid w:val="000A5E86"/>
    <w:rsid w:val="000A5E94"/>
    <w:rsid w:val="000A5F13"/>
    <w:rsid w:val="000A5F86"/>
    <w:rsid w:val="000A60AA"/>
    <w:rsid w:val="000A625E"/>
    <w:rsid w:val="000A62B6"/>
    <w:rsid w:val="000A62F5"/>
    <w:rsid w:val="000A657E"/>
    <w:rsid w:val="000A65C4"/>
    <w:rsid w:val="000A65D0"/>
    <w:rsid w:val="000A6733"/>
    <w:rsid w:val="000A673C"/>
    <w:rsid w:val="000A6757"/>
    <w:rsid w:val="000A6792"/>
    <w:rsid w:val="000A679A"/>
    <w:rsid w:val="000A67DF"/>
    <w:rsid w:val="000A6844"/>
    <w:rsid w:val="000A68EB"/>
    <w:rsid w:val="000A6A32"/>
    <w:rsid w:val="000A6BAB"/>
    <w:rsid w:val="000A6C1E"/>
    <w:rsid w:val="000A6CA7"/>
    <w:rsid w:val="000A6D7D"/>
    <w:rsid w:val="000A6DCF"/>
    <w:rsid w:val="000A6E36"/>
    <w:rsid w:val="000A6E65"/>
    <w:rsid w:val="000A6E6B"/>
    <w:rsid w:val="000A6ED1"/>
    <w:rsid w:val="000A6F36"/>
    <w:rsid w:val="000A6F3F"/>
    <w:rsid w:val="000A6F85"/>
    <w:rsid w:val="000A7031"/>
    <w:rsid w:val="000A7134"/>
    <w:rsid w:val="000A7289"/>
    <w:rsid w:val="000A72B3"/>
    <w:rsid w:val="000A73D2"/>
    <w:rsid w:val="000A7462"/>
    <w:rsid w:val="000A74F5"/>
    <w:rsid w:val="000A7500"/>
    <w:rsid w:val="000A7529"/>
    <w:rsid w:val="000A7533"/>
    <w:rsid w:val="000A762A"/>
    <w:rsid w:val="000A7638"/>
    <w:rsid w:val="000A7739"/>
    <w:rsid w:val="000A77DE"/>
    <w:rsid w:val="000A7810"/>
    <w:rsid w:val="000A7933"/>
    <w:rsid w:val="000A79C1"/>
    <w:rsid w:val="000A79F0"/>
    <w:rsid w:val="000A7A57"/>
    <w:rsid w:val="000A7A6C"/>
    <w:rsid w:val="000A7CC1"/>
    <w:rsid w:val="000A7CF7"/>
    <w:rsid w:val="000A7D49"/>
    <w:rsid w:val="000A7D6C"/>
    <w:rsid w:val="000A7FBC"/>
    <w:rsid w:val="000A7FD8"/>
    <w:rsid w:val="000A7FEC"/>
    <w:rsid w:val="000B00CE"/>
    <w:rsid w:val="000B00E8"/>
    <w:rsid w:val="000B029A"/>
    <w:rsid w:val="000B029D"/>
    <w:rsid w:val="000B034D"/>
    <w:rsid w:val="000B038C"/>
    <w:rsid w:val="000B0448"/>
    <w:rsid w:val="000B0576"/>
    <w:rsid w:val="000B05E4"/>
    <w:rsid w:val="000B0609"/>
    <w:rsid w:val="000B072D"/>
    <w:rsid w:val="000B0767"/>
    <w:rsid w:val="000B077F"/>
    <w:rsid w:val="000B097E"/>
    <w:rsid w:val="000B0A00"/>
    <w:rsid w:val="000B0A95"/>
    <w:rsid w:val="000B0AB6"/>
    <w:rsid w:val="000B0B1A"/>
    <w:rsid w:val="000B0B31"/>
    <w:rsid w:val="000B0B63"/>
    <w:rsid w:val="000B0BC8"/>
    <w:rsid w:val="000B0BFC"/>
    <w:rsid w:val="000B0C2D"/>
    <w:rsid w:val="000B0CA5"/>
    <w:rsid w:val="000B0D82"/>
    <w:rsid w:val="000B0F71"/>
    <w:rsid w:val="000B0F96"/>
    <w:rsid w:val="000B0FBE"/>
    <w:rsid w:val="000B0FD8"/>
    <w:rsid w:val="000B105C"/>
    <w:rsid w:val="000B1109"/>
    <w:rsid w:val="000B1134"/>
    <w:rsid w:val="000B113C"/>
    <w:rsid w:val="000B115B"/>
    <w:rsid w:val="000B1260"/>
    <w:rsid w:val="000B12F7"/>
    <w:rsid w:val="000B142D"/>
    <w:rsid w:val="000B1506"/>
    <w:rsid w:val="000B152B"/>
    <w:rsid w:val="000B1540"/>
    <w:rsid w:val="000B1598"/>
    <w:rsid w:val="000B15C1"/>
    <w:rsid w:val="000B1624"/>
    <w:rsid w:val="000B1626"/>
    <w:rsid w:val="000B16E6"/>
    <w:rsid w:val="000B177D"/>
    <w:rsid w:val="000B1843"/>
    <w:rsid w:val="000B18BC"/>
    <w:rsid w:val="000B1ACB"/>
    <w:rsid w:val="000B1B7F"/>
    <w:rsid w:val="000B1C4F"/>
    <w:rsid w:val="000B1D79"/>
    <w:rsid w:val="000B1E73"/>
    <w:rsid w:val="000B1F1E"/>
    <w:rsid w:val="000B20B9"/>
    <w:rsid w:val="000B20BC"/>
    <w:rsid w:val="000B20E1"/>
    <w:rsid w:val="000B2177"/>
    <w:rsid w:val="000B2211"/>
    <w:rsid w:val="000B230A"/>
    <w:rsid w:val="000B233E"/>
    <w:rsid w:val="000B23A3"/>
    <w:rsid w:val="000B242D"/>
    <w:rsid w:val="000B2447"/>
    <w:rsid w:val="000B24CC"/>
    <w:rsid w:val="000B2615"/>
    <w:rsid w:val="000B26A0"/>
    <w:rsid w:val="000B26BD"/>
    <w:rsid w:val="000B2717"/>
    <w:rsid w:val="000B2781"/>
    <w:rsid w:val="000B2988"/>
    <w:rsid w:val="000B29B7"/>
    <w:rsid w:val="000B2A8D"/>
    <w:rsid w:val="000B2AB6"/>
    <w:rsid w:val="000B2AE2"/>
    <w:rsid w:val="000B2B75"/>
    <w:rsid w:val="000B2BFB"/>
    <w:rsid w:val="000B2D41"/>
    <w:rsid w:val="000B2E2C"/>
    <w:rsid w:val="000B2EAB"/>
    <w:rsid w:val="000B2EDA"/>
    <w:rsid w:val="000B2EF5"/>
    <w:rsid w:val="000B2F40"/>
    <w:rsid w:val="000B2F61"/>
    <w:rsid w:val="000B3117"/>
    <w:rsid w:val="000B3119"/>
    <w:rsid w:val="000B31B5"/>
    <w:rsid w:val="000B31F9"/>
    <w:rsid w:val="000B33E5"/>
    <w:rsid w:val="000B3455"/>
    <w:rsid w:val="000B3481"/>
    <w:rsid w:val="000B34AB"/>
    <w:rsid w:val="000B34DF"/>
    <w:rsid w:val="000B3561"/>
    <w:rsid w:val="000B35A1"/>
    <w:rsid w:val="000B3624"/>
    <w:rsid w:val="000B362F"/>
    <w:rsid w:val="000B370D"/>
    <w:rsid w:val="000B377D"/>
    <w:rsid w:val="000B3846"/>
    <w:rsid w:val="000B38D8"/>
    <w:rsid w:val="000B3942"/>
    <w:rsid w:val="000B395C"/>
    <w:rsid w:val="000B3970"/>
    <w:rsid w:val="000B398A"/>
    <w:rsid w:val="000B39D9"/>
    <w:rsid w:val="000B3A1B"/>
    <w:rsid w:val="000B3C58"/>
    <w:rsid w:val="000B3C75"/>
    <w:rsid w:val="000B3D0B"/>
    <w:rsid w:val="000B3D41"/>
    <w:rsid w:val="000B3DEF"/>
    <w:rsid w:val="000B3E03"/>
    <w:rsid w:val="000B3E86"/>
    <w:rsid w:val="000B4026"/>
    <w:rsid w:val="000B41D5"/>
    <w:rsid w:val="000B421D"/>
    <w:rsid w:val="000B42BB"/>
    <w:rsid w:val="000B430A"/>
    <w:rsid w:val="000B43FF"/>
    <w:rsid w:val="000B441B"/>
    <w:rsid w:val="000B44AB"/>
    <w:rsid w:val="000B450E"/>
    <w:rsid w:val="000B46F7"/>
    <w:rsid w:val="000B471B"/>
    <w:rsid w:val="000B4991"/>
    <w:rsid w:val="000B4A10"/>
    <w:rsid w:val="000B4AC8"/>
    <w:rsid w:val="000B4ADE"/>
    <w:rsid w:val="000B4B65"/>
    <w:rsid w:val="000B4B84"/>
    <w:rsid w:val="000B4B86"/>
    <w:rsid w:val="000B4BD6"/>
    <w:rsid w:val="000B4CA1"/>
    <w:rsid w:val="000B4D3A"/>
    <w:rsid w:val="000B4DCC"/>
    <w:rsid w:val="000B4E3F"/>
    <w:rsid w:val="000B5089"/>
    <w:rsid w:val="000B52B0"/>
    <w:rsid w:val="000B52BE"/>
    <w:rsid w:val="000B53D5"/>
    <w:rsid w:val="000B53EE"/>
    <w:rsid w:val="000B5417"/>
    <w:rsid w:val="000B54B8"/>
    <w:rsid w:val="000B5726"/>
    <w:rsid w:val="000B5887"/>
    <w:rsid w:val="000B58DD"/>
    <w:rsid w:val="000B591F"/>
    <w:rsid w:val="000B593B"/>
    <w:rsid w:val="000B5A13"/>
    <w:rsid w:val="000B5B93"/>
    <w:rsid w:val="000B5BBD"/>
    <w:rsid w:val="000B5D86"/>
    <w:rsid w:val="000B5DD9"/>
    <w:rsid w:val="000B5E4F"/>
    <w:rsid w:val="000B60DE"/>
    <w:rsid w:val="000B6113"/>
    <w:rsid w:val="000B63B9"/>
    <w:rsid w:val="000B63DD"/>
    <w:rsid w:val="000B640C"/>
    <w:rsid w:val="000B64F2"/>
    <w:rsid w:val="000B6590"/>
    <w:rsid w:val="000B65D2"/>
    <w:rsid w:val="000B6609"/>
    <w:rsid w:val="000B6617"/>
    <w:rsid w:val="000B668D"/>
    <w:rsid w:val="000B6764"/>
    <w:rsid w:val="000B677C"/>
    <w:rsid w:val="000B67B7"/>
    <w:rsid w:val="000B67DD"/>
    <w:rsid w:val="000B6847"/>
    <w:rsid w:val="000B6910"/>
    <w:rsid w:val="000B6962"/>
    <w:rsid w:val="000B6970"/>
    <w:rsid w:val="000B69A7"/>
    <w:rsid w:val="000B69FB"/>
    <w:rsid w:val="000B6A90"/>
    <w:rsid w:val="000B6B1E"/>
    <w:rsid w:val="000B6C4D"/>
    <w:rsid w:val="000B6C79"/>
    <w:rsid w:val="000B6C89"/>
    <w:rsid w:val="000B6C91"/>
    <w:rsid w:val="000B6E7F"/>
    <w:rsid w:val="000B70C2"/>
    <w:rsid w:val="000B712E"/>
    <w:rsid w:val="000B7159"/>
    <w:rsid w:val="000B7187"/>
    <w:rsid w:val="000B7232"/>
    <w:rsid w:val="000B7271"/>
    <w:rsid w:val="000B7407"/>
    <w:rsid w:val="000B7519"/>
    <w:rsid w:val="000B75B0"/>
    <w:rsid w:val="000B7643"/>
    <w:rsid w:val="000B7659"/>
    <w:rsid w:val="000B7676"/>
    <w:rsid w:val="000B767A"/>
    <w:rsid w:val="000B7776"/>
    <w:rsid w:val="000B78A4"/>
    <w:rsid w:val="000B78C5"/>
    <w:rsid w:val="000B7937"/>
    <w:rsid w:val="000B7965"/>
    <w:rsid w:val="000B7A4F"/>
    <w:rsid w:val="000B7AE1"/>
    <w:rsid w:val="000B7BAB"/>
    <w:rsid w:val="000B7C8A"/>
    <w:rsid w:val="000B7CA2"/>
    <w:rsid w:val="000B7DD9"/>
    <w:rsid w:val="000B7E07"/>
    <w:rsid w:val="000B7E2B"/>
    <w:rsid w:val="000B7EED"/>
    <w:rsid w:val="000B7EF0"/>
    <w:rsid w:val="000B7F36"/>
    <w:rsid w:val="000B7F3E"/>
    <w:rsid w:val="000C0006"/>
    <w:rsid w:val="000C000F"/>
    <w:rsid w:val="000C009F"/>
    <w:rsid w:val="000C01CF"/>
    <w:rsid w:val="000C0308"/>
    <w:rsid w:val="000C04A7"/>
    <w:rsid w:val="000C04AA"/>
    <w:rsid w:val="000C04DD"/>
    <w:rsid w:val="000C0770"/>
    <w:rsid w:val="000C081F"/>
    <w:rsid w:val="000C08F1"/>
    <w:rsid w:val="000C098F"/>
    <w:rsid w:val="000C0995"/>
    <w:rsid w:val="000C0A28"/>
    <w:rsid w:val="000C0A83"/>
    <w:rsid w:val="000C0AA1"/>
    <w:rsid w:val="000C0AA2"/>
    <w:rsid w:val="000C0B93"/>
    <w:rsid w:val="000C0B9A"/>
    <w:rsid w:val="000C0D42"/>
    <w:rsid w:val="000C0D8E"/>
    <w:rsid w:val="000C0E09"/>
    <w:rsid w:val="000C0F36"/>
    <w:rsid w:val="000C0F56"/>
    <w:rsid w:val="000C0F85"/>
    <w:rsid w:val="000C0F9C"/>
    <w:rsid w:val="000C0FC1"/>
    <w:rsid w:val="000C1000"/>
    <w:rsid w:val="000C11EE"/>
    <w:rsid w:val="000C122C"/>
    <w:rsid w:val="000C128C"/>
    <w:rsid w:val="000C1369"/>
    <w:rsid w:val="000C13D0"/>
    <w:rsid w:val="000C14D3"/>
    <w:rsid w:val="000C15FB"/>
    <w:rsid w:val="000C178F"/>
    <w:rsid w:val="000C17FB"/>
    <w:rsid w:val="000C1842"/>
    <w:rsid w:val="000C1850"/>
    <w:rsid w:val="000C18AC"/>
    <w:rsid w:val="000C1B24"/>
    <w:rsid w:val="000C1B99"/>
    <w:rsid w:val="000C1C48"/>
    <w:rsid w:val="000C1C8A"/>
    <w:rsid w:val="000C1CF4"/>
    <w:rsid w:val="000C1E0F"/>
    <w:rsid w:val="000C1E44"/>
    <w:rsid w:val="000C1E50"/>
    <w:rsid w:val="000C1E53"/>
    <w:rsid w:val="000C1F8C"/>
    <w:rsid w:val="000C1FB5"/>
    <w:rsid w:val="000C1FCC"/>
    <w:rsid w:val="000C1FE1"/>
    <w:rsid w:val="000C20F7"/>
    <w:rsid w:val="000C2120"/>
    <w:rsid w:val="000C213C"/>
    <w:rsid w:val="000C2197"/>
    <w:rsid w:val="000C23C5"/>
    <w:rsid w:val="000C2480"/>
    <w:rsid w:val="000C2609"/>
    <w:rsid w:val="000C26E5"/>
    <w:rsid w:val="000C270B"/>
    <w:rsid w:val="000C27AA"/>
    <w:rsid w:val="000C27B7"/>
    <w:rsid w:val="000C27E1"/>
    <w:rsid w:val="000C27E8"/>
    <w:rsid w:val="000C28BA"/>
    <w:rsid w:val="000C2926"/>
    <w:rsid w:val="000C2962"/>
    <w:rsid w:val="000C296B"/>
    <w:rsid w:val="000C2AFB"/>
    <w:rsid w:val="000C2B0F"/>
    <w:rsid w:val="000C2B4C"/>
    <w:rsid w:val="000C2BBB"/>
    <w:rsid w:val="000C2D22"/>
    <w:rsid w:val="000C2D24"/>
    <w:rsid w:val="000C2D59"/>
    <w:rsid w:val="000C2D62"/>
    <w:rsid w:val="000C2DD4"/>
    <w:rsid w:val="000C2E08"/>
    <w:rsid w:val="000C2E87"/>
    <w:rsid w:val="000C2EB2"/>
    <w:rsid w:val="000C30F4"/>
    <w:rsid w:val="000C314C"/>
    <w:rsid w:val="000C31AA"/>
    <w:rsid w:val="000C31C1"/>
    <w:rsid w:val="000C3231"/>
    <w:rsid w:val="000C32E5"/>
    <w:rsid w:val="000C33EB"/>
    <w:rsid w:val="000C3470"/>
    <w:rsid w:val="000C3546"/>
    <w:rsid w:val="000C35FD"/>
    <w:rsid w:val="000C3726"/>
    <w:rsid w:val="000C37FA"/>
    <w:rsid w:val="000C3814"/>
    <w:rsid w:val="000C386E"/>
    <w:rsid w:val="000C39F8"/>
    <w:rsid w:val="000C3A32"/>
    <w:rsid w:val="000C3A58"/>
    <w:rsid w:val="000C3BC8"/>
    <w:rsid w:val="000C3C81"/>
    <w:rsid w:val="000C3D0B"/>
    <w:rsid w:val="000C3D12"/>
    <w:rsid w:val="000C3D5D"/>
    <w:rsid w:val="000C3EFE"/>
    <w:rsid w:val="000C3F0B"/>
    <w:rsid w:val="000C3F9A"/>
    <w:rsid w:val="000C4002"/>
    <w:rsid w:val="000C405C"/>
    <w:rsid w:val="000C414A"/>
    <w:rsid w:val="000C4168"/>
    <w:rsid w:val="000C420A"/>
    <w:rsid w:val="000C4254"/>
    <w:rsid w:val="000C433A"/>
    <w:rsid w:val="000C4376"/>
    <w:rsid w:val="000C4381"/>
    <w:rsid w:val="000C43BC"/>
    <w:rsid w:val="000C43CF"/>
    <w:rsid w:val="000C43F3"/>
    <w:rsid w:val="000C4401"/>
    <w:rsid w:val="000C446F"/>
    <w:rsid w:val="000C4577"/>
    <w:rsid w:val="000C4626"/>
    <w:rsid w:val="000C4651"/>
    <w:rsid w:val="000C4682"/>
    <w:rsid w:val="000C46AB"/>
    <w:rsid w:val="000C46E5"/>
    <w:rsid w:val="000C4726"/>
    <w:rsid w:val="000C48B7"/>
    <w:rsid w:val="000C48D8"/>
    <w:rsid w:val="000C48F2"/>
    <w:rsid w:val="000C49D4"/>
    <w:rsid w:val="000C4B1C"/>
    <w:rsid w:val="000C4BEE"/>
    <w:rsid w:val="000C4C20"/>
    <w:rsid w:val="000C4C41"/>
    <w:rsid w:val="000C4CC0"/>
    <w:rsid w:val="000C4D3A"/>
    <w:rsid w:val="000C4DD9"/>
    <w:rsid w:val="000C4E52"/>
    <w:rsid w:val="000C4ECB"/>
    <w:rsid w:val="000C4FEB"/>
    <w:rsid w:val="000C5063"/>
    <w:rsid w:val="000C5163"/>
    <w:rsid w:val="000C51D3"/>
    <w:rsid w:val="000C5233"/>
    <w:rsid w:val="000C5332"/>
    <w:rsid w:val="000C5353"/>
    <w:rsid w:val="000C5432"/>
    <w:rsid w:val="000C5443"/>
    <w:rsid w:val="000C546A"/>
    <w:rsid w:val="000C549F"/>
    <w:rsid w:val="000C54AE"/>
    <w:rsid w:val="000C5647"/>
    <w:rsid w:val="000C57B0"/>
    <w:rsid w:val="000C5854"/>
    <w:rsid w:val="000C5968"/>
    <w:rsid w:val="000C5A74"/>
    <w:rsid w:val="000C5AEC"/>
    <w:rsid w:val="000C5BB4"/>
    <w:rsid w:val="000C5BD4"/>
    <w:rsid w:val="000C5C06"/>
    <w:rsid w:val="000C5C4B"/>
    <w:rsid w:val="000C5D85"/>
    <w:rsid w:val="000C5E20"/>
    <w:rsid w:val="000C5E45"/>
    <w:rsid w:val="000C5EB6"/>
    <w:rsid w:val="000C5F0A"/>
    <w:rsid w:val="000C5F39"/>
    <w:rsid w:val="000C5F71"/>
    <w:rsid w:val="000C5F8D"/>
    <w:rsid w:val="000C5F95"/>
    <w:rsid w:val="000C60A4"/>
    <w:rsid w:val="000C6190"/>
    <w:rsid w:val="000C622A"/>
    <w:rsid w:val="000C6255"/>
    <w:rsid w:val="000C6274"/>
    <w:rsid w:val="000C6289"/>
    <w:rsid w:val="000C6311"/>
    <w:rsid w:val="000C6330"/>
    <w:rsid w:val="000C64B3"/>
    <w:rsid w:val="000C6550"/>
    <w:rsid w:val="000C655E"/>
    <w:rsid w:val="000C658B"/>
    <w:rsid w:val="000C65BF"/>
    <w:rsid w:val="000C6656"/>
    <w:rsid w:val="000C66DF"/>
    <w:rsid w:val="000C679B"/>
    <w:rsid w:val="000C6801"/>
    <w:rsid w:val="000C6816"/>
    <w:rsid w:val="000C681F"/>
    <w:rsid w:val="000C6825"/>
    <w:rsid w:val="000C68CF"/>
    <w:rsid w:val="000C68DC"/>
    <w:rsid w:val="000C68F3"/>
    <w:rsid w:val="000C690B"/>
    <w:rsid w:val="000C6AA1"/>
    <w:rsid w:val="000C6B65"/>
    <w:rsid w:val="000C6BF7"/>
    <w:rsid w:val="000C6C5C"/>
    <w:rsid w:val="000C6C72"/>
    <w:rsid w:val="000C6CC3"/>
    <w:rsid w:val="000C6CCB"/>
    <w:rsid w:val="000C6CEE"/>
    <w:rsid w:val="000C6D5E"/>
    <w:rsid w:val="000C6DAB"/>
    <w:rsid w:val="000C6EBF"/>
    <w:rsid w:val="000C6F4D"/>
    <w:rsid w:val="000C6F6E"/>
    <w:rsid w:val="000C6F9B"/>
    <w:rsid w:val="000C6FF1"/>
    <w:rsid w:val="000C7085"/>
    <w:rsid w:val="000C70EB"/>
    <w:rsid w:val="000C70FF"/>
    <w:rsid w:val="000C7115"/>
    <w:rsid w:val="000C7120"/>
    <w:rsid w:val="000C71CA"/>
    <w:rsid w:val="000C728F"/>
    <w:rsid w:val="000C72FB"/>
    <w:rsid w:val="000C72FE"/>
    <w:rsid w:val="000C7472"/>
    <w:rsid w:val="000C7499"/>
    <w:rsid w:val="000C74C1"/>
    <w:rsid w:val="000C74DF"/>
    <w:rsid w:val="000C75C0"/>
    <w:rsid w:val="000C76F8"/>
    <w:rsid w:val="000C7700"/>
    <w:rsid w:val="000C7705"/>
    <w:rsid w:val="000C776E"/>
    <w:rsid w:val="000C7875"/>
    <w:rsid w:val="000C7995"/>
    <w:rsid w:val="000C7B22"/>
    <w:rsid w:val="000C7C17"/>
    <w:rsid w:val="000C7C74"/>
    <w:rsid w:val="000C7C9B"/>
    <w:rsid w:val="000C7CCD"/>
    <w:rsid w:val="000C7D1F"/>
    <w:rsid w:val="000C7D69"/>
    <w:rsid w:val="000C7D88"/>
    <w:rsid w:val="000C7D8B"/>
    <w:rsid w:val="000C7F09"/>
    <w:rsid w:val="000C7FC2"/>
    <w:rsid w:val="000D00B3"/>
    <w:rsid w:val="000D02B1"/>
    <w:rsid w:val="000D0353"/>
    <w:rsid w:val="000D0359"/>
    <w:rsid w:val="000D038E"/>
    <w:rsid w:val="000D0464"/>
    <w:rsid w:val="000D0518"/>
    <w:rsid w:val="000D0573"/>
    <w:rsid w:val="000D0622"/>
    <w:rsid w:val="000D0757"/>
    <w:rsid w:val="000D0796"/>
    <w:rsid w:val="000D07CB"/>
    <w:rsid w:val="000D07E1"/>
    <w:rsid w:val="000D07EA"/>
    <w:rsid w:val="000D07F7"/>
    <w:rsid w:val="000D0954"/>
    <w:rsid w:val="000D099A"/>
    <w:rsid w:val="000D0A5C"/>
    <w:rsid w:val="000D0B2D"/>
    <w:rsid w:val="000D0B99"/>
    <w:rsid w:val="000D0C9F"/>
    <w:rsid w:val="000D0CC6"/>
    <w:rsid w:val="000D0E14"/>
    <w:rsid w:val="000D0EF2"/>
    <w:rsid w:val="000D0F37"/>
    <w:rsid w:val="000D0F40"/>
    <w:rsid w:val="000D1013"/>
    <w:rsid w:val="000D10C0"/>
    <w:rsid w:val="000D10D3"/>
    <w:rsid w:val="000D10DB"/>
    <w:rsid w:val="000D11B3"/>
    <w:rsid w:val="000D11EA"/>
    <w:rsid w:val="000D12AE"/>
    <w:rsid w:val="000D13F7"/>
    <w:rsid w:val="000D144E"/>
    <w:rsid w:val="000D1460"/>
    <w:rsid w:val="000D14D7"/>
    <w:rsid w:val="000D16AF"/>
    <w:rsid w:val="000D1754"/>
    <w:rsid w:val="000D17F5"/>
    <w:rsid w:val="000D1916"/>
    <w:rsid w:val="000D1981"/>
    <w:rsid w:val="000D19AB"/>
    <w:rsid w:val="000D19AF"/>
    <w:rsid w:val="000D1A7E"/>
    <w:rsid w:val="000D1B14"/>
    <w:rsid w:val="000D1C30"/>
    <w:rsid w:val="000D1D06"/>
    <w:rsid w:val="000D1D08"/>
    <w:rsid w:val="000D1D23"/>
    <w:rsid w:val="000D1E4C"/>
    <w:rsid w:val="000D1E60"/>
    <w:rsid w:val="000D1F56"/>
    <w:rsid w:val="000D1F63"/>
    <w:rsid w:val="000D2198"/>
    <w:rsid w:val="000D236A"/>
    <w:rsid w:val="000D23B3"/>
    <w:rsid w:val="000D23D9"/>
    <w:rsid w:val="000D24FC"/>
    <w:rsid w:val="000D250F"/>
    <w:rsid w:val="000D267F"/>
    <w:rsid w:val="000D26F2"/>
    <w:rsid w:val="000D273B"/>
    <w:rsid w:val="000D2787"/>
    <w:rsid w:val="000D287F"/>
    <w:rsid w:val="000D2896"/>
    <w:rsid w:val="000D28D6"/>
    <w:rsid w:val="000D2928"/>
    <w:rsid w:val="000D29A4"/>
    <w:rsid w:val="000D29AC"/>
    <w:rsid w:val="000D2A10"/>
    <w:rsid w:val="000D2A74"/>
    <w:rsid w:val="000D2AD8"/>
    <w:rsid w:val="000D2CA1"/>
    <w:rsid w:val="000D2CE6"/>
    <w:rsid w:val="000D2D25"/>
    <w:rsid w:val="000D2DB2"/>
    <w:rsid w:val="000D2DEA"/>
    <w:rsid w:val="000D2E60"/>
    <w:rsid w:val="000D2EA8"/>
    <w:rsid w:val="000D2F04"/>
    <w:rsid w:val="000D312F"/>
    <w:rsid w:val="000D318B"/>
    <w:rsid w:val="000D3227"/>
    <w:rsid w:val="000D326B"/>
    <w:rsid w:val="000D32A2"/>
    <w:rsid w:val="000D32ED"/>
    <w:rsid w:val="000D3335"/>
    <w:rsid w:val="000D3378"/>
    <w:rsid w:val="000D33DC"/>
    <w:rsid w:val="000D3420"/>
    <w:rsid w:val="000D3570"/>
    <w:rsid w:val="000D36B8"/>
    <w:rsid w:val="000D36EB"/>
    <w:rsid w:val="000D3732"/>
    <w:rsid w:val="000D374E"/>
    <w:rsid w:val="000D37A7"/>
    <w:rsid w:val="000D37C5"/>
    <w:rsid w:val="000D385D"/>
    <w:rsid w:val="000D3880"/>
    <w:rsid w:val="000D3888"/>
    <w:rsid w:val="000D38A9"/>
    <w:rsid w:val="000D392F"/>
    <w:rsid w:val="000D3930"/>
    <w:rsid w:val="000D3A23"/>
    <w:rsid w:val="000D3B9C"/>
    <w:rsid w:val="000D3C01"/>
    <w:rsid w:val="000D3C7F"/>
    <w:rsid w:val="000D3C82"/>
    <w:rsid w:val="000D3CC3"/>
    <w:rsid w:val="000D3D69"/>
    <w:rsid w:val="000D3EA2"/>
    <w:rsid w:val="000D3FA8"/>
    <w:rsid w:val="000D3FD1"/>
    <w:rsid w:val="000D40E0"/>
    <w:rsid w:val="000D4226"/>
    <w:rsid w:val="000D42C1"/>
    <w:rsid w:val="000D4398"/>
    <w:rsid w:val="000D43E7"/>
    <w:rsid w:val="000D448A"/>
    <w:rsid w:val="000D4554"/>
    <w:rsid w:val="000D455F"/>
    <w:rsid w:val="000D45B7"/>
    <w:rsid w:val="000D475F"/>
    <w:rsid w:val="000D4882"/>
    <w:rsid w:val="000D4914"/>
    <w:rsid w:val="000D492F"/>
    <w:rsid w:val="000D4AB8"/>
    <w:rsid w:val="000D4B9C"/>
    <w:rsid w:val="000D4BA8"/>
    <w:rsid w:val="000D4C3C"/>
    <w:rsid w:val="000D4C82"/>
    <w:rsid w:val="000D4CBC"/>
    <w:rsid w:val="000D4CBF"/>
    <w:rsid w:val="000D4D44"/>
    <w:rsid w:val="000D4D7E"/>
    <w:rsid w:val="000D4E5E"/>
    <w:rsid w:val="000D4E81"/>
    <w:rsid w:val="000D4EB8"/>
    <w:rsid w:val="000D4ECB"/>
    <w:rsid w:val="000D4F8F"/>
    <w:rsid w:val="000D4FE0"/>
    <w:rsid w:val="000D5016"/>
    <w:rsid w:val="000D516E"/>
    <w:rsid w:val="000D5265"/>
    <w:rsid w:val="000D528B"/>
    <w:rsid w:val="000D52C8"/>
    <w:rsid w:val="000D539E"/>
    <w:rsid w:val="000D543E"/>
    <w:rsid w:val="000D5491"/>
    <w:rsid w:val="000D5493"/>
    <w:rsid w:val="000D5554"/>
    <w:rsid w:val="000D559F"/>
    <w:rsid w:val="000D5604"/>
    <w:rsid w:val="000D562D"/>
    <w:rsid w:val="000D5686"/>
    <w:rsid w:val="000D56A8"/>
    <w:rsid w:val="000D5760"/>
    <w:rsid w:val="000D5774"/>
    <w:rsid w:val="000D57CD"/>
    <w:rsid w:val="000D5943"/>
    <w:rsid w:val="000D5A14"/>
    <w:rsid w:val="000D5A69"/>
    <w:rsid w:val="000D5A6F"/>
    <w:rsid w:val="000D5B11"/>
    <w:rsid w:val="000D5B4E"/>
    <w:rsid w:val="000D5B8E"/>
    <w:rsid w:val="000D5C99"/>
    <w:rsid w:val="000D5CC0"/>
    <w:rsid w:val="000D5CCC"/>
    <w:rsid w:val="000D5CDD"/>
    <w:rsid w:val="000D6032"/>
    <w:rsid w:val="000D6051"/>
    <w:rsid w:val="000D6131"/>
    <w:rsid w:val="000D61B1"/>
    <w:rsid w:val="000D6285"/>
    <w:rsid w:val="000D63A4"/>
    <w:rsid w:val="000D63BE"/>
    <w:rsid w:val="000D63D7"/>
    <w:rsid w:val="000D6413"/>
    <w:rsid w:val="000D6434"/>
    <w:rsid w:val="000D654F"/>
    <w:rsid w:val="000D658F"/>
    <w:rsid w:val="000D667A"/>
    <w:rsid w:val="000D66D8"/>
    <w:rsid w:val="000D66E1"/>
    <w:rsid w:val="000D670C"/>
    <w:rsid w:val="000D6804"/>
    <w:rsid w:val="000D6894"/>
    <w:rsid w:val="000D68A5"/>
    <w:rsid w:val="000D68C7"/>
    <w:rsid w:val="000D6915"/>
    <w:rsid w:val="000D69E3"/>
    <w:rsid w:val="000D6AE6"/>
    <w:rsid w:val="000D6B36"/>
    <w:rsid w:val="000D6BC7"/>
    <w:rsid w:val="000D6BC9"/>
    <w:rsid w:val="000D6D87"/>
    <w:rsid w:val="000D6E16"/>
    <w:rsid w:val="000D6E30"/>
    <w:rsid w:val="000D6E3C"/>
    <w:rsid w:val="000D6EAE"/>
    <w:rsid w:val="000D6F4E"/>
    <w:rsid w:val="000D6FD3"/>
    <w:rsid w:val="000D7078"/>
    <w:rsid w:val="000D70C6"/>
    <w:rsid w:val="000D72E3"/>
    <w:rsid w:val="000D736C"/>
    <w:rsid w:val="000D73DE"/>
    <w:rsid w:val="000D7477"/>
    <w:rsid w:val="000D7498"/>
    <w:rsid w:val="000D74CA"/>
    <w:rsid w:val="000D751F"/>
    <w:rsid w:val="000D7521"/>
    <w:rsid w:val="000D75A7"/>
    <w:rsid w:val="000D7779"/>
    <w:rsid w:val="000D77C6"/>
    <w:rsid w:val="000D77F3"/>
    <w:rsid w:val="000D7847"/>
    <w:rsid w:val="000D79FD"/>
    <w:rsid w:val="000D7A3F"/>
    <w:rsid w:val="000D7B08"/>
    <w:rsid w:val="000D7B74"/>
    <w:rsid w:val="000D7C79"/>
    <w:rsid w:val="000D7C7E"/>
    <w:rsid w:val="000D7E67"/>
    <w:rsid w:val="000D7E98"/>
    <w:rsid w:val="000D7F53"/>
    <w:rsid w:val="000E0086"/>
    <w:rsid w:val="000E0144"/>
    <w:rsid w:val="000E02E7"/>
    <w:rsid w:val="000E02FB"/>
    <w:rsid w:val="000E0320"/>
    <w:rsid w:val="000E0620"/>
    <w:rsid w:val="000E064E"/>
    <w:rsid w:val="000E0676"/>
    <w:rsid w:val="000E0774"/>
    <w:rsid w:val="000E0999"/>
    <w:rsid w:val="000E0A76"/>
    <w:rsid w:val="000E0B03"/>
    <w:rsid w:val="000E0C8C"/>
    <w:rsid w:val="000E0CCB"/>
    <w:rsid w:val="000E0D4B"/>
    <w:rsid w:val="000E0D86"/>
    <w:rsid w:val="000E0DD6"/>
    <w:rsid w:val="000E0E6A"/>
    <w:rsid w:val="000E0F68"/>
    <w:rsid w:val="000E0F81"/>
    <w:rsid w:val="000E0FF9"/>
    <w:rsid w:val="000E102C"/>
    <w:rsid w:val="000E113F"/>
    <w:rsid w:val="000E118F"/>
    <w:rsid w:val="000E1192"/>
    <w:rsid w:val="000E1198"/>
    <w:rsid w:val="000E1281"/>
    <w:rsid w:val="000E13EA"/>
    <w:rsid w:val="000E13F2"/>
    <w:rsid w:val="000E14A8"/>
    <w:rsid w:val="000E1573"/>
    <w:rsid w:val="000E163B"/>
    <w:rsid w:val="000E16AD"/>
    <w:rsid w:val="000E16B7"/>
    <w:rsid w:val="000E1719"/>
    <w:rsid w:val="000E1735"/>
    <w:rsid w:val="000E17E2"/>
    <w:rsid w:val="000E1878"/>
    <w:rsid w:val="000E18CC"/>
    <w:rsid w:val="000E18E8"/>
    <w:rsid w:val="000E195A"/>
    <w:rsid w:val="000E1B6A"/>
    <w:rsid w:val="000E1B71"/>
    <w:rsid w:val="000E1BBC"/>
    <w:rsid w:val="000E1BF9"/>
    <w:rsid w:val="000E1C47"/>
    <w:rsid w:val="000E1C7B"/>
    <w:rsid w:val="000E1E17"/>
    <w:rsid w:val="000E1E53"/>
    <w:rsid w:val="000E1EE4"/>
    <w:rsid w:val="000E1F37"/>
    <w:rsid w:val="000E1F6C"/>
    <w:rsid w:val="000E20BC"/>
    <w:rsid w:val="000E210B"/>
    <w:rsid w:val="000E2124"/>
    <w:rsid w:val="000E21B5"/>
    <w:rsid w:val="000E21B8"/>
    <w:rsid w:val="000E21FC"/>
    <w:rsid w:val="000E2262"/>
    <w:rsid w:val="000E22A8"/>
    <w:rsid w:val="000E230E"/>
    <w:rsid w:val="000E236F"/>
    <w:rsid w:val="000E2376"/>
    <w:rsid w:val="000E24CA"/>
    <w:rsid w:val="000E24EA"/>
    <w:rsid w:val="000E2579"/>
    <w:rsid w:val="000E2602"/>
    <w:rsid w:val="000E2699"/>
    <w:rsid w:val="000E295A"/>
    <w:rsid w:val="000E2A3A"/>
    <w:rsid w:val="000E2B3F"/>
    <w:rsid w:val="000E2C1C"/>
    <w:rsid w:val="000E2D38"/>
    <w:rsid w:val="000E2D55"/>
    <w:rsid w:val="000E2D57"/>
    <w:rsid w:val="000E3011"/>
    <w:rsid w:val="000E3013"/>
    <w:rsid w:val="000E33BC"/>
    <w:rsid w:val="000E33F6"/>
    <w:rsid w:val="000E3413"/>
    <w:rsid w:val="000E3465"/>
    <w:rsid w:val="000E3466"/>
    <w:rsid w:val="000E3636"/>
    <w:rsid w:val="000E368B"/>
    <w:rsid w:val="000E372C"/>
    <w:rsid w:val="000E385F"/>
    <w:rsid w:val="000E392B"/>
    <w:rsid w:val="000E3974"/>
    <w:rsid w:val="000E3AAD"/>
    <w:rsid w:val="000E3ABE"/>
    <w:rsid w:val="000E3C8D"/>
    <w:rsid w:val="000E3F0C"/>
    <w:rsid w:val="000E3FC6"/>
    <w:rsid w:val="000E4008"/>
    <w:rsid w:val="000E40BD"/>
    <w:rsid w:val="000E4101"/>
    <w:rsid w:val="000E41B9"/>
    <w:rsid w:val="000E4245"/>
    <w:rsid w:val="000E42D1"/>
    <w:rsid w:val="000E43F5"/>
    <w:rsid w:val="000E4476"/>
    <w:rsid w:val="000E4488"/>
    <w:rsid w:val="000E44FE"/>
    <w:rsid w:val="000E4517"/>
    <w:rsid w:val="000E4559"/>
    <w:rsid w:val="000E45D7"/>
    <w:rsid w:val="000E45EA"/>
    <w:rsid w:val="000E467A"/>
    <w:rsid w:val="000E4697"/>
    <w:rsid w:val="000E472F"/>
    <w:rsid w:val="000E475E"/>
    <w:rsid w:val="000E478E"/>
    <w:rsid w:val="000E47CF"/>
    <w:rsid w:val="000E4897"/>
    <w:rsid w:val="000E4909"/>
    <w:rsid w:val="000E4BA5"/>
    <w:rsid w:val="000E4C7B"/>
    <w:rsid w:val="000E4EB5"/>
    <w:rsid w:val="000E4F3B"/>
    <w:rsid w:val="000E4FB2"/>
    <w:rsid w:val="000E505C"/>
    <w:rsid w:val="000E5085"/>
    <w:rsid w:val="000E5115"/>
    <w:rsid w:val="000E5122"/>
    <w:rsid w:val="000E5335"/>
    <w:rsid w:val="000E5388"/>
    <w:rsid w:val="000E5464"/>
    <w:rsid w:val="000E54A2"/>
    <w:rsid w:val="000E5566"/>
    <w:rsid w:val="000E55AB"/>
    <w:rsid w:val="000E561B"/>
    <w:rsid w:val="000E5653"/>
    <w:rsid w:val="000E5797"/>
    <w:rsid w:val="000E57C1"/>
    <w:rsid w:val="000E58CB"/>
    <w:rsid w:val="000E59B4"/>
    <w:rsid w:val="000E5A1B"/>
    <w:rsid w:val="000E5B10"/>
    <w:rsid w:val="000E5B31"/>
    <w:rsid w:val="000E5B84"/>
    <w:rsid w:val="000E5B99"/>
    <w:rsid w:val="000E5BAF"/>
    <w:rsid w:val="000E5C51"/>
    <w:rsid w:val="000E5D25"/>
    <w:rsid w:val="000E5D6A"/>
    <w:rsid w:val="000E60C9"/>
    <w:rsid w:val="000E6103"/>
    <w:rsid w:val="000E6121"/>
    <w:rsid w:val="000E6161"/>
    <w:rsid w:val="000E61BB"/>
    <w:rsid w:val="000E61D7"/>
    <w:rsid w:val="000E6283"/>
    <w:rsid w:val="000E6314"/>
    <w:rsid w:val="000E63D6"/>
    <w:rsid w:val="000E64AD"/>
    <w:rsid w:val="000E6501"/>
    <w:rsid w:val="000E6530"/>
    <w:rsid w:val="000E65E3"/>
    <w:rsid w:val="000E6601"/>
    <w:rsid w:val="000E69F6"/>
    <w:rsid w:val="000E6A04"/>
    <w:rsid w:val="000E6A50"/>
    <w:rsid w:val="000E6B2B"/>
    <w:rsid w:val="000E6B8B"/>
    <w:rsid w:val="000E6BB8"/>
    <w:rsid w:val="000E6C53"/>
    <w:rsid w:val="000E6CA1"/>
    <w:rsid w:val="000E6D4C"/>
    <w:rsid w:val="000E6D76"/>
    <w:rsid w:val="000E6DD7"/>
    <w:rsid w:val="000E6F28"/>
    <w:rsid w:val="000E70F2"/>
    <w:rsid w:val="000E71D4"/>
    <w:rsid w:val="000E72D2"/>
    <w:rsid w:val="000E7385"/>
    <w:rsid w:val="000E73C5"/>
    <w:rsid w:val="000E740F"/>
    <w:rsid w:val="000E754F"/>
    <w:rsid w:val="000E7571"/>
    <w:rsid w:val="000E7610"/>
    <w:rsid w:val="000E7877"/>
    <w:rsid w:val="000E78A9"/>
    <w:rsid w:val="000E79DB"/>
    <w:rsid w:val="000E7B3C"/>
    <w:rsid w:val="000E7B7E"/>
    <w:rsid w:val="000E7B9C"/>
    <w:rsid w:val="000E7C71"/>
    <w:rsid w:val="000E7D98"/>
    <w:rsid w:val="000E7DE0"/>
    <w:rsid w:val="000E7E07"/>
    <w:rsid w:val="000E7E25"/>
    <w:rsid w:val="000E7F00"/>
    <w:rsid w:val="000F013C"/>
    <w:rsid w:val="000F01DE"/>
    <w:rsid w:val="000F0325"/>
    <w:rsid w:val="000F0336"/>
    <w:rsid w:val="000F0346"/>
    <w:rsid w:val="000F042D"/>
    <w:rsid w:val="000F04FB"/>
    <w:rsid w:val="000F0545"/>
    <w:rsid w:val="000F0554"/>
    <w:rsid w:val="000F05D2"/>
    <w:rsid w:val="000F0695"/>
    <w:rsid w:val="000F0820"/>
    <w:rsid w:val="000F0917"/>
    <w:rsid w:val="000F0920"/>
    <w:rsid w:val="000F0A0C"/>
    <w:rsid w:val="000F0B2E"/>
    <w:rsid w:val="000F0B30"/>
    <w:rsid w:val="000F0B7D"/>
    <w:rsid w:val="000F0B82"/>
    <w:rsid w:val="000F0BCD"/>
    <w:rsid w:val="000F0BF3"/>
    <w:rsid w:val="000F0C02"/>
    <w:rsid w:val="000F0C33"/>
    <w:rsid w:val="000F0D51"/>
    <w:rsid w:val="000F0D60"/>
    <w:rsid w:val="000F0D76"/>
    <w:rsid w:val="000F0E9E"/>
    <w:rsid w:val="000F0F2E"/>
    <w:rsid w:val="000F1046"/>
    <w:rsid w:val="000F1118"/>
    <w:rsid w:val="000F11A7"/>
    <w:rsid w:val="000F11C9"/>
    <w:rsid w:val="000F12E1"/>
    <w:rsid w:val="000F12F2"/>
    <w:rsid w:val="000F1451"/>
    <w:rsid w:val="000F1594"/>
    <w:rsid w:val="000F16C5"/>
    <w:rsid w:val="000F1704"/>
    <w:rsid w:val="000F1759"/>
    <w:rsid w:val="000F180A"/>
    <w:rsid w:val="000F1886"/>
    <w:rsid w:val="000F18BF"/>
    <w:rsid w:val="000F193F"/>
    <w:rsid w:val="000F1956"/>
    <w:rsid w:val="000F1A11"/>
    <w:rsid w:val="000F1A88"/>
    <w:rsid w:val="000F1ACB"/>
    <w:rsid w:val="000F1B08"/>
    <w:rsid w:val="000F1B17"/>
    <w:rsid w:val="000F1B26"/>
    <w:rsid w:val="000F1D00"/>
    <w:rsid w:val="000F1D01"/>
    <w:rsid w:val="000F1D3B"/>
    <w:rsid w:val="000F1EBA"/>
    <w:rsid w:val="000F2090"/>
    <w:rsid w:val="000F2093"/>
    <w:rsid w:val="000F21A2"/>
    <w:rsid w:val="000F226A"/>
    <w:rsid w:val="000F22D4"/>
    <w:rsid w:val="000F2325"/>
    <w:rsid w:val="000F232E"/>
    <w:rsid w:val="000F236C"/>
    <w:rsid w:val="000F2421"/>
    <w:rsid w:val="000F24AE"/>
    <w:rsid w:val="000F2538"/>
    <w:rsid w:val="000F25C4"/>
    <w:rsid w:val="000F27C0"/>
    <w:rsid w:val="000F27F3"/>
    <w:rsid w:val="000F2900"/>
    <w:rsid w:val="000F2955"/>
    <w:rsid w:val="000F2B45"/>
    <w:rsid w:val="000F2C93"/>
    <w:rsid w:val="000F2CC9"/>
    <w:rsid w:val="000F2D38"/>
    <w:rsid w:val="000F2D8D"/>
    <w:rsid w:val="000F2DF1"/>
    <w:rsid w:val="000F2E3E"/>
    <w:rsid w:val="000F2ED9"/>
    <w:rsid w:val="000F2EF6"/>
    <w:rsid w:val="000F2F11"/>
    <w:rsid w:val="000F2F4A"/>
    <w:rsid w:val="000F3021"/>
    <w:rsid w:val="000F30A6"/>
    <w:rsid w:val="000F3112"/>
    <w:rsid w:val="000F3117"/>
    <w:rsid w:val="000F3175"/>
    <w:rsid w:val="000F329D"/>
    <w:rsid w:val="000F333E"/>
    <w:rsid w:val="000F336D"/>
    <w:rsid w:val="000F3389"/>
    <w:rsid w:val="000F3501"/>
    <w:rsid w:val="000F35AD"/>
    <w:rsid w:val="000F35E8"/>
    <w:rsid w:val="000F3645"/>
    <w:rsid w:val="000F379F"/>
    <w:rsid w:val="000F37D2"/>
    <w:rsid w:val="000F37DC"/>
    <w:rsid w:val="000F3822"/>
    <w:rsid w:val="000F3884"/>
    <w:rsid w:val="000F38D0"/>
    <w:rsid w:val="000F3989"/>
    <w:rsid w:val="000F3994"/>
    <w:rsid w:val="000F399E"/>
    <w:rsid w:val="000F3A37"/>
    <w:rsid w:val="000F3A8A"/>
    <w:rsid w:val="000F3B23"/>
    <w:rsid w:val="000F3B76"/>
    <w:rsid w:val="000F3BCD"/>
    <w:rsid w:val="000F3CD5"/>
    <w:rsid w:val="000F3D2E"/>
    <w:rsid w:val="000F3D2F"/>
    <w:rsid w:val="000F3DFC"/>
    <w:rsid w:val="000F3FAF"/>
    <w:rsid w:val="000F3FFB"/>
    <w:rsid w:val="000F4012"/>
    <w:rsid w:val="000F404E"/>
    <w:rsid w:val="000F4059"/>
    <w:rsid w:val="000F40F2"/>
    <w:rsid w:val="000F417C"/>
    <w:rsid w:val="000F4249"/>
    <w:rsid w:val="000F4323"/>
    <w:rsid w:val="000F4357"/>
    <w:rsid w:val="000F4542"/>
    <w:rsid w:val="000F4559"/>
    <w:rsid w:val="000F460B"/>
    <w:rsid w:val="000F46D6"/>
    <w:rsid w:val="000F46D9"/>
    <w:rsid w:val="000F46DA"/>
    <w:rsid w:val="000F47E4"/>
    <w:rsid w:val="000F482E"/>
    <w:rsid w:val="000F4940"/>
    <w:rsid w:val="000F4967"/>
    <w:rsid w:val="000F4A6E"/>
    <w:rsid w:val="000F4A86"/>
    <w:rsid w:val="000F4AC1"/>
    <w:rsid w:val="000F4AD0"/>
    <w:rsid w:val="000F4BFA"/>
    <w:rsid w:val="000F4D09"/>
    <w:rsid w:val="000F4DE1"/>
    <w:rsid w:val="000F4E3D"/>
    <w:rsid w:val="000F4E5F"/>
    <w:rsid w:val="000F4E78"/>
    <w:rsid w:val="000F4E79"/>
    <w:rsid w:val="000F4EBF"/>
    <w:rsid w:val="000F4FAB"/>
    <w:rsid w:val="000F4FFE"/>
    <w:rsid w:val="000F500C"/>
    <w:rsid w:val="000F5070"/>
    <w:rsid w:val="000F50B9"/>
    <w:rsid w:val="000F512A"/>
    <w:rsid w:val="000F5237"/>
    <w:rsid w:val="000F5309"/>
    <w:rsid w:val="000F548A"/>
    <w:rsid w:val="000F5551"/>
    <w:rsid w:val="000F55F5"/>
    <w:rsid w:val="000F56C1"/>
    <w:rsid w:val="000F5761"/>
    <w:rsid w:val="000F5853"/>
    <w:rsid w:val="000F594C"/>
    <w:rsid w:val="000F595F"/>
    <w:rsid w:val="000F5A14"/>
    <w:rsid w:val="000F5B35"/>
    <w:rsid w:val="000F5BB2"/>
    <w:rsid w:val="000F5C33"/>
    <w:rsid w:val="000F5C7A"/>
    <w:rsid w:val="000F5D44"/>
    <w:rsid w:val="000F5D6C"/>
    <w:rsid w:val="000F5D9F"/>
    <w:rsid w:val="000F5DDB"/>
    <w:rsid w:val="000F5DDD"/>
    <w:rsid w:val="000F5DE6"/>
    <w:rsid w:val="000F5E99"/>
    <w:rsid w:val="000F5EDC"/>
    <w:rsid w:val="000F5F96"/>
    <w:rsid w:val="000F5FA8"/>
    <w:rsid w:val="000F5FC3"/>
    <w:rsid w:val="000F60B8"/>
    <w:rsid w:val="000F60D2"/>
    <w:rsid w:val="000F60E2"/>
    <w:rsid w:val="000F621D"/>
    <w:rsid w:val="000F6311"/>
    <w:rsid w:val="000F632B"/>
    <w:rsid w:val="000F64F5"/>
    <w:rsid w:val="000F6553"/>
    <w:rsid w:val="000F656E"/>
    <w:rsid w:val="000F660A"/>
    <w:rsid w:val="000F66B0"/>
    <w:rsid w:val="000F66C0"/>
    <w:rsid w:val="000F67E8"/>
    <w:rsid w:val="000F68BF"/>
    <w:rsid w:val="000F68EB"/>
    <w:rsid w:val="000F69A9"/>
    <w:rsid w:val="000F6CE3"/>
    <w:rsid w:val="000F6D27"/>
    <w:rsid w:val="000F6D59"/>
    <w:rsid w:val="000F6DB7"/>
    <w:rsid w:val="000F6DCD"/>
    <w:rsid w:val="000F6E92"/>
    <w:rsid w:val="000F6EA1"/>
    <w:rsid w:val="000F7003"/>
    <w:rsid w:val="000F7011"/>
    <w:rsid w:val="000F7023"/>
    <w:rsid w:val="000F7118"/>
    <w:rsid w:val="000F71F8"/>
    <w:rsid w:val="000F742E"/>
    <w:rsid w:val="000F7530"/>
    <w:rsid w:val="000F76D7"/>
    <w:rsid w:val="000F777C"/>
    <w:rsid w:val="000F77B2"/>
    <w:rsid w:val="000F7828"/>
    <w:rsid w:val="000F783B"/>
    <w:rsid w:val="000F784B"/>
    <w:rsid w:val="000F78A9"/>
    <w:rsid w:val="000F78F1"/>
    <w:rsid w:val="000F78F6"/>
    <w:rsid w:val="000F7A16"/>
    <w:rsid w:val="000F7AD7"/>
    <w:rsid w:val="000F7BE8"/>
    <w:rsid w:val="000F7C00"/>
    <w:rsid w:val="000F7C32"/>
    <w:rsid w:val="000F7C76"/>
    <w:rsid w:val="000F7CB7"/>
    <w:rsid w:val="000F7D19"/>
    <w:rsid w:val="000F7D8E"/>
    <w:rsid w:val="000F7DD8"/>
    <w:rsid w:val="000F7E23"/>
    <w:rsid w:val="000F7E91"/>
    <w:rsid w:val="00100038"/>
    <w:rsid w:val="0010011C"/>
    <w:rsid w:val="00100131"/>
    <w:rsid w:val="001002BB"/>
    <w:rsid w:val="001003F1"/>
    <w:rsid w:val="001004D7"/>
    <w:rsid w:val="001006CA"/>
    <w:rsid w:val="001007A7"/>
    <w:rsid w:val="001007D9"/>
    <w:rsid w:val="001008BD"/>
    <w:rsid w:val="00100974"/>
    <w:rsid w:val="00100C44"/>
    <w:rsid w:val="00100D29"/>
    <w:rsid w:val="00100D7C"/>
    <w:rsid w:val="00100DA3"/>
    <w:rsid w:val="00100E02"/>
    <w:rsid w:val="00100EFA"/>
    <w:rsid w:val="00101067"/>
    <w:rsid w:val="001011EE"/>
    <w:rsid w:val="0010124D"/>
    <w:rsid w:val="00101296"/>
    <w:rsid w:val="0010135A"/>
    <w:rsid w:val="00101365"/>
    <w:rsid w:val="00101395"/>
    <w:rsid w:val="0010142C"/>
    <w:rsid w:val="00101465"/>
    <w:rsid w:val="0010148A"/>
    <w:rsid w:val="001014C5"/>
    <w:rsid w:val="001014D4"/>
    <w:rsid w:val="00101517"/>
    <w:rsid w:val="00101648"/>
    <w:rsid w:val="00101833"/>
    <w:rsid w:val="001018B7"/>
    <w:rsid w:val="0010194D"/>
    <w:rsid w:val="00101A3A"/>
    <w:rsid w:val="00101A42"/>
    <w:rsid w:val="00101A61"/>
    <w:rsid w:val="00101A66"/>
    <w:rsid w:val="00101B60"/>
    <w:rsid w:val="00101C28"/>
    <w:rsid w:val="00101C80"/>
    <w:rsid w:val="00101C8D"/>
    <w:rsid w:val="00101D5A"/>
    <w:rsid w:val="00101DCB"/>
    <w:rsid w:val="00101DDF"/>
    <w:rsid w:val="00101EE1"/>
    <w:rsid w:val="00101EEA"/>
    <w:rsid w:val="0010210B"/>
    <w:rsid w:val="001021E3"/>
    <w:rsid w:val="001021F5"/>
    <w:rsid w:val="0010220B"/>
    <w:rsid w:val="00102222"/>
    <w:rsid w:val="00102244"/>
    <w:rsid w:val="0010224E"/>
    <w:rsid w:val="00102297"/>
    <w:rsid w:val="00102381"/>
    <w:rsid w:val="001024B2"/>
    <w:rsid w:val="0010251A"/>
    <w:rsid w:val="00102537"/>
    <w:rsid w:val="00102568"/>
    <w:rsid w:val="0010259D"/>
    <w:rsid w:val="00102644"/>
    <w:rsid w:val="00102686"/>
    <w:rsid w:val="00102692"/>
    <w:rsid w:val="001026F2"/>
    <w:rsid w:val="0010272E"/>
    <w:rsid w:val="0010273E"/>
    <w:rsid w:val="0010275A"/>
    <w:rsid w:val="00102804"/>
    <w:rsid w:val="00102967"/>
    <w:rsid w:val="00102993"/>
    <w:rsid w:val="00102B03"/>
    <w:rsid w:val="00102B60"/>
    <w:rsid w:val="00102BE4"/>
    <w:rsid w:val="00102CB3"/>
    <w:rsid w:val="00102DED"/>
    <w:rsid w:val="00102E60"/>
    <w:rsid w:val="00102E67"/>
    <w:rsid w:val="00102E87"/>
    <w:rsid w:val="00102ED0"/>
    <w:rsid w:val="00102F9D"/>
    <w:rsid w:val="00102FA1"/>
    <w:rsid w:val="00102FF9"/>
    <w:rsid w:val="0010313A"/>
    <w:rsid w:val="0010333E"/>
    <w:rsid w:val="0010355E"/>
    <w:rsid w:val="001035F3"/>
    <w:rsid w:val="00103672"/>
    <w:rsid w:val="00103733"/>
    <w:rsid w:val="0010374A"/>
    <w:rsid w:val="001037FA"/>
    <w:rsid w:val="001039F7"/>
    <w:rsid w:val="00103AA7"/>
    <w:rsid w:val="00103AC2"/>
    <w:rsid w:val="00103AE3"/>
    <w:rsid w:val="00103B5F"/>
    <w:rsid w:val="00103BA8"/>
    <w:rsid w:val="00103BB9"/>
    <w:rsid w:val="00103C05"/>
    <w:rsid w:val="00103C6F"/>
    <w:rsid w:val="00103C7B"/>
    <w:rsid w:val="00103CBF"/>
    <w:rsid w:val="00103DD2"/>
    <w:rsid w:val="00103E00"/>
    <w:rsid w:val="00103F5B"/>
    <w:rsid w:val="0010401D"/>
    <w:rsid w:val="0010402A"/>
    <w:rsid w:val="00104118"/>
    <w:rsid w:val="00104162"/>
    <w:rsid w:val="001041FF"/>
    <w:rsid w:val="001042D3"/>
    <w:rsid w:val="0010431B"/>
    <w:rsid w:val="001043F0"/>
    <w:rsid w:val="00104459"/>
    <w:rsid w:val="001046EB"/>
    <w:rsid w:val="0010475F"/>
    <w:rsid w:val="00104814"/>
    <w:rsid w:val="00104825"/>
    <w:rsid w:val="00104C19"/>
    <w:rsid w:val="00104D85"/>
    <w:rsid w:val="00104E2A"/>
    <w:rsid w:val="00104F42"/>
    <w:rsid w:val="00104FAE"/>
    <w:rsid w:val="00105159"/>
    <w:rsid w:val="001051B7"/>
    <w:rsid w:val="0010522F"/>
    <w:rsid w:val="00105384"/>
    <w:rsid w:val="001053E3"/>
    <w:rsid w:val="00105408"/>
    <w:rsid w:val="00105427"/>
    <w:rsid w:val="00105485"/>
    <w:rsid w:val="001054DB"/>
    <w:rsid w:val="0010550F"/>
    <w:rsid w:val="00105843"/>
    <w:rsid w:val="001058B0"/>
    <w:rsid w:val="00105B50"/>
    <w:rsid w:val="00105C37"/>
    <w:rsid w:val="00105D67"/>
    <w:rsid w:val="00105DEF"/>
    <w:rsid w:val="00105EF1"/>
    <w:rsid w:val="00105F29"/>
    <w:rsid w:val="00105F3C"/>
    <w:rsid w:val="00105F53"/>
    <w:rsid w:val="00105FE2"/>
    <w:rsid w:val="001060BD"/>
    <w:rsid w:val="001060C3"/>
    <w:rsid w:val="00106193"/>
    <w:rsid w:val="00106231"/>
    <w:rsid w:val="001062B9"/>
    <w:rsid w:val="001063A0"/>
    <w:rsid w:val="001063F1"/>
    <w:rsid w:val="00106432"/>
    <w:rsid w:val="00106481"/>
    <w:rsid w:val="00106488"/>
    <w:rsid w:val="001064F9"/>
    <w:rsid w:val="0010661E"/>
    <w:rsid w:val="00106651"/>
    <w:rsid w:val="0010670B"/>
    <w:rsid w:val="00106787"/>
    <w:rsid w:val="001067A3"/>
    <w:rsid w:val="00106830"/>
    <w:rsid w:val="00106860"/>
    <w:rsid w:val="0010686B"/>
    <w:rsid w:val="001068CF"/>
    <w:rsid w:val="001068DE"/>
    <w:rsid w:val="00106935"/>
    <w:rsid w:val="0010693A"/>
    <w:rsid w:val="00106A12"/>
    <w:rsid w:val="00106A48"/>
    <w:rsid w:val="00106A6B"/>
    <w:rsid w:val="00106BA3"/>
    <w:rsid w:val="00106C7F"/>
    <w:rsid w:val="00106D18"/>
    <w:rsid w:val="00106D46"/>
    <w:rsid w:val="00106DC7"/>
    <w:rsid w:val="00106F76"/>
    <w:rsid w:val="00107003"/>
    <w:rsid w:val="00107013"/>
    <w:rsid w:val="001070B9"/>
    <w:rsid w:val="00107180"/>
    <w:rsid w:val="00107189"/>
    <w:rsid w:val="00107267"/>
    <w:rsid w:val="001072FF"/>
    <w:rsid w:val="0010737F"/>
    <w:rsid w:val="00107498"/>
    <w:rsid w:val="0010751D"/>
    <w:rsid w:val="00107536"/>
    <w:rsid w:val="00107552"/>
    <w:rsid w:val="00107576"/>
    <w:rsid w:val="00107588"/>
    <w:rsid w:val="001075F6"/>
    <w:rsid w:val="0010768E"/>
    <w:rsid w:val="001077C4"/>
    <w:rsid w:val="001077E5"/>
    <w:rsid w:val="001078D9"/>
    <w:rsid w:val="001078F4"/>
    <w:rsid w:val="0010799E"/>
    <w:rsid w:val="00107B41"/>
    <w:rsid w:val="00107B7F"/>
    <w:rsid w:val="00107D87"/>
    <w:rsid w:val="00107DDE"/>
    <w:rsid w:val="00107DE5"/>
    <w:rsid w:val="00107E6A"/>
    <w:rsid w:val="00107E92"/>
    <w:rsid w:val="00107F8C"/>
    <w:rsid w:val="00107F9A"/>
    <w:rsid w:val="0011015D"/>
    <w:rsid w:val="001102AD"/>
    <w:rsid w:val="001102E1"/>
    <w:rsid w:val="00110320"/>
    <w:rsid w:val="00110329"/>
    <w:rsid w:val="001103ED"/>
    <w:rsid w:val="0011049E"/>
    <w:rsid w:val="00110564"/>
    <w:rsid w:val="00110684"/>
    <w:rsid w:val="001106D6"/>
    <w:rsid w:val="001107FD"/>
    <w:rsid w:val="00110927"/>
    <w:rsid w:val="0011097A"/>
    <w:rsid w:val="001109A1"/>
    <w:rsid w:val="00110A15"/>
    <w:rsid w:val="00110A50"/>
    <w:rsid w:val="00110AC2"/>
    <w:rsid w:val="00110B91"/>
    <w:rsid w:val="00110C02"/>
    <w:rsid w:val="00110C08"/>
    <w:rsid w:val="00110C3D"/>
    <w:rsid w:val="00110D0F"/>
    <w:rsid w:val="00110ED2"/>
    <w:rsid w:val="00111051"/>
    <w:rsid w:val="0011109C"/>
    <w:rsid w:val="001110DF"/>
    <w:rsid w:val="001110E0"/>
    <w:rsid w:val="0011113C"/>
    <w:rsid w:val="001111DA"/>
    <w:rsid w:val="001113B5"/>
    <w:rsid w:val="001115B8"/>
    <w:rsid w:val="00111639"/>
    <w:rsid w:val="00111747"/>
    <w:rsid w:val="00111759"/>
    <w:rsid w:val="00111850"/>
    <w:rsid w:val="001118CD"/>
    <w:rsid w:val="001119FF"/>
    <w:rsid w:val="00111C86"/>
    <w:rsid w:val="00111D50"/>
    <w:rsid w:val="00111DFB"/>
    <w:rsid w:val="00111F64"/>
    <w:rsid w:val="00111F73"/>
    <w:rsid w:val="00111F80"/>
    <w:rsid w:val="00112020"/>
    <w:rsid w:val="0011202C"/>
    <w:rsid w:val="0011204C"/>
    <w:rsid w:val="001120C5"/>
    <w:rsid w:val="00112106"/>
    <w:rsid w:val="0011213F"/>
    <w:rsid w:val="0011221F"/>
    <w:rsid w:val="0011224C"/>
    <w:rsid w:val="00112270"/>
    <w:rsid w:val="00112299"/>
    <w:rsid w:val="001122A0"/>
    <w:rsid w:val="001122E4"/>
    <w:rsid w:val="0011239C"/>
    <w:rsid w:val="00112428"/>
    <w:rsid w:val="001124A1"/>
    <w:rsid w:val="001124E3"/>
    <w:rsid w:val="001125B5"/>
    <w:rsid w:val="001125DA"/>
    <w:rsid w:val="001125EB"/>
    <w:rsid w:val="001125F0"/>
    <w:rsid w:val="0011260F"/>
    <w:rsid w:val="0011264E"/>
    <w:rsid w:val="001127A7"/>
    <w:rsid w:val="001129C1"/>
    <w:rsid w:val="001129FC"/>
    <w:rsid w:val="00112AB3"/>
    <w:rsid w:val="00112B5B"/>
    <w:rsid w:val="00112B92"/>
    <w:rsid w:val="00112B96"/>
    <w:rsid w:val="00112CB6"/>
    <w:rsid w:val="00112D0D"/>
    <w:rsid w:val="00112D11"/>
    <w:rsid w:val="00112E09"/>
    <w:rsid w:val="00112F1D"/>
    <w:rsid w:val="00112F76"/>
    <w:rsid w:val="00112F83"/>
    <w:rsid w:val="00113008"/>
    <w:rsid w:val="0011306E"/>
    <w:rsid w:val="001130B4"/>
    <w:rsid w:val="00113139"/>
    <w:rsid w:val="00113155"/>
    <w:rsid w:val="001132AC"/>
    <w:rsid w:val="001135D0"/>
    <w:rsid w:val="001135FD"/>
    <w:rsid w:val="00113630"/>
    <w:rsid w:val="00113657"/>
    <w:rsid w:val="001136F8"/>
    <w:rsid w:val="00113799"/>
    <w:rsid w:val="001137C6"/>
    <w:rsid w:val="001138E4"/>
    <w:rsid w:val="001139B1"/>
    <w:rsid w:val="001139CD"/>
    <w:rsid w:val="00113AA2"/>
    <w:rsid w:val="00113AAF"/>
    <w:rsid w:val="00113ADA"/>
    <w:rsid w:val="00113C83"/>
    <w:rsid w:val="00113E93"/>
    <w:rsid w:val="00113ED3"/>
    <w:rsid w:val="00113FE2"/>
    <w:rsid w:val="0011404F"/>
    <w:rsid w:val="0011406F"/>
    <w:rsid w:val="001140EC"/>
    <w:rsid w:val="001142CA"/>
    <w:rsid w:val="00114396"/>
    <w:rsid w:val="0011443A"/>
    <w:rsid w:val="00114480"/>
    <w:rsid w:val="001144A1"/>
    <w:rsid w:val="0011451F"/>
    <w:rsid w:val="00114573"/>
    <w:rsid w:val="001146F8"/>
    <w:rsid w:val="00114783"/>
    <w:rsid w:val="0011478F"/>
    <w:rsid w:val="001148F9"/>
    <w:rsid w:val="001148FE"/>
    <w:rsid w:val="0011490E"/>
    <w:rsid w:val="00114982"/>
    <w:rsid w:val="00114A3E"/>
    <w:rsid w:val="00114A8C"/>
    <w:rsid w:val="00114B61"/>
    <w:rsid w:val="00114C57"/>
    <w:rsid w:val="00114C65"/>
    <w:rsid w:val="00114C76"/>
    <w:rsid w:val="00114CF3"/>
    <w:rsid w:val="00114D65"/>
    <w:rsid w:val="00114D86"/>
    <w:rsid w:val="00114D95"/>
    <w:rsid w:val="00114DAD"/>
    <w:rsid w:val="00114DFB"/>
    <w:rsid w:val="00114F22"/>
    <w:rsid w:val="00114F3F"/>
    <w:rsid w:val="0011500F"/>
    <w:rsid w:val="001150F9"/>
    <w:rsid w:val="001150FF"/>
    <w:rsid w:val="001151A3"/>
    <w:rsid w:val="001151D5"/>
    <w:rsid w:val="00115209"/>
    <w:rsid w:val="0011520B"/>
    <w:rsid w:val="00115238"/>
    <w:rsid w:val="001153E7"/>
    <w:rsid w:val="0011551C"/>
    <w:rsid w:val="00115660"/>
    <w:rsid w:val="001156C9"/>
    <w:rsid w:val="001156E5"/>
    <w:rsid w:val="00115905"/>
    <w:rsid w:val="001159D0"/>
    <w:rsid w:val="00115A53"/>
    <w:rsid w:val="00115A9C"/>
    <w:rsid w:val="00115A9E"/>
    <w:rsid w:val="00115B17"/>
    <w:rsid w:val="00115B40"/>
    <w:rsid w:val="00115BDD"/>
    <w:rsid w:val="00115C5C"/>
    <w:rsid w:val="00115C6A"/>
    <w:rsid w:val="00115C6C"/>
    <w:rsid w:val="00115E32"/>
    <w:rsid w:val="00115F4F"/>
    <w:rsid w:val="0011602A"/>
    <w:rsid w:val="001160D4"/>
    <w:rsid w:val="001160E2"/>
    <w:rsid w:val="00116118"/>
    <w:rsid w:val="001161A7"/>
    <w:rsid w:val="0011621B"/>
    <w:rsid w:val="00116225"/>
    <w:rsid w:val="00116245"/>
    <w:rsid w:val="00116292"/>
    <w:rsid w:val="001163D0"/>
    <w:rsid w:val="001163F5"/>
    <w:rsid w:val="00116550"/>
    <w:rsid w:val="001165E4"/>
    <w:rsid w:val="001166FF"/>
    <w:rsid w:val="00116858"/>
    <w:rsid w:val="001169EA"/>
    <w:rsid w:val="00116A5F"/>
    <w:rsid w:val="00116A96"/>
    <w:rsid w:val="00116C2A"/>
    <w:rsid w:val="00116C59"/>
    <w:rsid w:val="00116D61"/>
    <w:rsid w:val="00116E45"/>
    <w:rsid w:val="00116E9D"/>
    <w:rsid w:val="00116ED3"/>
    <w:rsid w:val="00116FCC"/>
    <w:rsid w:val="00117012"/>
    <w:rsid w:val="00117034"/>
    <w:rsid w:val="00117158"/>
    <w:rsid w:val="00117239"/>
    <w:rsid w:val="00117298"/>
    <w:rsid w:val="0011731F"/>
    <w:rsid w:val="00117381"/>
    <w:rsid w:val="00117384"/>
    <w:rsid w:val="001173BB"/>
    <w:rsid w:val="00117529"/>
    <w:rsid w:val="00117572"/>
    <w:rsid w:val="001175E8"/>
    <w:rsid w:val="001175F8"/>
    <w:rsid w:val="00117671"/>
    <w:rsid w:val="001176F9"/>
    <w:rsid w:val="0011772F"/>
    <w:rsid w:val="001178E1"/>
    <w:rsid w:val="00117904"/>
    <w:rsid w:val="00117917"/>
    <w:rsid w:val="001179FA"/>
    <w:rsid w:val="00117A7D"/>
    <w:rsid w:val="00117E8C"/>
    <w:rsid w:val="00117FFC"/>
    <w:rsid w:val="00120007"/>
    <w:rsid w:val="0012023B"/>
    <w:rsid w:val="00120276"/>
    <w:rsid w:val="00120394"/>
    <w:rsid w:val="001203FE"/>
    <w:rsid w:val="00120414"/>
    <w:rsid w:val="0012053E"/>
    <w:rsid w:val="00120584"/>
    <w:rsid w:val="0012058E"/>
    <w:rsid w:val="0012061A"/>
    <w:rsid w:val="00120653"/>
    <w:rsid w:val="001208F0"/>
    <w:rsid w:val="00120B60"/>
    <w:rsid w:val="00120B75"/>
    <w:rsid w:val="00120B90"/>
    <w:rsid w:val="00120BA0"/>
    <w:rsid w:val="00120BA2"/>
    <w:rsid w:val="00120C9C"/>
    <w:rsid w:val="00120D29"/>
    <w:rsid w:val="00120E7E"/>
    <w:rsid w:val="00120F1F"/>
    <w:rsid w:val="00120F6D"/>
    <w:rsid w:val="00120FBE"/>
    <w:rsid w:val="00121024"/>
    <w:rsid w:val="001210FA"/>
    <w:rsid w:val="001211E1"/>
    <w:rsid w:val="00121220"/>
    <w:rsid w:val="00121270"/>
    <w:rsid w:val="001212C7"/>
    <w:rsid w:val="00121303"/>
    <w:rsid w:val="00121327"/>
    <w:rsid w:val="001213AB"/>
    <w:rsid w:val="00121454"/>
    <w:rsid w:val="001214A4"/>
    <w:rsid w:val="001214DD"/>
    <w:rsid w:val="001216BE"/>
    <w:rsid w:val="001216D4"/>
    <w:rsid w:val="00121748"/>
    <w:rsid w:val="001217DE"/>
    <w:rsid w:val="001218C9"/>
    <w:rsid w:val="001219EB"/>
    <w:rsid w:val="00121A66"/>
    <w:rsid w:val="00121A6C"/>
    <w:rsid w:val="00121AA4"/>
    <w:rsid w:val="00121C05"/>
    <w:rsid w:val="00121C75"/>
    <w:rsid w:val="00121D6E"/>
    <w:rsid w:val="00121DBD"/>
    <w:rsid w:val="00121F4B"/>
    <w:rsid w:val="00121FA2"/>
    <w:rsid w:val="00122006"/>
    <w:rsid w:val="0012204A"/>
    <w:rsid w:val="001220C5"/>
    <w:rsid w:val="001221BA"/>
    <w:rsid w:val="001221DB"/>
    <w:rsid w:val="00122290"/>
    <w:rsid w:val="0012236A"/>
    <w:rsid w:val="00122437"/>
    <w:rsid w:val="00122508"/>
    <w:rsid w:val="001225C2"/>
    <w:rsid w:val="001225D2"/>
    <w:rsid w:val="00122608"/>
    <w:rsid w:val="001226D3"/>
    <w:rsid w:val="001226DE"/>
    <w:rsid w:val="00122830"/>
    <w:rsid w:val="00122844"/>
    <w:rsid w:val="001228DD"/>
    <w:rsid w:val="00122A02"/>
    <w:rsid w:val="00122A03"/>
    <w:rsid w:val="00122AC6"/>
    <w:rsid w:val="00122B9A"/>
    <w:rsid w:val="00122C03"/>
    <w:rsid w:val="00122C06"/>
    <w:rsid w:val="00122C62"/>
    <w:rsid w:val="00122D2D"/>
    <w:rsid w:val="00122D4D"/>
    <w:rsid w:val="00122DCD"/>
    <w:rsid w:val="00122DD6"/>
    <w:rsid w:val="00122E24"/>
    <w:rsid w:val="00122E37"/>
    <w:rsid w:val="00122F25"/>
    <w:rsid w:val="00122F6B"/>
    <w:rsid w:val="00123096"/>
    <w:rsid w:val="001230B1"/>
    <w:rsid w:val="0012313D"/>
    <w:rsid w:val="00123261"/>
    <w:rsid w:val="001232C2"/>
    <w:rsid w:val="001233AC"/>
    <w:rsid w:val="001234A5"/>
    <w:rsid w:val="00123518"/>
    <w:rsid w:val="00123611"/>
    <w:rsid w:val="0012362C"/>
    <w:rsid w:val="00123699"/>
    <w:rsid w:val="001236AE"/>
    <w:rsid w:val="001236E2"/>
    <w:rsid w:val="001236F5"/>
    <w:rsid w:val="0012378C"/>
    <w:rsid w:val="001237FF"/>
    <w:rsid w:val="001239A0"/>
    <w:rsid w:val="001239DB"/>
    <w:rsid w:val="00123A95"/>
    <w:rsid w:val="00123B78"/>
    <w:rsid w:val="00123B88"/>
    <w:rsid w:val="00123C21"/>
    <w:rsid w:val="00123E28"/>
    <w:rsid w:val="00123ECE"/>
    <w:rsid w:val="00123F25"/>
    <w:rsid w:val="00123F37"/>
    <w:rsid w:val="00124065"/>
    <w:rsid w:val="0012407A"/>
    <w:rsid w:val="001241C0"/>
    <w:rsid w:val="001241D8"/>
    <w:rsid w:val="001241E5"/>
    <w:rsid w:val="00124282"/>
    <w:rsid w:val="001242F0"/>
    <w:rsid w:val="00124332"/>
    <w:rsid w:val="001243CE"/>
    <w:rsid w:val="001243EE"/>
    <w:rsid w:val="001243FB"/>
    <w:rsid w:val="0012440F"/>
    <w:rsid w:val="00124476"/>
    <w:rsid w:val="0012447B"/>
    <w:rsid w:val="0012453E"/>
    <w:rsid w:val="00124579"/>
    <w:rsid w:val="00124656"/>
    <w:rsid w:val="001248F8"/>
    <w:rsid w:val="0012493B"/>
    <w:rsid w:val="00124A0B"/>
    <w:rsid w:val="00124B21"/>
    <w:rsid w:val="00124BFF"/>
    <w:rsid w:val="00124D0B"/>
    <w:rsid w:val="00124D9C"/>
    <w:rsid w:val="00124F87"/>
    <w:rsid w:val="00124F90"/>
    <w:rsid w:val="00124FB0"/>
    <w:rsid w:val="001251E1"/>
    <w:rsid w:val="0012548D"/>
    <w:rsid w:val="00125549"/>
    <w:rsid w:val="0012565E"/>
    <w:rsid w:val="0012566F"/>
    <w:rsid w:val="00125825"/>
    <w:rsid w:val="00125872"/>
    <w:rsid w:val="001258CA"/>
    <w:rsid w:val="001259E3"/>
    <w:rsid w:val="00125A3F"/>
    <w:rsid w:val="00125B5F"/>
    <w:rsid w:val="00125CAB"/>
    <w:rsid w:val="00125CFB"/>
    <w:rsid w:val="00125D06"/>
    <w:rsid w:val="00125D0E"/>
    <w:rsid w:val="00125D28"/>
    <w:rsid w:val="00125D54"/>
    <w:rsid w:val="00125ECF"/>
    <w:rsid w:val="00125FB7"/>
    <w:rsid w:val="0012611C"/>
    <w:rsid w:val="001261F0"/>
    <w:rsid w:val="00126207"/>
    <w:rsid w:val="00126321"/>
    <w:rsid w:val="00126356"/>
    <w:rsid w:val="001263A5"/>
    <w:rsid w:val="00126452"/>
    <w:rsid w:val="0012646F"/>
    <w:rsid w:val="00126640"/>
    <w:rsid w:val="0012669B"/>
    <w:rsid w:val="001267A4"/>
    <w:rsid w:val="001267DC"/>
    <w:rsid w:val="00126812"/>
    <w:rsid w:val="00126825"/>
    <w:rsid w:val="00126896"/>
    <w:rsid w:val="001268D3"/>
    <w:rsid w:val="00126A3F"/>
    <w:rsid w:val="00126A7F"/>
    <w:rsid w:val="00126B2E"/>
    <w:rsid w:val="00126D4B"/>
    <w:rsid w:val="00126E75"/>
    <w:rsid w:val="00126EC4"/>
    <w:rsid w:val="0012708D"/>
    <w:rsid w:val="0012709F"/>
    <w:rsid w:val="001270CF"/>
    <w:rsid w:val="001270D1"/>
    <w:rsid w:val="001272A2"/>
    <w:rsid w:val="00127360"/>
    <w:rsid w:val="001273B7"/>
    <w:rsid w:val="0012742E"/>
    <w:rsid w:val="00127520"/>
    <w:rsid w:val="0012756D"/>
    <w:rsid w:val="00127742"/>
    <w:rsid w:val="0012776B"/>
    <w:rsid w:val="00127775"/>
    <w:rsid w:val="0012777E"/>
    <w:rsid w:val="00127850"/>
    <w:rsid w:val="0012788C"/>
    <w:rsid w:val="001278E8"/>
    <w:rsid w:val="001279F7"/>
    <w:rsid w:val="00127A7C"/>
    <w:rsid w:val="00127B56"/>
    <w:rsid w:val="00127C35"/>
    <w:rsid w:val="00127C49"/>
    <w:rsid w:val="00127D4E"/>
    <w:rsid w:val="00127DCB"/>
    <w:rsid w:val="00127DFA"/>
    <w:rsid w:val="00127E32"/>
    <w:rsid w:val="00127E57"/>
    <w:rsid w:val="0013003A"/>
    <w:rsid w:val="00130068"/>
    <w:rsid w:val="001300D5"/>
    <w:rsid w:val="001300EA"/>
    <w:rsid w:val="00130106"/>
    <w:rsid w:val="00130123"/>
    <w:rsid w:val="0013027D"/>
    <w:rsid w:val="001302D0"/>
    <w:rsid w:val="001303CA"/>
    <w:rsid w:val="001303FC"/>
    <w:rsid w:val="001303FD"/>
    <w:rsid w:val="0013047D"/>
    <w:rsid w:val="00130493"/>
    <w:rsid w:val="0013055E"/>
    <w:rsid w:val="001305D5"/>
    <w:rsid w:val="0013061A"/>
    <w:rsid w:val="0013064A"/>
    <w:rsid w:val="001306A4"/>
    <w:rsid w:val="00130703"/>
    <w:rsid w:val="00130711"/>
    <w:rsid w:val="00130789"/>
    <w:rsid w:val="00130879"/>
    <w:rsid w:val="00130897"/>
    <w:rsid w:val="001308D8"/>
    <w:rsid w:val="001309AA"/>
    <w:rsid w:val="001309F8"/>
    <w:rsid w:val="00130A3A"/>
    <w:rsid w:val="00130A3F"/>
    <w:rsid w:val="00130B3D"/>
    <w:rsid w:val="00130C43"/>
    <w:rsid w:val="00130D37"/>
    <w:rsid w:val="00130DB8"/>
    <w:rsid w:val="00130E85"/>
    <w:rsid w:val="00130ED9"/>
    <w:rsid w:val="001310F9"/>
    <w:rsid w:val="0013112E"/>
    <w:rsid w:val="00131182"/>
    <w:rsid w:val="001311AE"/>
    <w:rsid w:val="0013127D"/>
    <w:rsid w:val="00131363"/>
    <w:rsid w:val="0013143B"/>
    <w:rsid w:val="00131570"/>
    <w:rsid w:val="001315B5"/>
    <w:rsid w:val="001315F0"/>
    <w:rsid w:val="0013166B"/>
    <w:rsid w:val="00131782"/>
    <w:rsid w:val="001317D2"/>
    <w:rsid w:val="00131873"/>
    <w:rsid w:val="00131899"/>
    <w:rsid w:val="00131970"/>
    <w:rsid w:val="00131A3C"/>
    <w:rsid w:val="00131B11"/>
    <w:rsid w:val="00131B49"/>
    <w:rsid w:val="00131B9A"/>
    <w:rsid w:val="00131BC4"/>
    <w:rsid w:val="00131C39"/>
    <w:rsid w:val="00131C95"/>
    <w:rsid w:val="00131E73"/>
    <w:rsid w:val="00131E7D"/>
    <w:rsid w:val="00131F3E"/>
    <w:rsid w:val="00131F40"/>
    <w:rsid w:val="00132019"/>
    <w:rsid w:val="00132065"/>
    <w:rsid w:val="001320B4"/>
    <w:rsid w:val="001320D2"/>
    <w:rsid w:val="00132239"/>
    <w:rsid w:val="0013230A"/>
    <w:rsid w:val="001323D2"/>
    <w:rsid w:val="001323FE"/>
    <w:rsid w:val="001324A4"/>
    <w:rsid w:val="00132512"/>
    <w:rsid w:val="0013251F"/>
    <w:rsid w:val="0013266E"/>
    <w:rsid w:val="0013267F"/>
    <w:rsid w:val="00132700"/>
    <w:rsid w:val="0013271D"/>
    <w:rsid w:val="0013286E"/>
    <w:rsid w:val="001328C2"/>
    <w:rsid w:val="001329F2"/>
    <w:rsid w:val="00132D1B"/>
    <w:rsid w:val="00132D64"/>
    <w:rsid w:val="00132DA6"/>
    <w:rsid w:val="00132DE1"/>
    <w:rsid w:val="00132EA0"/>
    <w:rsid w:val="00132F15"/>
    <w:rsid w:val="00132F53"/>
    <w:rsid w:val="00132F8A"/>
    <w:rsid w:val="00133013"/>
    <w:rsid w:val="00133080"/>
    <w:rsid w:val="001330B5"/>
    <w:rsid w:val="001331D7"/>
    <w:rsid w:val="00133200"/>
    <w:rsid w:val="00133217"/>
    <w:rsid w:val="001332AB"/>
    <w:rsid w:val="00133307"/>
    <w:rsid w:val="001334F2"/>
    <w:rsid w:val="00133563"/>
    <w:rsid w:val="00133600"/>
    <w:rsid w:val="0013365D"/>
    <w:rsid w:val="0013375A"/>
    <w:rsid w:val="001337D6"/>
    <w:rsid w:val="0013393A"/>
    <w:rsid w:val="0013395F"/>
    <w:rsid w:val="001339B0"/>
    <w:rsid w:val="00133AF4"/>
    <w:rsid w:val="00133B56"/>
    <w:rsid w:val="00133BF9"/>
    <w:rsid w:val="00133D8C"/>
    <w:rsid w:val="00133E30"/>
    <w:rsid w:val="00133EC3"/>
    <w:rsid w:val="00133F36"/>
    <w:rsid w:val="00133F97"/>
    <w:rsid w:val="00133FEF"/>
    <w:rsid w:val="00134024"/>
    <w:rsid w:val="0013419A"/>
    <w:rsid w:val="001341DB"/>
    <w:rsid w:val="001342BE"/>
    <w:rsid w:val="001344C8"/>
    <w:rsid w:val="00134530"/>
    <w:rsid w:val="0013457E"/>
    <w:rsid w:val="001346D5"/>
    <w:rsid w:val="00134708"/>
    <w:rsid w:val="001347D6"/>
    <w:rsid w:val="001347F4"/>
    <w:rsid w:val="0013481E"/>
    <w:rsid w:val="0013485B"/>
    <w:rsid w:val="001348C6"/>
    <w:rsid w:val="001348E8"/>
    <w:rsid w:val="0013494F"/>
    <w:rsid w:val="00134963"/>
    <w:rsid w:val="00134A0A"/>
    <w:rsid w:val="00134A0D"/>
    <w:rsid w:val="00134B4E"/>
    <w:rsid w:val="00134B78"/>
    <w:rsid w:val="00134C71"/>
    <w:rsid w:val="00134C82"/>
    <w:rsid w:val="00134D22"/>
    <w:rsid w:val="00134D99"/>
    <w:rsid w:val="00134D9B"/>
    <w:rsid w:val="00134D9E"/>
    <w:rsid w:val="00134E91"/>
    <w:rsid w:val="00134EB6"/>
    <w:rsid w:val="00134F2A"/>
    <w:rsid w:val="00134F90"/>
    <w:rsid w:val="00135025"/>
    <w:rsid w:val="001350B7"/>
    <w:rsid w:val="00135121"/>
    <w:rsid w:val="0013518A"/>
    <w:rsid w:val="001352C0"/>
    <w:rsid w:val="00135338"/>
    <w:rsid w:val="00135368"/>
    <w:rsid w:val="0013537F"/>
    <w:rsid w:val="00135421"/>
    <w:rsid w:val="001354E4"/>
    <w:rsid w:val="0013560E"/>
    <w:rsid w:val="00135664"/>
    <w:rsid w:val="0013574B"/>
    <w:rsid w:val="00135777"/>
    <w:rsid w:val="0013587A"/>
    <w:rsid w:val="0013588F"/>
    <w:rsid w:val="00135924"/>
    <w:rsid w:val="00135988"/>
    <w:rsid w:val="00135A44"/>
    <w:rsid w:val="00135ABA"/>
    <w:rsid w:val="00135AD8"/>
    <w:rsid w:val="00135B5F"/>
    <w:rsid w:val="00135BF6"/>
    <w:rsid w:val="00135CA0"/>
    <w:rsid w:val="00135DB6"/>
    <w:rsid w:val="00135DE1"/>
    <w:rsid w:val="00135E29"/>
    <w:rsid w:val="00135E41"/>
    <w:rsid w:val="00135EC9"/>
    <w:rsid w:val="00135ECC"/>
    <w:rsid w:val="00135EEF"/>
    <w:rsid w:val="00135F94"/>
    <w:rsid w:val="00135FF1"/>
    <w:rsid w:val="00136092"/>
    <w:rsid w:val="0013615A"/>
    <w:rsid w:val="001361E7"/>
    <w:rsid w:val="0013628A"/>
    <w:rsid w:val="0013629A"/>
    <w:rsid w:val="001362CD"/>
    <w:rsid w:val="00136336"/>
    <w:rsid w:val="00136340"/>
    <w:rsid w:val="0013643D"/>
    <w:rsid w:val="0013644E"/>
    <w:rsid w:val="00136486"/>
    <w:rsid w:val="00136717"/>
    <w:rsid w:val="001367A4"/>
    <w:rsid w:val="0013688B"/>
    <w:rsid w:val="001368FE"/>
    <w:rsid w:val="00136961"/>
    <w:rsid w:val="001369A0"/>
    <w:rsid w:val="00136A38"/>
    <w:rsid w:val="00136B94"/>
    <w:rsid w:val="00136C6B"/>
    <w:rsid w:val="00136CEC"/>
    <w:rsid w:val="00136D4E"/>
    <w:rsid w:val="00136D7E"/>
    <w:rsid w:val="00136DDA"/>
    <w:rsid w:val="00136F94"/>
    <w:rsid w:val="00137055"/>
    <w:rsid w:val="00137063"/>
    <w:rsid w:val="0013709B"/>
    <w:rsid w:val="001370C1"/>
    <w:rsid w:val="00137100"/>
    <w:rsid w:val="001371AC"/>
    <w:rsid w:val="001371C8"/>
    <w:rsid w:val="00137282"/>
    <w:rsid w:val="00137469"/>
    <w:rsid w:val="0013748F"/>
    <w:rsid w:val="001374D9"/>
    <w:rsid w:val="001374DD"/>
    <w:rsid w:val="001374E5"/>
    <w:rsid w:val="001374F9"/>
    <w:rsid w:val="00137730"/>
    <w:rsid w:val="001377E9"/>
    <w:rsid w:val="00137912"/>
    <w:rsid w:val="0013792B"/>
    <w:rsid w:val="0013792C"/>
    <w:rsid w:val="0013797A"/>
    <w:rsid w:val="00137A1A"/>
    <w:rsid w:val="00137B3C"/>
    <w:rsid w:val="00137C4D"/>
    <w:rsid w:val="00137CCC"/>
    <w:rsid w:val="00137CF0"/>
    <w:rsid w:val="00137D15"/>
    <w:rsid w:val="00137DA7"/>
    <w:rsid w:val="00137E6D"/>
    <w:rsid w:val="00137E78"/>
    <w:rsid w:val="00137EA0"/>
    <w:rsid w:val="00137F68"/>
    <w:rsid w:val="00137FC1"/>
    <w:rsid w:val="0014003B"/>
    <w:rsid w:val="0014008F"/>
    <w:rsid w:val="001401D1"/>
    <w:rsid w:val="00140233"/>
    <w:rsid w:val="0014043F"/>
    <w:rsid w:val="00140482"/>
    <w:rsid w:val="001404C6"/>
    <w:rsid w:val="0014055C"/>
    <w:rsid w:val="0014079B"/>
    <w:rsid w:val="0014089D"/>
    <w:rsid w:val="00140953"/>
    <w:rsid w:val="001409D4"/>
    <w:rsid w:val="00140B10"/>
    <w:rsid w:val="00140B3C"/>
    <w:rsid w:val="00140BA8"/>
    <w:rsid w:val="00140BBD"/>
    <w:rsid w:val="00140D53"/>
    <w:rsid w:val="00140E1E"/>
    <w:rsid w:val="00140EFA"/>
    <w:rsid w:val="001410D5"/>
    <w:rsid w:val="00141104"/>
    <w:rsid w:val="00141139"/>
    <w:rsid w:val="00141230"/>
    <w:rsid w:val="001412EA"/>
    <w:rsid w:val="00141314"/>
    <w:rsid w:val="00141315"/>
    <w:rsid w:val="0014142A"/>
    <w:rsid w:val="0014144A"/>
    <w:rsid w:val="001415A3"/>
    <w:rsid w:val="00141600"/>
    <w:rsid w:val="00141827"/>
    <w:rsid w:val="001418CE"/>
    <w:rsid w:val="00141998"/>
    <w:rsid w:val="001419A1"/>
    <w:rsid w:val="00141B5E"/>
    <w:rsid w:val="00141BDE"/>
    <w:rsid w:val="00141CCC"/>
    <w:rsid w:val="00141D3F"/>
    <w:rsid w:val="00141D52"/>
    <w:rsid w:val="00141FBC"/>
    <w:rsid w:val="0014201F"/>
    <w:rsid w:val="00142555"/>
    <w:rsid w:val="0014269C"/>
    <w:rsid w:val="001426AF"/>
    <w:rsid w:val="001426F5"/>
    <w:rsid w:val="00142712"/>
    <w:rsid w:val="001427DB"/>
    <w:rsid w:val="001428A4"/>
    <w:rsid w:val="001428A6"/>
    <w:rsid w:val="001428E6"/>
    <w:rsid w:val="00142BB5"/>
    <w:rsid w:val="00142C2A"/>
    <w:rsid w:val="00142D02"/>
    <w:rsid w:val="00142D82"/>
    <w:rsid w:val="00142E1F"/>
    <w:rsid w:val="00142E70"/>
    <w:rsid w:val="00142EBA"/>
    <w:rsid w:val="00142EDC"/>
    <w:rsid w:val="00142F23"/>
    <w:rsid w:val="00142F57"/>
    <w:rsid w:val="00142F6A"/>
    <w:rsid w:val="00143043"/>
    <w:rsid w:val="0014308A"/>
    <w:rsid w:val="00143116"/>
    <w:rsid w:val="0014318F"/>
    <w:rsid w:val="0014324B"/>
    <w:rsid w:val="00143394"/>
    <w:rsid w:val="001433F6"/>
    <w:rsid w:val="00143453"/>
    <w:rsid w:val="0014351C"/>
    <w:rsid w:val="00143725"/>
    <w:rsid w:val="001437BF"/>
    <w:rsid w:val="001438F0"/>
    <w:rsid w:val="00143904"/>
    <w:rsid w:val="0014396D"/>
    <w:rsid w:val="001439AA"/>
    <w:rsid w:val="001439F9"/>
    <w:rsid w:val="00143A9C"/>
    <w:rsid w:val="00143AC4"/>
    <w:rsid w:val="00143AEF"/>
    <w:rsid w:val="00143B24"/>
    <w:rsid w:val="00143C62"/>
    <w:rsid w:val="00143CE6"/>
    <w:rsid w:val="00143D94"/>
    <w:rsid w:val="00143F34"/>
    <w:rsid w:val="0014403A"/>
    <w:rsid w:val="0014406B"/>
    <w:rsid w:val="00144157"/>
    <w:rsid w:val="00144235"/>
    <w:rsid w:val="001442A0"/>
    <w:rsid w:val="001442F3"/>
    <w:rsid w:val="00144359"/>
    <w:rsid w:val="0014439F"/>
    <w:rsid w:val="001443E5"/>
    <w:rsid w:val="00144452"/>
    <w:rsid w:val="001444AE"/>
    <w:rsid w:val="001444BF"/>
    <w:rsid w:val="001444C8"/>
    <w:rsid w:val="001444D4"/>
    <w:rsid w:val="001445E8"/>
    <w:rsid w:val="00144656"/>
    <w:rsid w:val="00144669"/>
    <w:rsid w:val="00144733"/>
    <w:rsid w:val="00144918"/>
    <w:rsid w:val="001449B7"/>
    <w:rsid w:val="00144A68"/>
    <w:rsid w:val="00144A80"/>
    <w:rsid w:val="00144A88"/>
    <w:rsid w:val="00144A8D"/>
    <w:rsid w:val="00144C82"/>
    <w:rsid w:val="00144CF5"/>
    <w:rsid w:val="00144ECD"/>
    <w:rsid w:val="00145148"/>
    <w:rsid w:val="001451F5"/>
    <w:rsid w:val="00145258"/>
    <w:rsid w:val="001452F6"/>
    <w:rsid w:val="00145390"/>
    <w:rsid w:val="001453BA"/>
    <w:rsid w:val="00145434"/>
    <w:rsid w:val="00145460"/>
    <w:rsid w:val="0014550E"/>
    <w:rsid w:val="00145570"/>
    <w:rsid w:val="00145584"/>
    <w:rsid w:val="0014563B"/>
    <w:rsid w:val="00145663"/>
    <w:rsid w:val="0014576F"/>
    <w:rsid w:val="00145834"/>
    <w:rsid w:val="00145842"/>
    <w:rsid w:val="00145878"/>
    <w:rsid w:val="0014589A"/>
    <w:rsid w:val="00145985"/>
    <w:rsid w:val="001459AC"/>
    <w:rsid w:val="00145A43"/>
    <w:rsid w:val="00145AA8"/>
    <w:rsid w:val="00145B49"/>
    <w:rsid w:val="00145B51"/>
    <w:rsid w:val="00145B5F"/>
    <w:rsid w:val="00145BB5"/>
    <w:rsid w:val="00145BC5"/>
    <w:rsid w:val="00145D70"/>
    <w:rsid w:val="00145DD7"/>
    <w:rsid w:val="00145DD8"/>
    <w:rsid w:val="00145E3B"/>
    <w:rsid w:val="00145ED6"/>
    <w:rsid w:val="00145F93"/>
    <w:rsid w:val="00146015"/>
    <w:rsid w:val="001460D4"/>
    <w:rsid w:val="001461A4"/>
    <w:rsid w:val="001461D0"/>
    <w:rsid w:val="001462DB"/>
    <w:rsid w:val="0014638D"/>
    <w:rsid w:val="0014639E"/>
    <w:rsid w:val="001463F6"/>
    <w:rsid w:val="001464A6"/>
    <w:rsid w:val="001466E1"/>
    <w:rsid w:val="00146742"/>
    <w:rsid w:val="001467AB"/>
    <w:rsid w:val="001467C6"/>
    <w:rsid w:val="0014682B"/>
    <w:rsid w:val="0014682E"/>
    <w:rsid w:val="001468EA"/>
    <w:rsid w:val="00146906"/>
    <w:rsid w:val="0014690F"/>
    <w:rsid w:val="0014695F"/>
    <w:rsid w:val="00146B14"/>
    <w:rsid w:val="00146B45"/>
    <w:rsid w:val="00146BE9"/>
    <w:rsid w:val="00146C20"/>
    <w:rsid w:val="00146C4E"/>
    <w:rsid w:val="00146C68"/>
    <w:rsid w:val="00146D19"/>
    <w:rsid w:val="00146D59"/>
    <w:rsid w:val="00146E6B"/>
    <w:rsid w:val="00146E90"/>
    <w:rsid w:val="00146EE6"/>
    <w:rsid w:val="00146F64"/>
    <w:rsid w:val="00146F82"/>
    <w:rsid w:val="00147086"/>
    <w:rsid w:val="0014713B"/>
    <w:rsid w:val="00147341"/>
    <w:rsid w:val="001473B7"/>
    <w:rsid w:val="001474AC"/>
    <w:rsid w:val="001474E6"/>
    <w:rsid w:val="001474E7"/>
    <w:rsid w:val="00147563"/>
    <w:rsid w:val="001475CD"/>
    <w:rsid w:val="0014764B"/>
    <w:rsid w:val="001476BF"/>
    <w:rsid w:val="001478AB"/>
    <w:rsid w:val="001478B6"/>
    <w:rsid w:val="00147A6E"/>
    <w:rsid w:val="00147AF9"/>
    <w:rsid w:val="00147B27"/>
    <w:rsid w:val="00147BDE"/>
    <w:rsid w:val="00147C2A"/>
    <w:rsid w:val="00147D4F"/>
    <w:rsid w:val="00147DE4"/>
    <w:rsid w:val="00147E92"/>
    <w:rsid w:val="00147F7D"/>
    <w:rsid w:val="00150060"/>
    <w:rsid w:val="0015025A"/>
    <w:rsid w:val="00150271"/>
    <w:rsid w:val="001502E0"/>
    <w:rsid w:val="001503E3"/>
    <w:rsid w:val="0015040C"/>
    <w:rsid w:val="00150477"/>
    <w:rsid w:val="001504A2"/>
    <w:rsid w:val="001504C3"/>
    <w:rsid w:val="0015060A"/>
    <w:rsid w:val="001506C4"/>
    <w:rsid w:val="001506E2"/>
    <w:rsid w:val="001506F4"/>
    <w:rsid w:val="00150807"/>
    <w:rsid w:val="00150928"/>
    <w:rsid w:val="00150937"/>
    <w:rsid w:val="00150975"/>
    <w:rsid w:val="001509A9"/>
    <w:rsid w:val="00150AED"/>
    <w:rsid w:val="00150B0B"/>
    <w:rsid w:val="00150B42"/>
    <w:rsid w:val="00150B75"/>
    <w:rsid w:val="00150B87"/>
    <w:rsid w:val="00150C0B"/>
    <w:rsid w:val="00150C16"/>
    <w:rsid w:val="00150CAD"/>
    <w:rsid w:val="00150CDB"/>
    <w:rsid w:val="00150D6D"/>
    <w:rsid w:val="00150DB3"/>
    <w:rsid w:val="00150E38"/>
    <w:rsid w:val="00150E48"/>
    <w:rsid w:val="00150E82"/>
    <w:rsid w:val="00150EFA"/>
    <w:rsid w:val="00150FCA"/>
    <w:rsid w:val="001511D6"/>
    <w:rsid w:val="001511F3"/>
    <w:rsid w:val="0015121A"/>
    <w:rsid w:val="0015125F"/>
    <w:rsid w:val="00151294"/>
    <w:rsid w:val="0015129E"/>
    <w:rsid w:val="001512CC"/>
    <w:rsid w:val="001513A5"/>
    <w:rsid w:val="0015141E"/>
    <w:rsid w:val="001514EA"/>
    <w:rsid w:val="0015151B"/>
    <w:rsid w:val="00151550"/>
    <w:rsid w:val="001515C6"/>
    <w:rsid w:val="0015161D"/>
    <w:rsid w:val="0015168A"/>
    <w:rsid w:val="0015185F"/>
    <w:rsid w:val="0015199A"/>
    <w:rsid w:val="00151AB8"/>
    <w:rsid w:val="00151AFD"/>
    <w:rsid w:val="00151B69"/>
    <w:rsid w:val="00151BA3"/>
    <w:rsid w:val="00151CA8"/>
    <w:rsid w:val="00151CF5"/>
    <w:rsid w:val="00151DB4"/>
    <w:rsid w:val="00151DC4"/>
    <w:rsid w:val="00151E1F"/>
    <w:rsid w:val="00151E2A"/>
    <w:rsid w:val="00151E86"/>
    <w:rsid w:val="00151F45"/>
    <w:rsid w:val="00151F9B"/>
    <w:rsid w:val="00151FBD"/>
    <w:rsid w:val="00152033"/>
    <w:rsid w:val="00152212"/>
    <w:rsid w:val="00152275"/>
    <w:rsid w:val="00152316"/>
    <w:rsid w:val="001523C5"/>
    <w:rsid w:val="00152413"/>
    <w:rsid w:val="0015244F"/>
    <w:rsid w:val="001524AD"/>
    <w:rsid w:val="0015258B"/>
    <w:rsid w:val="001525B4"/>
    <w:rsid w:val="001525CF"/>
    <w:rsid w:val="001525DD"/>
    <w:rsid w:val="001525E8"/>
    <w:rsid w:val="00152630"/>
    <w:rsid w:val="0015269F"/>
    <w:rsid w:val="001527B6"/>
    <w:rsid w:val="001527FF"/>
    <w:rsid w:val="00152877"/>
    <w:rsid w:val="0015294A"/>
    <w:rsid w:val="0015297A"/>
    <w:rsid w:val="001529B3"/>
    <w:rsid w:val="001529D2"/>
    <w:rsid w:val="001529FD"/>
    <w:rsid w:val="00152A15"/>
    <w:rsid w:val="00152ADB"/>
    <w:rsid w:val="00152B37"/>
    <w:rsid w:val="00152B55"/>
    <w:rsid w:val="00152CC1"/>
    <w:rsid w:val="00152D1A"/>
    <w:rsid w:val="00152E29"/>
    <w:rsid w:val="00152E3A"/>
    <w:rsid w:val="00152E79"/>
    <w:rsid w:val="00152E8C"/>
    <w:rsid w:val="00152E9F"/>
    <w:rsid w:val="00152EC4"/>
    <w:rsid w:val="00152F19"/>
    <w:rsid w:val="00153105"/>
    <w:rsid w:val="00153123"/>
    <w:rsid w:val="0015333B"/>
    <w:rsid w:val="001533D8"/>
    <w:rsid w:val="001536C6"/>
    <w:rsid w:val="0015377E"/>
    <w:rsid w:val="001537C5"/>
    <w:rsid w:val="0015385F"/>
    <w:rsid w:val="001538D1"/>
    <w:rsid w:val="001538F6"/>
    <w:rsid w:val="001538F9"/>
    <w:rsid w:val="00153978"/>
    <w:rsid w:val="00153ABC"/>
    <w:rsid w:val="00153B09"/>
    <w:rsid w:val="00153B22"/>
    <w:rsid w:val="00153C1F"/>
    <w:rsid w:val="00153C30"/>
    <w:rsid w:val="00153D4C"/>
    <w:rsid w:val="00153D54"/>
    <w:rsid w:val="00153D6F"/>
    <w:rsid w:val="00153DDD"/>
    <w:rsid w:val="00153F00"/>
    <w:rsid w:val="0015415A"/>
    <w:rsid w:val="001541F2"/>
    <w:rsid w:val="001542C8"/>
    <w:rsid w:val="00154381"/>
    <w:rsid w:val="001545E3"/>
    <w:rsid w:val="0015463C"/>
    <w:rsid w:val="0015465A"/>
    <w:rsid w:val="00154706"/>
    <w:rsid w:val="00154711"/>
    <w:rsid w:val="00154717"/>
    <w:rsid w:val="00154756"/>
    <w:rsid w:val="00154999"/>
    <w:rsid w:val="00154AA1"/>
    <w:rsid w:val="00154B15"/>
    <w:rsid w:val="00154B9E"/>
    <w:rsid w:val="00154BDD"/>
    <w:rsid w:val="00154DD2"/>
    <w:rsid w:val="00154E4D"/>
    <w:rsid w:val="00154EAF"/>
    <w:rsid w:val="00154F60"/>
    <w:rsid w:val="00155076"/>
    <w:rsid w:val="00155173"/>
    <w:rsid w:val="0015521F"/>
    <w:rsid w:val="001552D0"/>
    <w:rsid w:val="0015543E"/>
    <w:rsid w:val="00155458"/>
    <w:rsid w:val="001554C1"/>
    <w:rsid w:val="001554E0"/>
    <w:rsid w:val="00155510"/>
    <w:rsid w:val="00155618"/>
    <w:rsid w:val="0015569E"/>
    <w:rsid w:val="001557F5"/>
    <w:rsid w:val="00155804"/>
    <w:rsid w:val="00155864"/>
    <w:rsid w:val="001558A4"/>
    <w:rsid w:val="001558C3"/>
    <w:rsid w:val="00155983"/>
    <w:rsid w:val="00155A50"/>
    <w:rsid w:val="00155ADB"/>
    <w:rsid w:val="00155AF0"/>
    <w:rsid w:val="00155C71"/>
    <w:rsid w:val="00155CE2"/>
    <w:rsid w:val="00155DB7"/>
    <w:rsid w:val="00155DD3"/>
    <w:rsid w:val="00155DD9"/>
    <w:rsid w:val="00155DE5"/>
    <w:rsid w:val="00155E21"/>
    <w:rsid w:val="00155E74"/>
    <w:rsid w:val="00155F16"/>
    <w:rsid w:val="00156005"/>
    <w:rsid w:val="00156018"/>
    <w:rsid w:val="00156056"/>
    <w:rsid w:val="0015609B"/>
    <w:rsid w:val="00156147"/>
    <w:rsid w:val="00156184"/>
    <w:rsid w:val="001561AA"/>
    <w:rsid w:val="001561CC"/>
    <w:rsid w:val="001561E6"/>
    <w:rsid w:val="0015625C"/>
    <w:rsid w:val="00156279"/>
    <w:rsid w:val="001562A7"/>
    <w:rsid w:val="00156349"/>
    <w:rsid w:val="001563B8"/>
    <w:rsid w:val="001565E3"/>
    <w:rsid w:val="00156711"/>
    <w:rsid w:val="0015683C"/>
    <w:rsid w:val="00156875"/>
    <w:rsid w:val="00156892"/>
    <w:rsid w:val="0015699C"/>
    <w:rsid w:val="00156AC5"/>
    <w:rsid w:val="00156ACA"/>
    <w:rsid w:val="00156B72"/>
    <w:rsid w:val="00156CB8"/>
    <w:rsid w:val="00156CDB"/>
    <w:rsid w:val="00156D64"/>
    <w:rsid w:val="00156D8F"/>
    <w:rsid w:val="00156D99"/>
    <w:rsid w:val="00156E0B"/>
    <w:rsid w:val="00156E65"/>
    <w:rsid w:val="00156FF3"/>
    <w:rsid w:val="0015702B"/>
    <w:rsid w:val="0015703C"/>
    <w:rsid w:val="00157252"/>
    <w:rsid w:val="0015739C"/>
    <w:rsid w:val="001574CA"/>
    <w:rsid w:val="0015761A"/>
    <w:rsid w:val="00157717"/>
    <w:rsid w:val="00157736"/>
    <w:rsid w:val="001577F3"/>
    <w:rsid w:val="00157919"/>
    <w:rsid w:val="00157967"/>
    <w:rsid w:val="00157A5E"/>
    <w:rsid w:val="00157A62"/>
    <w:rsid w:val="00157A73"/>
    <w:rsid w:val="00157AC1"/>
    <w:rsid w:val="00157B11"/>
    <w:rsid w:val="00157C62"/>
    <w:rsid w:val="00157C6C"/>
    <w:rsid w:val="00157C6F"/>
    <w:rsid w:val="00157D12"/>
    <w:rsid w:val="00157D4F"/>
    <w:rsid w:val="00157D59"/>
    <w:rsid w:val="00157D6C"/>
    <w:rsid w:val="00157DD1"/>
    <w:rsid w:val="00157F76"/>
    <w:rsid w:val="00157FCA"/>
    <w:rsid w:val="00160020"/>
    <w:rsid w:val="001600B3"/>
    <w:rsid w:val="001600B5"/>
    <w:rsid w:val="00160174"/>
    <w:rsid w:val="00160268"/>
    <w:rsid w:val="00160350"/>
    <w:rsid w:val="001603F7"/>
    <w:rsid w:val="00160486"/>
    <w:rsid w:val="00160571"/>
    <w:rsid w:val="0016058E"/>
    <w:rsid w:val="001605D0"/>
    <w:rsid w:val="0016061B"/>
    <w:rsid w:val="001606D3"/>
    <w:rsid w:val="001606FC"/>
    <w:rsid w:val="0016071E"/>
    <w:rsid w:val="001607D2"/>
    <w:rsid w:val="00160819"/>
    <w:rsid w:val="00160827"/>
    <w:rsid w:val="0016084F"/>
    <w:rsid w:val="001609E1"/>
    <w:rsid w:val="00160B52"/>
    <w:rsid w:val="00160B9A"/>
    <w:rsid w:val="00160B9F"/>
    <w:rsid w:val="00160C51"/>
    <w:rsid w:val="00160CC7"/>
    <w:rsid w:val="00160CCF"/>
    <w:rsid w:val="00160D17"/>
    <w:rsid w:val="00160E00"/>
    <w:rsid w:val="00160E05"/>
    <w:rsid w:val="00160EF3"/>
    <w:rsid w:val="00160F06"/>
    <w:rsid w:val="00160F0B"/>
    <w:rsid w:val="00160F78"/>
    <w:rsid w:val="00160FAE"/>
    <w:rsid w:val="00160FB2"/>
    <w:rsid w:val="00160FFA"/>
    <w:rsid w:val="001610A4"/>
    <w:rsid w:val="001610AC"/>
    <w:rsid w:val="0016111F"/>
    <w:rsid w:val="00161203"/>
    <w:rsid w:val="0016127B"/>
    <w:rsid w:val="001613D3"/>
    <w:rsid w:val="001614D3"/>
    <w:rsid w:val="001615B5"/>
    <w:rsid w:val="00161619"/>
    <w:rsid w:val="00161630"/>
    <w:rsid w:val="00161749"/>
    <w:rsid w:val="00161835"/>
    <w:rsid w:val="00161854"/>
    <w:rsid w:val="00161884"/>
    <w:rsid w:val="0016188D"/>
    <w:rsid w:val="00161925"/>
    <w:rsid w:val="00161947"/>
    <w:rsid w:val="00161A32"/>
    <w:rsid w:val="00161AE9"/>
    <w:rsid w:val="00161B47"/>
    <w:rsid w:val="00161C21"/>
    <w:rsid w:val="00161C61"/>
    <w:rsid w:val="00161CD3"/>
    <w:rsid w:val="00161EEE"/>
    <w:rsid w:val="0016200E"/>
    <w:rsid w:val="0016205E"/>
    <w:rsid w:val="001620F2"/>
    <w:rsid w:val="00162153"/>
    <w:rsid w:val="0016217D"/>
    <w:rsid w:val="00162370"/>
    <w:rsid w:val="0016241B"/>
    <w:rsid w:val="001624C4"/>
    <w:rsid w:val="00162515"/>
    <w:rsid w:val="00162577"/>
    <w:rsid w:val="001625C4"/>
    <w:rsid w:val="00162628"/>
    <w:rsid w:val="0016264A"/>
    <w:rsid w:val="001626C7"/>
    <w:rsid w:val="00162791"/>
    <w:rsid w:val="001627BF"/>
    <w:rsid w:val="00162825"/>
    <w:rsid w:val="00162858"/>
    <w:rsid w:val="00162888"/>
    <w:rsid w:val="00162943"/>
    <w:rsid w:val="0016295C"/>
    <w:rsid w:val="0016299F"/>
    <w:rsid w:val="001629BC"/>
    <w:rsid w:val="001629C7"/>
    <w:rsid w:val="00162A76"/>
    <w:rsid w:val="00162A9F"/>
    <w:rsid w:val="00162BB1"/>
    <w:rsid w:val="00162BE7"/>
    <w:rsid w:val="00162C4B"/>
    <w:rsid w:val="00162C5C"/>
    <w:rsid w:val="00162D29"/>
    <w:rsid w:val="00162D52"/>
    <w:rsid w:val="00162DF0"/>
    <w:rsid w:val="00162E4D"/>
    <w:rsid w:val="00162EB7"/>
    <w:rsid w:val="00162EE8"/>
    <w:rsid w:val="00162F63"/>
    <w:rsid w:val="0016311F"/>
    <w:rsid w:val="0016316F"/>
    <w:rsid w:val="00163282"/>
    <w:rsid w:val="00163439"/>
    <w:rsid w:val="0016345B"/>
    <w:rsid w:val="0016348B"/>
    <w:rsid w:val="001634E9"/>
    <w:rsid w:val="001635EA"/>
    <w:rsid w:val="00163619"/>
    <w:rsid w:val="0016363A"/>
    <w:rsid w:val="00163731"/>
    <w:rsid w:val="001637A3"/>
    <w:rsid w:val="001639C7"/>
    <w:rsid w:val="00163D0A"/>
    <w:rsid w:val="00163D7D"/>
    <w:rsid w:val="00163DD9"/>
    <w:rsid w:val="00163EC5"/>
    <w:rsid w:val="00163F5E"/>
    <w:rsid w:val="00163FCD"/>
    <w:rsid w:val="00163FFA"/>
    <w:rsid w:val="001640C5"/>
    <w:rsid w:val="001640DD"/>
    <w:rsid w:val="0016411A"/>
    <w:rsid w:val="00164150"/>
    <w:rsid w:val="00164279"/>
    <w:rsid w:val="001642B1"/>
    <w:rsid w:val="001642B4"/>
    <w:rsid w:val="001642C8"/>
    <w:rsid w:val="001642DF"/>
    <w:rsid w:val="0016433D"/>
    <w:rsid w:val="00164345"/>
    <w:rsid w:val="00164381"/>
    <w:rsid w:val="001643A9"/>
    <w:rsid w:val="00164494"/>
    <w:rsid w:val="00164601"/>
    <w:rsid w:val="00164663"/>
    <w:rsid w:val="0016469B"/>
    <w:rsid w:val="0016469D"/>
    <w:rsid w:val="001646AA"/>
    <w:rsid w:val="00164751"/>
    <w:rsid w:val="001647CB"/>
    <w:rsid w:val="001649A9"/>
    <w:rsid w:val="001649B7"/>
    <w:rsid w:val="00164A72"/>
    <w:rsid w:val="00164B48"/>
    <w:rsid w:val="00164B82"/>
    <w:rsid w:val="00164B8D"/>
    <w:rsid w:val="00164CB9"/>
    <w:rsid w:val="00164CBC"/>
    <w:rsid w:val="00164E0F"/>
    <w:rsid w:val="00164F3E"/>
    <w:rsid w:val="00164F48"/>
    <w:rsid w:val="00164F59"/>
    <w:rsid w:val="0016503B"/>
    <w:rsid w:val="00165061"/>
    <w:rsid w:val="0016508C"/>
    <w:rsid w:val="001650B2"/>
    <w:rsid w:val="001650E0"/>
    <w:rsid w:val="00165138"/>
    <w:rsid w:val="00165224"/>
    <w:rsid w:val="00165281"/>
    <w:rsid w:val="00165318"/>
    <w:rsid w:val="001653C5"/>
    <w:rsid w:val="001653D5"/>
    <w:rsid w:val="00165436"/>
    <w:rsid w:val="0016543A"/>
    <w:rsid w:val="00165520"/>
    <w:rsid w:val="0016574D"/>
    <w:rsid w:val="001657CE"/>
    <w:rsid w:val="00165856"/>
    <w:rsid w:val="00165A73"/>
    <w:rsid w:val="00165AEF"/>
    <w:rsid w:val="00165C10"/>
    <w:rsid w:val="00165C42"/>
    <w:rsid w:val="00165C72"/>
    <w:rsid w:val="00165CB9"/>
    <w:rsid w:val="00165D07"/>
    <w:rsid w:val="00165DF6"/>
    <w:rsid w:val="00165E60"/>
    <w:rsid w:val="00165EA1"/>
    <w:rsid w:val="00165EC7"/>
    <w:rsid w:val="00165F0E"/>
    <w:rsid w:val="00165F57"/>
    <w:rsid w:val="00165F66"/>
    <w:rsid w:val="0016600F"/>
    <w:rsid w:val="00166020"/>
    <w:rsid w:val="0016605B"/>
    <w:rsid w:val="001660F7"/>
    <w:rsid w:val="00166116"/>
    <w:rsid w:val="00166137"/>
    <w:rsid w:val="0016614F"/>
    <w:rsid w:val="00166167"/>
    <w:rsid w:val="001662AB"/>
    <w:rsid w:val="001662B1"/>
    <w:rsid w:val="0016632C"/>
    <w:rsid w:val="00166351"/>
    <w:rsid w:val="00166406"/>
    <w:rsid w:val="00166418"/>
    <w:rsid w:val="00166465"/>
    <w:rsid w:val="0016649B"/>
    <w:rsid w:val="001664B2"/>
    <w:rsid w:val="001665DE"/>
    <w:rsid w:val="00166620"/>
    <w:rsid w:val="0016670B"/>
    <w:rsid w:val="00166761"/>
    <w:rsid w:val="001667B5"/>
    <w:rsid w:val="00166884"/>
    <w:rsid w:val="00166905"/>
    <w:rsid w:val="00166960"/>
    <w:rsid w:val="0016696D"/>
    <w:rsid w:val="00166A04"/>
    <w:rsid w:val="00166C3B"/>
    <w:rsid w:val="00166C99"/>
    <w:rsid w:val="00166CD3"/>
    <w:rsid w:val="00166CEB"/>
    <w:rsid w:val="00166CF1"/>
    <w:rsid w:val="00166CFB"/>
    <w:rsid w:val="00166D3E"/>
    <w:rsid w:val="00166DAC"/>
    <w:rsid w:val="00166DCF"/>
    <w:rsid w:val="00166DE8"/>
    <w:rsid w:val="00166ECA"/>
    <w:rsid w:val="001670E2"/>
    <w:rsid w:val="00167159"/>
    <w:rsid w:val="001671D2"/>
    <w:rsid w:val="001671D9"/>
    <w:rsid w:val="001671E4"/>
    <w:rsid w:val="001672F4"/>
    <w:rsid w:val="00167305"/>
    <w:rsid w:val="001674E7"/>
    <w:rsid w:val="0016766B"/>
    <w:rsid w:val="0016772C"/>
    <w:rsid w:val="001677AE"/>
    <w:rsid w:val="0016788C"/>
    <w:rsid w:val="00167891"/>
    <w:rsid w:val="001678C0"/>
    <w:rsid w:val="00167AAD"/>
    <w:rsid w:val="00167ADE"/>
    <w:rsid w:val="00167B00"/>
    <w:rsid w:val="00167B7B"/>
    <w:rsid w:val="00167C33"/>
    <w:rsid w:val="00167C98"/>
    <w:rsid w:val="00167CB8"/>
    <w:rsid w:val="00167D1B"/>
    <w:rsid w:val="00167DF0"/>
    <w:rsid w:val="00167E2A"/>
    <w:rsid w:val="00167E9A"/>
    <w:rsid w:val="00167F5E"/>
    <w:rsid w:val="00170109"/>
    <w:rsid w:val="0017015B"/>
    <w:rsid w:val="001701B3"/>
    <w:rsid w:val="00170259"/>
    <w:rsid w:val="001702BA"/>
    <w:rsid w:val="001703CE"/>
    <w:rsid w:val="00170595"/>
    <w:rsid w:val="0017065B"/>
    <w:rsid w:val="001706D2"/>
    <w:rsid w:val="001707F5"/>
    <w:rsid w:val="001707FC"/>
    <w:rsid w:val="0017088A"/>
    <w:rsid w:val="001708EA"/>
    <w:rsid w:val="00170962"/>
    <w:rsid w:val="00170AC0"/>
    <w:rsid w:val="00170ADD"/>
    <w:rsid w:val="00170BA6"/>
    <w:rsid w:val="00170BC7"/>
    <w:rsid w:val="00170C57"/>
    <w:rsid w:val="00170C6A"/>
    <w:rsid w:val="00170C9F"/>
    <w:rsid w:val="00170D51"/>
    <w:rsid w:val="00170D58"/>
    <w:rsid w:val="00170D61"/>
    <w:rsid w:val="00170E7F"/>
    <w:rsid w:val="00171090"/>
    <w:rsid w:val="00171137"/>
    <w:rsid w:val="001711F3"/>
    <w:rsid w:val="00171458"/>
    <w:rsid w:val="001715F7"/>
    <w:rsid w:val="0017160F"/>
    <w:rsid w:val="001716AC"/>
    <w:rsid w:val="00171722"/>
    <w:rsid w:val="001717DD"/>
    <w:rsid w:val="00171865"/>
    <w:rsid w:val="001718ED"/>
    <w:rsid w:val="0017192F"/>
    <w:rsid w:val="00171936"/>
    <w:rsid w:val="00171AFD"/>
    <w:rsid w:val="00171B7E"/>
    <w:rsid w:val="00171C38"/>
    <w:rsid w:val="00171C4B"/>
    <w:rsid w:val="00171CCE"/>
    <w:rsid w:val="00171CF1"/>
    <w:rsid w:val="00171DC8"/>
    <w:rsid w:val="00171EAE"/>
    <w:rsid w:val="00171F0B"/>
    <w:rsid w:val="00171FA7"/>
    <w:rsid w:val="00172096"/>
    <w:rsid w:val="001720B1"/>
    <w:rsid w:val="001720FC"/>
    <w:rsid w:val="00172139"/>
    <w:rsid w:val="001721A6"/>
    <w:rsid w:val="001721B0"/>
    <w:rsid w:val="001721DF"/>
    <w:rsid w:val="001721FE"/>
    <w:rsid w:val="0017225F"/>
    <w:rsid w:val="001722C7"/>
    <w:rsid w:val="001722E3"/>
    <w:rsid w:val="00172322"/>
    <w:rsid w:val="001723C3"/>
    <w:rsid w:val="00172489"/>
    <w:rsid w:val="0017248A"/>
    <w:rsid w:val="001724FB"/>
    <w:rsid w:val="00172649"/>
    <w:rsid w:val="001727EC"/>
    <w:rsid w:val="0017282A"/>
    <w:rsid w:val="00172926"/>
    <w:rsid w:val="00172946"/>
    <w:rsid w:val="00172A82"/>
    <w:rsid w:val="00172AAC"/>
    <w:rsid w:val="00172ACF"/>
    <w:rsid w:val="00172C58"/>
    <w:rsid w:val="00172DD7"/>
    <w:rsid w:val="00172EBD"/>
    <w:rsid w:val="00172EC5"/>
    <w:rsid w:val="00172EE0"/>
    <w:rsid w:val="00172FD4"/>
    <w:rsid w:val="00173069"/>
    <w:rsid w:val="0017311B"/>
    <w:rsid w:val="001731B1"/>
    <w:rsid w:val="001731D4"/>
    <w:rsid w:val="0017320C"/>
    <w:rsid w:val="00173287"/>
    <w:rsid w:val="001732D3"/>
    <w:rsid w:val="00173326"/>
    <w:rsid w:val="001733F4"/>
    <w:rsid w:val="00173588"/>
    <w:rsid w:val="00173638"/>
    <w:rsid w:val="00173640"/>
    <w:rsid w:val="00173711"/>
    <w:rsid w:val="00173750"/>
    <w:rsid w:val="0017379C"/>
    <w:rsid w:val="001737B3"/>
    <w:rsid w:val="0017388A"/>
    <w:rsid w:val="0017392E"/>
    <w:rsid w:val="00173943"/>
    <w:rsid w:val="00173B5A"/>
    <w:rsid w:val="00173BAA"/>
    <w:rsid w:val="00173C7E"/>
    <w:rsid w:val="00173D1C"/>
    <w:rsid w:val="00173E04"/>
    <w:rsid w:val="00173EAE"/>
    <w:rsid w:val="00173F48"/>
    <w:rsid w:val="00173F9F"/>
    <w:rsid w:val="00173FC9"/>
    <w:rsid w:val="00174070"/>
    <w:rsid w:val="00174084"/>
    <w:rsid w:val="001742C9"/>
    <w:rsid w:val="001742D8"/>
    <w:rsid w:val="0017432C"/>
    <w:rsid w:val="00174450"/>
    <w:rsid w:val="001746BF"/>
    <w:rsid w:val="001746ED"/>
    <w:rsid w:val="001748CF"/>
    <w:rsid w:val="001748EF"/>
    <w:rsid w:val="00174999"/>
    <w:rsid w:val="00174A7A"/>
    <w:rsid w:val="00174B2C"/>
    <w:rsid w:val="00174B40"/>
    <w:rsid w:val="00174CB4"/>
    <w:rsid w:val="00174DC8"/>
    <w:rsid w:val="00174DE2"/>
    <w:rsid w:val="00174DFD"/>
    <w:rsid w:val="00174E46"/>
    <w:rsid w:val="00174E47"/>
    <w:rsid w:val="00174EAF"/>
    <w:rsid w:val="00174EB1"/>
    <w:rsid w:val="00174EF8"/>
    <w:rsid w:val="00174EFD"/>
    <w:rsid w:val="00174FE3"/>
    <w:rsid w:val="00175029"/>
    <w:rsid w:val="0017532F"/>
    <w:rsid w:val="001753A6"/>
    <w:rsid w:val="001753F8"/>
    <w:rsid w:val="00175401"/>
    <w:rsid w:val="0017549C"/>
    <w:rsid w:val="0017551A"/>
    <w:rsid w:val="001755B2"/>
    <w:rsid w:val="001756D4"/>
    <w:rsid w:val="001757A5"/>
    <w:rsid w:val="001759CB"/>
    <w:rsid w:val="001759D8"/>
    <w:rsid w:val="00175B1D"/>
    <w:rsid w:val="00175B5C"/>
    <w:rsid w:val="00175C55"/>
    <w:rsid w:val="00175CD3"/>
    <w:rsid w:val="00175D67"/>
    <w:rsid w:val="00175E3A"/>
    <w:rsid w:val="00175E6F"/>
    <w:rsid w:val="00175F01"/>
    <w:rsid w:val="00175F67"/>
    <w:rsid w:val="00176048"/>
    <w:rsid w:val="00176052"/>
    <w:rsid w:val="00176113"/>
    <w:rsid w:val="001762D1"/>
    <w:rsid w:val="00176408"/>
    <w:rsid w:val="001766CA"/>
    <w:rsid w:val="001767BB"/>
    <w:rsid w:val="0017685F"/>
    <w:rsid w:val="001768F8"/>
    <w:rsid w:val="00176945"/>
    <w:rsid w:val="00176973"/>
    <w:rsid w:val="001769E3"/>
    <w:rsid w:val="00176AD5"/>
    <w:rsid w:val="00176B16"/>
    <w:rsid w:val="00176BBC"/>
    <w:rsid w:val="00176BF4"/>
    <w:rsid w:val="00176C0D"/>
    <w:rsid w:val="00176E89"/>
    <w:rsid w:val="00176EBB"/>
    <w:rsid w:val="00176F0B"/>
    <w:rsid w:val="00176F7C"/>
    <w:rsid w:val="00176FA4"/>
    <w:rsid w:val="00176FAC"/>
    <w:rsid w:val="00177020"/>
    <w:rsid w:val="00177033"/>
    <w:rsid w:val="001770A0"/>
    <w:rsid w:val="001770D6"/>
    <w:rsid w:val="0017711E"/>
    <w:rsid w:val="00177124"/>
    <w:rsid w:val="00177321"/>
    <w:rsid w:val="0017736A"/>
    <w:rsid w:val="00177390"/>
    <w:rsid w:val="001773E8"/>
    <w:rsid w:val="00177416"/>
    <w:rsid w:val="001774A2"/>
    <w:rsid w:val="001774EA"/>
    <w:rsid w:val="001776AD"/>
    <w:rsid w:val="001776B1"/>
    <w:rsid w:val="00177816"/>
    <w:rsid w:val="0017794F"/>
    <w:rsid w:val="00177981"/>
    <w:rsid w:val="00177987"/>
    <w:rsid w:val="001779CE"/>
    <w:rsid w:val="00177BCB"/>
    <w:rsid w:val="00177BCD"/>
    <w:rsid w:val="00177BD1"/>
    <w:rsid w:val="00177C35"/>
    <w:rsid w:val="00177D23"/>
    <w:rsid w:val="00177D6E"/>
    <w:rsid w:val="00177D75"/>
    <w:rsid w:val="00177D78"/>
    <w:rsid w:val="00177E1B"/>
    <w:rsid w:val="00177E34"/>
    <w:rsid w:val="00177E7A"/>
    <w:rsid w:val="00177EE2"/>
    <w:rsid w:val="00177EED"/>
    <w:rsid w:val="00177F72"/>
    <w:rsid w:val="00177FC6"/>
    <w:rsid w:val="00177FEA"/>
    <w:rsid w:val="00180002"/>
    <w:rsid w:val="0018007C"/>
    <w:rsid w:val="001801ED"/>
    <w:rsid w:val="00180268"/>
    <w:rsid w:val="00180277"/>
    <w:rsid w:val="0018041A"/>
    <w:rsid w:val="00180449"/>
    <w:rsid w:val="001804D5"/>
    <w:rsid w:val="001804F8"/>
    <w:rsid w:val="00180579"/>
    <w:rsid w:val="001806D0"/>
    <w:rsid w:val="001806EF"/>
    <w:rsid w:val="0018070D"/>
    <w:rsid w:val="00180765"/>
    <w:rsid w:val="00180907"/>
    <w:rsid w:val="00180967"/>
    <w:rsid w:val="00180A72"/>
    <w:rsid w:val="00180AA8"/>
    <w:rsid w:val="00180AB2"/>
    <w:rsid w:val="00180BD2"/>
    <w:rsid w:val="00180C22"/>
    <w:rsid w:val="00180DAC"/>
    <w:rsid w:val="00180DCE"/>
    <w:rsid w:val="00180DD8"/>
    <w:rsid w:val="00180E53"/>
    <w:rsid w:val="0018102D"/>
    <w:rsid w:val="001810BB"/>
    <w:rsid w:val="00181235"/>
    <w:rsid w:val="00181354"/>
    <w:rsid w:val="001814AE"/>
    <w:rsid w:val="001814D1"/>
    <w:rsid w:val="0018150F"/>
    <w:rsid w:val="0018157D"/>
    <w:rsid w:val="00181616"/>
    <w:rsid w:val="00181647"/>
    <w:rsid w:val="00181653"/>
    <w:rsid w:val="001816D9"/>
    <w:rsid w:val="00181787"/>
    <w:rsid w:val="001817AF"/>
    <w:rsid w:val="001817DF"/>
    <w:rsid w:val="001818DA"/>
    <w:rsid w:val="001818DD"/>
    <w:rsid w:val="00181907"/>
    <w:rsid w:val="001819A6"/>
    <w:rsid w:val="001819EA"/>
    <w:rsid w:val="00181B8E"/>
    <w:rsid w:val="00181BC0"/>
    <w:rsid w:val="00181C28"/>
    <w:rsid w:val="00181CB7"/>
    <w:rsid w:val="00181E24"/>
    <w:rsid w:val="00181E7C"/>
    <w:rsid w:val="00181EAF"/>
    <w:rsid w:val="0018208B"/>
    <w:rsid w:val="0018210A"/>
    <w:rsid w:val="00182143"/>
    <w:rsid w:val="00182216"/>
    <w:rsid w:val="00182290"/>
    <w:rsid w:val="001822F1"/>
    <w:rsid w:val="001823F3"/>
    <w:rsid w:val="001824AC"/>
    <w:rsid w:val="001824B0"/>
    <w:rsid w:val="001824CD"/>
    <w:rsid w:val="0018265C"/>
    <w:rsid w:val="00182789"/>
    <w:rsid w:val="001827B2"/>
    <w:rsid w:val="0018287D"/>
    <w:rsid w:val="00182882"/>
    <w:rsid w:val="001828A2"/>
    <w:rsid w:val="001828BE"/>
    <w:rsid w:val="001828D1"/>
    <w:rsid w:val="00182988"/>
    <w:rsid w:val="00182A5B"/>
    <w:rsid w:val="00182A60"/>
    <w:rsid w:val="00182A89"/>
    <w:rsid w:val="00182AA6"/>
    <w:rsid w:val="00182C1C"/>
    <w:rsid w:val="00182C20"/>
    <w:rsid w:val="00182C4F"/>
    <w:rsid w:val="00182C79"/>
    <w:rsid w:val="00182EBF"/>
    <w:rsid w:val="00182F70"/>
    <w:rsid w:val="00183001"/>
    <w:rsid w:val="00183025"/>
    <w:rsid w:val="001831F7"/>
    <w:rsid w:val="00183251"/>
    <w:rsid w:val="0018338E"/>
    <w:rsid w:val="00183424"/>
    <w:rsid w:val="00183445"/>
    <w:rsid w:val="0018387C"/>
    <w:rsid w:val="00183889"/>
    <w:rsid w:val="00183928"/>
    <w:rsid w:val="00183958"/>
    <w:rsid w:val="00183985"/>
    <w:rsid w:val="001839D1"/>
    <w:rsid w:val="001839EF"/>
    <w:rsid w:val="00183A07"/>
    <w:rsid w:val="00183AD0"/>
    <w:rsid w:val="00183B77"/>
    <w:rsid w:val="00183D2E"/>
    <w:rsid w:val="00183D3C"/>
    <w:rsid w:val="00183EE7"/>
    <w:rsid w:val="00183F44"/>
    <w:rsid w:val="001840BD"/>
    <w:rsid w:val="0018412F"/>
    <w:rsid w:val="001841C1"/>
    <w:rsid w:val="001841EB"/>
    <w:rsid w:val="00184202"/>
    <w:rsid w:val="001842BB"/>
    <w:rsid w:val="001843AE"/>
    <w:rsid w:val="001843BA"/>
    <w:rsid w:val="001843BB"/>
    <w:rsid w:val="001843F0"/>
    <w:rsid w:val="0018440C"/>
    <w:rsid w:val="0018463F"/>
    <w:rsid w:val="001846A9"/>
    <w:rsid w:val="001846C0"/>
    <w:rsid w:val="00184734"/>
    <w:rsid w:val="0018477F"/>
    <w:rsid w:val="0018479A"/>
    <w:rsid w:val="00184824"/>
    <w:rsid w:val="00184826"/>
    <w:rsid w:val="00184924"/>
    <w:rsid w:val="00184945"/>
    <w:rsid w:val="00184AB6"/>
    <w:rsid w:val="00184BC4"/>
    <w:rsid w:val="00184CC1"/>
    <w:rsid w:val="00184DCF"/>
    <w:rsid w:val="00184E61"/>
    <w:rsid w:val="00184EA8"/>
    <w:rsid w:val="00184ECF"/>
    <w:rsid w:val="00184F21"/>
    <w:rsid w:val="001850BE"/>
    <w:rsid w:val="001850C5"/>
    <w:rsid w:val="0018510F"/>
    <w:rsid w:val="0018514E"/>
    <w:rsid w:val="0018519D"/>
    <w:rsid w:val="00185237"/>
    <w:rsid w:val="00185315"/>
    <w:rsid w:val="00185445"/>
    <w:rsid w:val="001854CB"/>
    <w:rsid w:val="001855C9"/>
    <w:rsid w:val="00185704"/>
    <w:rsid w:val="00185734"/>
    <w:rsid w:val="0018577F"/>
    <w:rsid w:val="0018579F"/>
    <w:rsid w:val="001858CC"/>
    <w:rsid w:val="00185986"/>
    <w:rsid w:val="0018598A"/>
    <w:rsid w:val="001859BF"/>
    <w:rsid w:val="00185C80"/>
    <w:rsid w:val="00185D16"/>
    <w:rsid w:val="00185E68"/>
    <w:rsid w:val="00185E74"/>
    <w:rsid w:val="00185EA4"/>
    <w:rsid w:val="00185EB1"/>
    <w:rsid w:val="00185EF8"/>
    <w:rsid w:val="00186017"/>
    <w:rsid w:val="00186075"/>
    <w:rsid w:val="0018611D"/>
    <w:rsid w:val="00186124"/>
    <w:rsid w:val="00186314"/>
    <w:rsid w:val="00186320"/>
    <w:rsid w:val="001863C9"/>
    <w:rsid w:val="00186453"/>
    <w:rsid w:val="00186471"/>
    <w:rsid w:val="0018657C"/>
    <w:rsid w:val="001865CF"/>
    <w:rsid w:val="001865F4"/>
    <w:rsid w:val="00186630"/>
    <w:rsid w:val="00186637"/>
    <w:rsid w:val="00186647"/>
    <w:rsid w:val="001867CC"/>
    <w:rsid w:val="001867EC"/>
    <w:rsid w:val="00186855"/>
    <w:rsid w:val="001868CB"/>
    <w:rsid w:val="00186968"/>
    <w:rsid w:val="0018696C"/>
    <w:rsid w:val="00186A4A"/>
    <w:rsid w:val="00186A95"/>
    <w:rsid w:val="00186B0F"/>
    <w:rsid w:val="00186B76"/>
    <w:rsid w:val="00186BFB"/>
    <w:rsid w:val="00186C0E"/>
    <w:rsid w:val="00186C5A"/>
    <w:rsid w:val="00186CE4"/>
    <w:rsid w:val="00186D00"/>
    <w:rsid w:val="00186E24"/>
    <w:rsid w:val="00186EE8"/>
    <w:rsid w:val="00186EFE"/>
    <w:rsid w:val="0018708A"/>
    <w:rsid w:val="00187124"/>
    <w:rsid w:val="001871F9"/>
    <w:rsid w:val="00187242"/>
    <w:rsid w:val="001873B0"/>
    <w:rsid w:val="00187450"/>
    <w:rsid w:val="001874CD"/>
    <w:rsid w:val="00187552"/>
    <w:rsid w:val="00187621"/>
    <w:rsid w:val="00187639"/>
    <w:rsid w:val="001876BF"/>
    <w:rsid w:val="001876DB"/>
    <w:rsid w:val="00187705"/>
    <w:rsid w:val="00187865"/>
    <w:rsid w:val="00187903"/>
    <w:rsid w:val="00187979"/>
    <w:rsid w:val="0018797C"/>
    <w:rsid w:val="001879E4"/>
    <w:rsid w:val="00187A40"/>
    <w:rsid w:val="00187C40"/>
    <w:rsid w:val="00187D59"/>
    <w:rsid w:val="00187D6E"/>
    <w:rsid w:val="00187D91"/>
    <w:rsid w:val="00187D9B"/>
    <w:rsid w:val="00187DCE"/>
    <w:rsid w:val="00187DF4"/>
    <w:rsid w:val="00187E96"/>
    <w:rsid w:val="00187F2D"/>
    <w:rsid w:val="00187FA4"/>
    <w:rsid w:val="0019002C"/>
    <w:rsid w:val="001900FE"/>
    <w:rsid w:val="00190134"/>
    <w:rsid w:val="001901A9"/>
    <w:rsid w:val="001903E7"/>
    <w:rsid w:val="0019044F"/>
    <w:rsid w:val="0019048B"/>
    <w:rsid w:val="0019052F"/>
    <w:rsid w:val="001905C1"/>
    <w:rsid w:val="001905C5"/>
    <w:rsid w:val="001905D2"/>
    <w:rsid w:val="001905E2"/>
    <w:rsid w:val="001905FD"/>
    <w:rsid w:val="00190673"/>
    <w:rsid w:val="001906A7"/>
    <w:rsid w:val="001906E5"/>
    <w:rsid w:val="0019071A"/>
    <w:rsid w:val="00190778"/>
    <w:rsid w:val="0019077A"/>
    <w:rsid w:val="00190875"/>
    <w:rsid w:val="001908EB"/>
    <w:rsid w:val="001908ED"/>
    <w:rsid w:val="00190987"/>
    <w:rsid w:val="001909B6"/>
    <w:rsid w:val="00190A0B"/>
    <w:rsid w:val="00190A6E"/>
    <w:rsid w:val="00190AEA"/>
    <w:rsid w:val="00190B39"/>
    <w:rsid w:val="00190B7D"/>
    <w:rsid w:val="00190B92"/>
    <w:rsid w:val="00190BA0"/>
    <w:rsid w:val="00190BA1"/>
    <w:rsid w:val="00190E14"/>
    <w:rsid w:val="00190E19"/>
    <w:rsid w:val="00190E1A"/>
    <w:rsid w:val="00190E26"/>
    <w:rsid w:val="00190E33"/>
    <w:rsid w:val="00190E6C"/>
    <w:rsid w:val="00190E76"/>
    <w:rsid w:val="00191092"/>
    <w:rsid w:val="00191120"/>
    <w:rsid w:val="00191127"/>
    <w:rsid w:val="00191175"/>
    <w:rsid w:val="00191206"/>
    <w:rsid w:val="00191535"/>
    <w:rsid w:val="001915A0"/>
    <w:rsid w:val="001915F9"/>
    <w:rsid w:val="00191618"/>
    <w:rsid w:val="0019165E"/>
    <w:rsid w:val="001916A4"/>
    <w:rsid w:val="00191A2C"/>
    <w:rsid w:val="00191A96"/>
    <w:rsid w:val="00191BA6"/>
    <w:rsid w:val="00191BC0"/>
    <w:rsid w:val="00191BDF"/>
    <w:rsid w:val="00191CC2"/>
    <w:rsid w:val="00191E18"/>
    <w:rsid w:val="00191F34"/>
    <w:rsid w:val="00191F51"/>
    <w:rsid w:val="00191F8E"/>
    <w:rsid w:val="00192010"/>
    <w:rsid w:val="00192074"/>
    <w:rsid w:val="001920CD"/>
    <w:rsid w:val="0019212B"/>
    <w:rsid w:val="0019213D"/>
    <w:rsid w:val="00192164"/>
    <w:rsid w:val="001921ED"/>
    <w:rsid w:val="00192332"/>
    <w:rsid w:val="001923CF"/>
    <w:rsid w:val="0019254E"/>
    <w:rsid w:val="00192558"/>
    <w:rsid w:val="0019268F"/>
    <w:rsid w:val="0019281F"/>
    <w:rsid w:val="00192892"/>
    <w:rsid w:val="001928D5"/>
    <w:rsid w:val="00192992"/>
    <w:rsid w:val="0019299D"/>
    <w:rsid w:val="001929FF"/>
    <w:rsid w:val="00192A13"/>
    <w:rsid w:val="00192A9C"/>
    <w:rsid w:val="00192B3A"/>
    <w:rsid w:val="00192B49"/>
    <w:rsid w:val="00192BE2"/>
    <w:rsid w:val="00192BEF"/>
    <w:rsid w:val="00192C11"/>
    <w:rsid w:val="00192C71"/>
    <w:rsid w:val="00192C82"/>
    <w:rsid w:val="00192CF6"/>
    <w:rsid w:val="00192D90"/>
    <w:rsid w:val="00192E8A"/>
    <w:rsid w:val="00192EBD"/>
    <w:rsid w:val="0019303A"/>
    <w:rsid w:val="00193074"/>
    <w:rsid w:val="00193135"/>
    <w:rsid w:val="0019326A"/>
    <w:rsid w:val="0019326B"/>
    <w:rsid w:val="00193306"/>
    <w:rsid w:val="00193414"/>
    <w:rsid w:val="00193430"/>
    <w:rsid w:val="00193438"/>
    <w:rsid w:val="001934A4"/>
    <w:rsid w:val="0019356A"/>
    <w:rsid w:val="00193575"/>
    <w:rsid w:val="00193616"/>
    <w:rsid w:val="0019361F"/>
    <w:rsid w:val="001936C7"/>
    <w:rsid w:val="001937FA"/>
    <w:rsid w:val="00193814"/>
    <w:rsid w:val="0019399A"/>
    <w:rsid w:val="001939AE"/>
    <w:rsid w:val="00193B0C"/>
    <w:rsid w:val="00193C62"/>
    <w:rsid w:val="00193C6A"/>
    <w:rsid w:val="00193D13"/>
    <w:rsid w:val="00193E1E"/>
    <w:rsid w:val="00193EB6"/>
    <w:rsid w:val="00193F09"/>
    <w:rsid w:val="001940E0"/>
    <w:rsid w:val="00194273"/>
    <w:rsid w:val="001942AA"/>
    <w:rsid w:val="00194413"/>
    <w:rsid w:val="001945D6"/>
    <w:rsid w:val="001945D8"/>
    <w:rsid w:val="00194870"/>
    <w:rsid w:val="00194878"/>
    <w:rsid w:val="0019492F"/>
    <w:rsid w:val="00194978"/>
    <w:rsid w:val="00194999"/>
    <w:rsid w:val="001949E2"/>
    <w:rsid w:val="00194B50"/>
    <w:rsid w:val="00194B68"/>
    <w:rsid w:val="00194D2E"/>
    <w:rsid w:val="00194D61"/>
    <w:rsid w:val="00194DB9"/>
    <w:rsid w:val="0019504C"/>
    <w:rsid w:val="001950B2"/>
    <w:rsid w:val="001950D0"/>
    <w:rsid w:val="001951AB"/>
    <w:rsid w:val="001952F9"/>
    <w:rsid w:val="0019535F"/>
    <w:rsid w:val="00195689"/>
    <w:rsid w:val="001956B2"/>
    <w:rsid w:val="0019575C"/>
    <w:rsid w:val="001957AC"/>
    <w:rsid w:val="001957E3"/>
    <w:rsid w:val="00195851"/>
    <w:rsid w:val="0019595A"/>
    <w:rsid w:val="0019596B"/>
    <w:rsid w:val="001959F8"/>
    <w:rsid w:val="00195A29"/>
    <w:rsid w:val="00195A4B"/>
    <w:rsid w:val="00195A56"/>
    <w:rsid w:val="00195AFD"/>
    <w:rsid w:val="00195B0F"/>
    <w:rsid w:val="00195D71"/>
    <w:rsid w:val="00195DA2"/>
    <w:rsid w:val="001960EE"/>
    <w:rsid w:val="001961AD"/>
    <w:rsid w:val="00196240"/>
    <w:rsid w:val="001962BD"/>
    <w:rsid w:val="00196357"/>
    <w:rsid w:val="0019637A"/>
    <w:rsid w:val="00196460"/>
    <w:rsid w:val="001964BB"/>
    <w:rsid w:val="00196664"/>
    <w:rsid w:val="00196702"/>
    <w:rsid w:val="001967D9"/>
    <w:rsid w:val="001967F9"/>
    <w:rsid w:val="00196A9F"/>
    <w:rsid w:val="00196B11"/>
    <w:rsid w:val="00196B36"/>
    <w:rsid w:val="00196B7B"/>
    <w:rsid w:val="00196C08"/>
    <w:rsid w:val="00196CD9"/>
    <w:rsid w:val="00196D7F"/>
    <w:rsid w:val="00196DD5"/>
    <w:rsid w:val="00196E3B"/>
    <w:rsid w:val="00196EAD"/>
    <w:rsid w:val="00196F0B"/>
    <w:rsid w:val="00196F6D"/>
    <w:rsid w:val="00196FB5"/>
    <w:rsid w:val="00196FB7"/>
    <w:rsid w:val="00196FD8"/>
    <w:rsid w:val="00197005"/>
    <w:rsid w:val="0019700A"/>
    <w:rsid w:val="001971A7"/>
    <w:rsid w:val="00197269"/>
    <w:rsid w:val="001972E0"/>
    <w:rsid w:val="001972E2"/>
    <w:rsid w:val="00197528"/>
    <w:rsid w:val="00197662"/>
    <w:rsid w:val="0019767B"/>
    <w:rsid w:val="001976A3"/>
    <w:rsid w:val="001977CE"/>
    <w:rsid w:val="001978C4"/>
    <w:rsid w:val="00197A16"/>
    <w:rsid w:val="00197A33"/>
    <w:rsid w:val="00197A8B"/>
    <w:rsid w:val="00197B33"/>
    <w:rsid w:val="00197B5D"/>
    <w:rsid w:val="00197BA2"/>
    <w:rsid w:val="00197E41"/>
    <w:rsid w:val="00197ED7"/>
    <w:rsid w:val="00197FDE"/>
    <w:rsid w:val="00197FFE"/>
    <w:rsid w:val="001A01CD"/>
    <w:rsid w:val="001A0207"/>
    <w:rsid w:val="001A0254"/>
    <w:rsid w:val="001A0396"/>
    <w:rsid w:val="001A04E1"/>
    <w:rsid w:val="001A051A"/>
    <w:rsid w:val="001A055B"/>
    <w:rsid w:val="001A0605"/>
    <w:rsid w:val="001A0664"/>
    <w:rsid w:val="001A07AB"/>
    <w:rsid w:val="001A07BE"/>
    <w:rsid w:val="001A081D"/>
    <w:rsid w:val="001A089F"/>
    <w:rsid w:val="001A08C8"/>
    <w:rsid w:val="001A092A"/>
    <w:rsid w:val="001A0AFB"/>
    <w:rsid w:val="001A0B12"/>
    <w:rsid w:val="001A0C36"/>
    <w:rsid w:val="001A0C9E"/>
    <w:rsid w:val="001A0D26"/>
    <w:rsid w:val="001A0DB4"/>
    <w:rsid w:val="001A0DDA"/>
    <w:rsid w:val="001A0DE1"/>
    <w:rsid w:val="001A0ED2"/>
    <w:rsid w:val="001A0F75"/>
    <w:rsid w:val="001A0F77"/>
    <w:rsid w:val="001A0F7F"/>
    <w:rsid w:val="001A11F4"/>
    <w:rsid w:val="001A123C"/>
    <w:rsid w:val="001A13A6"/>
    <w:rsid w:val="001A1417"/>
    <w:rsid w:val="001A1485"/>
    <w:rsid w:val="001A1509"/>
    <w:rsid w:val="001A1556"/>
    <w:rsid w:val="001A1593"/>
    <w:rsid w:val="001A15EA"/>
    <w:rsid w:val="001A1622"/>
    <w:rsid w:val="001A1703"/>
    <w:rsid w:val="001A1780"/>
    <w:rsid w:val="001A17C2"/>
    <w:rsid w:val="001A17C4"/>
    <w:rsid w:val="001A17C5"/>
    <w:rsid w:val="001A1820"/>
    <w:rsid w:val="001A1880"/>
    <w:rsid w:val="001A18C4"/>
    <w:rsid w:val="001A18E8"/>
    <w:rsid w:val="001A196D"/>
    <w:rsid w:val="001A1A40"/>
    <w:rsid w:val="001A1A85"/>
    <w:rsid w:val="001A1B8C"/>
    <w:rsid w:val="001A1B8E"/>
    <w:rsid w:val="001A1BD1"/>
    <w:rsid w:val="001A1CFF"/>
    <w:rsid w:val="001A1D5B"/>
    <w:rsid w:val="001A1DA1"/>
    <w:rsid w:val="001A1FAC"/>
    <w:rsid w:val="001A20DE"/>
    <w:rsid w:val="001A2100"/>
    <w:rsid w:val="001A2229"/>
    <w:rsid w:val="001A229C"/>
    <w:rsid w:val="001A22D6"/>
    <w:rsid w:val="001A2392"/>
    <w:rsid w:val="001A2424"/>
    <w:rsid w:val="001A24DC"/>
    <w:rsid w:val="001A251B"/>
    <w:rsid w:val="001A2643"/>
    <w:rsid w:val="001A2691"/>
    <w:rsid w:val="001A26A8"/>
    <w:rsid w:val="001A2732"/>
    <w:rsid w:val="001A2839"/>
    <w:rsid w:val="001A290C"/>
    <w:rsid w:val="001A29B3"/>
    <w:rsid w:val="001A29CA"/>
    <w:rsid w:val="001A2A4B"/>
    <w:rsid w:val="001A2A53"/>
    <w:rsid w:val="001A2A98"/>
    <w:rsid w:val="001A2C1F"/>
    <w:rsid w:val="001A2C89"/>
    <w:rsid w:val="001A2D9A"/>
    <w:rsid w:val="001A2DC3"/>
    <w:rsid w:val="001A2DF1"/>
    <w:rsid w:val="001A2E8D"/>
    <w:rsid w:val="001A2EEA"/>
    <w:rsid w:val="001A2FC4"/>
    <w:rsid w:val="001A302B"/>
    <w:rsid w:val="001A3031"/>
    <w:rsid w:val="001A3056"/>
    <w:rsid w:val="001A314D"/>
    <w:rsid w:val="001A31DF"/>
    <w:rsid w:val="001A31EA"/>
    <w:rsid w:val="001A3232"/>
    <w:rsid w:val="001A344F"/>
    <w:rsid w:val="001A351D"/>
    <w:rsid w:val="001A3678"/>
    <w:rsid w:val="001A36E0"/>
    <w:rsid w:val="001A3791"/>
    <w:rsid w:val="001A381D"/>
    <w:rsid w:val="001A388D"/>
    <w:rsid w:val="001A3953"/>
    <w:rsid w:val="001A3C75"/>
    <w:rsid w:val="001A3C8F"/>
    <w:rsid w:val="001A3CEA"/>
    <w:rsid w:val="001A3DDB"/>
    <w:rsid w:val="001A3E69"/>
    <w:rsid w:val="001A3E9B"/>
    <w:rsid w:val="001A3F31"/>
    <w:rsid w:val="001A3FA4"/>
    <w:rsid w:val="001A4141"/>
    <w:rsid w:val="001A4241"/>
    <w:rsid w:val="001A42EF"/>
    <w:rsid w:val="001A4308"/>
    <w:rsid w:val="001A43B1"/>
    <w:rsid w:val="001A4456"/>
    <w:rsid w:val="001A446C"/>
    <w:rsid w:val="001A44A4"/>
    <w:rsid w:val="001A4537"/>
    <w:rsid w:val="001A45F0"/>
    <w:rsid w:val="001A46DB"/>
    <w:rsid w:val="001A470C"/>
    <w:rsid w:val="001A4762"/>
    <w:rsid w:val="001A4796"/>
    <w:rsid w:val="001A47A3"/>
    <w:rsid w:val="001A4890"/>
    <w:rsid w:val="001A48BF"/>
    <w:rsid w:val="001A4A19"/>
    <w:rsid w:val="001A4A89"/>
    <w:rsid w:val="001A4ABA"/>
    <w:rsid w:val="001A4B2F"/>
    <w:rsid w:val="001A4B7C"/>
    <w:rsid w:val="001A4BBA"/>
    <w:rsid w:val="001A4BDE"/>
    <w:rsid w:val="001A4CBA"/>
    <w:rsid w:val="001A4D0E"/>
    <w:rsid w:val="001A4E23"/>
    <w:rsid w:val="001A4E70"/>
    <w:rsid w:val="001A4ED5"/>
    <w:rsid w:val="001A502D"/>
    <w:rsid w:val="001A5110"/>
    <w:rsid w:val="001A5172"/>
    <w:rsid w:val="001A5249"/>
    <w:rsid w:val="001A5402"/>
    <w:rsid w:val="001A54F7"/>
    <w:rsid w:val="001A5513"/>
    <w:rsid w:val="001A55E9"/>
    <w:rsid w:val="001A5637"/>
    <w:rsid w:val="001A56B7"/>
    <w:rsid w:val="001A56F0"/>
    <w:rsid w:val="001A575F"/>
    <w:rsid w:val="001A5780"/>
    <w:rsid w:val="001A5796"/>
    <w:rsid w:val="001A57BD"/>
    <w:rsid w:val="001A57DC"/>
    <w:rsid w:val="001A57EB"/>
    <w:rsid w:val="001A5871"/>
    <w:rsid w:val="001A589E"/>
    <w:rsid w:val="001A58A6"/>
    <w:rsid w:val="001A58AD"/>
    <w:rsid w:val="001A58E7"/>
    <w:rsid w:val="001A5A05"/>
    <w:rsid w:val="001A5A22"/>
    <w:rsid w:val="001A5A44"/>
    <w:rsid w:val="001A5A53"/>
    <w:rsid w:val="001A5A9F"/>
    <w:rsid w:val="001A5B4B"/>
    <w:rsid w:val="001A5B60"/>
    <w:rsid w:val="001A5BD7"/>
    <w:rsid w:val="001A5C37"/>
    <w:rsid w:val="001A5CDA"/>
    <w:rsid w:val="001A5D12"/>
    <w:rsid w:val="001A5D47"/>
    <w:rsid w:val="001A5DEB"/>
    <w:rsid w:val="001A5E9A"/>
    <w:rsid w:val="001A5EFC"/>
    <w:rsid w:val="001A6042"/>
    <w:rsid w:val="001A6093"/>
    <w:rsid w:val="001A619C"/>
    <w:rsid w:val="001A61C1"/>
    <w:rsid w:val="001A620F"/>
    <w:rsid w:val="001A6390"/>
    <w:rsid w:val="001A6507"/>
    <w:rsid w:val="001A656B"/>
    <w:rsid w:val="001A6806"/>
    <w:rsid w:val="001A6811"/>
    <w:rsid w:val="001A688D"/>
    <w:rsid w:val="001A68BA"/>
    <w:rsid w:val="001A6A16"/>
    <w:rsid w:val="001A6A17"/>
    <w:rsid w:val="001A6A26"/>
    <w:rsid w:val="001A6C13"/>
    <w:rsid w:val="001A6C74"/>
    <w:rsid w:val="001A6D45"/>
    <w:rsid w:val="001A6D71"/>
    <w:rsid w:val="001A6DE4"/>
    <w:rsid w:val="001A6DF2"/>
    <w:rsid w:val="001A6EA5"/>
    <w:rsid w:val="001A6F73"/>
    <w:rsid w:val="001A71BF"/>
    <w:rsid w:val="001A720D"/>
    <w:rsid w:val="001A72B7"/>
    <w:rsid w:val="001A72EB"/>
    <w:rsid w:val="001A7300"/>
    <w:rsid w:val="001A7303"/>
    <w:rsid w:val="001A736E"/>
    <w:rsid w:val="001A739B"/>
    <w:rsid w:val="001A7479"/>
    <w:rsid w:val="001A74CE"/>
    <w:rsid w:val="001A74D9"/>
    <w:rsid w:val="001A754E"/>
    <w:rsid w:val="001A756F"/>
    <w:rsid w:val="001A75B8"/>
    <w:rsid w:val="001A761A"/>
    <w:rsid w:val="001A7685"/>
    <w:rsid w:val="001A7767"/>
    <w:rsid w:val="001A7768"/>
    <w:rsid w:val="001A7879"/>
    <w:rsid w:val="001A79A7"/>
    <w:rsid w:val="001A79D2"/>
    <w:rsid w:val="001A79EA"/>
    <w:rsid w:val="001A7A36"/>
    <w:rsid w:val="001A7A7D"/>
    <w:rsid w:val="001A7D51"/>
    <w:rsid w:val="001A7DDA"/>
    <w:rsid w:val="001A7EC4"/>
    <w:rsid w:val="001B0125"/>
    <w:rsid w:val="001B0229"/>
    <w:rsid w:val="001B02C3"/>
    <w:rsid w:val="001B0328"/>
    <w:rsid w:val="001B034D"/>
    <w:rsid w:val="001B03DB"/>
    <w:rsid w:val="001B0618"/>
    <w:rsid w:val="001B0641"/>
    <w:rsid w:val="001B0662"/>
    <w:rsid w:val="001B06E3"/>
    <w:rsid w:val="001B072C"/>
    <w:rsid w:val="001B0857"/>
    <w:rsid w:val="001B0864"/>
    <w:rsid w:val="001B08C1"/>
    <w:rsid w:val="001B095E"/>
    <w:rsid w:val="001B09AC"/>
    <w:rsid w:val="001B0A81"/>
    <w:rsid w:val="001B0AD0"/>
    <w:rsid w:val="001B0B38"/>
    <w:rsid w:val="001B0B3B"/>
    <w:rsid w:val="001B0C0C"/>
    <w:rsid w:val="001B0C9C"/>
    <w:rsid w:val="001B0CAD"/>
    <w:rsid w:val="001B0D1C"/>
    <w:rsid w:val="001B0DB4"/>
    <w:rsid w:val="001B0DC8"/>
    <w:rsid w:val="001B0E4C"/>
    <w:rsid w:val="001B0E72"/>
    <w:rsid w:val="001B0EF3"/>
    <w:rsid w:val="001B0EF9"/>
    <w:rsid w:val="001B0FF6"/>
    <w:rsid w:val="001B101B"/>
    <w:rsid w:val="001B102B"/>
    <w:rsid w:val="001B1110"/>
    <w:rsid w:val="001B1197"/>
    <w:rsid w:val="001B122D"/>
    <w:rsid w:val="001B1275"/>
    <w:rsid w:val="001B132C"/>
    <w:rsid w:val="001B1412"/>
    <w:rsid w:val="001B148F"/>
    <w:rsid w:val="001B14B2"/>
    <w:rsid w:val="001B1595"/>
    <w:rsid w:val="001B1615"/>
    <w:rsid w:val="001B17A2"/>
    <w:rsid w:val="001B17B8"/>
    <w:rsid w:val="001B17D2"/>
    <w:rsid w:val="001B1888"/>
    <w:rsid w:val="001B1929"/>
    <w:rsid w:val="001B1959"/>
    <w:rsid w:val="001B19D2"/>
    <w:rsid w:val="001B1AF8"/>
    <w:rsid w:val="001B1B97"/>
    <w:rsid w:val="001B1CD5"/>
    <w:rsid w:val="001B1D6A"/>
    <w:rsid w:val="001B1DBC"/>
    <w:rsid w:val="001B1FD6"/>
    <w:rsid w:val="001B2033"/>
    <w:rsid w:val="001B20B1"/>
    <w:rsid w:val="001B21DE"/>
    <w:rsid w:val="001B21EB"/>
    <w:rsid w:val="001B21FD"/>
    <w:rsid w:val="001B22A7"/>
    <w:rsid w:val="001B22D2"/>
    <w:rsid w:val="001B2443"/>
    <w:rsid w:val="001B24A6"/>
    <w:rsid w:val="001B24B2"/>
    <w:rsid w:val="001B2583"/>
    <w:rsid w:val="001B25A4"/>
    <w:rsid w:val="001B262C"/>
    <w:rsid w:val="001B268E"/>
    <w:rsid w:val="001B2710"/>
    <w:rsid w:val="001B27B9"/>
    <w:rsid w:val="001B282D"/>
    <w:rsid w:val="001B285B"/>
    <w:rsid w:val="001B2888"/>
    <w:rsid w:val="001B28FC"/>
    <w:rsid w:val="001B2924"/>
    <w:rsid w:val="001B2AF2"/>
    <w:rsid w:val="001B2C08"/>
    <w:rsid w:val="001B2C37"/>
    <w:rsid w:val="001B2C54"/>
    <w:rsid w:val="001B2D91"/>
    <w:rsid w:val="001B2DAB"/>
    <w:rsid w:val="001B2DD1"/>
    <w:rsid w:val="001B2EF9"/>
    <w:rsid w:val="001B2F24"/>
    <w:rsid w:val="001B2F29"/>
    <w:rsid w:val="001B2F65"/>
    <w:rsid w:val="001B300C"/>
    <w:rsid w:val="001B30F4"/>
    <w:rsid w:val="001B313B"/>
    <w:rsid w:val="001B31A0"/>
    <w:rsid w:val="001B3302"/>
    <w:rsid w:val="001B33CB"/>
    <w:rsid w:val="001B33DD"/>
    <w:rsid w:val="001B33E8"/>
    <w:rsid w:val="001B33E9"/>
    <w:rsid w:val="001B34D0"/>
    <w:rsid w:val="001B35FA"/>
    <w:rsid w:val="001B3604"/>
    <w:rsid w:val="001B3758"/>
    <w:rsid w:val="001B37DE"/>
    <w:rsid w:val="001B38CF"/>
    <w:rsid w:val="001B38D2"/>
    <w:rsid w:val="001B38F9"/>
    <w:rsid w:val="001B3A0B"/>
    <w:rsid w:val="001B3A6D"/>
    <w:rsid w:val="001B3AA1"/>
    <w:rsid w:val="001B3B2E"/>
    <w:rsid w:val="001B3CC2"/>
    <w:rsid w:val="001B3D6D"/>
    <w:rsid w:val="001B3D8B"/>
    <w:rsid w:val="001B3DF1"/>
    <w:rsid w:val="001B3E10"/>
    <w:rsid w:val="001B3F56"/>
    <w:rsid w:val="001B402E"/>
    <w:rsid w:val="001B40AD"/>
    <w:rsid w:val="001B419B"/>
    <w:rsid w:val="001B41ED"/>
    <w:rsid w:val="001B4280"/>
    <w:rsid w:val="001B42FB"/>
    <w:rsid w:val="001B43AA"/>
    <w:rsid w:val="001B44FB"/>
    <w:rsid w:val="001B45CF"/>
    <w:rsid w:val="001B467E"/>
    <w:rsid w:val="001B46C1"/>
    <w:rsid w:val="001B4715"/>
    <w:rsid w:val="001B474A"/>
    <w:rsid w:val="001B4795"/>
    <w:rsid w:val="001B4930"/>
    <w:rsid w:val="001B49C3"/>
    <w:rsid w:val="001B49FA"/>
    <w:rsid w:val="001B4A3C"/>
    <w:rsid w:val="001B4A71"/>
    <w:rsid w:val="001B4AEB"/>
    <w:rsid w:val="001B4B0D"/>
    <w:rsid w:val="001B4B28"/>
    <w:rsid w:val="001B4B64"/>
    <w:rsid w:val="001B4B92"/>
    <w:rsid w:val="001B4BF9"/>
    <w:rsid w:val="001B4CA9"/>
    <w:rsid w:val="001B4D0C"/>
    <w:rsid w:val="001B4E23"/>
    <w:rsid w:val="001B4E8F"/>
    <w:rsid w:val="001B4E96"/>
    <w:rsid w:val="001B4EDD"/>
    <w:rsid w:val="001B50FF"/>
    <w:rsid w:val="001B5202"/>
    <w:rsid w:val="001B5224"/>
    <w:rsid w:val="001B524D"/>
    <w:rsid w:val="001B5378"/>
    <w:rsid w:val="001B5389"/>
    <w:rsid w:val="001B5395"/>
    <w:rsid w:val="001B53A0"/>
    <w:rsid w:val="001B5534"/>
    <w:rsid w:val="001B565C"/>
    <w:rsid w:val="001B569C"/>
    <w:rsid w:val="001B56EE"/>
    <w:rsid w:val="001B5812"/>
    <w:rsid w:val="001B5814"/>
    <w:rsid w:val="001B58C5"/>
    <w:rsid w:val="001B58FE"/>
    <w:rsid w:val="001B59A7"/>
    <w:rsid w:val="001B5A12"/>
    <w:rsid w:val="001B5A16"/>
    <w:rsid w:val="001B5A7A"/>
    <w:rsid w:val="001B5AB6"/>
    <w:rsid w:val="001B5B0C"/>
    <w:rsid w:val="001B5B29"/>
    <w:rsid w:val="001B5B2D"/>
    <w:rsid w:val="001B5B42"/>
    <w:rsid w:val="001B5BF8"/>
    <w:rsid w:val="001B5C78"/>
    <w:rsid w:val="001B5CB0"/>
    <w:rsid w:val="001B5CC2"/>
    <w:rsid w:val="001B5CF5"/>
    <w:rsid w:val="001B5D6B"/>
    <w:rsid w:val="001B5E13"/>
    <w:rsid w:val="001B5E29"/>
    <w:rsid w:val="001B5E5E"/>
    <w:rsid w:val="001B5FAE"/>
    <w:rsid w:val="001B625F"/>
    <w:rsid w:val="001B6382"/>
    <w:rsid w:val="001B6389"/>
    <w:rsid w:val="001B63AC"/>
    <w:rsid w:val="001B64A5"/>
    <w:rsid w:val="001B64C7"/>
    <w:rsid w:val="001B64D0"/>
    <w:rsid w:val="001B6516"/>
    <w:rsid w:val="001B653F"/>
    <w:rsid w:val="001B65A2"/>
    <w:rsid w:val="001B65F8"/>
    <w:rsid w:val="001B670D"/>
    <w:rsid w:val="001B674D"/>
    <w:rsid w:val="001B67C9"/>
    <w:rsid w:val="001B681B"/>
    <w:rsid w:val="001B68C2"/>
    <w:rsid w:val="001B68DC"/>
    <w:rsid w:val="001B6933"/>
    <w:rsid w:val="001B6C05"/>
    <w:rsid w:val="001B6C10"/>
    <w:rsid w:val="001B6E50"/>
    <w:rsid w:val="001B6FD5"/>
    <w:rsid w:val="001B6FFE"/>
    <w:rsid w:val="001B7115"/>
    <w:rsid w:val="001B71AD"/>
    <w:rsid w:val="001B71B7"/>
    <w:rsid w:val="001B7201"/>
    <w:rsid w:val="001B7217"/>
    <w:rsid w:val="001B729A"/>
    <w:rsid w:val="001B72A1"/>
    <w:rsid w:val="001B7305"/>
    <w:rsid w:val="001B73FB"/>
    <w:rsid w:val="001B7413"/>
    <w:rsid w:val="001B7491"/>
    <w:rsid w:val="001B75E7"/>
    <w:rsid w:val="001B7615"/>
    <w:rsid w:val="001B762C"/>
    <w:rsid w:val="001B76CF"/>
    <w:rsid w:val="001B76D8"/>
    <w:rsid w:val="001B7783"/>
    <w:rsid w:val="001B780E"/>
    <w:rsid w:val="001B790B"/>
    <w:rsid w:val="001B790D"/>
    <w:rsid w:val="001B7914"/>
    <w:rsid w:val="001B7972"/>
    <w:rsid w:val="001B79CB"/>
    <w:rsid w:val="001B7A52"/>
    <w:rsid w:val="001B7B64"/>
    <w:rsid w:val="001B7D22"/>
    <w:rsid w:val="001B7D53"/>
    <w:rsid w:val="001B7D61"/>
    <w:rsid w:val="001B7D76"/>
    <w:rsid w:val="001B7E7F"/>
    <w:rsid w:val="001B7EF8"/>
    <w:rsid w:val="001B7F70"/>
    <w:rsid w:val="001B7FC2"/>
    <w:rsid w:val="001C000D"/>
    <w:rsid w:val="001C0048"/>
    <w:rsid w:val="001C00BB"/>
    <w:rsid w:val="001C0116"/>
    <w:rsid w:val="001C0145"/>
    <w:rsid w:val="001C0153"/>
    <w:rsid w:val="001C01A9"/>
    <w:rsid w:val="001C021E"/>
    <w:rsid w:val="001C0304"/>
    <w:rsid w:val="001C040B"/>
    <w:rsid w:val="001C046A"/>
    <w:rsid w:val="001C0479"/>
    <w:rsid w:val="001C04B8"/>
    <w:rsid w:val="001C04FC"/>
    <w:rsid w:val="001C061E"/>
    <w:rsid w:val="001C06C7"/>
    <w:rsid w:val="001C0756"/>
    <w:rsid w:val="001C0788"/>
    <w:rsid w:val="001C0859"/>
    <w:rsid w:val="001C0904"/>
    <w:rsid w:val="001C095F"/>
    <w:rsid w:val="001C09F9"/>
    <w:rsid w:val="001C0AF5"/>
    <w:rsid w:val="001C0B1C"/>
    <w:rsid w:val="001C0B9E"/>
    <w:rsid w:val="001C0C4F"/>
    <w:rsid w:val="001C0C8A"/>
    <w:rsid w:val="001C0DF0"/>
    <w:rsid w:val="001C0DF3"/>
    <w:rsid w:val="001C0E02"/>
    <w:rsid w:val="001C1092"/>
    <w:rsid w:val="001C10EF"/>
    <w:rsid w:val="001C13E8"/>
    <w:rsid w:val="001C1585"/>
    <w:rsid w:val="001C15E3"/>
    <w:rsid w:val="001C15F5"/>
    <w:rsid w:val="001C1606"/>
    <w:rsid w:val="001C1622"/>
    <w:rsid w:val="001C16B4"/>
    <w:rsid w:val="001C1758"/>
    <w:rsid w:val="001C1768"/>
    <w:rsid w:val="001C1783"/>
    <w:rsid w:val="001C180B"/>
    <w:rsid w:val="001C1895"/>
    <w:rsid w:val="001C18DC"/>
    <w:rsid w:val="001C1B37"/>
    <w:rsid w:val="001C1BA5"/>
    <w:rsid w:val="001C1CB1"/>
    <w:rsid w:val="001C1D78"/>
    <w:rsid w:val="001C1D8F"/>
    <w:rsid w:val="001C1D94"/>
    <w:rsid w:val="001C1DAC"/>
    <w:rsid w:val="001C1DC3"/>
    <w:rsid w:val="001C1E2F"/>
    <w:rsid w:val="001C20DD"/>
    <w:rsid w:val="001C216F"/>
    <w:rsid w:val="001C2273"/>
    <w:rsid w:val="001C23C8"/>
    <w:rsid w:val="001C2419"/>
    <w:rsid w:val="001C2442"/>
    <w:rsid w:val="001C2454"/>
    <w:rsid w:val="001C274A"/>
    <w:rsid w:val="001C2807"/>
    <w:rsid w:val="001C280A"/>
    <w:rsid w:val="001C283B"/>
    <w:rsid w:val="001C2853"/>
    <w:rsid w:val="001C28D5"/>
    <w:rsid w:val="001C2965"/>
    <w:rsid w:val="001C2A72"/>
    <w:rsid w:val="001C2B4D"/>
    <w:rsid w:val="001C2BD1"/>
    <w:rsid w:val="001C2E33"/>
    <w:rsid w:val="001C2EAF"/>
    <w:rsid w:val="001C2EFC"/>
    <w:rsid w:val="001C3034"/>
    <w:rsid w:val="001C30A2"/>
    <w:rsid w:val="001C3115"/>
    <w:rsid w:val="001C311C"/>
    <w:rsid w:val="001C320D"/>
    <w:rsid w:val="001C32D5"/>
    <w:rsid w:val="001C33BF"/>
    <w:rsid w:val="001C34AA"/>
    <w:rsid w:val="001C3517"/>
    <w:rsid w:val="001C3679"/>
    <w:rsid w:val="001C3694"/>
    <w:rsid w:val="001C36A7"/>
    <w:rsid w:val="001C3743"/>
    <w:rsid w:val="001C3784"/>
    <w:rsid w:val="001C37CA"/>
    <w:rsid w:val="001C37EA"/>
    <w:rsid w:val="001C380C"/>
    <w:rsid w:val="001C385D"/>
    <w:rsid w:val="001C38CD"/>
    <w:rsid w:val="001C39D4"/>
    <w:rsid w:val="001C39FD"/>
    <w:rsid w:val="001C3AB4"/>
    <w:rsid w:val="001C3B2D"/>
    <w:rsid w:val="001C3BE9"/>
    <w:rsid w:val="001C3C06"/>
    <w:rsid w:val="001C3C10"/>
    <w:rsid w:val="001C3C2B"/>
    <w:rsid w:val="001C3C7A"/>
    <w:rsid w:val="001C3D3F"/>
    <w:rsid w:val="001C3D57"/>
    <w:rsid w:val="001C3D8E"/>
    <w:rsid w:val="001C3E66"/>
    <w:rsid w:val="001C3EC5"/>
    <w:rsid w:val="001C3FB3"/>
    <w:rsid w:val="001C3FBE"/>
    <w:rsid w:val="001C3FEF"/>
    <w:rsid w:val="001C4010"/>
    <w:rsid w:val="001C4173"/>
    <w:rsid w:val="001C4238"/>
    <w:rsid w:val="001C4461"/>
    <w:rsid w:val="001C4504"/>
    <w:rsid w:val="001C45A5"/>
    <w:rsid w:val="001C46B6"/>
    <w:rsid w:val="001C47DF"/>
    <w:rsid w:val="001C47FC"/>
    <w:rsid w:val="001C4844"/>
    <w:rsid w:val="001C4920"/>
    <w:rsid w:val="001C4995"/>
    <w:rsid w:val="001C49CB"/>
    <w:rsid w:val="001C49FA"/>
    <w:rsid w:val="001C4A02"/>
    <w:rsid w:val="001C4A84"/>
    <w:rsid w:val="001C4AA0"/>
    <w:rsid w:val="001C4BD5"/>
    <w:rsid w:val="001C4CC3"/>
    <w:rsid w:val="001C4D16"/>
    <w:rsid w:val="001C4D4F"/>
    <w:rsid w:val="001C4E1C"/>
    <w:rsid w:val="001C4EA8"/>
    <w:rsid w:val="001C4EB5"/>
    <w:rsid w:val="001C4F33"/>
    <w:rsid w:val="001C4F55"/>
    <w:rsid w:val="001C4FAA"/>
    <w:rsid w:val="001C4FBF"/>
    <w:rsid w:val="001C4FCE"/>
    <w:rsid w:val="001C4FDA"/>
    <w:rsid w:val="001C5001"/>
    <w:rsid w:val="001C504C"/>
    <w:rsid w:val="001C515F"/>
    <w:rsid w:val="001C51CF"/>
    <w:rsid w:val="001C5380"/>
    <w:rsid w:val="001C53C3"/>
    <w:rsid w:val="001C5479"/>
    <w:rsid w:val="001C54B3"/>
    <w:rsid w:val="001C5541"/>
    <w:rsid w:val="001C563B"/>
    <w:rsid w:val="001C5677"/>
    <w:rsid w:val="001C5780"/>
    <w:rsid w:val="001C588D"/>
    <w:rsid w:val="001C58A1"/>
    <w:rsid w:val="001C58F5"/>
    <w:rsid w:val="001C5929"/>
    <w:rsid w:val="001C5959"/>
    <w:rsid w:val="001C5AB0"/>
    <w:rsid w:val="001C5B91"/>
    <w:rsid w:val="001C5BB3"/>
    <w:rsid w:val="001C5C19"/>
    <w:rsid w:val="001C5C70"/>
    <w:rsid w:val="001C5C90"/>
    <w:rsid w:val="001C5CAE"/>
    <w:rsid w:val="001C5CCA"/>
    <w:rsid w:val="001C5CDB"/>
    <w:rsid w:val="001C5D0A"/>
    <w:rsid w:val="001C5D36"/>
    <w:rsid w:val="001C5EC3"/>
    <w:rsid w:val="001C5ED0"/>
    <w:rsid w:val="001C5FC0"/>
    <w:rsid w:val="001C5FDB"/>
    <w:rsid w:val="001C5FDC"/>
    <w:rsid w:val="001C6018"/>
    <w:rsid w:val="001C60CC"/>
    <w:rsid w:val="001C613C"/>
    <w:rsid w:val="001C6168"/>
    <w:rsid w:val="001C618F"/>
    <w:rsid w:val="001C62BB"/>
    <w:rsid w:val="001C63A1"/>
    <w:rsid w:val="001C6463"/>
    <w:rsid w:val="001C655D"/>
    <w:rsid w:val="001C6595"/>
    <w:rsid w:val="001C65AF"/>
    <w:rsid w:val="001C6610"/>
    <w:rsid w:val="001C66AF"/>
    <w:rsid w:val="001C673E"/>
    <w:rsid w:val="001C67AE"/>
    <w:rsid w:val="001C686D"/>
    <w:rsid w:val="001C6AD9"/>
    <w:rsid w:val="001C6B78"/>
    <w:rsid w:val="001C6BEF"/>
    <w:rsid w:val="001C6C5C"/>
    <w:rsid w:val="001C6CAA"/>
    <w:rsid w:val="001C6CE8"/>
    <w:rsid w:val="001C6CFF"/>
    <w:rsid w:val="001C6D0D"/>
    <w:rsid w:val="001C6D31"/>
    <w:rsid w:val="001C6D3F"/>
    <w:rsid w:val="001C6DD8"/>
    <w:rsid w:val="001C6E2F"/>
    <w:rsid w:val="001C6E90"/>
    <w:rsid w:val="001C6E9D"/>
    <w:rsid w:val="001C6EEF"/>
    <w:rsid w:val="001C6F0D"/>
    <w:rsid w:val="001C6FFC"/>
    <w:rsid w:val="001C7048"/>
    <w:rsid w:val="001C707A"/>
    <w:rsid w:val="001C70E4"/>
    <w:rsid w:val="001C7129"/>
    <w:rsid w:val="001C73F4"/>
    <w:rsid w:val="001C7487"/>
    <w:rsid w:val="001C74A3"/>
    <w:rsid w:val="001C7828"/>
    <w:rsid w:val="001C7852"/>
    <w:rsid w:val="001C7868"/>
    <w:rsid w:val="001C7901"/>
    <w:rsid w:val="001C79CB"/>
    <w:rsid w:val="001C7C2B"/>
    <w:rsid w:val="001C7C78"/>
    <w:rsid w:val="001C7D70"/>
    <w:rsid w:val="001C7EC6"/>
    <w:rsid w:val="001D0084"/>
    <w:rsid w:val="001D00BD"/>
    <w:rsid w:val="001D0144"/>
    <w:rsid w:val="001D014C"/>
    <w:rsid w:val="001D0234"/>
    <w:rsid w:val="001D02A5"/>
    <w:rsid w:val="001D02B2"/>
    <w:rsid w:val="001D04D1"/>
    <w:rsid w:val="001D057B"/>
    <w:rsid w:val="001D0616"/>
    <w:rsid w:val="001D0733"/>
    <w:rsid w:val="001D083C"/>
    <w:rsid w:val="001D0855"/>
    <w:rsid w:val="001D0999"/>
    <w:rsid w:val="001D09B8"/>
    <w:rsid w:val="001D0A4B"/>
    <w:rsid w:val="001D0AAA"/>
    <w:rsid w:val="001D0AF2"/>
    <w:rsid w:val="001D0B1F"/>
    <w:rsid w:val="001D0CEA"/>
    <w:rsid w:val="001D0D10"/>
    <w:rsid w:val="001D0D98"/>
    <w:rsid w:val="001D0DBE"/>
    <w:rsid w:val="001D0DC7"/>
    <w:rsid w:val="001D0F2F"/>
    <w:rsid w:val="001D0F57"/>
    <w:rsid w:val="001D0F9B"/>
    <w:rsid w:val="001D10F7"/>
    <w:rsid w:val="001D114C"/>
    <w:rsid w:val="001D1244"/>
    <w:rsid w:val="001D12A2"/>
    <w:rsid w:val="001D12FB"/>
    <w:rsid w:val="001D133B"/>
    <w:rsid w:val="001D1504"/>
    <w:rsid w:val="001D1510"/>
    <w:rsid w:val="001D151F"/>
    <w:rsid w:val="001D17D8"/>
    <w:rsid w:val="001D17F8"/>
    <w:rsid w:val="001D1894"/>
    <w:rsid w:val="001D18F5"/>
    <w:rsid w:val="001D19FF"/>
    <w:rsid w:val="001D1A0F"/>
    <w:rsid w:val="001D1A3B"/>
    <w:rsid w:val="001D1B07"/>
    <w:rsid w:val="001D1B51"/>
    <w:rsid w:val="001D1D3E"/>
    <w:rsid w:val="001D1DB0"/>
    <w:rsid w:val="001D1EB9"/>
    <w:rsid w:val="001D202B"/>
    <w:rsid w:val="001D206F"/>
    <w:rsid w:val="001D213A"/>
    <w:rsid w:val="001D21BE"/>
    <w:rsid w:val="001D22C8"/>
    <w:rsid w:val="001D22D4"/>
    <w:rsid w:val="001D2371"/>
    <w:rsid w:val="001D23D9"/>
    <w:rsid w:val="001D2422"/>
    <w:rsid w:val="001D2429"/>
    <w:rsid w:val="001D2483"/>
    <w:rsid w:val="001D251B"/>
    <w:rsid w:val="001D2571"/>
    <w:rsid w:val="001D2594"/>
    <w:rsid w:val="001D25EE"/>
    <w:rsid w:val="001D270E"/>
    <w:rsid w:val="001D2773"/>
    <w:rsid w:val="001D27B5"/>
    <w:rsid w:val="001D281C"/>
    <w:rsid w:val="001D2872"/>
    <w:rsid w:val="001D2B7B"/>
    <w:rsid w:val="001D2C2F"/>
    <w:rsid w:val="001D2CA3"/>
    <w:rsid w:val="001D2D7C"/>
    <w:rsid w:val="001D2D92"/>
    <w:rsid w:val="001D2DF7"/>
    <w:rsid w:val="001D2F05"/>
    <w:rsid w:val="001D2FAE"/>
    <w:rsid w:val="001D3063"/>
    <w:rsid w:val="001D3147"/>
    <w:rsid w:val="001D32C0"/>
    <w:rsid w:val="001D3312"/>
    <w:rsid w:val="001D33AD"/>
    <w:rsid w:val="001D33C6"/>
    <w:rsid w:val="001D34FB"/>
    <w:rsid w:val="001D3543"/>
    <w:rsid w:val="001D3599"/>
    <w:rsid w:val="001D37C0"/>
    <w:rsid w:val="001D389E"/>
    <w:rsid w:val="001D38C0"/>
    <w:rsid w:val="001D3944"/>
    <w:rsid w:val="001D3991"/>
    <w:rsid w:val="001D3B31"/>
    <w:rsid w:val="001D3BAA"/>
    <w:rsid w:val="001D3BCE"/>
    <w:rsid w:val="001D3C03"/>
    <w:rsid w:val="001D3C1B"/>
    <w:rsid w:val="001D3C6E"/>
    <w:rsid w:val="001D3C80"/>
    <w:rsid w:val="001D3C93"/>
    <w:rsid w:val="001D3D1E"/>
    <w:rsid w:val="001D3D92"/>
    <w:rsid w:val="001D3DBE"/>
    <w:rsid w:val="001D3E22"/>
    <w:rsid w:val="001D3ED2"/>
    <w:rsid w:val="001D3FA2"/>
    <w:rsid w:val="001D3FF9"/>
    <w:rsid w:val="001D4141"/>
    <w:rsid w:val="001D4239"/>
    <w:rsid w:val="001D4257"/>
    <w:rsid w:val="001D42AE"/>
    <w:rsid w:val="001D42D8"/>
    <w:rsid w:val="001D4304"/>
    <w:rsid w:val="001D4311"/>
    <w:rsid w:val="001D4403"/>
    <w:rsid w:val="001D44A4"/>
    <w:rsid w:val="001D44BF"/>
    <w:rsid w:val="001D453E"/>
    <w:rsid w:val="001D454F"/>
    <w:rsid w:val="001D45CF"/>
    <w:rsid w:val="001D45F4"/>
    <w:rsid w:val="001D4861"/>
    <w:rsid w:val="001D48A2"/>
    <w:rsid w:val="001D4964"/>
    <w:rsid w:val="001D49DA"/>
    <w:rsid w:val="001D4BA0"/>
    <w:rsid w:val="001D4C17"/>
    <w:rsid w:val="001D4C84"/>
    <w:rsid w:val="001D4CAE"/>
    <w:rsid w:val="001D4E2B"/>
    <w:rsid w:val="001D4EB8"/>
    <w:rsid w:val="001D4F62"/>
    <w:rsid w:val="001D5011"/>
    <w:rsid w:val="001D515C"/>
    <w:rsid w:val="001D52E1"/>
    <w:rsid w:val="001D531A"/>
    <w:rsid w:val="001D53A9"/>
    <w:rsid w:val="001D56BE"/>
    <w:rsid w:val="001D57C1"/>
    <w:rsid w:val="001D57CB"/>
    <w:rsid w:val="001D57D3"/>
    <w:rsid w:val="001D584D"/>
    <w:rsid w:val="001D58A7"/>
    <w:rsid w:val="001D58FB"/>
    <w:rsid w:val="001D59A6"/>
    <w:rsid w:val="001D5A12"/>
    <w:rsid w:val="001D5B6B"/>
    <w:rsid w:val="001D5B85"/>
    <w:rsid w:val="001D5B9F"/>
    <w:rsid w:val="001D5BBA"/>
    <w:rsid w:val="001D5C5E"/>
    <w:rsid w:val="001D5CF7"/>
    <w:rsid w:val="001D5D0D"/>
    <w:rsid w:val="001D5DA0"/>
    <w:rsid w:val="001D5DE6"/>
    <w:rsid w:val="001D5E5A"/>
    <w:rsid w:val="001D5E90"/>
    <w:rsid w:val="001D5ED5"/>
    <w:rsid w:val="001D5F3F"/>
    <w:rsid w:val="001D5F4D"/>
    <w:rsid w:val="001D6097"/>
    <w:rsid w:val="001D6106"/>
    <w:rsid w:val="001D61DC"/>
    <w:rsid w:val="001D624C"/>
    <w:rsid w:val="001D62B6"/>
    <w:rsid w:val="001D62D3"/>
    <w:rsid w:val="001D6395"/>
    <w:rsid w:val="001D642C"/>
    <w:rsid w:val="001D645E"/>
    <w:rsid w:val="001D648E"/>
    <w:rsid w:val="001D6592"/>
    <w:rsid w:val="001D65BA"/>
    <w:rsid w:val="001D660B"/>
    <w:rsid w:val="001D6663"/>
    <w:rsid w:val="001D66F9"/>
    <w:rsid w:val="001D6807"/>
    <w:rsid w:val="001D6883"/>
    <w:rsid w:val="001D68E5"/>
    <w:rsid w:val="001D6958"/>
    <w:rsid w:val="001D6971"/>
    <w:rsid w:val="001D69CA"/>
    <w:rsid w:val="001D6A62"/>
    <w:rsid w:val="001D6AC7"/>
    <w:rsid w:val="001D6AD9"/>
    <w:rsid w:val="001D6D0C"/>
    <w:rsid w:val="001D6D7F"/>
    <w:rsid w:val="001D6E33"/>
    <w:rsid w:val="001D6EA4"/>
    <w:rsid w:val="001D6F25"/>
    <w:rsid w:val="001D6FA5"/>
    <w:rsid w:val="001D7016"/>
    <w:rsid w:val="001D7177"/>
    <w:rsid w:val="001D7192"/>
    <w:rsid w:val="001D71F5"/>
    <w:rsid w:val="001D71F7"/>
    <w:rsid w:val="001D7352"/>
    <w:rsid w:val="001D7524"/>
    <w:rsid w:val="001D7563"/>
    <w:rsid w:val="001D75F1"/>
    <w:rsid w:val="001D761F"/>
    <w:rsid w:val="001D7734"/>
    <w:rsid w:val="001D773A"/>
    <w:rsid w:val="001D7A00"/>
    <w:rsid w:val="001D7A12"/>
    <w:rsid w:val="001D7B00"/>
    <w:rsid w:val="001D7BEA"/>
    <w:rsid w:val="001D7BF6"/>
    <w:rsid w:val="001D7CD7"/>
    <w:rsid w:val="001D7D13"/>
    <w:rsid w:val="001D7D54"/>
    <w:rsid w:val="001D7D6F"/>
    <w:rsid w:val="001D7D70"/>
    <w:rsid w:val="001D7F0B"/>
    <w:rsid w:val="001D7F15"/>
    <w:rsid w:val="001D7F60"/>
    <w:rsid w:val="001D7FB9"/>
    <w:rsid w:val="001D7FF4"/>
    <w:rsid w:val="001E0042"/>
    <w:rsid w:val="001E0083"/>
    <w:rsid w:val="001E010E"/>
    <w:rsid w:val="001E01DD"/>
    <w:rsid w:val="001E0253"/>
    <w:rsid w:val="001E02FA"/>
    <w:rsid w:val="001E049D"/>
    <w:rsid w:val="001E04CB"/>
    <w:rsid w:val="001E0668"/>
    <w:rsid w:val="001E0681"/>
    <w:rsid w:val="001E0689"/>
    <w:rsid w:val="001E06DA"/>
    <w:rsid w:val="001E07E5"/>
    <w:rsid w:val="001E0896"/>
    <w:rsid w:val="001E0AB7"/>
    <w:rsid w:val="001E0AD3"/>
    <w:rsid w:val="001E0AD9"/>
    <w:rsid w:val="001E0C69"/>
    <w:rsid w:val="001E0C73"/>
    <w:rsid w:val="001E0D6B"/>
    <w:rsid w:val="001E0D95"/>
    <w:rsid w:val="001E0DD4"/>
    <w:rsid w:val="001E0E29"/>
    <w:rsid w:val="001E0E49"/>
    <w:rsid w:val="001E101B"/>
    <w:rsid w:val="001E1061"/>
    <w:rsid w:val="001E1100"/>
    <w:rsid w:val="001E1193"/>
    <w:rsid w:val="001E12B6"/>
    <w:rsid w:val="001E13B3"/>
    <w:rsid w:val="001E156B"/>
    <w:rsid w:val="001E15C0"/>
    <w:rsid w:val="001E162B"/>
    <w:rsid w:val="001E1630"/>
    <w:rsid w:val="001E1726"/>
    <w:rsid w:val="001E1744"/>
    <w:rsid w:val="001E181F"/>
    <w:rsid w:val="001E1852"/>
    <w:rsid w:val="001E1908"/>
    <w:rsid w:val="001E1A1F"/>
    <w:rsid w:val="001E1A6F"/>
    <w:rsid w:val="001E1B86"/>
    <w:rsid w:val="001E1BB5"/>
    <w:rsid w:val="001E1C1F"/>
    <w:rsid w:val="001E1C7B"/>
    <w:rsid w:val="001E1D0D"/>
    <w:rsid w:val="001E1D5F"/>
    <w:rsid w:val="001E1DC3"/>
    <w:rsid w:val="001E1E0C"/>
    <w:rsid w:val="001E1E82"/>
    <w:rsid w:val="001E1EBA"/>
    <w:rsid w:val="001E1FD9"/>
    <w:rsid w:val="001E1FDC"/>
    <w:rsid w:val="001E216D"/>
    <w:rsid w:val="001E21A1"/>
    <w:rsid w:val="001E22E7"/>
    <w:rsid w:val="001E233F"/>
    <w:rsid w:val="001E2344"/>
    <w:rsid w:val="001E23C4"/>
    <w:rsid w:val="001E241C"/>
    <w:rsid w:val="001E2441"/>
    <w:rsid w:val="001E24A7"/>
    <w:rsid w:val="001E2543"/>
    <w:rsid w:val="001E2677"/>
    <w:rsid w:val="001E26F2"/>
    <w:rsid w:val="001E26FD"/>
    <w:rsid w:val="001E2860"/>
    <w:rsid w:val="001E2957"/>
    <w:rsid w:val="001E29C7"/>
    <w:rsid w:val="001E2A02"/>
    <w:rsid w:val="001E2A65"/>
    <w:rsid w:val="001E2AB3"/>
    <w:rsid w:val="001E2ACB"/>
    <w:rsid w:val="001E2B38"/>
    <w:rsid w:val="001E2B42"/>
    <w:rsid w:val="001E2C2D"/>
    <w:rsid w:val="001E2C5C"/>
    <w:rsid w:val="001E2CBD"/>
    <w:rsid w:val="001E2E03"/>
    <w:rsid w:val="001E2E08"/>
    <w:rsid w:val="001E2E17"/>
    <w:rsid w:val="001E2F4B"/>
    <w:rsid w:val="001E306D"/>
    <w:rsid w:val="001E30B8"/>
    <w:rsid w:val="001E30E8"/>
    <w:rsid w:val="001E3122"/>
    <w:rsid w:val="001E3244"/>
    <w:rsid w:val="001E33A5"/>
    <w:rsid w:val="001E33B1"/>
    <w:rsid w:val="001E33CF"/>
    <w:rsid w:val="001E33FE"/>
    <w:rsid w:val="001E3498"/>
    <w:rsid w:val="001E3560"/>
    <w:rsid w:val="001E36AF"/>
    <w:rsid w:val="001E36E2"/>
    <w:rsid w:val="001E375E"/>
    <w:rsid w:val="001E380E"/>
    <w:rsid w:val="001E39CD"/>
    <w:rsid w:val="001E3A6A"/>
    <w:rsid w:val="001E3A88"/>
    <w:rsid w:val="001E3B0D"/>
    <w:rsid w:val="001E3B43"/>
    <w:rsid w:val="001E3C23"/>
    <w:rsid w:val="001E3CFC"/>
    <w:rsid w:val="001E3E40"/>
    <w:rsid w:val="001E3E74"/>
    <w:rsid w:val="001E3EDF"/>
    <w:rsid w:val="001E3FA7"/>
    <w:rsid w:val="001E3FC8"/>
    <w:rsid w:val="001E4057"/>
    <w:rsid w:val="001E4119"/>
    <w:rsid w:val="001E41DC"/>
    <w:rsid w:val="001E4214"/>
    <w:rsid w:val="001E42ED"/>
    <w:rsid w:val="001E439B"/>
    <w:rsid w:val="001E4505"/>
    <w:rsid w:val="001E45A0"/>
    <w:rsid w:val="001E45EA"/>
    <w:rsid w:val="001E4624"/>
    <w:rsid w:val="001E4640"/>
    <w:rsid w:val="001E46EA"/>
    <w:rsid w:val="001E470F"/>
    <w:rsid w:val="001E4796"/>
    <w:rsid w:val="001E492D"/>
    <w:rsid w:val="001E4943"/>
    <w:rsid w:val="001E49AB"/>
    <w:rsid w:val="001E4A3F"/>
    <w:rsid w:val="001E4A83"/>
    <w:rsid w:val="001E4AA4"/>
    <w:rsid w:val="001E4BD6"/>
    <w:rsid w:val="001E4C14"/>
    <w:rsid w:val="001E4C7F"/>
    <w:rsid w:val="001E4CFC"/>
    <w:rsid w:val="001E4D84"/>
    <w:rsid w:val="001E4D95"/>
    <w:rsid w:val="001E4F12"/>
    <w:rsid w:val="001E507E"/>
    <w:rsid w:val="001E509C"/>
    <w:rsid w:val="001E5189"/>
    <w:rsid w:val="001E52D8"/>
    <w:rsid w:val="001E5397"/>
    <w:rsid w:val="001E5417"/>
    <w:rsid w:val="001E544B"/>
    <w:rsid w:val="001E558F"/>
    <w:rsid w:val="001E55BD"/>
    <w:rsid w:val="001E574B"/>
    <w:rsid w:val="001E5769"/>
    <w:rsid w:val="001E5794"/>
    <w:rsid w:val="001E586D"/>
    <w:rsid w:val="001E58FD"/>
    <w:rsid w:val="001E5A63"/>
    <w:rsid w:val="001E5A64"/>
    <w:rsid w:val="001E5AB4"/>
    <w:rsid w:val="001E5AED"/>
    <w:rsid w:val="001E5BBC"/>
    <w:rsid w:val="001E5BF3"/>
    <w:rsid w:val="001E5BFF"/>
    <w:rsid w:val="001E5DD3"/>
    <w:rsid w:val="001E5E67"/>
    <w:rsid w:val="001E5EF9"/>
    <w:rsid w:val="001E5F00"/>
    <w:rsid w:val="001E5F17"/>
    <w:rsid w:val="001E5F3F"/>
    <w:rsid w:val="001E5F74"/>
    <w:rsid w:val="001E5FDE"/>
    <w:rsid w:val="001E6126"/>
    <w:rsid w:val="001E612E"/>
    <w:rsid w:val="001E6130"/>
    <w:rsid w:val="001E613D"/>
    <w:rsid w:val="001E62A6"/>
    <w:rsid w:val="001E62B4"/>
    <w:rsid w:val="001E6301"/>
    <w:rsid w:val="001E637F"/>
    <w:rsid w:val="001E63CA"/>
    <w:rsid w:val="001E6466"/>
    <w:rsid w:val="001E6484"/>
    <w:rsid w:val="001E64B2"/>
    <w:rsid w:val="001E6547"/>
    <w:rsid w:val="001E65EF"/>
    <w:rsid w:val="001E672E"/>
    <w:rsid w:val="001E67B3"/>
    <w:rsid w:val="001E6885"/>
    <w:rsid w:val="001E688F"/>
    <w:rsid w:val="001E68C0"/>
    <w:rsid w:val="001E6942"/>
    <w:rsid w:val="001E6998"/>
    <w:rsid w:val="001E69CA"/>
    <w:rsid w:val="001E6A00"/>
    <w:rsid w:val="001E6ACF"/>
    <w:rsid w:val="001E6B0A"/>
    <w:rsid w:val="001E6B88"/>
    <w:rsid w:val="001E6BEC"/>
    <w:rsid w:val="001E6BF1"/>
    <w:rsid w:val="001E6BFC"/>
    <w:rsid w:val="001E6C74"/>
    <w:rsid w:val="001E6C9B"/>
    <w:rsid w:val="001E6CB1"/>
    <w:rsid w:val="001E6CF1"/>
    <w:rsid w:val="001E6D67"/>
    <w:rsid w:val="001E6D6D"/>
    <w:rsid w:val="001E6DC3"/>
    <w:rsid w:val="001E6E27"/>
    <w:rsid w:val="001E6E65"/>
    <w:rsid w:val="001E6E6D"/>
    <w:rsid w:val="001E6E72"/>
    <w:rsid w:val="001E6EB4"/>
    <w:rsid w:val="001E6F0D"/>
    <w:rsid w:val="001E6F39"/>
    <w:rsid w:val="001E703E"/>
    <w:rsid w:val="001E705D"/>
    <w:rsid w:val="001E7093"/>
    <w:rsid w:val="001E716B"/>
    <w:rsid w:val="001E7310"/>
    <w:rsid w:val="001E73CF"/>
    <w:rsid w:val="001E741F"/>
    <w:rsid w:val="001E7439"/>
    <w:rsid w:val="001E74D5"/>
    <w:rsid w:val="001E7518"/>
    <w:rsid w:val="001E754A"/>
    <w:rsid w:val="001E75B4"/>
    <w:rsid w:val="001E7626"/>
    <w:rsid w:val="001E76E5"/>
    <w:rsid w:val="001E772E"/>
    <w:rsid w:val="001E773D"/>
    <w:rsid w:val="001E780E"/>
    <w:rsid w:val="001E7816"/>
    <w:rsid w:val="001E78A6"/>
    <w:rsid w:val="001E78F2"/>
    <w:rsid w:val="001E795A"/>
    <w:rsid w:val="001E79A7"/>
    <w:rsid w:val="001E7A48"/>
    <w:rsid w:val="001E7B0A"/>
    <w:rsid w:val="001E7B0D"/>
    <w:rsid w:val="001E7B32"/>
    <w:rsid w:val="001E7C11"/>
    <w:rsid w:val="001E7C3B"/>
    <w:rsid w:val="001E7CAB"/>
    <w:rsid w:val="001E7CAD"/>
    <w:rsid w:val="001E7CDD"/>
    <w:rsid w:val="001E7D1E"/>
    <w:rsid w:val="001E7D48"/>
    <w:rsid w:val="001E7D7F"/>
    <w:rsid w:val="001E7DE2"/>
    <w:rsid w:val="001E7E1E"/>
    <w:rsid w:val="001F011C"/>
    <w:rsid w:val="001F0156"/>
    <w:rsid w:val="001F01BA"/>
    <w:rsid w:val="001F0240"/>
    <w:rsid w:val="001F02A1"/>
    <w:rsid w:val="001F0378"/>
    <w:rsid w:val="001F04A1"/>
    <w:rsid w:val="001F0515"/>
    <w:rsid w:val="001F0663"/>
    <w:rsid w:val="001F06A1"/>
    <w:rsid w:val="001F06E5"/>
    <w:rsid w:val="001F073D"/>
    <w:rsid w:val="001F07E0"/>
    <w:rsid w:val="001F0810"/>
    <w:rsid w:val="001F0971"/>
    <w:rsid w:val="001F0A0D"/>
    <w:rsid w:val="001F0AB3"/>
    <w:rsid w:val="001F0AEB"/>
    <w:rsid w:val="001F0B0E"/>
    <w:rsid w:val="001F0B6D"/>
    <w:rsid w:val="001F0DDF"/>
    <w:rsid w:val="001F0E73"/>
    <w:rsid w:val="001F0F40"/>
    <w:rsid w:val="001F0F41"/>
    <w:rsid w:val="001F1084"/>
    <w:rsid w:val="001F10B7"/>
    <w:rsid w:val="001F1230"/>
    <w:rsid w:val="001F1292"/>
    <w:rsid w:val="001F13CC"/>
    <w:rsid w:val="001F13E4"/>
    <w:rsid w:val="001F1494"/>
    <w:rsid w:val="001F14A3"/>
    <w:rsid w:val="001F14FD"/>
    <w:rsid w:val="001F1607"/>
    <w:rsid w:val="001F160A"/>
    <w:rsid w:val="001F16B8"/>
    <w:rsid w:val="001F1735"/>
    <w:rsid w:val="001F187B"/>
    <w:rsid w:val="001F18AF"/>
    <w:rsid w:val="001F19C0"/>
    <w:rsid w:val="001F1A41"/>
    <w:rsid w:val="001F1B93"/>
    <w:rsid w:val="001F1BA6"/>
    <w:rsid w:val="001F1C1F"/>
    <w:rsid w:val="001F1C49"/>
    <w:rsid w:val="001F1C4E"/>
    <w:rsid w:val="001F1D2C"/>
    <w:rsid w:val="001F1D4D"/>
    <w:rsid w:val="001F1D86"/>
    <w:rsid w:val="001F1DC8"/>
    <w:rsid w:val="001F1E47"/>
    <w:rsid w:val="001F1E6B"/>
    <w:rsid w:val="001F1F42"/>
    <w:rsid w:val="001F1FC4"/>
    <w:rsid w:val="001F1FC9"/>
    <w:rsid w:val="001F1FEB"/>
    <w:rsid w:val="001F2077"/>
    <w:rsid w:val="001F21C0"/>
    <w:rsid w:val="001F21D3"/>
    <w:rsid w:val="001F21F4"/>
    <w:rsid w:val="001F2213"/>
    <w:rsid w:val="001F240D"/>
    <w:rsid w:val="001F2496"/>
    <w:rsid w:val="001F24EF"/>
    <w:rsid w:val="001F2585"/>
    <w:rsid w:val="001F2638"/>
    <w:rsid w:val="001F2738"/>
    <w:rsid w:val="001F288E"/>
    <w:rsid w:val="001F2890"/>
    <w:rsid w:val="001F2920"/>
    <w:rsid w:val="001F2970"/>
    <w:rsid w:val="001F2985"/>
    <w:rsid w:val="001F2BDA"/>
    <w:rsid w:val="001F2E03"/>
    <w:rsid w:val="001F2E55"/>
    <w:rsid w:val="001F2EAB"/>
    <w:rsid w:val="001F2F4A"/>
    <w:rsid w:val="001F2F54"/>
    <w:rsid w:val="001F2F58"/>
    <w:rsid w:val="001F2FBF"/>
    <w:rsid w:val="001F2FF0"/>
    <w:rsid w:val="001F3042"/>
    <w:rsid w:val="001F31AE"/>
    <w:rsid w:val="001F3206"/>
    <w:rsid w:val="001F3231"/>
    <w:rsid w:val="001F326E"/>
    <w:rsid w:val="001F331E"/>
    <w:rsid w:val="001F3464"/>
    <w:rsid w:val="001F3471"/>
    <w:rsid w:val="001F361A"/>
    <w:rsid w:val="001F36AC"/>
    <w:rsid w:val="001F3722"/>
    <w:rsid w:val="001F3747"/>
    <w:rsid w:val="001F37F0"/>
    <w:rsid w:val="001F39AF"/>
    <w:rsid w:val="001F39B1"/>
    <w:rsid w:val="001F39BE"/>
    <w:rsid w:val="001F3A20"/>
    <w:rsid w:val="001F3AEE"/>
    <w:rsid w:val="001F3B33"/>
    <w:rsid w:val="001F3C34"/>
    <w:rsid w:val="001F3E60"/>
    <w:rsid w:val="001F4110"/>
    <w:rsid w:val="001F4226"/>
    <w:rsid w:val="001F422B"/>
    <w:rsid w:val="001F42DC"/>
    <w:rsid w:val="001F434B"/>
    <w:rsid w:val="001F4376"/>
    <w:rsid w:val="001F44F1"/>
    <w:rsid w:val="001F454A"/>
    <w:rsid w:val="001F4753"/>
    <w:rsid w:val="001F4766"/>
    <w:rsid w:val="001F484B"/>
    <w:rsid w:val="001F4900"/>
    <w:rsid w:val="001F491A"/>
    <w:rsid w:val="001F4C02"/>
    <w:rsid w:val="001F4D8B"/>
    <w:rsid w:val="001F4E56"/>
    <w:rsid w:val="001F4E73"/>
    <w:rsid w:val="001F4F88"/>
    <w:rsid w:val="001F4FFE"/>
    <w:rsid w:val="001F517A"/>
    <w:rsid w:val="001F51C6"/>
    <w:rsid w:val="001F5288"/>
    <w:rsid w:val="001F52EF"/>
    <w:rsid w:val="001F5360"/>
    <w:rsid w:val="001F53CF"/>
    <w:rsid w:val="001F54CC"/>
    <w:rsid w:val="001F55A5"/>
    <w:rsid w:val="001F562B"/>
    <w:rsid w:val="001F570A"/>
    <w:rsid w:val="001F5733"/>
    <w:rsid w:val="001F5783"/>
    <w:rsid w:val="001F5922"/>
    <w:rsid w:val="001F5A1E"/>
    <w:rsid w:val="001F5A97"/>
    <w:rsid w:val="001F5B23"/>
    <w:rsid w:val="001F5B40"/>
    <w:rsid w:val="001F5BF6"/>
    <w:rsid w:val="001F5CE9"/>
    <w:rsid w:val="001F5D0B"/>
    <w:rsid w:val="001F5D65"/>
    <w:rsid w:val="001F5FD9"/>
    <w:rsid w:val="001F6023"/>
    <w:rsid w:val="001F6094"/>
    <w:rsid w:val="001F60A2"/>
    <w:rsid w:val="001F6128"/>
    <w:rsid w:val="001F61C0"/>
    <w:rsid w:val="001F61D3"/>
    <w:rsid w:val="001F628E"/>
    <w:rsid w:val="001F631B"/>
    <w:rsid w:val="001F638D"/>
    <w:rsid w:val="001F63A9"/>
    <w:rsid w:val="001F63BC"/>
    <w:rsid w:val="001F6417"/>
    <w:rsid w:val="001F6468"/>
    <w:rsid w:val="001F6490"/>
    <w:rsid w:val="001F6500"/>
    <w:rsid w:val="001F6563"/>
    <w:rsid w:val="001F65A0"/>
    <w:rsid w:val="001F65CF"/>
    <w:rsid w:val="001F6781"/>
    <w:rsid w:val="001F6833"/>
    <w:rsid w:val="001F6889"/>
    <w:rsid w:val="001F697C"/>
    <w:rsid w:val="001F6A21"/>
    <w:rsid w:val="001F6C11"/>
    <w:rsid w:val="001F6CBD"/>
    <w:rsid w:val="001F6D5C"/>
    <w:rsid w:val="001F6DA2"/>
    <w:rsid w:val="001F6E57"/>
    <w:rsid w:val="001F716D"/>
    <w:rsid w:val="001F7184"/>
    <w:rsid w:val="001F71B1"/>
    <w:rsid w:val="001F721D"/>
    <w:rsid w:val="001F727F"/>
    <w:rsid w:val="001F72F7"/>
    <w:rsid w:val="001F7380"/>
    <w:rsid w:val="001F747C"/>
    <w:rsid w:val="001F74A3"/>
    <w:rsid w:val="001F74ED"/>
    <w:rsid w:val="001F751E"/>
    <w:rsid w:val="001F754E"/>
    <w:rsid w:val="001F761D"/>
    <w:rsid w:val="001F765A"/>
    <w:rsid w:val="001F7665"/>
    <w:rsid w:val="001F771B"/>
    <w:rsid w:val="001F7751"/>
    <w:rsid w:val="001F77D2"/>
    <w:rsid w:val="001F782E"/>
    <w:rsid w:val="001F7844"/>
    <w:rsid w:val="001F787B"/>
    <w:rsid w:val="001F7885"/>
    <w:rsid w:val="001F7956"/>
    <w:rsid w:val="001F79B1"/>
    <w:rsid w:val="001F7A55"/>
    <w:rsid w:val="001F7AD3"/>
    <w:rsid w:val="001F7BA5"/>
    <w:rsid w:val="001F7BD4"/>
    <w:rsid w:val="001F7BF4"/>
    <w:rsid w:val="001F7BFC"/>
    <w:rsid w:val="001F7C84"/>
    <w:rsid w:val="001F7CA4"/>
    <w:rsid w:val="001F7D5E"/>
    <w:rsid w:val="001F7DB9"/>
    <w:rsid w:val="001F7DE1"/>
    <w:rsid w:val="001F7DFA"/>
    <w:rsid w:val="001F7E18"/>
    <w:rsid w:val="001F7E61"/>
    <w:rsid w:val="001F7EB6"/>
    <w:rsid w:val="001F7ECA"/>
    <w:rsid w:val="001F7ED8"/>
    <w:rsid w:val="001F7F7D"/>
    <w:rsid w:val="001F7FCF"/>
    <w:rsid w:val="00200016"/>
    <w:rsid w:val="00200023"/>
    <w:rsid w:val="002000F7"/>
    <w:rsid w:val="00200129"/>
    <w:rsid w:val="00200190"/>
    <w:rsid w:val="00200212"/>
    <w:rsid w:val="00200287"/>
    <w:rsid w:val="002002C5"/>
    <w:rsid w:val="0020043B"/>
    <w:rsid w:val="00200484"/>
    <w:rsid w:val="002004AD"/>
    <w:rsid w:val="002004CA"/>
    <w:rsid w:val="002006EC"/>
    <w:rsid w:val="0020077D"/>
    <w:rsid w:val="0020087B"/>
    <w:rsid w:val="002008CF"/>
    <w:rsid w:val="00200962"/>
    <w:rsid w:val="002009EF"/>
    <w:rsid w:val="00200A1F"/>
    <w:rsid w:val="00200A68"/>
    <w:rsid w:val="00200A85"/>
    <w:rsid w:val="00200A8C"/>
    <w:rsid w:val="00200B05"/>
    <w:rsid w:val="00200BE0"/>
    <w:rsid w:val="00200C38"/>
    <w:rsid w:val="00200C97"/>
    <w:rsid w:val="00200CA2"/>
    <w:rsid w:val="00200D67"/>
    <w:rsid w:val="00201078"/>
    <w:rsid w:val="00201091"/>
    <w:rsid w:val="00201095"/>
    <w:rsid w:val="0020110F"/>
    <w:rsid w:val="002011C9"/>
    <w:rsid w:val="00201227"/>
    <w:rsid w:val="0020124A"/>
    <w:rsid w:val="00201257"/>
    <w:rsid w:val="00201278"/>
    <w:rsid w:val="002012D0"/>
    <w:rsid w:val="002012F7"/>
    <w:rsid w:val="00201631"/>
    <w:rsid w:val="002016E9"/>
    <w:rsid w:val="00201795"/>
    <w:rsid w:val="00201959"/>
    <w:rsid w:val="00201A6A"/>
    <w:rsid w:val="00201A6E"/>
    <w:rsid w:val="00201C56"/>
    <w:rsid w:val="00201CB1"/>
    <w:rsid w:val="00201D16"/>
    <w:rsid w:val="00201E25"/>
    <w:rsid w:val="00201E54"/>
    <w:rsid w:val="00201E6A"/>
    <w:rsid w:val="00201ECB"/>
    <w:rsid w:val="00201F4D"/>
    <w:rsid w:val="002020AA"/>
    <w:rsid w:val="002022AA"/>
    <w:rsid w:val="002022B0"/>
    <w:rsid w:val="002022C3"/>
    <w:rsid w:val="0020248E"/>
    <w:rsid w:val="00202508"/>
    <w:rsid w:val="00202591"/>
    <w:rsid w:val="002025F0"/>
    <w:rsid w:val="00202644"/>
    <w:rsid w:val="0020265F"/>
    <w:rsid w:val="00202662"/>
    <w:rsid w:val="00202738"/>
    <w:rsid w:val="002027D2"/>
    <w:rsid w:val="002027F4"/>
    <w:rsid w:val="00202805"/>
    <w:rsid w:val="0020287D"/>
    <w:rsid w:val="0020298D"/>
    <w:rsid w:val="00202A3C"/>
    <w:rsid w:val="00202A66"/>
    <w:rsid w:val="00202B97"/>
    <w:rsid w:val="00202BC7"/>
    <w:rsid w:val="00202C98"/>
    <w:rsid w:val="00202D67"/>
    <w:rsid w:val="00202DF8"/>
    <w:rsid w:val="00202E26"/>
    <w:rsid w:val="00202F0A"/>
    <w:rsid w:val="00202F14"/>
    <w:rsid w:val="00202F17"/>
    <w:rsid w:val="0020302C"/>
    <w:rsid w:val="0020309D"/>
    <w:rsid w:val="00203100"/>
    <w:rsid w:val="002032BB"/>
    <w:rsid w:val="00203410"/>
    <w:rsid w:val="00203458"/>
    <w:rsid w:val="00203514"/>
    <w:rsid w:val="00203515"/>
    <w:rsid w:val="00203557"/>
    <w:rsid w:val="0020356E"/>
    <w:rsid w:val="00203598"/>
    <w:rsid w:val="002037A9"/>
    <w:rsid w:val="00203824"/>
    <w:rsid w:val="0020383F"/>
    <w:rsid w:val="0020387E"/>
    <w:rsid w:val="00203880"/>
    <w:rsid w:val="00203884"/>
    <w:rsid w:val="00203889"/>
    <w:rsid w:val="00203899"/>
    <w:rsid w:val="00203AA8"/>
    <w:rsid w:val="00203C54"/>
    <w:rsid w:val="00203CD9"/>
    <w:rsid w:val="00203D52"/>
    <w:rsid w:val="00203DBA"/>
    <w:rsid w:val="00203E41"/>
    <w:rsid w:val="00203ECE"/>
    <w:rsid w:val="00203F23"/>
    <w:rsid w:val="00203F7C"/>
    <w:rsid w:val="00204042"/>
    <w:rsid w:val="002040EC"/>
    <w:rsid w:val="002041B4"/>
    <w:rsid w:val="00204266"/>
    <w:rsid w:val="00204268"/>
    <w:rsid w:val="002042BE"/>
    <w:rsid w:val="00204322"/>
    <w:rsid w:val="00204462"/>
    <w:rsid w:val="0020451F"/>
    <w:rsid w:val="00204655"/>
    <w:rsid w:val="00204694"/>
    <w:rsid w:val="002046AF"/>
    <w:rsid w:val="0020471E"/>
    <w:rsid w:val="0020482F"/>
    <w:rsid w:val="00204856"/>
    <w:rsid w:val="002048DC"/>
    <w:rsid w:val="002048EE"/>
    <w:rsid w:val="00204999"/>
    <w:rsid w:val="002049B0"/>
    <w:rsid w:val="00204B25"/>
    <w:rsid w:val="00204BDE"/>
    <w:rsid w:val="00204C4D"/>
    <w:rsid w:val="00204C93"/>
    <w:rsid w:val="00204CFF"/>
    <w:rsid w:val="00204D4E"/>
    <w:rsid w:val="00204DD1"/>
    <w:rsid w:val="00204ECF"/>
    <w:rsid w:val="00204FA5"/>
    <w:rsid w:val="0020505B"/>
    <w:rsid w:val="00205298"/>
    <w:rsid w:val="002052A8"/>
    <w:rsid w:val="00205322"/>
    <w:rsid w:val="00205392"/>
    <w:rsid w:val="002053BC"/>
    <w:rsid w:val="002053BD"/>
    <w:rsid w:val="00205439"/>
    <w:rsid w:val="00205444"/>
    <w:rsid w:val="002054CA"/>
    <w:rsid w:val="00205577"/>
    <w:rsid w:val="0020571E"/>
    <w:rsid w:val="00205742"/>
    <w:rsid w:val="0020578A"/>
    <w:rsid w:val="002057F0"/>
    <w:rsid w:val="002057F2"/>
    <w:rsid w:val="00205859"/>
    <w:rsid w:val="0020589B"/>
    <w:rsid w:val="00205915"/>
    <w:rsid w:val="002059FF"/>
    <w:rsid w:val="00205A0D"/>
    <w:rsid w:val="00205A4D"/>
    <w:rsid w:val="00205A5B"/>
    <w:rsid w:val="00205B9D"/>
    <w:rsid w:val="00205BE8"/>
    <w:rsid w:val="00205CB5"/>
    <w:rsid w:val="00205CBB"/>
    <w:rsid w:val="00205D78"/>
    <w:rsid w:val="00205DB0"/>
    <w:rsid w:val="00205E42"/>
    <w:rsid w:val="00205E46"/>
    <w:rsid w:val="00205E75"/>
    <w:rsid w:val="00205F28"/>
    <w:rsid w:val="00205F4E"/>
    <w:rsid w:val="00205F56"/>
    <w:rsid w:val="00205F59"/>
    <w:rsid w:val="00205FCA"/>
    <w:rsid w:val="00205FCC"/>
    <w:rsid w:val="00205FD2"/>
    <w:rsid w:val="00206034"/>
    <w:rsid w:val="0020603E"/>
    <w:rsid w:val="002060B4"/>
    <w:rsid w:val="002061CA"/>
    <w:rsid w:val="00206234"/>
    <w:rsid w:val="002062CB"/>
    <w:rsid w:val="0020638E"/>
    <w:rsid w:val="0020646A"/>
    <w:rsid w:val="002065AB"/>
    <w:rsid w:val="00206668"/>
    <w:rsid w:val="00206688"/>
    <w:rsid w:val="002067D2"/>
    <w:rsid w:val="00206878"/>
    <w:rsid w:val="0020694C"/>
    <w:rsid w:val="00206B1B"/>
    <w:rsid w:val="00206BC9"/>
    <w:rsid w:val="00206BE1"/>
    <w:rsid w:val="00206D66"/>
    <w:rsid w:val="00206E6B"/>
    <w:rsid w:val="00206FCC"/>
    <w:rsid w:val="0020716A"/>
    <w:rsid w:val="0020727A"/>
    <w:rsid w:val="002072AD"/>
    <w:rsid w:val="00207308"/>
    <w:rsid w:val="00207395"/>
    <w:rsid w:val="002073F0"/>
    <w:rsid w:val="0020746F"/>
    <w:rsid w:val="0020752E"/>
    <w:rsid w:val="002075AA"/>
    <w:rsid w:val="00207897"/>
    <w:rsid w:val="002078C6"/>
    <w:rsid w:val="0020793F"/>
    <w:rsid w:val="00207945"/>
    <w:rsid w:val="00207972"/>
    <w:rsid w:val="00207B7E"/>
    <w:rsid w:val="00207BAE"/>
    <w:rsid w:val="00207C12"/>
    <w:rsid w:val="00207C22"/>
    <w:rsid w:val="00207D64"/>
    <w:rsid w:val="00207D95"/>
    <w:rsid w:val="00207E1B"/>
    <w:rsid w:val="00207E59"/>
    <w:rsid w:val="00207ECF"/>
    <w:rsid w:val="00210051"/>
    <w:rsid w:val="002100A8"/>
    <w:rsid w:val="00210124"/>
    <w:rsid w:val="0021018E"/>
    <w:rsid w:val="002101EA"/>
    <w:rsid w:val="00210297"/>
    <w:rsid w:val="00210361"/>
    <w:rsid w:val="0021036A"/>
    <w:rsid w:val="0021037B"/>
    <w:rsid w:val="00210419"/>
    <w:rsid w:val="00210429"/>
    <w:rsid w:val="0021042E"/>
    <w:rsid w:val="00210495"/>
    <w:rsid w:val="00210537"/>
    <w:rsid w:val="0021066A"/>
    <w:rsid w:val="0021070A"/>
    <w:rsid w:val="002107D1"/>
    <w:rsid w:val="0021086B"/>
    <w:rsid w:val="00210872"/>
    <w:rsid w:val="002109E6"/>
    <w:rsid w:val="00210A9C"/>
    <w:rsid w:val="00210B46"/>
    <w:rsid w:val="00210BEC"/>
    <w:rsid w:val="00210C59"/>
    <w:rsid w:val="00210C77"/>
    <w:rsid w:val="00210D63"/>
    <w:rsid w:val="00210DB3"/>
    <w:rsid w:val="00210E3F"/>
    <w:rsid w:val="00210F2B"/>
    <w:rsid w:val="00210F91"/>
    <w:rsid w:val="00210FE0"/>
    <w:rsid w:val="00210FF2"/>
    <w:rsid w:val="00211007"/>
    <w:rsid w:val="00211060"/>
    <w:rsid w:val="00211152"/>
    <w:rsid w:val="0021120F"/>
    <w:rsid w:val="00211384"/>
    <w:rsid w:val="002113D0"/>
    <w:rsid w:val="0021141C"/>
    <w:rsid w:val="00211470"/>
    <w:rsid w:val="002114C2"/>
    <w:rsid w:val="002114E1"/>
    <w:rsid w:val="002116B0"/>
    <w:rsid w:val="002116CB"/>
    <w:rsid w:val="0021178F"/>
    <w:rsid w:val="0021182F"/>
    <w:rsid w:val="0021194A"/>
    <w:rsid w:val="00211994"/>
    <w:rsid w:val="002119D6"/>
    <w:rsid w:val="00211AD6"/>
    <w:rsid w:val="00211B29"/>
    <w:rsid w:val="00211B96"/>
    <w:rsid w:val="00211C35"/>
    <w:rsid w:val="00211C7B"/>
    <w:rsid w:val="00211D0F"/>
    <w:rsid w:val="00211D60"/>
    <w:rsid w:val="00211DD9"/>
    <w:rsid w:val="00211E6A"/>
    <w:rsid w:val="00211E81"/>
    <w:rsid w:val="00211F6E"/>
    <w:rsid w:val="0021200A"/>
    <w:rsid w:val="00212137"/>
    <w:rsid w:val="0021214E"/>
    <w:rsid w:val="00212196"/>
    <w:rsid w:val="002121B1"/>
    <w:rsid w:val="002121D1"/>
    <w:rsid w:val="00212204"/>
    <w:rsid w:val="0021221D"/>
    <w:rsid w:val="0021226A"/>
    <w:rsid w:val="002122DE"/>
    <w:rsid w:val="002122E7"/>
    <w:rsid w:val="0021236E"/>
    <w:rsid w:val="00212379"/>
    <w:rsid w:val="002123AD"/>
    <w:rsid w:val="0021243C"/>
    <w:rsid w:val="002124E9"/>
    <w:rsid w:val="00212547"/>
    <w:rsid w:val="002125CC"/>
    <w:rsid w:val="00212652"/>
    <w:rsid w:val="00212687"/>
    <w:rsid w:val="00212819"/>
    <w:rsid w:val="00212837"/>
    <w:rsid w:val="002129C8"/>
    <w:rsid w:val="00212A00"/>
    <w:rsid w:val="00212A15"/>
    <w:rsid w:val="00212A7C"/>
    <w:rsid w:val="00212AA7"/>
    <w:rsid w:val="00212B3C"/>
    <w:rsid w:val="00212B4A"/>
    <w:rsid w:val="00212BEF"/>
    <w:rsid w:val="00212BF3"/>
    <w:rsid w:val="00212D07"/>
    <w:rsid w:val="00212D92"/>
    <w:rsid w:val="00212DE8"/>
    <w:rsid w:val="00212E11"/>
    <w:rsid w:val="00212E3A"/>
    <w:rsid w:val="00212E94"/>
    <w:rsid w:val="00212ED9"/>
    <w:rsid w:val="00212F94"/>
    <w:rsid w:val="00212F96"/>
    <w:rsid w:val="00212F99"/>
    <w:rsid w:val="00212FE8"/>
    <w:rsid w:val="00213093"/>
    <w:rsid w:val="0021314F"/>
    <w:rsid w:val="002132A1"/>
    <w:rsid w:val="00213336"/>
    <w:rsid w:val="0021337F"/>
    <w:rsid w:val="0021338A"/>
    <w:rsid w:val="002133E2"/>
    <w:rsid w:val="00213411"/>
    <w:rsid w:val="0021355B"/>
    <w:rsid w:val="0021364D"/>
    <w:rsid w:val="002136CF"/>
    <w:rsid w:val="002136F7"/>
    <w:rsid w:val="002137CE"/>
    <w:rsid w:val="0021381F"/>
    <w:rsid w:val="00213902"/>
    <w:rsid w:val="0021399A"/>
    <w:rsid w:val="00213A95"/>
    <w:rsid w:val="00213B96"/>
    <w:rsid w:val="00213D51"/>
    <w:rsid w:val="00213D59"/>
    <w:rsid w:val="00213E34"/>
    <w:rsid w:val="00213E84"/>
    <w:rsid w:val="00213E8B"/>
    <w:rsid w:val="00213E9F"/>
    <w:rsid w:val="00213EA0"/>
    <w:rsid w:val="00213EC5"/>
    <w:rsid w:val="00214053"/>
    <w:rsid w:val="002140BE"/>
    <w:rsid w:val="00214124"/>
    <w:rsid w:val="00214190"/>
    <w:rsid w:val="002142BB"/>
    <w:rsid w:val="0021435D"/>
    <w:rsid w:val="00214373"/>
    <w:rsid w:val="00214430"/>
    <w:rsid w:val="002144D6"/>
    <w:rsid w:val="0021451C"/>
    <w:rsid w:val="0021456A"/>
    <w:rsid w:val="0021470C"/>
    <w:rsid w:val="00214800"/>
    <w:rsid w:val="00214873"/>
    <w:rsid w:val="00214931"/>
    <w:rsid w:val="00214974"/>
    <w:rsid w:val="002149C9"/>
    <w:rsid w:val="00214A04"/>
    <w:rsid w:val="00214A3F"/>
    <w:rsid w:val="00214B2B"/>
    <w:rsid w:val="00214C33"/>
    <w:rsid w:val="00214D26"/>
    <w:rsid w:val="00214E06"/>
    <w:rsid w:val="00214F52"/>
    <w:rsid w:val="0021505C"/>
    <w:rsid w:val="00215078"/>
    <w:rsid w:val="002150A1"/>
    <w:rsid w:val="002151BE"/>
    <w:rsid w:val="00215229"/>
    <w:rsid w:val="002152A8"/>
    <w:rsid w:val="00215328"/>
    <w:rsid w:val="002153BC"/>
    <w:rsid w:val="00215423"/>
    <w:rsid w:val="002155FE"/>
    <w:rsid w:val="0021568F"/>
    <w:rsid w:val="00215693"/>
    <w:rsid w:val="0021570B"/>
    <w:rsid w:val="0021580C"/>
    <w:rsid w:val="00215877"/>
    <w:rsid w:val="00215AD9"/>
    <w:rsid w:val="00215B68"/>
    <w:rsid w:val="00215C2A"/>
    <w:rsid w:val="00215C90"/>
    <w:rsid w:val="00215CF9"/>
    <w:rsid w:val="00215D19"/>
    <w:rsid w:val="00215D97"/>
    <w:rsid w:val="00215E18"/>
    <w:rsid w:val="00215FB8"/>
    <w:rsid w:val="00215FD3"/>
    <w:rsid w:val="002160D6"/>
    <w:rsid w:val="002160F5"/>
    <w:rsid w:val="00216137"/>
    <w:rsid w:val="00216186"/>
    <w:rsid w:val="00216268"/>
    <w:rsid w:val="00216432"/>
    <w:rsid w:val="0021643B"/>
    <w:rsid w:val="002165AE"/>
    <w:rsid w:val="002166A3"/>
    <w:rsid w:val="002167E1"/>
    <w:rsid w:val="00216849"/>
    <w:rsid w:val="0021688B"/>
    <w:rsid w:val="00216928"/>
    <w:rsid w:val="0021692A"/>
    <w:rsid w:val="00216BAE"/>
    <w:rsid w:val="00216C23"/>
    <w:rsid w:val="00216CB2"/>
    <w:rsid w:val="00216D19"/>
    <w:rsid w:val="00216D7C"/>
    <w:rsid w:val="00216D7F"/>
    <w:rsid w:val="00216EFD"/>
    <w:rsid w:val="00216F07"/>
    <w:rsid w:val="00216F11"/>
    <w:rsid w:val="00216F45"/>
    <w:rsid w:val="00216FEB"/>
    <w:rsid w:val="00217119"/>
    <w:rsid w:val="002171DF"/>
    <w:rsid w:val="002172F9"/>
    <w:rsid w:val="0021739E"/>
    <w:rsid w:val="00217401"/>
    <w:rsid w:val="002174E6"/>
    <w:rsid w:val="00217532"/>
    <w:rsid w:val="00217623"/>
    <w:rsid w:val="0021764A"/>
    <w:rsid w:val="002176A2"/>
    <w:rsid w:val="00217757"/>
    <w:rsid w:val="002177B4"/>
    <w:rsid w:val="002178EC"/>
    <w:rsid w:val="002179BA"/>
    <w:rsid w:val="00217A82"/>
    <w:rsid w:val="00217A8F"/>
    <w:rsid w:val="00217AAA"/>
    <w:rsid w:val="00217B0C"/>
    <w:rsid w:val="00217B63"/>
    <w:rsid w:val="00217BE1"/>
    <w:rsid w:val="00217C26"/>
    <w:rsid w:val="00217C40"/>
    <w:rsid w:val="00217C95"/>
    <w:rsid w:val="00217C9E"/>
    <w:rsid w:val="00217CF8"/>
    <w:rsid w:val="00217DC8"/>
    <w:rsid w:val="00217E6E"/>
    <w:rsid w:val="00217EC9"/>
    <w:rsid w:val="00217F1C"/>
    <w:rsid w:val="0022007B"/>
    <w:rsid w:val="00220139"/>
    <w:rsid w:val="00220195"/>
    <w:rsid w:val="002201F7"/>
    <w:rsid w:val="002202B9"/>
    <w:rsid w:val="002202BA"/>
    <w:rsid w:val="00220399"/>
    <w:rsid w:val="002203A8"/>
    <w:rsid w:val="00220418"/>
    <w:rsid w:val="00220437"/>
    <w:rsid w:val="0022050E"/>
    <w:rsid w:val="00220678"/>
    <w:rsid w:val="002206B8"/>
    <w:rsid w:val="00220714"/>
    <w:rsid w:val="002207B5"/>
    <w:rsid w:val="00220A22"/>
    <w:rsid w:val="00220A46"/>
    <w:rsid w:val="00220A4F"/>
    <w:rsid w:val="00220A52"/>
    <w:rsid w:val="00220C50"/>
    <w:rsid w:val="00220D54"/>
    <w:rsid w:val="00220D6F"/>
    <w:rsid w:val="00220E23"/>
    <w:rsid w:val="00220E25"/>
    <w:rsid w:val="00220EB3"/>
    <w:rsid w:val="00220EBF"/>
    <w:rsid w:val="00220EDE"/>
    <w:rsid w:val="00220F33"/>
    <w:rsid w:val="00220F8C"/>
    <w:rsid w:val="00220FD1"/>
    <w:rsid w:val="002210B9"/>
    <w:rsid w:val="0022115D"/>
    <w:rsid w:val="0022118D"/>
    <w:rsid w:val="00221265"/>
    <w:rsid w:val="002212EE"/>
    <w:rsid w:val="0022130E"/>
    <w:rsid w:val="002213CF"/>
    <w:rsid w:val="0022145E"/>
    <w:rsid w:val="00221519"/>
    <w:rsid w:val="0022151B"/>
    <w:rsid w:val="0022157C"/>
    <w:rsid w:val="00221581"/>
    <w:rsid w:val="002215A4"/>
    <w:rsid w:val="0022164D"/>
    <w:rsid w:val="0022166D"/>
    <w:rsid w:val="002216B4"/>
    <w:rsid w:val="002217B4"/>
    <w:rsid w:val="002217D3"/>
    <w:rsid w:val="00221818"/>
    <w:rsid w:val="00221902"/>
    <w:rsid w:val="00221937"/>
    <w:rsid w:val="002219C7"/>
    <w:rsid w:val="00221A1D"/>
    <w:rsid w:val="00221A4C"/>
    <w:rsid w:val="00221A52"/>
    <w:rsid w:val="00221A86"/>
    <w:rsid w:val="00221B15"/>
    <w:rsid w:val="00221C29"/>
    <w:rsid w:val="00221C31"/>
    <w:rsid w:val="00221D38"/>
    <w:rsid w:val="00221E0E"/>
    <w:rsid w:val="00221EC6"/>
    <w:rsid w:val="00221ECA"/>
    <w:rsid w:val="00222093"/>
    <w:rsid w:val="002220B8"/>
    <w:rsid w:val="0022233C"/>
    <w:rsid w:val="00222353"/>
    <w:rsid w:val="002223AE"/>
    <w:rsid w:val="002223FB"/>
    <w:rsid w:val="002224B9"/>
    <w:rsid w:val="0022252D"/>
    <w:rsid w:val="0022253C"/>
    <w:rsid w:val="00222542"/>
    <w:rsid w:val="0022254D"/>
    <w:rsid w:val="00222589"/>
    <w:rsid w:val="002225D7"/>
    <w:rsid w:val="002226DF"/>
    <w:rsid w:val="00222733"/>
    <w:rsid w:val="00222788"/>
    <w:rsid w:val="002229A0"/>
    <w:rsid w:val="002229CC"/>
    <w:rsid w:val="00222B64"/>
    <w:rsid w:val="00222B83"/>
    <w:rsid w:val="00222C23"/>
    <w:rsid w:val="00222C74"/>
    <w:rsid w:val="00222DED"/>
    <w:rsid w:val="00222E9F"/>
    <w:rsid w:val="00222FEB"/>
    <w:rsid w:val="00223036"/>
    <w:rsid w:val="0022315D"/>
    <w:rsid w:val="002231C1"/>
    <w:rsid w:val="00223209"/>
    <w:rsid w:val="00223256"/>
    <w:rsid w:val="002232D6"/>
    <w:rsid w:val="00223338"/>
    <w:rsid w:val="002233B7"/>
    <w:rsid w:val="002234CC"/>
    <w:rsid w:val="002234DB"/>
    <w:rsid w:val="00223600"/>
    <w:rsid w:val="00223607"/>
    <w:rsid w:val="00223650"/>
    <w:rsid w:val="00223655"/>
    <w:rsid w:val="002236A7"/>
    <w:rsid w:val="002236C2"/>
    <w:rsid w:val="002236CF"/>
    <w:rsid w:val="002236F8"/>
    <w:rsid w:val="0022372B"/>
    <w:rsid w:val="0022381F"/>
    <w:rsid w:val="00223831"/>
    <w:rsid w:val="00223866"/>
    <w:rsid w:val="0022387B"/>
    <w:rsid w:val="00223A19"/>
    <w:rsid w:val="00223A7E"/>
    <w:rsid w:val="00223AE5"/>
    <w:rsid w:val="00223C76"/>
    <w:rsid w:val="00223C9A"/>
    <w:rsid w:val="00223F7A"/>
    <w:rsid w:val="00223F8C"/>
    <w:rsid w:val="00223FFF"/>
    <w:rsid w:val="0022409E"/>
    <w:rsid w:val="00224152"/>
    <w:rsid w:val="002241DE"/>
    <w:rsid w:val="00224289"/>
    <w:rsid w:val="002243BD"/>
    <w:rsid w:val="002243D6"/>
    <w:rsid w:val="00224479"/>
    <w:rsid w:val="00224766"/>
    <w:rsid w:val="00224774"/>
    <w:rsid w:val="002247DB"/>
    <w:rsid w:val="002247EF"/>
    <w:rsid w:val="002247FB"/>
    <w:rsid w:val="0022499C"/>
    <w:rsid w:val="002249A8"/>
    <w:rsid w:val="002249E8"/>
    <w:rsid w:val="002249EF"/>
    <w:rsid w:val="00224C91"/>
    <w:rsid w:val="00224C99"/>
    <w:rsid w:val="00224CBA"/>
    <w:rsid w:val="00224E95"/>
    <w:rsid w:val="00224EFF"/>
    <w:rsid w:val="0022511C"/>
    <w:rsid w:val="0022512C"/>
    <w:rsid w:val="00225167"/>
    <w:rsid w:val="00225178"/>
    <w:rsid w:val="00225191"/>
    <w:rsid w:val="002251A0"/>
    <w:rsid w:val="00225219"/>
    <w:rsid w:val="00225280"/>
    <w:rsid w:val="002252B1"/>
    <w:rsid w:val="00225348"/>
    <w:rsid w:val="002253DE"/>
    <w:rsid w:val="00225417"/>
    <w:rsid w:val="00225492"/>
    <w:rsid w:val="0022555B"/>
    <w:rsid w:val="002255CC"/>
    <w:rsid w:val="0022563E"/>
    <w:rsid w:val="002256FA"/>
    <w:rsid w:val="002257D2"/>
    <w:rsid w:val="002258E0"/>
    <w:rsid w:val="002259F3"/>
    <w:rsid w:val="00225A93"/>
    <w:rsid w:val="00225AB3"/>
    <w:rsid w:val="00225B2D"/>
    <w:rsid w:val="00225B40"/>
    <w:rsid w:val="00225B71"/>
    <w:rsid w:val="00225BA6"/>
    <w:rsid w:val="00225C8F"/>
    <w:rsid w:val="00225DAA"/>
    <w:rsid w:val="00225E5A"/>
    <w:rsid w:val="00225E82"/>
    <w:rsid w:val="00225F3B"/>
    <w:rsid w:val="00225F4B"/>
    <w:rsid w:val="00225F4F"/>
    <w:rsid w:val="00225F86"/>
    <w:rsid w:val="00225F98"/>
    <w:rsid w:val="00225FFE"/>
    <w:rsid w:val="002260B7"/>
    <w:rsid w:val="0022611D"/>
    <w:rsid w:val="0022617B"/>
    <w:rsid w:val="0022625A"/>
    <w:rsid w:val="00226306"/>
    <w:rsid w:val="002264D1"/>
    <w:rsid w:val="002264F5"/>
    <w:rsid w:val="0022650A"/>
    <w:rsid w:val="002265CE"/>
    <w:rsid w:val="0022663B"/>
    <w:rsid w:val="00226660"/>
    <w:rsid w:val="0022669F"/>
    <w:rsid w:val="0022670E"/>
    <w:rsid w:val="0022679E"/>
    <w:rsid w:val="002267EE"/>
    <w:rsid w:val="002268AD"/>
    <w:rsid w:val="002268D1"/>
    <w:rsid w:val="002268D7"/>
    <w:rsid w:val="00226A67"/>
    <w:rsid w:val="00226A73"/>
    <w:rsid w:val="00226A89"/>
    <w:rsid w:val="00226AE4"/>
    <w:rsid w:val="00226BA9"/>
    <w:rsid w:val="00226C6E"/>
    <w:rsid w:val="00226CDC"/>
    <w:rsid w:val="00226D36"/>
    <w:rsid w:val="00226D63"/>
    <w:rsid w:val="00226E8C"/>
    <w:rsid w:val="00226E98"/>
    <w:rsid w:val="00226F16"/>
    <w:rsid w:val="00226F20"/>
    <w:rsid w:val="0022700C"/>
    <w:rsid w:val="0022702A"/>
    <w:rsid w:val="00227066"/>
    <w:rsid w:val="0022711A"/>
    <w:rsid w:val="002271D9"/>
    <w:rsid w:val="002272CF"/>
    <w:rsid w:val="002272E5"/>
    <w:rsid w:val="00227484"/>
    <w:rsid w:val="002274AC"/>
    <w:rsid w:val="00227574"/>
    <w:rsid w:val="0022767A"/>
    <w:rsid w:val="002276B0"/>
    <w:rsid w:val="0022771A"/>
    <w:rsid w:val="002277D9"/>
    <w:rsid w:val="00227858"/>
    <w:rsid w:val="00227874"/>
    <w:rsid w:val="002279FF"/>
    <w:rsid w:val="00227A1B"/>
    <w:rsid w:val="00227AB1"/>
    <w:rsid w:val="00227C45"/>
    <w:rsid w:val="00227D89"/>
    <w:rsid w:val="00227FA9"/>
    <w:rsid w:val="00227FF4"/>
    <w:rsid w:val="00230014"/>
    <w:rsid w:val="002300C3"/>
    <w:rsid w:val="00230102"/>
    <w:rsid w:val="0023010C"/>
    <w:rsid w:val="0023011A"/>
    <w:rsid w:val="00230133"/>
    <w:rsid w:val="00230170"/>
    <w:rsid w:val="0023017D"/>
    <w:rsid w:val="00230234"/>
    <w:rsid w:val="00230290"/>
    <w:rsid w:val="002302C0"/>
    <w:rsid w:val="00230347"/>
    <w:rsid w:val="00230369"/>
    <w:rsid w:val="002304C7"/>
    <w:rsid w:val="002304E3"/>
    <w:rsid w:val="00230565"/>
    <w:rsid w:val="002305A6"/>
    <w:rsid w:val="00230813"/>
    <w:rsid w:val="002309F8"/>
    <w:rsid w:val="002309FB"/>
    <w:rsid w:val="00230B95"/>
    <w:rsid w:val="00230BA7"/>
    <w:rsid w:val="00230BED"/>
    <w:rsid w:val="00230BF4"/>
    <w:rsid w:val="00230C33"/>
    <w:rsid w:val="00230D02"/>
    <w:rsid w:val="00230D90"/>
    <w:rsid w:val="00230DEB"/>
    <w:rsid w:val="0023121B"/>
    <w:rsid w:val="002315A0"/>
    <w:rsid w:val="002315B6"/>
    <w:rsid w:val="002315B9"/>
    <w:rsid w:val="00231603"/>
    <w:rsid w:val="0023164B"/>
    <w:rsid w:val="00231781"/>
    <w:rsid w:val="00231813"/>
    <w:rsid w:val="00231883"/>
    <w:rsid w:val="002319D3"/>
    <w:rsid w:val="00231A25"/>
    <w:rsid w:val="00231A3E"/>
    <w:rsid w:val="00231A9E"/>
    <w:rsid w:val="00231AE4"/>
    <w:rsid w:val="00231B0D"/>
    <w:rsid w:val="00231B6F"/>
    <w:rsid w:val="00231BB6"/>
    <w:rsid w:val="00231BD8"/>
    <w:rsid w:val="00231C3C"/>
    <w:rsid w:val="00231D02"/>
    <w:rsid w:val="00231D82"/>
    <w:rsid w:val="00231D9F"/>
    <w:rsid w:val="00231DB5"/>
    <w:rsid w:val="00231E3F"/>
    <w:rsid w:val="00231E50"/>
    <w:rsid w:val="00231ECA"/>
    <w:rsid w:val="00231F38"/>
    <w:rsid w:val="00231F58"/>
    <w:rsid w:val="00232001"/>
    <w:rsid w:val="00232027"/>
    <w:rsid w:val="0023206F"/>
    <w:rsid w:val="00232102"/>
    <w:rsid w:val="00232113"/>
    <w:rsid w:val="0023219C"/>
    <w:rsid w:val="00232200"/>
    <w:rsid w:val="00232218"/>
    <w:rsid w:val="00232238"/>
    <w:rsid w:val="00232242"/>
    <w:rsid w:val="0023232D"/>
    <w:rsid w:val="002323EE"/>
    <w:rsid w:val="002324E1"/>
    <w:rsid w:val="00232515"/>
    <w:rsid w:val="00232549"/>
    <w:rsid w:val="00232567"/>
    <w:rsid w:val="002325D1"/>
    <w:rsid w:val="002325FA"/>
    <w:rsid w:val="0023269B"/>
    <w:rsid w:val="00232812"/>
    <w:rsid w:val="0023283B"/>
    <w:rsid w:val="0023289A"/>
    <w:rsid w:val="002329E0"/>
    <w:rsid w:val="00232A22"/>
    <w:rsid w:val="00232A99"/>
    <w:rsid w:val="00232AB7"/>
    <w:rsid w:val="00232AF0"/>
    <w:rsid w:val="00232AF2"/>
    <w:rsid w:val="00232C3C"/>
    <w:rsid w:val="00232D63"/>
    <w:rsid w:val="00232E44"/>
    <w:rsid w:val="00232ED3"/>
    <w:rsid w:val="00232EE5"/>
    <w:rsid w:val="00232F18"/>
    <w:rsid w:val="00232FD4"/>
    <w:rsid w:val="002330C2"/>
    <w:rsid w:val="002334E1"/>
    <w:rsid w:val="00233520"/>
    <w:rsid w:val="00233546"/>
    <w:rsid w:val="0023354E"/>
    <w:rsid w:val="002335F3"/>
    <w:rsid w:val="0023362F"/>
    <w:rsid w:val="00233637"/>
    <w:rsid w:val="00233750"/>
    <w:rsid w:val="002337CF"/>
    <w:rsid w:val="00233828"/>
    <w:rsid w:val="0023398E"/>
    <w:rsid w:val="00233A98"/>
    <w:rsid w:val="00233B03"/>
    <w:rsid w:val="00233B4E"/>
    <w:rsid w:val="00233C6F"/>
    <w:rsid w:val="00233CC4"/>
    <w:rsid w:val="00233D55"/>
    <w:rsid w:val="00233DB7"/>
    <w:rsid w:val="00233E73"/>
    <w:rsid w:val="00233EA1"/>
    <w:rsid w:val="0023401C"/>
    <w:rsid w:val="0023403B"/>
    <w:rsid w:val="0023404D"/>
    <w:rsid w:val="00234076"/>
    <w:rsid w:val="00234126"/>
    <w:rsid w:val="0023412C"/>
    <w:rsid w:val="002341A8"/>
    <w:rsid w:val="002341EF"/>
    <w:rsid w:val="0023421F"/>
    <w:rsid w:val="002342A3"/>
    <w:rsid w:val="00234397"/>
    <w:rsid w:val="002343DC"/>
    <w:rsid w:val="002344BD"/>
    <w:rsid w:val="002344C8"/>
    <w:rsid w:val="00234547"/>
    <w:rsid w:val="002345F0"/>
    <w:rsid w:val="002346C9"/>
    <w:rsid w:val="00234765"/>
    <w:rsid w:val="00234834"/>
    <w:rsid w:val="002348FE"/>
    <w:rsid w:val="00234961"/>
    <w:rsid w:val="002349AD"/>
    <w:rsid w:val="002349C4"/>
    <w:rsid w:val="00234A95"/>
    <w:rsid w:val="00234AAE"/>
    <w:rsid w:val="00234B02"/>
    <w:rsid w:val="00234C28"/>
    <w:rsid w:val="00234C33"/>
    <w:rsid w:val="00234C50"/>
    <w:rsid w:val="00234C5B"/>
    <w:rsid w:val="00234DD3"/>
    <w:rsid w:val="00234E1A"/>
    <w:rsid w:val="00234F83"/>
    <w:rsid w:val="00234FA5"/>
    <w:rsid w:val="0023508B"/>
    <w:rsid w:val="00235112"/>
    <w:rsid w:val="00235197"/>
    <w:rsid w:val="0023531D"/>
    <w:rsid w:val="00235356"/>
    <w:rsid w:val="0023566E"/>
    <w:rsid w:val="002356A5"/>
    <w:rsid w:val="002356AC"/>
    <w:rsid w:val="00235731"/>
    <w:rsid w:val="002357FA"/>
    <w:rsid w:val="00235870"/>
    <w:rsid w:val="002358FE"/>
    <w:rsid w:val="0023594C"/>
    <w:rsid w:val="0023596C"/>
    <w:rsid w:val="002359DA"/>
    <w:rsid w:val="002359F2"/>
    <w:rsid w:val="00235A21"/>
    <w:rsid w:val="00235B08"/>
    <w:rsid w:val="00235C95"/>
    <w:rsid w:val="00235D8B"/>
    <w:rsid w:val="00235FB9"/>
    <w:rsid w:val="0023601A"/>
    <w:rsid w:val="00236089"/>
    <w:rsid w:val="002360B0"/>
    <w:rsid w:val="00236145"/>
    <w:rsid w:val="002361CF"/>
    <w:rsid w:val="00236236"/>
    <w:rsid w:val="0023635E"/>
    <w:rsid w:val="0023639A"/>
    <w:rsid w:val="00236625"/>
    <w:rsid w:val="002366DE"/>
    <w:rsid w:val="002366E2"/>
    <w:rsid w:val="00236754"/>
    <w:rsid w:val="00236899"/>
    <w:rsid w:val="002368BD"/>
    <w:rsid w:val="0023699E"/>
    <w:rsid w:val="002369B0"/>
    <w:rsid w:val="00236ACB"/>
    <w:rsid w:val="00236B0E"/>
    <w:rsid w:val="00236B70"/>
    <w:rsid w:val="00236C87"/>
    <w:rsid w:val="00236D8B"/>
    <w:rsid w:val="00236E44"/>
    <w:rsid w:val="00236EDE"/>
    <w:rsid w:val="00236FA2"/>
    <w:rsid w:val="00236FB9"/>
    <w:rsid w:val="002370FA"/>
    <w:rsid w:val="0023721D"/>
    <w:rsid w:val="00237220"/>
    <w:rsid w:val="00237264"/>
    <w:rsid w:val="002372FD"/>
    <w:rsid w:val="0023742E"/>
    <w:rsid w:val="002374E9"/>
    <w:rsid w:val="002374F2"/>
    <w:rsid w:val="0023759C"/>
    <w:rsid w:val="002375C0"/>
    <w:rsid w:val="0023763C"/>
    <w:rsid w:val="00237691"/>
    <w:rsid w:val="002376BB"/>
    <w:rsid w:val="00237725"/>
    <w:rsid w:val="002377D5"/>
    <w:rsid w:val="00237839"/>
    <w:rsid w:val="00237946"/>
    <w:rsid w:val="00237A0F"/>
    <w:rsid w:val="00237A24"/>
    <w:rsid w:val="00237ACD"/>
    <w:rsid w:val="00237B1C"/>
    <w:rsid w:val="00237B95"/>
    <w:rsid w:val="00237C97"/>
    <w:rsid w:val="00237CC9"/>
    <w:rsid w:val="00237CEE"/>
    <w:rsid w:val="00237D59"/>
    <w:rsid w:val="00237D93"/>
    <w:rsid w:val="00237E47"/>
    <w:rsid w:val="00237E60"/>
    <w:rsid w:val="00237E9F"/>
    <w:rsid w:val="00237F13"/>
    <w:rsid w:val="00237FE7"/>
    <w:rsid w:val="002400CE"/>
    <w:rsid w:val="00240139"/>
    <w:rsid w:val="00240170"/>
    <w:rsid w:val="00240331"/>
    <w:rsid w:val="00240352"/>
    <w:rsid w:val="0024039D"/>
    <w:rsid w:val="002403DF"/>
    <w:rsid w:val="00240483"/>
    <w:rsid w:val="0024053B"/>
    <w:rsid w:val="00240607"/>
    <w:rsid w:val="002406FF"/>
    <w:rsid w:val="0024072C"/>
    <w:rsid w:val="002407F7"/>
    <w:rsid w:val="00240898"/>
    <w:rsid w:val="002408DD"/>
    <w:rsid w:val="0024099D"/>
    <w:rsid w:val="00240A0F"/>
    <w:rsid w:val="00240A9F"/>
    <w:rsid w:val="00240C85"/>
    <w:rsid w:val="00240D06"/>
    <w:rsid w:val="00240DCE"/>
    <w:rsid w:val="00240E90"/>
    <w:rsid w:val="00240F3C"/>
    <w:rsid w:val="00240FBB"/>
    <w:rsid w:val="00240FD5"/>
    <w:rsid w:val="00241094"/>
    <w:rsid w:val="002411C5"/>
    <w:rsid w:val="00241264"/>
    <w:rsid w:val="00241311"/>
    <w:rsid w:val="002413C1"/>
    <w:rsid w:val="00241415"/>
    <w:rsid w:val="00241416"/>
    <w:rsid w:val="0024154B"/>
    <w:rsid w:val="0024156B"/>
    <w:rsid w:val="002416E6"/>
    <w:rsid w:val="002417AD"/>
    <w:rsid w:val="0024184F"/>
    <w:rsid w:val="0024186B"/>
    <w:rsid w:val="002418C1"/>
    <w:rsid w:val="00241904"/>
    <w:rsid w:val="002419C4"/>
    <w:rsid w:val="00241A2D"/>
    <w:rsid w:val="00241A99"/>
    <w:rsid w:val="00241ACE"/>
    <w:rsid w:val="00241BA3"/>
    <w:rsid w:val="00241BE3"/>
    <w:rsid w:val="00241D57"/>
    <w:rsid w:val="00241E71"/>
    <w:rsid w:val="00241EEB"/>
    <w:rsid w:val="00241FE8"/>
    <w:rsid w:val="00242027"/>
    <w:rsid w:val="00242031"/>
    <w:rsid w:val="002420F4"/>
    <w:rsid w:val="0024214C"/>
    <w:rsid w:val="0024217B"/>
    <w:rsid w:val="002421D3"/>
    <w:rsid w:val="002421FD"/>
    <w:rsid w:val="002423D7"/>
    <w:rsid w:val="002423E0"/>
    <w:rsid w:val="0024247A"/>
    <w:rsid w:val="00242561"/>
    <w:rsid w:val="00242578"/>
    <w:rsid w:val="0024263D"/>
    <w:rsid w:val="00242671"/>
    <w:rsid w:val="00242733"/>
    <w:rsid w:val="002427F3"/>
    <w:rsid w:val="002428CF"/>
    <w:rsid w:val="002428FB"/>
    <w:rsid w:val="002429B5"/>
    <w:rsid w:val="002429FC"/>
    <w:rsid w:val="00242A31"/>
    <w:rsid w:val="00242A78"/>
    <w:rsid w:val="00242B25"/>
    <w:rsid w:val="00242B75"/>
    <w:rsid w:val="00242BF4"/>
    <w:rsid w:val="00242BF7"/>
    <w:rsid w:val="00242C49"/>
    <w:rsid w:val="00242C4B"/>
    <w:rsid w:val="00242C58"/>
    <w:rsid w:val="00242E50"/>
    <w:rsid w:val="00242FBD"/>
    <w:rsid w:val="00242FE5"/>
    <w:rsid w:val="0024300C"/>
    <w:rsid w:val="00243016"/>
    <w:rsid w:val="00243020"/>
    <w:rsid w:val="002431B7"/>
    <w:rsid w:val="0024331B"/>
    <w:rsid w:val="00243370"/>
    <w:rsid w:val="0024338E"/>
    <w:rsid w:val="002433D9"/>
    <w:rsid w:val="002433EB"/>
    <w:rsid w:val="002434D1"/>
    <w:rsid w:val="002434D6"/>
    <w:rsid w:val="0024353E"/>
    <w:rsid w:val="00243549"/>
    <w:rsid w:val="00243556"/>
    <w:rsid w:val="0024364F"/>
    <w:rsid w:val="002437C0"/>
    <w:rsid w:val="002437D0"/>
    <w:rsid w:val="00243852"/>
    <w:rsid w:val="00243881"/>
    <w:rsid w:val="002438A2"/>
    <w:rsid w:val="002439E6"/>
    <w:rsid w:val="00243A65"/>
    <w:rsid w:val="00243A88"/>
    <w:rsid w:val="00243B19"/>
    <w:rsid w:val="00243B23"/>
    <w:rsid w:val="00243B93"/>
    <w:rsid w:val="00243C30"/>
    <w:rsid w:val="00243CDA"/>
    <w:rsid w:val="00243D21"/>
    <w:rsid w:val="00243D6D"/>
    <w:rsid w:val="00243D89"/>
    <w:rsid w:val="00243D9E"/>
    <w:rsid w:val="00243DB0"/>
    <w:rsid w:val="00243E6C"/>
    <w:rsid w:val="00243F67"/>
    <w:rsid w:val="00243F76"/>
    <w:rsid w:val="00244079"/>
    <w:rsid w:val="002441AE"/>
    <w:rsid w:val="0024420B"/>
    <w:rsid w:val="00244275"/>
    <w:rsid w:val="0024427F"/>
    <w:rsid w:val="002442AE"/>
    <w:rsid w:val="0024439F"/>
    <w:rsid w:val="002443D6"/>
    <w:rsid w:val="002444D3"/>
    <w:rsid w:val="00244520"/>
    <w:rsid w:val="002445BB"/>
    <w:rsid w:val="00244638"/>
    <w:rsid w:val="0024479D"/>
    <w:rsid w:val="00244995"/>
    <w:rsid w:val="002449E9"/>
    <w:rsid w:val="00244A1C"/>
    <w:rsid w:val="00244A2F"/>
    <w:rsid w:val="00244A58"/>
    <w:rsid w:val="00244A68"/>
    <w:rsid w:val="00244A79"/>
    <w:rsid w:val="00244AC6"/>
    <w:rsid w:val="00244AE5"/>
    <w:rsid w:val="00244C8A"/>
    <w:rsid w:val="00244C9C"/>
    <w:rsid w:val="00244D20"/>
    <w:rsid w:val="00244D25"/>
    <w:rsid w:val="00244D75"/>
    <w:rsid w:val="00244DF1"/>
    <w:rsid w:val="00244DFE"/>
    <w:rsid w:val="00244FC1"/>
    <w:rsid w:val="002450FA"/>
    <w:rsid w:val="002451AB"/>
    <w:rsid w:val="00245216"/>
    <w:rsid w:val="0024522F"/>
    <w:rsid w:val="002452A7"/>
    <w:rsid w:val="00245370"/>
    <w:rsid w:val="002453CF"/>
    <w:rsid w:val="00245460"/>
    <w:rsid w:val="0024549E"/>
    <w:rsid w:val="00245514"/>
    <w:rsid w:val="002455E4"/>
    <w:rsid w:val="00245683"/>
    <w:rsid w:val="00245735"/>
    <w:rsid w:val="002457FD"/>
    <w:rsid w:val="00245857"/>
    <w:rsid w:val="002458B1"/>
    <w:rsid w:val="002458BA"/>
    <w:rsid w:val="002459C4"/>
    <w:rsid w:val="00245A22"/>
    <w:rsid w:val="00245A55"/>
    <w:rsid w:val="00245A70"/>
    <w:rsid w:val="00245A9A"/>
    <w:rsid w:val="00245BCA"/>
    <w:rsid w:val="00245C6E"/>
    <w:rsid w:val="00245CB8"/>
    <w:rsid w:val="00245CCF"/>
    <w:rsid w:val="00245D0F"/>
    <w:rsid w:val="00245D42"/>
    <w:rsid w:val="002460BD"/>
    <w:rsid w:val="002460EF"/>
    <w:rsid w:val="00246119"/>
    <w:rsid w:val="00246136"/>
    <w:rsid w:val="00246140"/>
    <w:rsid w:val="0024628C"/>
    <w:rsid w:val="002462B0"/>
    <w:rsid w:val="002462BE"/>
    <w:rsid w:val="00246341"/>
    <w:rsid w:val="00246374"/>
    <w:rsid w:val="002463A7"/>
    <w:rsid w:val="00246454"/>
    <w:rsid w:val="00246478"/>
    <w:rsid w:val="00246483"/>
    <w:rsid w:val="002464A0"/>
    <w:rsid w:val="002464C9"/>
    <w:rsid w:val="00246509"/>
    <w:rsid w:val="00246518"/>
    <w:rsid w:val="002465CF"/>
    <w:rsid w:val="002466F4"/>
    <w:rsid w:val="00246714"/>
    <w:rsid w:val="00246783"/>
    <w:rsid w:val="0024681F"/>
    <w:rsid w:val="002468B8"/>
    <w:rsid w:val="002468C7"/>
    <w:rsid w:val="00246952"/>
    <w:rsid w:val="00246977"/>
    <w:rsid w:val="00246B12"/>
    <w:rsid w:val="00246B56"/>
    <w:rsid w:val="00246B79"/>
    <w:rsid w:val="00246B7B"/>
    <w:rsid w:val="00246CCD"/>
    <w:rsid w:val="00246CE6"/>
    <w:rsid w:val="00246CE9"/>
    <w:rsid w:val="00246D5E"/>
    <w:rsid w:val="00246DA6"/>
    <w:rsid w:val="00246FF6"/>
    <w:rsid w:val="00247029"/>
    <w:rsid w:val="0024708F"/>
    <w:rsid w:val="00247111"/>
    <w:rsid w:val="00247184"/>
    <w:rsid w:val="0024719F"/>
    <w:rsid w:val="002471B2"/>
    <w:rsid w:val="002471E5"/>
    <w:rsid w:val="00247257"/>
    <w:rsid w:val="002472D8"/>
    <w:rsid w:val="002472E5"/>
    <w:rsid w:val="00247306"/>
    <w:rsid w:val="002473D5"/>
    <w:rsid w:val="002473FE"/>
    <w:rsid w:val="002474B4"/>
    <w:rsid w:val="0024757E"/>
    <w:rsid w:val="0024764E"/>
    <w:rsid w:val="00247665"/>
    <w:rsid w:val="002476C2"/>
    <w:rsid w:val="002476D6"/>
    <w:rsid w:val="00247733"/>
    <w:rsid w:val="002477B5"/>
    <w:rsid w:val="002477C6"/>
    <w:rsid w:val="00247824"/>
    <w:rsid w:val="002478E4"/>
    <w:rsid w:val="00247914"/>
    <w:rsid w:val="0024797A"/>
    <w:rsid w:val="002479B3"/>
    <w:rsid w:val="00247A6E"/>
    <w:rsid w:val="00247A85"/>
    <w:rsid w:val="00247A96"/>
    <w:rsid w:val="00247AC5"/>
    <w:rsid w:val="00247AEC"/>
    <w:rsid w:val="00247AFD"/>
    <w:rsid w:val="00247B7B"/>
    <w:rsid w:val="00247C4A"/>
    <w:rsid w:val="00247F01"/>
    <w:rsid w:val="00247F15"/>
    <w:rsid w:val="00247F46"/>
    <w:rsid w:val="00250047"/>
    <w:rsid w:val="0025016F"/>
    <w:rsid w:val="002501CD"/>
    <w:rsid w:val="00250243"/>
    <w:rsid w:val="002502B2"/>
    <w:rsid w:val="002502BE"/>
    <w:rsid w:val="0025036A"/>
    <w:rsid w:val="002504F5"/>
    <w:rsid w:val="002507B4"/>
    <w:rsid w:val="002508C5"/>
    <w:rsid w:val="0025096D"/>
    <w:rsid w:val="0025096F"/>
    <w:rsid w:val="00250A34"/>
    <w:rsid w:val="00250ABF"/>
    <w:rsid w:val="00250B89"/>
    <w:rsid w:val="00250B97"/>
    <w:rsid w:val="00250C54"/>
    <w:rsid w:val="00250CC5"/>
    <w:rsid w:val="00250D54"/>
    <w:rsid w:val="00250DA4"/>
    <w:rsid w:val="00250DB7"/>
    <w:rsid w:val="00250DDF"/>
    <w:rsid w:val="00250E3F"/>
    <w:rsid w:val="00250E65"/>
    <w:rsid w:val="00250F35"/>
    <w:rsid w:val="00250FFE"/>
    <w:rsid w:val="0025103A"/>
    <w:rsid w:val="002512F7"/>
    <w:rsid w:val="0025134E"/>
    <w:rsid w:val="00251356"/>
    <w:rsid w:val="00251485"/>
    <w:rsid w:val="00251552"/>
    <w:rsid w:val="00251561"/>
    <w:rsid w:val="002515D4"/>
    <w:rsid w:val="002516CA"/>
    <w:rsid w:val="0025171B"/>
    <w:rsid w:val="0025176B"/>
    <w:rsid w:val="0025179C"/>
    <w:rsid w:val="002517F9"/>
    <w:rsid w:val="0025197A"/>
    <w:rsid w:val="002519BB"/>
    <w:rsid w:val="00251A4F"/>
    <w:rsid w:val="00251A82"/>
    <w:rsid w:val="00251B82"/>
    <w:rsid w:val="00251BA2"/>
    <w:rsid w:val="00251BB6"/>
    <w:rsid w:val="00251C28"/>
    <w:rsid w:val="00251D60"/>
    <w:rsid w:val="00251DDD"/>
    <w:rsid w:val="00251E87"/>
    <w:rsid w:val="00251F2A"/>
    <w:rsid w:val="00251F62"/>
    <w:rsid w:val="00251F8C"/>
    <w:rsid w:val="00252010"/>
    <w:rsid w:val="002520BF"/>
    <w:rsid w:val="0025213E"/>
    <w:rsid w:val="002522AA"/>
    <w:rsid w:val="002522D2"/>
    <w:rsid w:val="0025236A"/>
    <w:rsid w:val="002523E1"/>
    <w:rsid w:val="002524F4"/>
    <w:rsid w:val="0025252A"/>
    <w:rsid w:val="00252546"/>
    <w:rsid w:val="0025258B"/>
    <w:rsid w:val="002525B8"/>
    <w:rsid w:val="002525D6"/>
    <w:rsid w:val="00252610"/>
    <w:rsid w:val="00252611"/>
    <w:rsid w:val="002526D0"/>
    <w:rsid w:val="00252799"/>
    <w:rsid w:val="002527F9"/>
    <w:rsid w:val="00252889"/>
    <w:rsid w:val="002528BD"/>
    <w:rsid w:val="002528F7"/>
    <w:rsid w:val="00252A2B"/>
    <w:rsid w:val="00252AAB"/>
    <w:rsid w:val="00252C1A"/>
    <w:rsid w:val="00252C1F"/>
    <w:rsid w:val="00252C36"/>
    <w:rsid w:val="00252CF4"/>
    <w:rsid w:val="00252D12"/>
    <w:rsid w:val="00252D27"/>
    <w:rsid w:val="00252E01"/>
    <w:rsid w:val="00252E31"/>
    <w:rsid w:val="00252E8E"/>
    <w:rsid w:val="00252F1E"/>
    <w:rsid w:val="00252F62"/>
    <w:rsid w:val="0025300D"/>
    <w:rsid w:val="0025305A"/>
    <w:rsid w:val="00253068"/>
    <w:rsid w:val="002530D2"/>
    <w:rsid w:val="0025316C"/>
    <w:rsid w:val="00253182"/>
    <w:rsid w:val="00253194"/>
    <w:rsid w:val="002531BB"/>
    <w:rsid w:val="002531F7"/>
    <w:rsid w:val="00253207"/>
    <w:rsid w:val="0025323D"/>
    <w:rsid w:val="002533C5"/>
    <w:rsid w:val="00253443"/>
    <w:rsid w:val="0025349B"/>
    <w:rsid w:val="00253646"/>
    <w:rsid w:val="002536F1"/>
    <w:rsid w:val="002537CD"/>
    <w:rsid w:val="002537E7"/>
    <w:rsid w:val="002538AC"/>
    <w:rsid w:val="002538AF"/>
    <w:rsid w:val="0025394E"/>
    <w:rsid w:val="0025396B"/>
    <w:rsid w:val="00253B02"/>
    <w:rsid w:val="00253B16"/>
    <w:rsid w:val="00253B90"/>
    <w:rsid w:val="00253BD9"/>
    <w:rsid w:val="00253BDB"/>
    <w:rsid w:val="00253C09"/>
    <w:rsid w:val="00253C8A"/>
    <w:rsid w:val="00253C97"/>
    <w:rsid w:val="00253CD5"/>
    <w:rsid w:val="00253D2E"/>
    <w:rsid w:val="00253EB1"/>
    <w:rsid w:val="00253ECF"/>
    <w:rsid w:val="00253F19"/>
    <w:rsid w:val="00253F76"/>
    <w:rsid w:val="00253FDB"/>
    <w:rsid w:val="002541D9"/>
    <w:rsid w:val="0025433C"/>
    <w:rsid w:val="00254343"/>
    <w:rsid w:val="002543D2"/>
    <w:rsid w:val="002543DD"/>
    <w:rsid w:val="00254492"/>
    <w:rsid w:val="0025453C"/>
    <w:rsid w:val="00254542"/>
    <w:rsid w:val="00254575"/>
    <w:rsid w:val="0025458F"/>
    <w:rsid w:val="00254618"/>
    <w:rsid w:val="00254639"/>
    <w:rsid w:val="0025471A"/>
    <w:rsid w:val="00254756"/>
    <w:rsid w:val="00254799"/>
    <w:rsid w:val="0025484E"/>
    <w:rsid w:val="0025489B"/>
    <w:rsid w:val="002549DA"/>
    <w:rsid w:val="00254A22"/>
    <w:rsid w:val="00254A6D"/>
    <w:rsid w:val="00254A76"/>
    <w:rsid w:val="00254A80"/>
    <w:rsid w:val="00254AE8"/>
    <w:rsid w:val="00254B25"/>
    <w:rsid w:val="00254B8B"/>
    <w:rsid w:val="00254C53"/>
    <w:rsid w:val="00254CC2"/>
    <w:rsid w:val="00254FC0"/>
    <w:rsid w:val="00255029"/>
    <w:rsid w:val="00255033"/>
    <w:rsid w:val="00255059"/>
    <w:rsid w:val="00255083"/>
    <w:rsid w:val="00255119"/>
    <w:rsid w:val="00255191"/>
    <w:rsid w:val="002552E7"/>
    <w:rsid w:val="002552EA"/>
    <w:rsid w:val="002554AA"/>
    <w:rsid w:val="002554DB"/>
    <w:rsid w:val="00255527"/>
    <w:rsid w:val="00255606"/>
    <w:rsid w:val="00255631"/>
    <w:rsid w:val="00255788"/>
    <w:rsid w:val="002558F1"/>
    <w:rsid w:val="002559CE"/>
    <w:rsid w:val="00255BEA"/>
    <w:rsid w:val="00255C5B"/>
    <w:rsid w:val="00255DA3"/>
    <w:rsid w:val="00255F19"/>
    <w:rsid w:val="0025624E"/>
    <w:rsid w:val="0025628C"/>
    <w:rsid w:val="0025634A"/>
    <w:rsid w:val="002565DB"/>
    <w:rsid w:val="002566AD"/>
    <w:rsid w:val="0025671A"/>
    <w:rsid w:val="00256736"/>
    <w:rsid w:val="00256793"/>
    <w:rsid w:val="00256822"/>
    <w:rsid w:val="0025684B"/>
    <w:rsid w:val="00256960"/>
    <w:rsid w:val="00256A08"/>
    <w:rsid w:val="00256A8C"/>
    <w:rsid w:val="00256CD2"/>
    <w:rsid w:val="00256D9F"/>
    <w:rsid w:val="00256DCB"/>
    <w:rsid w:val="00256E34"/>
    <w:rsid w:val="00256E75"/>
    <w:rsid w:val="00256E8A"/>
    <w:rsid w:val="00256E9B"/>
    <w:rsid w:val="00256F07"/>
    <w:rsid w:val="00256F22"/>
    <w:rsid w:val="00256F6F"/>
    <w:rsid w:val="00256F7D"/>
    <w:rsid w:val="00256FA4"/>
    <w:rsid w:val="00257277"/>
    <w:rsid w:val="00257461"/>
    <w:rsid w:val="002574CC"/>
    <w:rsid w:val="00257698"/>
    <w:rsid w:val="00257706"/>
    <w:rsid w:val="002577A8"/>
    <w:rsid w:val="0025789C"/>
    <w:rsid w:val="002578EB"/>
    <w:rsid w:val="00257907"/>
    <w:rsid w:val="0025790E"/>
    <w:rsid w:val="00257A44"/>
    <w:rsid w:val="00257A6C"/>
    <w:rsid w:val="00257A96"/>
    <w:rsid w:val="00257AC2"/>
    <w:rsid w:val="00257ACA"/>
    <w:rsid w:val="00257B87"/>
    <w:rsid w:val="00257C32"/>
    <w:rsid w:val="00257D55"/>
    <w:rsid w:val="00257DD5"/>
    <w:rsid w:val="00257E71"/>
    <w:rsid w:val="00260028"/>
    <w:rsid w:val="00260152"/>
    <w:rsid w:val="0026016C"/>
    <w:rsid w:val="002601AE"/>
    <w:rsid w:val="0026020D"/>
    <w:rsid w:val="00260312"/>
    <w:rsid w:val="002603E7"/>
    <w:rsid w:val="00260613"/>
    <w:rsid w:val="00260640"/>
    <w:rsid w:val="002606FA"/>
    <w:rsid w:val="00260777"/>
    <w:rsid w:val="002607FB"/>
    <w:rsid w:val="002608C1"/>
    <w:rsid w:val="002609A6"/>
    <w:rsid w:val="00260A41"/>
    <w:rsid w:val="00260A5B"/>
    <w:rsid w:val="00260AF0"/>
    <w:rsid w:val="00260B01"/>
    <w:rsid w:val="00260B02"/>
    <w:rsid w:val="00260B69"/>
    <w:rsid w:val="00260B9C"/>
    <w:rsid w:val="00260BE7"/>
    <w:rsid w:val="00260BF3"/>
    <w:rsid w:val="00260C17"/>
    <w:rsid w:val="00260D2E"/>
    <w:rsid w:val="00260D50"/>
    <w:rsid w:val="00261149"/>
    <w:rsid w:val="00261267"/>
    <w:rsid w:val="00261285"/>
    <w:rsid w:val="002612AB"/>
    <w:rsid w:val="0026158A"/>
    <w:rsid w:val="0026163B"/>
    <w:rsid w:val="00261777"/>
    <w:rsid w:val="002617FD"/>
    <w:rsid w:val="00261803"/>
    <w:rsid w:val="002618B9"/>
    <w:rsid w:val="002618BA"/>
    <w:rsid w:val="00261917"/>
    <w:rsid w:val="00261A37"/>
    <w:rsid w:val="00261AB1"/>
    <w:rsid w:val="00261B82"/>
    <w:rsid w:val="00261BD4"/>
    <w:rsid w:val="00261BDB"/>
    <w:rsid w:val="00261D02"/>
    <w:rsid w:val="00261D37"/>
    <w:rsid w:val="00261D56"/>
    <w:rsid w:val="00261DA5"/>
    <w:rsid w:val="00261DCB"/>
    <w:rsid w:val="00261E1D"/>
    <w:rsid w:val="00262050"/>
    <w:rsid w:val="0026219C"/>
    <w:rsid w:val="00262210"/>
    <w:rsid w:val="002622E9"/>
    <w:rsid w:val="0026236B"/>
    <w:rsid w:val="00262407"/>
    <w:rsid w:val="002626A9"/>
    <w:rsid w:val="00262748"/>
    <w:rsid w:val="002627EC"/>
    <w:rsid w:val="00262A7F"/>
    <w:rsid w:val="00262AD5"/>
    <w:rsid w:val="00262AED"/>
    <w:rsid w:val="00262B2E"/>
    <w:rsid w:val="00262D42"/>
    <w:rsid w:val="00262D52"/>
    <w:rsid w:val="00262DE8"/>
    <w:rsid w:val="00262EB0"/>
    <w:rsid w:val="00262F29"/>
    <w:rsid w:val="00263006"/>
    <w:rsid w:val="00263046"/>
    <w:rsid w:val="00263070"/>
    <w:rsid w:val="00263081"/>
    <w:rsid w:val="00263090"/>
    <w:rsid w:val="00263246"/>
    <w:rsid w:val="0026336D"/>
    <w:rsid w:val="002633DF"/>
    <w:rsid w:val="002633F9"/>
    <w:rsid w:val="0026347C"/>
    <w:rsid w:val="002634E8"/>
    <w:rsid w:val="00263567"/>
    <w:rsid w:val="00263570"/>
    <w:rsid w:val="0026357A"/>
    <w:rsid w:val="002635A7"/>
    <w:rsid w:val="00263683"/>
    <w:rsid w:val="00263687"/>
    <w:rsid w:val="002636FB"/>
    <w:rsid w:val="00263764"/>
    <w:rsid w:val="00263767"/>
    <w:rsid w:val="00263864"/>
    <w:rsid w:val="0026389C"/>
    <w:rsid w:val="00263960"/>
    <w:rsid w:val="002639FC"/>
    <w:rsid w:val="00263A8F"/>
    <w:rsid w:val="00263AD5"/>
    <w:rsid w:val="00263AF5"/>
    <w:rsid w:val="00263B17"/>
    <w:rsid w:val="00263B53"/>
    <w:rsid w:val="00263B65"/>
    <w:rsid w:val="00263B89"/>
    <w:rsid w:val="00263C8C"/>
    <w:rsid w:val="00263D11"/>
    <w:rsid w:val="00263D16"/>
    <w:rsid w:val="00263D8E"/>
    <w:rsid w:val="00263E2E"/>
    <w:rsid w:val="00263E3C"/>
    <w:rsid w:val="00263E4E"/>
    <w:rsid w:val="00263E67"/>
    <w:rsid w:val="00263EC6"/>
    <w:rsid w:val="00263EF2"/>
    <w:rsid w:val="00263F1C"/>
    <w:rsid w:val="00263FFB"/>
    <w:rsid w:val="0026400A"/>
    <w:rsid w:val="0026402E"/>
    <w:rsid w:val="002640AE"/>
    <w:rsid w:val="002640BA"/>
    <w:rsid w:val="00264167"/>
    <w:rsid w:val="002641D4"/>
    <w:rsid w:val="00264242"/>
    <w:rsid w:val="002642F4"/>
    <w:rsid w:val="002642F8"/>
    <w:rsid w:val="00264404"/>
    <w:rsid w:val="002645D7"/>
    <w:rsid w:val="00264653"/>
    <w:rsid w:val="0026473A"/>
    <w:rsid w:val="00264858"/>
    <w:rsid w:val="00264896"/>
    <w:rsid w:val="002648B9"/>
    <w:rsid w:val="002649F9"/>
    <w:rsid w:val="00264A43"/>
    <w:rsid w:val="00264A6F"/>
    <w:rsid w:val="00264A7F"/>
    <w:rsid w:val="00264B14"/>
    <w:rsid w:val="00264BB1"/>
    <w:rsid w:val="00264BD5"/>
    <w:rsid w:val="00264CAA"/>
    <w:rsid w:val="00264D33"/>
    <w:rsid w:val="00264D47"/>
    <w:rsid w:val="00264D57"/>
    <w:rsid w:val="00264E00"/>
    <w:rsid w:val="00264E26"/>
    <w:rsid w:val="00264EC5"/>
    <w:rsid w:val="0026507E"/>
    <w:rsid w:val="002650CE"/>
    <w:rsid w:val="00265156"/>
    <w:rsid w:val="002651E9"/>
    <w:rsid w:val="00265268"/>
    <w:rsid w:val="002652ED"/>
    <w:rsid w:val="00265348"/>
    <w:rsid w:val="00265372"/>
    <w:rsid w:val="00265537"/>
    <w:rsid w:val="00265558"/>
    <w:rsid w:val="002655A2"/>
    <w:rsid w:val="0026561B"/>
    <w:rsid w:val="00265683"/>
    <w:rsid w:val="00265687"/>
    <w:rsid w:val="0026570E"/>
    <w:rsid w:val="00265733"/>
    <w:rsid w:val="002658BB"/>
    <w:rsid w:val="002658DD"/>
    <w:rsid w:val="002658FE"/>
    <w:rsid w:val="0026591E"/>
    <w:rsid w:val="00265A1D"/>
    <w:rsid w:val="00265AA8"/>
    <w:rsid w:val="00265B26"/>
    <w:rsid w:val="00265C00"/>
    <w:rsid w:val="00265C8C"/>
    <w:rsid w:val="00265D78"/>
    <w:rsid w:val="00265E2A"/>
    <w:rsid w:val="00265E9D"/>
    <w:rsid w:val="00265F5B"/>
    <w:rsid w:val="00265F5D"/>
    <w:rsid w:val="002660C0"/>
    <w:rsid w:val="00266110"/>
    <w:rsid w:val="0026630A"/>
    <w:rsid w:val="00266388"/>
    <w:rsid w:val="002663AD"/>
    <w:rsid w:val="002663F6"/>
    <w:rsid w:val="002664E8"/>
    <w:rsid w:val="00266515"/>
    <w:rsid w:val="00266578"/>
    <w:rsid w:val="0026672A"/>
    <w:rsid w:val="002667FD"/>
    <w:rsid w:val="0026681A"/>
    <w:rsid w:val="00266995"/>
    <w:rsid w:val="002669A1"/>
    <w:rsid w:val="00266A4D"/>
    <w:rsid w:val="00266AEB"/>
    <w:rsid w:val="00266BCC"/>
    <w:rsid w:val="00266CEE"/>
    <w:rsid w:val="00266D13"/>
    <w:rsid w:val="00266D39"/>
    <w:rsid w:val="00266F1C"/>
    <w:rsid w:val="002670A1"/>
    <w:rsid w:val="002670F4"/>
    <w:rsid w:val="0026712A"/>
    <w:rsid w:val="00267163"/>
    <w:rsid w:val="0026726B"/>
    <w:rsid w:val="002672A9"/>
    <w:rsid w:val="002672B0"/>
    <w:rsid w:val="002672B4"/>
    <w:rsid w:val="002672C4"/>
    <w:rsid w:val="002672F4"/>
    <w:rsid w:val="002672FD"/>
    <w:rsid w:val="0026740D"/>
    <w:rsid w:val="00267480"/>
    <w:rsid w:val="00267487"/>
    <w:rsid w:val="0026748A"/>
    <w:rsid w:val="002675BB"/>
    <w:rsid w:val="002675E2"/>
    <w:rsid w:val="00267679"/>
    <w:rsid w:val="0026769E"/>
    <w:rsid w:val="00267711"/>
    <w:rsid w:val="00267941"/>
    <w:rsid w:val="00267991"/>
    <w:rsid w:val="00267AC4"/>
    <w:rsid w:val="00267AFB"/>
    <w:rsid w:val="00267CDC"/>
    <w:rsid w:val="00267D1E"/>
    <w:rsid w:val="00267D48"/>
    <w:rsid w:val="00267F81"/>
    <w:rsid w:val="00270055"/>
    <w:rsid w:val="0027005C"/>
    <w:rsid w:val="00270084"/>
    <w:rsid w:val="002700FB"/>
    <w:rsid w:val="00270117"/>
    <w:rsid w:val="00270132"/>
    <w:rsid w:val="00270187"/>
    <w:rsid w:val="002701E3"/>
    <w:rsid w:val="002701E9"/>
    <w:rsid w:val="002701F0"/>
    <w:rsid w:val="002702CA"/>
    <w:rsid w:val="00270342"/>
    <w:rsid w:val="00270441"/>
    <w:rsid w:val="00270462"/>
    <w:rsid w:val="002704BC"/>
    <w:rsid w:val="00270551"/>
    <w:rsid w:val="002705AC"/>
    <w:rsid w:val="002705BD"/>
    <w:rsid w:val="00270687"/>
    <w:rsid w:val="002707D9"/>
    <w:rsid w:val="00270896"/>
    <w:rsid w:val="002708FB"/>
    <w:rsid w:val="00270923"/>
    <w:rsid w:val="00270A37"/>
    <w:rsid w:val="00270AF6"/>
    <w:rsid w:val="00270B69"/>
    <w:rsid w:val="00270C31"/>
    <w:rsid w:val="00270C71"/>
    <w:rsid w:val="00270E89"/>
    <w:rsid w:val="00270F1D"/>
    <w:rsid w:val="00271036"/>
    <w:rsid w:val="002710FA"/>
    <w:rsid w:val="0027112F"/>
    <w:rsid w:val="002711FC"/>
    <w:rsid w:val="002714C9"/>
    <w:rsid w:val="002714CF"/>
    <w:rsid w:val="0027152F"/>
    <w:rsid w:val="0027172F"/>
    <w:rsid w:val="00271925"/>
    <w:rsid w:val="00271972"/>
    <w:rsid w:val="00271A83"/>
    <w:rsid w:val="00271AB5"/>
    <w:rsid w:val="00271AE9"/>
    <w:rsid w:val="00271B77"/>
    <w:rsid w:val="00271BF4"/>
    <w:rsid w:val="00271C9A"/>
    <w:rsid w:val="00271CBA"/>
    <w:rsid w:val="00271D31"/>
    <w:rsid w:val="00271DFC"/>
    <w:rsid w:val="00271E24"/>
    <w:rsid w:val="00271EF0"/>
    <w:rsid w:val="00271FD0"/>
    <w:rsid w:val="00272145"/>
    <w:rsid w:val="00272285"/>
    <w:rsid w:val="0027231F"/>
    <w:rsid w:val="0027244E"/>
    <w:rsid w:val="002724E1"/>
    <w:rsid w:val="002724ED"/>
    <w:rsid w:val="00272669"/>
    <w:rsid w:val="002726FD"/>
    <w:rsid w:val="0027272C"/>
    <w:rsid w:val="00272794"/>
    <w:rsid w:val="00272872"/>
    <w:rsid w:val="002728EF"/>
    <w:rsid w:val="002728F9"/>
    <w:rsid w:val="002729EB"/>
    <w:rsid w:val="00272A96"/>
    <w:rsid w:val="00272B8D"/>
    <w:rsid w:val="00272CAB"/>
    <w:rsid w:val="00272CC3"/>
    <w:rsid w:val="00272D67"/>
    <w:rsid w:val="00272ED1"/>
    <w:rsid w:val="00272F03"/>
    <w:rsid w:val="00272F70"/>
    <w:rsid w:val="0027307D"/>
    <w:rsid w:val="00273155"/>
    <w:rsid w:val="002731D7"/>
    <w:rsid w:val="00273254"/>
    <w:rsid w:val="00273312"/>
    <w:rsid w:val="0027341C"/>
    <w:rsid w:val="002734C0"/>
    <w:rsid w:val="002734D0"/>
    <w:rsid w:val="00273536"/>
    <w:rsid w:val="002736FB"/>
    <w:rsid w:val="002737DD"/>
    <w:rsid w:val="00273882"/>
    <w:rsid w:val="002738A3"/>
    <w:rsid w:val="00273932"/>
    <w:rsid w:val="00273976"/>
    <w:rsid w:val="002739FC"/>
    <w:rsid w:val="00273A5D"/>
    <w:rsid w:val="00273B66"/>
    <w:rsid w:val="00273BC6"/>
    <w:rsid w:val="00273D03"/>
    <w:rsid w:val="00273D13"/>
    <w:rsid w:val="00273D72"/>
    <w:rsid w:val="00273E1C"/>
    <w:rsid w:val="00273FD4"/>
    <w:rsid w:val="00274076"/>
    <w:rsid w:val="0027411A"/>
    <w:rsid w:val="00274126"/>
    <w:rsid w:val="00274356"/>
    <w:rsid w:val="00274441"/>
    <w:rsid w:val="00274482"/>
    <w:rsid w:val="002744E2"/>
    <w:rsid w:val="002744FD"/>
    <w:rsid w:val="00274699"/>
    <w:rsid w:val="00274850"/>
    <w:rsid w:val="00274851"/>
    <w:rsid w:val="00274866"/>
    <w:rsid w:val="002748A4"/>
    <w:rsid w:val="002749E0"/>
    <w:rsid w:val="00274A4E"/>
    <w:rsid w:val="00274B6C"/>
    <w:rsid w:val="00274C57"/>
    <w:rsid w:val="00274CFB"/>
    <w:rsid w:val="00274D83"/>
    <w:rsid w:val="00274DCA"/>
    <w:rsid w:val="00274E0D"/>
    <w:rsid w:val="00274E3E"/>
    <w:rsid w:val="00274F95"/>
    <w:rsid w:val="00275037"/>
    <w:rsid w:val="00275082"/>
    <w:rsid w:val="002750A3"/>
    <w:rsid w:val="002750C2"/>
    <w:rsid w:val="0027516F"/>
    <w:rsid w:val="00275187"/>
    <w:rsid w:val="00275336"/>
    <w:rsid w:val="002753B5"/>
    <w:rsid w:val="00275420"/>
    <w:rsid w:val="0027548D"/>
    <w:rsid w:val="002754D4"/>
    <w:rsid w:val="00275529"/>
    <w:rsid w:val="00275547"/>
    <w:rsid w:val="002758B8"/>
    <w:rsid w:val="00275934"/>
    <w:rsid w:val="00275952"/>
    <w:rsid w:val="00275970"/>
    <w:rsid w:val="00275973"/>
    <w:rsid w:val="00275999"/>
    <w:rsid w:val="00275B9F"/>
    <w:rsid w:val="00275D13"/>
    <w:rsid w:val="00275D6C"/>
    <w:rsid w:val="00275DDB"/>
    <w:rsid w:val="00275E41"/>
    <w:rsid w:val="00275E79"/>
    <w:rsid w:val="00275E7D"/>
    <w:rsid w:val="00275F20"/>
    <w:rsid w:val="00275F5F"/>
    <w:rsid w:val="00275F86"/>
    <w:rsid w:val="00276005"/>
    <w:rsid w:val="00276013"/>
    <w:rsid w:val="002763AC"/>
    <w:rsid w:val="002763CE"/>
    <w:rsid w:val="002764B8"/>
    <w:rsid w:val="00276576"/>
    <w:rsid w:val="00276581"/>
    <w:rsid w:val="00276636"/>
    <w:rsid w:val="00276685"/>
    <w:rsid w:val="0027670A"/>
    <w:rsid w:val="00276759"/>
    <w:rsid w:val="0027676C"/>
    <w:rsid w:val="002768CD"/>
    <w:rsid w:val="002769EA"/>
    <w:rsid w:val="00276B4D"/>
    <w:rsid w:val="00276B71"/>
    <w:rsid w:val="00276B8E"/>
    <w:rsid w:val="00276D0E"/>
    <w:rsid w:val="00276D4C"/>
    <w:rsid w:val="00276E1D"/>
    <w:rsid w:val="00276E34"/>
    <w:rsid w:val="00276E63"/>
    <w:rsid w:val="00276E67"/>
    <w:rsid w:val="00276E69"/>
    <w:rsid w:val="00276F09"/>
    <w:rsid w:val="00277065"/>
    <w:rsid w:val="002770BA"/>
    <w:rsid w:val="002770E6"/>
    <w:rsid w:val="002771B1"/>
    <w:rsid w:val="002772ED"/>
    <w:rsid w:val="00277393"/>
    <w:rsid w:val="002773AD"/>
    <w:rsid w:val="002773FD"/>
    <w:rsid w:val="002774BA"/>
    <w:rsid w:val="002774F1"/>
    <w:rsid w:val="002774F2"/>
    <w:rsid w:val="002774FB"/>
    <w:rsid w:val="00277683"/>
    <w:rsid w:val="002776C8"/>
    <w:rsid w:val="002776DB"/>
    <w:rsid w:val="0027779C"/>
    <w:rsid w:val="00277974"/>
    <w:rsid w:val="002779BF"/>
    <w:rsid w:val="002779ED"/>
    <w:rsid w:val="00277AE8"/>
    <w:rsid w:val="00277B2E"/>
    <w:rsid w:val="00277BFB"/>
    <w:rsid w:val="00277C38"/>
    <w:rsid w:val="00277D9A"/>
    <w:rsid w:val="00277DAB"/>
    <w:rsid w:val="00277DB7"/>
    <w:rsid w:val="00277DDD"/>
    <w:rsid w:val="00277DFC"/>
    <w:rsid w:val="00277E53"/>
    <w:rsid w:val="00277E65"/>
    <w:rsid w:val="00277F88"/>
    <w:rsid w:val="00277FCD"/>
    <w:rsid w:val="002801C4"/>
    <w:rsid w:val="00280218"/>
    <w:rsid w:val="00280275"/>
    <w:rsid w:val="002802F7"/>
    <w:rsid w:val="002802FE"/>
    <w:rsid w:val="00280344"/>
    <w:rsid w:val="00280375"/>
    <w:rsid w:val="00280384"/>
    <w:rsid w:val="002803BA"/>
    <w:rsid w:val="0028048F"/>
    <w:rsid w:val="0028051F"/>
    <w:rsid w:val="0028057E"/>
    <w:rsid w:val="002806B0"/>
    <w:rsid w:val="002806E5"/>
    <w:rsid w:val="002808FA"/>
    <w:rsid w:val="0028094D"/>
    <w:rsid w:val="00280950"/>
    <w:rsid w:val="0028099D"/>
    <w:rsid w:val="00280AC2"/>
    <w:rsid w:val="00280BBF"/>
    <w:rsid w:val="00280C24"/>
    <w:rsid w:val="00280DAA"/>
    <w:rsid w:val="00280DC8"/>
    <w:rsid w:val="00280EDD"/>
    <w:rsid w:val="00280FCC"/>
    <w:rsid w:val="0028111B"/>
    <w:rsid w:val="0028125E"/>
    <w:rsid w:val="002813DA"/>
    <w:rsid w:val="002814D4"/>
    <w:rsid w:val="00281506"/>
    <w:rsid w:val="002815AF"/>
    <w:rsid w:val="002816F2"/>
    <w:rsid w:val="002817C2"/>
    <w:rsid w:val="0028182B"/>
    <w:rsid w:val="0028184A"/>
    <w:rsid w:val="00281876"/>
    <w:rsid w:val="00281913"/>
    <w:rsid w:val="002819D5"/>
    <w:rsid w:val="00281B4C"/>
    <w:rsid w:val="00281B7B"/>
    <w:rsid w:val="00281CB9"/>
    <w:rsid w:val="00281D4F"/>
    <w:rsid w:val="00281DDE"/>
    <w:rsid w:val="00281E19"/>
    <w:rsid w:val="00281E7A"/>
    <w:rsid w:val="00281E8E"/>
    <w:rsid w:val="00281E8F"/>
    <w:rsid w:val="00281E9A"/>
    <w:rsid w:val="00281F74"/>
    <w:rsid w:val="0028202F"/>
    <w:rsid w:val="0028209A"/>
    <w:rsid w:val="00282170"/>
    <w:rsid w:val="002821DB"/>
    <w:rsid w:val="002823D2"/>
    <w:rsid w:val="002823E7"/>
    <w:rsid w:val="00282464"/>
    <w:rsid w:val="00282552"/>
    <w:rsid w:val="0028256D"/>
    <w:rsid w:val="002825E1"/>
    <w:rsid w:val="002825E3"/>
    <w:rsid w:val="002826AB"/>
    <w:rsid w:val="002826E6"/>
    <w:rsid w:val="0028280B"/>
    <w:rsid w:val="002829F7"/>
    <w:rsid w:val="00282A47"/>
    <w:rsid w:val="00282EAA"/>
    <w:rsid w:val="00282F94"/>
    <w:rsid w:val="00282FAB"/>
    <w:rsid w:val="002830A1"/>
    <w:rsid w:val="002830F5"/>
    <w:rsid w:val="00283184"/>
    <w:rsid w:val="00283204"/>
    <w:rsid w:val="0028321B"/>
    <w:rsid w:val="002832BF"/>
    <w:rsid w:val="002832E4"/>
    <w:rsid w:val="0028331E"/>
    <w:rsid w:val="002833F4"/>
    <w:rsid w:val="00283454"/>
    <w:rsid w:val="002834CF"/>
    <w:rsid w:val="002834DA"/>
    <w:rsid w:val="002835F7"/>
    <w:rsid w:val="0028363F"/>
    <w:rsid w:val="00283651"/>
    <w:rsid w:val="00283734"/>
    <w:rsid w:val="002837CB"/>
    <w:rsid w:val="002837CD"/>
    <w:rsid w:val="002837E9"/>
    <w:rsid w:val="002837F4"/>
    <w:rsid w:val="00283A25"/>
    <w:rsid w:val="00283A89"/>
    <w:rsid w:val="00283B15"/>
    <w:rsid w:val="00283BDC"/>
    <w:rsid w:val="00283C22"/>
    <w:rsid w:val="00283C81"/>
    <w:rsid w:val="00283D5D"/>
    <w:rsid w:val="00283ED0"/>
    <w:rsid w:val="00283F65"/>
    <w:rsid w:val="00283FF3"/>
    <w:rsid w:val="00284007"/>
    <w:rsid w:val="0028415F"/>
    <w:rsid w:val="002841CA"/>
    <w:rsid w:val="002842C1"/>
    <w:rsid w:val="00284444"/>
    <w:rsid w:val="00284449"/>
    <w:rsid w:val="00284453"/>
    <w:rsid w:val="0028446C"/>
    <w:rsid w:val="002844EB"/>
    <w:rsid w:val="0028451A"/>
    <w:rsid w:val="0028472D"/>
    <w:rsid w:val="00284790"/>
    <w:rsid w:val="002847E2"/>
    <w:rsid w:val="002847EB"/>
    <w:rsid w:val="00284834"/>
    <w:rsid w:val="0028483E"/>
    <w:rsid w:val="00284850"/>
    <w:rsid w:val="00284870"/>
    <w:rsid w:val="00284873"/>
    <w:rsid w:val="0028493C"/>
    <w:rsid w:val="002849A3"/>
    <w:rsid w:val="002849B2"/>
    <w:rsid w:val="00284A60"/>
    <w:rsid w:val="00284B34"/>
    <w:rsid w:val="00284BFD"/>
    <w:rsid w:val="00284C11"/>
    <w:rsid w:val="00284CC4"/>
    <w:rsid w:val="00284DAC"/>
    <w:rsid w:val="00284E48"/>
    <w:rsid w:val="00284E77"/>
    <w:rsid w:val="00284E9A"/>
    <w:rsid w:val="00284E9D"/>
    <w:rsid w:val="00284F80"/>
    <w:rsid w:val="00285137"/>
    <w:rsid w:val="00285217"/>
    <w:rsid w:val="00285269"/>
    <w:rsid w:val="002852B9"/>
    <w:rsid w:val="002852FC"/>
    <w:rsid w:val="0028534E"/>
    <w:rsid w:val="00285446"/>
    <w:rsid w:val="0028553B"/>
    <w:rsid w:val="00285637"/>
    <w:rsid w:val="00285649"/>
    <w:rsid w:val="002857BC"/>
    <w:rsid w:val="00285868"/>
    <w:rsid w:val="002859F7"/>
    <w:rsid w:val="00285A53"/>
    <w:rsid w:val="00285D31"/>
    <w:rsid w:val="00285E5F"/>
    <w:rsid w:val="00285EB8"/>
    <w:rsid w:val="00285F7E"/>
    <w:rsid w:val="00285FD7"/>
    <w:rsid w:val="0028629A"/>
    <w:rsid w:val="00286471"/>
    <w:rsid w:val="002864BC"/>
    <w:rsid w:val="002864C7"/>
    <w:rsid w:val="00286573"/>
    <w:rsid w:val="0028660B"/>
    <w:rsid w:val="0028663D"/>
    <w:rsid w:val="0028672B"/>
    <w:rsid w:val="00286914"/>
    <w:rsid w:val="0028698E"/>
    <w:rsid w:val="0028699F"/>
    <w:rsid w:val="00286A97"/>
    <w:rsid w:val="00286AC4"/>
    <w:rsid w:val="00286C65"/>
    <w:rsid w:val="00286C7E"/>
    <w:rsid w:val="00286CD4"/>
    <w:rsid w:val="00286D21"/>
    <w:rsid w:val="00286D79"/>
    <w:rsid w:val="00286E13"/>
    <w:rsid w:val="00286EA1"/>
    <w:rsid w:val="00287036"/>
    <w:rsid w:val="0028705C"/>
    <w:rsid w:val="002870C2"/>
    <w:rsid w:val="002870CB"/>
    <w:rsid w:val="00287155"/>
    <w:rsid w:val="0028719B"/>
    <w:rsid w:val="002871A2"/>
    <w:rsid w:val="002871DD"/>
    <w:rsid w:val="0028721A"/>
    <w:rsid w:val="002872A5"/>
    <w:rsid w:val="0028736E"/>
    <w:rsid w:val="002875EA"/>
    <w:rsid w:val="00287626"/>
    <w:rsid w:val="00287896"/>
    <w:rsid w:val="00287947"/>
    <w:rsid w:val="0028796F"/>
    <w:rsid w:val="002879AA"/>
    <w:rsid w:val="00287A4C"/>
    <w:rsid w:val="00287BD3"/>
    <w:rsid w:val="00287C19"/>
    <w:rsid w:val="00290014"/>
    <w:rsid w:val="00290016"/>
    <w:rsid w:val="00290100"/>
    <w:rsid w:val="00290107"/>
    <w:rsid w:val="002902BC"/>
    <w:rsid w:val="00290472"/>
    <w:rsid w:val="002904DE"/>
    <w:rsid w:val="002906FB"/>
    <w:rsid w:val="00290712"/>
    <w:rsid w:val="00290733"/>
    <w:rsid w:val="00290776"/>
    <w:rsid w:val="00290780"/>
    <w:rsid w:val="002907CA"/>
    <w:rsid w:val="0029083D"/>
    <w:rsid w:val="00290ABA"/>
    <w:rsid w:val="00290BFF"/>
    <w:rsid w:val="00290D13"/>
    <w:rsid w:val="00290D61"/>
    <w:rsid w:val="00290D75"/>
    <w:rsid w:val="00290DDA"/>
    <w:rsid w:val="00290E28"/>
    <w:rsid w:val="00290F06"/>
    <w:rsid w:val="00290F11"/>
    <w:rsid w:val="00290F47"/>
    <w:rsid w:val="00290F9C"/>
    <w:rsid w:val="0029101F"/>
    <w:rsid w:val="0029102D"/>
    <w:rsid w:val="00291033"/>
    <w:rsid w:val="00291092"/>
    <w:rsid w:val="00291290"/>
    <w:rsid w:val="00291336"/>
    <w:rsid w:val="0029134A"/>
    <w:rsid w:val="0029139D"/>
    <w:rsid w:val="002913CD"/>
    <w:rsid w:val="00291425"/>
    <w:rsid w:val="002914BA"/>
    <w:rsid w:val="00291544"/>
    <w:rsid w:val="0029154F"/>
    <w:rsid w:val="00291572"/>
    <w:rsid w:val="002916EC"/>
    <w:rsid w:val="00291779"/>
    <w:rsid w:val="0029191B"/>
    <w:rsid w:val="00291928"/>
    <w:rsid w:val="00291979"/>
    <w:rsid w:val="0029197D"/>
    <w:rsid w:val="002919F9"/>
    <w:rsid w:val="00291AB1"/>
    <w:rsid w:val="00291B99"/>
    <w:rsid w:val="00291D2B"/>
    <w:rsid w:val="00291DE2"/>
    <w:rsid w:val="00291F76"/>
    <w:rsid w:val="002920FA"/>
    <w:rsid w:val="0029215A"/>
    <w:rsid w:val="0029237E"/>
    <w:rsid w:val="002923DB"/>
    <w:rsid w:val="00292429"/>
    <w:rsid w:val="002924A7"/>
    <w:rsid w:val="00292500"/>
    <w:rsid w:val="002925B8"/>
    <w:rsid w:val="00292695"/>
    <w:rsid w:val="002926A6"/>
    <w:rsid w:val="002926B9"/>
    <w:rsid w:val="00292734"/>
    <w:rsid w:val="0029273E"/>
    <w:rsid w:val="00292797"/>
    <w:rsid w:val="002927B6"/>
    <w:rsid w:val="0029293B"/>
    <w:rsid w:val="0029296B"/>
    <w:rsid w:val="00292A0D"/>
    <w:rsid w:val="00292A8F"/>
    <w:rsid w:val="00292AB0"/>
    <w:rsid w:val="00292AD6"/>
    <w:rsid w:val="00292C4F"/>
    <w:rsid w:val="00292CAA"/>
    <w:rsid w:val="00292CB2"/>
    <w:rsid w:val="00292CFC"/>
    <w:rsid w:val="00292DC7"/>
    <w:rsid w:val="00292E0F"/>
    <w:rsid w:val="00292F9D"/>
    <w:rsid w:val="00293087"/>
    <w:rsid w:val="002931C3"/>
    <w:rsid w:val="00293233"/>
    <w:rsid w:val="002932C5"/>
    <w:rsid w:val="00293330"/>
    <w:rsid w:val="0029333E"/>
    <w:rsid w:val="002933C1"/>
    <w:rsid w:val="0029346A"/>
    <w:rsid w:val="002935E3"/>
    <w:rsid w:val="0029365D"/>
    <w:rsid w:val="002936A8"/>
    <w:rsid w:val="00293836"/>
    <w:rsid w:val="002938E6"/>
    <w:rsid w:val="00293A1F"/>
    <w:rsid w:val="00293B45"/>
    <w:rsid w:val="00293B54"/>
    <w:rsid w:val="00293C1D"/>
    <w:rsid w:val="00293C5D"/>
    <w:rsid w:val="00293D50"/>
    <w:rsid w:val="00293E3D"/>
    <w:rsid w:val="00293E87"/>
    <w:rsid w:val="00293F27"/>
    <w:rsid w:val="00293FE7"/>
    <w:rsid w:val="002940F5"/>
    <w:rsid w:val="00294148"/>
    <w:rsid w:val="00294219"/>
    <w:rsid w:val="0029421A"/>
    <w:rsid w:val="002943C0"/>
    <w:rsid w:val="002944D8"/>
    <w:rsid w:val="0029451A"/>
    <w:rsid w:val="00294583"/>
    <w:rsid w:val="002945A2"/>
    <w:rsid w:val="002945BC"/>
    <w:rsid w:val="002945CA"/>
    <w:rsid w:val="00294676"/>
    <w:rsid w:val="00294777"/>
    <w:rsid w:val="002948C3"/>
    <w:rsid w:val="00294A59"/>
    <w:rsid w:val="00294A97"/>
    <w:rsid w:val="00294B02"/>
    <w:rsid w:val="00294B20"/>
    <w:rsid w:val="00294B57"/>
    <w:rsid w:val="00294C65"/>
    <w:rsid w:val="00294CF7"/>
    <w:rsid w:val="00294D4F"/>
    <w:rsid w:val="00294D99"/>
    <w:rsid w:val="00294DDE"/>
    <w:rsid w:val="00294E0A"/>
    <w:rsid w:val="00294E6C"/>
    <w:rsid w:val="00294E88"/>
    <w:rsid w:val="00294EA7"/>
    <w:rsid w:val="0029506E"/>
    <w:rsid w:val="002951F3"/>
    <w:rsid w:val="00295280"/>
    <w:rsid w:val="002952C7"/>
    <w:rsid w:val="00295360"/>
    <w:rsid w:val="002953F8"/>
    <w:rsid w:val="00295414"/>
    <w:rsid w:val="0029557C"/>
    <w:rsid w:val="002955E1"/>
    <w:rsid w:val="0029571A"/>
    <w:rsid w:val="00295841"/>
    <w:rsid w:val="0029585B"/>
    <w:rsid w:val="002958E6"/>
    <w:rsid w:val="0029594D"/>
    <w:rsid w:val="00295A46"/>
    <w:rsid w:val="00295AEC"/>
    <w:rsid w:val="00295AFF"/>
    <w:rsid w:val="00295B33"/>
    <w:rsid w:val="00295B8C"/>
    <w:rsid w:val="00295B9A"/>
    <w:rsid w:val="00295BA4"/>
    <w:rsid w:val="00295BC7"/>
    <w:rsid w:val="00295CC7"/>
    <w:rsid w:val="00295EB4"/>
    <w:rsid w:val="00295EE7"/>
    <w:rsid w:val="00295F96"/>
    <w:rsid w:val="00296003"/>
    <w:rsid w:val="002960C3"/>
    <w:rsid w:val="002961AD"/>
    <w:rsid w:val="002961C6"/>
    <w:rsid w:val="002961E7"/>
    <w:rsid w:val="002961E9"/>
    <w:rsid w:val="002961EE"/>
    <w:rsid w:val="0029620D"/>
    <w:rsid w:val="002962D5"/>
    <w:rsid w:val="0029630B"/>
    <w:rsid w:val="0029634E"/>
    <w:rsid w:val="00296367"/>
    <w:rsid w:val="002963F9"/>
    <w:rsid w:val="00296411"/>
    <w:rsid w:val="0029644A"/>
    <w:rsid w:val="00296466"/>
    <w:rsid w:val="002964C4"/>
    <w:rsid w:val="00296561"/>
    <w:rsid w:val="00296569"/>
    <w:rsid w:val="0029657D"/>
    <w:rsid w:val="002965F0"/>
    <w:rsid w:val="0029660F"/>
    <w:rsid w:val="00296679"/>
    <w:rsid w:val="00296785"/>
    <w:rsid w:val="00296B07"/>
    <w:rsid w:val="00296B2F"/>
    <w:rsid w:val="00296B59"/>
    <w:rsid w:val="00296B71"/>
    <w:rsid w:val="00296BBA"/>
    <w:rsid w:val="00296CFF"/>
    <w:rsid w:val="00296D01"/>
    <w:rsid w:val="00296D13"/>
    <w:rsid w:val="00296D32"/>
    <w:rsid w:val="00296DCB"/>
    <w:rsid w:val="002970B0"/>
    <w:rsid w:val="0029711E"/>
    <w:rsid w:val="00297158"/>
    <w:rsid w:val="002971FA"/>
    <w:rsid w:val="0029722E"/>
    <w:rsid w:val="002974AF"/>
    <w:rsid w:val="00297517"/>
    <w:rsid w:val="0029755A"/>
    <w:rsid w:val="00297597"/>
    <w:rsid w:val="0029759F"/>
    <w:rsid w:val="002975A0"/>
    <w:rsid w:val="002975BE"/>
    <w:rsid w:val="00297613"/>
    <w:rsid w:val="00297635"/>
    <w:rsid w:val="00297778"/>
    <w:rsid w:val="00297B4B"/>
    <w:rsid w:val="00297B5D"/>
    <w:rsid w:val="00297B93"/>
    <w:rsid w:val="00297BD8"/>
    <w:rsid w:val="00297C39"/>
    <w:rsid w:val="00297C59"/>
    <w:rsid w:val="00297C90"/>
    <w:rsid w:val="00297C96"/>
    <w:rsid w:val="00297D38"/>
    <w:rsid w:val="00297D50"/>
    <w:rsid w:val="00297EB6"/>
    <w:rsid w:val="00297EF0"/>
    <w:rsid w:val="00297F25"/>
    <w:rsid w:val="002A0016"/>
    <w:rsid w:val="002A0026"/>
    <w:rsid w:val="002A00DF"/>
    <w:rsid w:val="002A014C"/>
    <w:rsid w:val="002A01E3"/>
    <w:rsid w:val="002A02F2"/>
    <w:rsid w:val="002A0405"/>
    <w:rsid w:val="002A0426"/>
    <w:rsid w:val="002A057C"/>
    <w:rsid w:val="002A0739"/>
    <w:rsid w:val="002A07C5"/>
    <w:rsid w:val="002A07FA"/>
    <w:rsid w:val="002A0827"/>
    <w:rsid w:val="002A084B"/>
    <w:rsid w:val="002A088B"/>
    <w:rsid w:val="002A08A1"/>
    <w:rsid w:val="002A08CA"/>
    <w:rsid w:val="002A096B"/>
    <w:rsid w:val="002A09E8"/>
    <w:rsid w:val="002A09E9"/>
    <w:rsid w:val="002A0B33"/>
    <w:rsid w:val="002A0CD4"/>
    <w:rsid w:val="002A0D43"/>
    <w:rsid w:val="002A0DCF"/>
    <w:rsid w:val="002A0EDF"/>
    <w:rsid w:val="002A0FDC"/>
    <w:rsid w:val="002A1060"/>
    <w:rsid w:val="002A108A"/>
    <w:rsid w:val="002A1146"/>
    <w:rsid w:val="002A1175"/>
    <w:rsid w:val="002A11C2"/>
    <w:rsid w:val="002A11CB"/>
    <w:rsid w:val="002A1256"/>
    <w:rsid w:val="002A1275"/>
    <w:rsid w:val="002A12F6"/>
    <w:rsid w:val="002A1336"/>
    <w:rsid w:val="002A1460"/>
    <w:rsid w:val="002A154F"/>
    <w:rsid w:val="002A1589"/>
    <w:rsid w:val="002A15A1"/>
    <w:rsid w:val="002A15C8"/>
    <w:rsid w:val="002A169B"/>
    <w:rsid w:val="002A1990"/>
    <w:rsid w:val="002A1AD2"/>
    <w:rsid w:val="002A1C14"/>
    <w:rsid w:val="002A1C59"/>
    <w:rsid w:val="002A1D4E"/>
    <w:rsid w:val="002A1D7F"/>
    <w:rsid w:val="002A1EA3"/>
    <w:rsid w:val="002A1EBE"/>
    <w:rsid w:val="002A1ED0"/>
    <w:rsid w:val="002A1F4A"/>
    <w:rsid w:val="002A1FBD"/>
    <w:rsid w:val="002A2153"/>
    <w:rsid w:val="002A21DE"/>
    <w:rsid w:val="002A2271"/>
    <w:rsid w:val="002A22E7"/>
    <w:rsid w:val="002A2376"/>
    <w:rsid w:val="002A23CA"/>
    <w:rsid w:val="002A243E"/>
    <w:rsid w:val="002A2488"/>
    <w:rsid w:val="002A24B6"/>
    <w:rsid w:val="002A2507"/>
    <w:rsid w:val="002A25BC"/>
    <w:rsid w:val="002A25FE"/>
    <w:rsid w:val="002A2628"/>
    <w:rsid w:val="002A2729"/>
    <w:rsid w:val="002A2750"/>
    <w:rsid w:val="002A276E"/>
    <w:rsid w:val="002A278B"/>
    <w:rsid w:val="002A284F"/>
    <w:rsid w:val="002A28FC"/>
    <w:rsid w:val="002A295C"/>
    <w:rsid w:val="002A2A41"/>
    <w:rsid w:val="002A2A51"/>
    <w:rsid w:val="002A2A74"/>
    <w:rsid w:val="002A2BF3"/>
    <w:rsid w:val="002A2C32"/>
    <w:rsid w:val="002A2C8C"/>
    <w:rsid w:val="002A2C98"/>
    <w:rsid w:val="002A2CA2"/>
    <w:rsid w:val="002A2D8B"/>
    <w:rsid w:val="002A2DF3"/>
    <w:rsid w:val="002A2E37"/>
    <w:rsid w:val="002A2E3D"/>
    <w:rsid w:val="002A2E6F"/>
    <w:rsid w:val="002A2EA2"/>
    <w:rsid w:val="002A2FCD"/>
    <w:rsid w:val="002A2FED"/>
    <w:rsid w:val="002A3083"/>
    <w:rsid w:val="002A30A9"/>
    <w:rsid w:val="002A310E"/>
    <w:rsid w:val="002A327E"/>
    <w:rsid w:val="002A3325"/>
    <w:rsid w:val="002A3457"/>
    <w:rsid w:val="002A369D"/>
    <w:rsid w:val="002A37D3"/>
    <w:rsid w:val="002A394D"/>
    <w:rsid w:val="002A3976"/>
    <w:rsid w:val="002A397B"/>
    <w:rsid w:val="002A3A0B"/>
    <w:rsid w:val="002A3A6B"/>
    <w:rsid w:val="002A3ABC"/>
    <w:rsid w:val="002A3CB0"/>
    <w:rsid w:val="002A3CC2"/>
    <w:rsid w:val="002A3EC1"/>
    <w:rsid w:val="002A3ED1"/>
    <w:rsid w:val="002A3EE2"/>
    <w:rsid w:val="002A3FB8"/>
    <w:rsid w:val="002A3FFA"/>
    <w:rsid w:val="002A4020"/>
    <w:rsid w:val="002A4153"/>
    <w:rsid w:val="002A4179"/>
    <w:rsid w:val="002A41A4"/>
    <w:rsid w:val="002A41BF"/>
    <w:rsid w:val="002A4238"/>
    <w:rsid w:val="002A4272"/>
    <w:rsid w:val="002A4297"/>
    <w:rsid w:val="002A4325"/>
    <w:rsid w:val="002A4345"/>
    <w:rsid w:val="002A4363"/>
    <w:rsid w:val="002A4505"/>
    <w:rsid w:val="002A45EB"/>
    <w:rsid w:val="002A464F"/>
    <w:rsid w:val="002A46D8"/>
    <w:rsid w:val="002A4721"/>
    <w:rsid w:val="002A4736"/>
    <w:rsid w:val="002A48C5"/>
    <w:rsid w:val="002A48CC"/>
    <w:rsid w:val="002A4A53"/>
    <w:rsid w:val="002A4B4B"/>
    <w:rsid w:val="002A4BC1"/>
    <w:rsid w:val="002A4C4B"/>
    <w:rsid w:val="002A4C61"/>
    <w:rsid w:val="002A4F0F"/>
    <w:rsid w:val="002A4F86"/>
    <w:rsid w:val="002A50AE"/>
    <w:rsid w:val="002A50EB"/>
    <w:rsid w:val="002A5119"/>
    <w:rsid w:val="002A5174"/>
    <w:rsid w:val="002A5188"/>
    <w:rsid w:val="002A51CC"/>
    <w:rsid w:val="002A5283"/>
    <w:rsid w:val="002A52F3"/>
    <w:rsid w:val="002A5430"/>
    <w:rsid w:val="002A55BA"/>
    <w:rsid w:val="002A55CF"/>
    <w:rsid w:val="002A5603"/>
    <w:rsid w:val="002A56A9"/>
    <w:rsid w:val="002A5740"/>
    <w:rsid w:val="002A5757"/>
    <w:rsid w:val="002A5838"/>
    <w:rsid w:val="002A589D"/>
    <w:rsid w:val="002A58D3"/>
    <w:rsid w:val="002A58DE"/>
    <w:rsid w:val="002A58E8"/>
    <w:rsid w:val="002A592F"/>
    <w:rsid w:val="002A596B"/>
    <w:rsid w:val="002A5971"/>
    <w:rsid w:val="002A5B92"/>
    <w:rsid w:val="002A5B9D"/>
    <w:rsid w:val="002A5BBA"/>
    <w:rsid w:val="002A5C27"/>
    <w:rsid w:val="002A5C5A"/>
    <w:rsid w:val="002A5C95"/>
    <w:rsid w:val="002A5CA6"/>
    <w:rsid w:val="002A5CBF"/>
    <w:rsid w:val="002A5D6D"/>
    <w:rsid w:val="002A5D9E"/>
    <w:rsid w:val="002A5EA8"/>
    <w:rsid w:val="002A5ED8"/>
    <w:rsid w:val="002A5F2D"/>
    <w:rsid w:val="002A5F34"/>
    <w:rsid w:val="002A60E1"/>
    <w:rsid w:val="002A6121"/>
    <w:rsid w:val="002A616B"/>
    <w:rsid w:val="002A6261"/>
    <w:rsid w:val="002A6321"/>
    <w:rsid w:val="002A63AA"/>
    <w:rsid w:val="002A63BC"/>
    <w:rsid w:val="002A65B6"/>
    <w:rsid w:val="002A66C0"/>
    <w:rsid w:val="002A674F"/>
    <w:rsid w:val="002A6770"/>
    <w:rsid w:val="002A67EC"/>
    <w:rsid w:val="002A6835"/>
    <w:rsid w:val="002A688C"/>
    <w:rsid w:val="002A689B"/>
    <w:rsid w:val="002A68B9"/>
    <w:rsid w:val="002A699C"/>
    <w:rsid w:val="002A6AA4"/>
    <w:rsid w:val="002A6AA9"/>
    <w:rsid w:val="002A6BB2"/>
    <w:rsid w:val="002A6E4F"/>
    <w:rsid w:val="002A707B"/>
    <w:rsid w:val="002A7084"/>
    <w:rsid w:val="002A70E7"/>
    <w:rsid w:val="002A7172"/>
    <w:rsid w:val="002A71B8"/>
    <w:rsid w:val="002A71C8"/>
    <w:rsid w:val="002A71E2"/>
    <w:rsid w:val="002A7286"/>
    <w:rsid w:val="002A72B2"/>
    <w:rsid w:val="002A7597"/>
    <w:rsid w:val="002A76A8"/>
    <w:rsid w:val="002A7733"/>
    <w:rsid w:val="002A780B"/>
    <w:rsid w:val="002A785B"/>
    <w:rsid w:val="002A7AC5"/>
    <w:rsid w:val="002A7BC1"/>
    <w:rsid w:val="002A7BDC"/>
    <w:rsid w:val="002A7C4E"/>
    <w:rsid w:val="002A7C7A"/>
    <w:rsid w:val="002A7D8A"/>
    <w:rsid w:val="002A7DA4"/>
    <w:rsid w:val="002A7DAF"/>
    <w:rsid w:val="002A7DE1"/>
    <w:rsid w:val="002A7F38"/>
    <w:rsid w:val="002A7F4F"/>
    <w:rsid w:val="002A7F5A"/>
    <w:rsid w:val="002A7FC8"/>
    <w:rsid w:val="002B0204"/>
    <w:rsid w:val="002B02A2"/>
    <w:rsid w:val="002B03C5"/>
    <w:rsid w:val="002B0467"/>
    <w:rsid w:val="002B04CA"/>
    <w:rsid w:val="002B05F8"/>
    <w:rsid w:val="002B0609"/>
    <w:rsid w:val="002B061F"/>
    <w:rsid w:val="002B06C7"/>
    <w:rsid w:val="002B07D4"/>
    <w:rsid w:val="002B098D"/>
    <w:rsid w:val="002B09D3"/>
    <w:rsid w:val="002B0B1A"/>
    <w:rsid w:val="002B0B23"/>
    <w:rsid w:val="002B0B2C"/>
    <w:rsid w:val="002B0B98"/>
    <w:rsid w:val="002B0D43"/>
    <w:rsid w:val="002B0D5E"/>
    <w:rsid w:val="002B0DFD"/>
    <w:rsid w:val="002B0E18"/>
    <w:rsid w:val="002B0E94"/>
    <w:rsid w:val="002B0F1B"/>
    <w:rsid w:val="002B0F91"/>
    <w:rsid w:val="002B0FF1"/>
    <w:rsid w:val="002B101B"/>
    <w:rsid w:val="002B1133"/>
    <w:rsid w:val="002B11CE"/>
    <w:rsid w:val="002B11E5"/>
    <w:rsid w:val="002B11F5"/>
    <w:rsid w:val="002B12AB"/>
    <w:rsid w:val="002B1326"/>
    <w:rsid w:val="002B1377"/>
    <w:rsid w:val="002B13F8"/>
    <w:rsid w:val="002B145D"/>
    <w:rsid w:val="002B14B3"/>
    <w:rsid w:val="002B14D5"/>
    <w:rsid w:val="002B14FB"/>
    <w:rsid w:val="002B1520"/>
    <w:rsid w:val="002B15CC"/>
    <w:rsid w:val="002B1635"/>
    <w:rsid w:val="002B1679"/>
    <w:rsid w:val="002B16C5"/>
    <w:rsid w:val="002B1732"/>
    <w:rsid w:val="002B1930"/>
    <w:rsid w:val="002B1A70"/>
    <w:rsid w:val="002B1B32"/>
    <w:rsid w:val="002B1B7E"/>
    <w:rsid w:val="002B1BB5"/>
    <w:rsid w:val="002B1BD8"/>
    <w:rsid w:val="002B1C61"/>
    <w:rsid w:val="002B1ED8"/>
    <w:rsid w:val="002B21BE"/>
    <w:rsid w:val="002B21FB"/>
    <w:rsid w:val="002B2342"/>
    <w:rsid w:val="002B243D"/>
    <w:rsid w:val="002B2537"/>
    <w:rsid w:val="002B2587"/>
    <w:rsid w:val="002B2646"/>
    <w:rsid w:val="002B26C1"/>
    <w:rsid w:val="002B2727"/>
    <w:rsid w:val="002B297A"/>
    <w:rsid w:val="002B29FE"/>
    <w:rsid w:val="002B2B69"/>
    <w:rsid w:val="002B2C46"/>
    <w:rsid w:val="002B2D56"/>
    <w:rsid w:val="002B2E5C"/>
    <w:rsid w:val="002B2EC5"/>
    <w:rsid w:val="002B2FD1"/>
    <w:rsid w:val="002B303E"/>
    <w:rsid w:val="002B3043"/>
    <w:rsid w:val="002B30BD"/>
    <w:rsid w:val="002B30E0"/>
    <w:rsid w:val="002B30E5"/>
    <w:rsid w:val="002B3131"/>
    <w:rsid w:val="002B3136"/>
    <w:rsid w:val="002B320F"/>
    <w:rsid w:val="002B3232"/>
    <w:rsid w:val="002B323F"/>
    <w:rsid w:val="002B32D5"/>
    <w:rsid w:val="002B330A"/>
    <w:rsid w:val="002B3383"/>
    <w:rsid w:val="002B342D"/>
    <w:rsid w:val="002B34D4"/>
    <w:rsid w:val="002B35B0"/>
    <w:rsid w:val="002B35C7"/>
    <w:rsid w:val="002B3614"/>
    <w:rsid w:val="002B3647"/>
    <w:rsid w:val="002B367B"/>
    <w:rsid w:val="002B3754"/>
    <w:rsid w:val="002B3778"/>
    <w:rsid w:val="002B37A3"/>
    <w:rsid w:val="002B3818"/>
    <w:rsid w:val="002B3825"/>
    <w:rsid w:val="002B39C7"/>
    <w:rsid w:val="002B39EF"/>
    <w:rsid w:val="002B3A00"/>
    <w:rsid w:val="002B3B7C"/>
    <w:rsid w:val="002B3C26"/>
    <w:rsid w:val="002B3DA4"/>
    <w:rsid w:val="002B3DD8"/>
    <w:rsid w:val="002B3E0E"/>
    <w:rsid w:val="002B3E93"/>
    <w:rsid w:val="002B3EEF"/>
    <w:rsid w:val="002B4077"/>
    <w:rsid w:val="002B4095"/>
    <w:rsid w:val="002B40CA"/>
    <w:rsid w:val="002B42D9"/>
    <w:rsid w:val="002B4314"/>
    <w:rsid w:val="002B4485"/>
    <w:rsid w:val="002B452E"/>
    <w:rsid w:val="002B458D"/>
    <w:rsid w:val="002B464F"/>
    <w:rsid w:val="002B46A0"/>
    <w:rsid w:val="002B47A2"/>
    <w:rsid w:val="002B4818"/>
    <w:rsid w:val="002B4918"/>
    <w:rsid w:val="002B4933"/>
    <w:rsid w:val="002B4968"/>
    <w:rsid w:val="002B49A0"/>
    <w:rsid w:val="002B4AB6"/>
    <w:rsid w:val="002B4AE7"/>
    <w:rsid w:val="002B4B04"/>
    <w:rsid w:val="002B4B66"/>
    <w:rsid w:val="002B4BB8"/>
    <w:rsid w:val="002B4C54"/>
    <w:rsid w:val="002B4CA7"/>
    <w:rsid w:val="002B4CF6"/>
    <w:rsid w:val="002B4D47"/>
    <w:rsid w:val="002B4DAB"/>
    <w:rsid w:val="002B4F8B"/>
    <w:rsid w:val="002B4FFC"/>
    <w:rsid w:val="002B5038"/>
    <w:rsid w:val="002B508D"/>
    <w:rsid w:val="002B508E"/>
    <w:rsid w:val="002B50A8"/>
    <w:rsid w:val="002B510E"/>
    <w:rsid w:val="002B5122"/>
    <w:rsid w:val="002B5173"/>
    <w:rsid w:val="002B5288"/>
    <w:rsid w:val="002B528D"/>
    <w:rsid w:val="002B54FE"/>
    <w:rsid w:val="002B5510"/>
    <w:rsid w:val="002B55D4"/>
    <w:rsid w:val="002B55E6"/>
    <w:rsid w:val="002B581F"/>
    <w:rsid w:val="002B5869"/>
    <w:rsid w:val="002B58AD"/>
    <w:rsid w:val="002B58B2"/>
    <w:rsid w:val="002B58C3"/>
    <w:rsid w:val="002B5930"/>
    <w:rsid w:val="002B593A"/>
    <w:rsid w:val="002B5981"/>
    <w:rsid w:val="002B599D"/>
    <w:rsid w:val="002B5A31"/>
    <w:rsid w:val="002B5AB4"/>
    <w:rsid w:val="002B5AF0"/>
    <w:rsid w:val="002B5BAF"/>
    <w:rsid w:val="002B5C03"/>
    <w:rsid w:val="002B5C56"/>
    <w:rsid w:val="002B5CC7"/>
    <w:rsid w:val="002B5CEE"/>
    <w:rsid w:val="002B5D05"/>
    <w:rsid w:val="002B5D3B"/>
    <w:rsid w:val="002B5E07"/>
    <w:rsid w:val="002B5F3A"/>
    <w:rsid w:val="002B5F67"/>
    <w:rsid w:val="002B612C"/>
    <w:rsid w:val="002B623B"/>
    <w:rsid w:val="002B6319"/>
    <w:rsid w:val="002B63A3"/>
    <w:rsid w:val="002B645D"/>
    <w:rsid w:val="002B654C"/>
    <w:rsid w:val="002B6676"/>
    <w:rsid w:val="002B66A1"/>
    <w:rsid w:val="002B672A"/>
    <w:rsid w:val="002B673C"/>
    <w:rsid w:val="002B6903"/>
    <w:rsid w:val="002B6991"/>
    <w:rsid w:val="002B69D2"/>
    <w:rsid w:val="002B69D7"/>
    <w:rsid w:val="002B6ABE"/>
    <w:rsid w:val="002B6B2B"/>
    <w:rsid w:val="002B6B90"/>
    <w:rsid w:val="002B6B9B"/>
    <w:rsid w:val="002B6BA7"/>
    <w:rsid w:val="002B6CEE"/>
    <w:rsid w:val="002B6D50"/>
    <w:rsid w:val="002B6DB2"/>
    <w:rsid w:val="002B6E6D"/>
    <w:rsid w:val="002B6F4D"/>
    <w:rsid w:val="002B6FA2"/>
    <w:rsid w:val="002B70F8"/>
    <w:rsid w:val="002B7155"/>
    <w:rsid w:val="002B719F"/>
    <w:rsid w:val="002B71DF"/>
    <w:rsid w:val="002B73A5"/>
    <w:rsid w:val="002B7539"/>
    <w:rsid w:val="002B754D"/>
    <w:rsid w:val="002B7685"/>
    <w:rsid w:val="002B7718"/>
    <w:rsid w:val="002B785C"/>
    <w:rsid w:val="002B78B6"/>
    <w:rsid w:val="002B78CB"/>
    <w:rsid w:val="002B78DB"/>
    <w:rsid w:val="002B78F4"/>
    <w:rsid w:val="002B78F8"/>
    <w:rsid w:val="002B78FA"/>
    <w:rsid w:val="002B79DE"/>
    <w:rsid w:val="002B7A58"/>
    <w:rsid w:val="002B7A74"/>
    <w:rsid w:val="002B7B38"/>
    <w:rsid w:val="002B7BB0"/>
    <w:rsid w:val="002B7C84"/>
    <w:rsid w:val="002B7D81"/>
    <w:rsid w:val="002B7F31"/>
    <w:rsid w:val="002C00F2"/>
    <w:rsid w:val="002C00FA"/>
    <w:rsid w:val="002C0106"/>
    <w:rsid w:val="002C011E"/>
    <w:rsid w:val="002C0183"/>
    <w:rsid w:val="002C01E7"/>
    <w:rsid w:val="002C0293"/>
    <w:rsid w:val="002C02D1"/>
    <w:rsid w:val="002C0351"/>
    <w:rsid w:val="002C0415"/>
    <w:rsid w:val="002C0653"/>
    <w:rsid w:val="002C0863"/>
    <w:rsid w:val="002C0864"/>
    <w:rsid w:val="002C08EB"/>
    <w:rsid w:val="002C0928"/>
    <w:rsid w:val="002C097D"/>
    <w:rsid w:val="002C0995"/>
    <w:rsid w:val="002C09C5"/>
    <w:rsid w:val="002C0A7C"/>
    <w:rsid w:val="002C0BF1"/>
    <w:rsid w:val="002C0C3D"/>
    <w:rsid w:val="002C0C44"/>
    <w:rsid w:val="002C0C7C"/>
    <w:rsid w:val="002C0D55"/>
    <w:rsid w:val="002C0F54"/>
    <w:rsid w:val="002C1110"/>
    <w:rsid w:val="002C113E"/>
    <w:rsid w:val="002C11AF"/>
    <w:rsid w:val="002C1205"/>
    <w:rsid w:val="002C1224"/>
    <w:rsid w:val="002C13CC"/>
    <w:rsid w:val="002C1420"/>
    <w:rsid w:val="002C14CD"/>
    <w:rsid w:val="002C16BD"/>
    <w:rsid w:val="002C16EB"/>
    <w:rsid w:val="002C1749"/>
    <w:rsid w:val="002C1769"/>
    <w:rsid w:val="002C17F7"/>
    <w:rsid w:val="002C1864"/>
    <w:rsid w:val="002C198C"/>
    <w:rsid w:val="002C1AD6"/>
    <w:rsid w:val="002C1B0A"/>
    <w:rsid w:val="002C1CD3"/>
    <w:rsid w:val="002C1DDB"/>
    <w:rsid w:val="002C1E43"/>
    <w:rsid w:val="002C1EA5"/>
    <w:rsid w:val="002C1ECC"/>
    <w:rsid w:val="002C1EF8"/>
    <w:rsid w:val="002C1EFA"/>
    <w:rsid w:val="002C1FF1"/>
    <w:rsid w:val="002C2054"/>
    <w:rsid w:val="002C209F"/>
    <w:rsid w:val="002C212D"/>
    <w:rsid w:val="002C216D"/>
    <w:rsid w:val="002C21BA"/>
    <w:rsid w:val="002C22B0"/>
    <w:rsid w:val="002C239B"/>
    <w:rsid w:val="002C246B"/>
    <w:rsid w:val="002C24A6"/>
    <w:rsid w:val="002C24BC"/>
    <w:rsid w:val="002C24CB"/>
    <w:rsid w:val="002C2500"/>
    <w:rsid w:val="002C266E"/>
    <w:rsid w:val="002C26E0"/>
    <w:rsid w:val="002C292A"/>
    <w:rsid w:val="002C2BBD"/>
    <w:rsid w:val="002C2BE9"/>
    <w:rsid w:val="002C2E22"/>
    <w:rsid w:val="002C2EAF"/>
    <w:rsid w:val="002C2ED0"/>
    <w:rsid w:val="002C307F"/>
    <w:rsid w:val="002C30CB"/>
    <w:rsid w:val="002C30F0"/>
    <w:rsid w:val="002C312E"/>
    <w:rsid w:val="002C31FA"/>
    <w:rsid w:val="002C339D"/>
    <w:rsid w:val="002C3484"/>
    <w:rsid w:val="002C3485"/>
    <w:rsid w:val="002C358D"/>
    <w:rsid w:val="002C35CD"/>
    <w:rsid w:val="002C35FC"/>
    <w:rsid w:val="002C3715"/>
    <w:rsid w:val="002C3717"/>
    <w:rsid w:val="002C380F"/>
    <w:rsid w:val="002C383E"/>
    <w:rsid w:val="002C38AA"/>
    <w:rsid w:val="002C393E"/>
    <w:rsid w:val="002C394F"/>
    <w:rsid w:val="002C3990"/>
    <w:rsid w:val="002C3A4B"/>
    <w:rsid w:val="002C3D1A"/>
    <w:rsid w:val="002C3D6A"/>
    <w:rsid w:val="002C3D71"/>
    <w:rsid w:val="002C3DC4"/>
    <w:rsid w:val="002C3DC8"/>
    <w:rsid w:val="002C3EE1"/>
    <w:rsid w:val="002C402C"/>
    <w:rsid w:val="002C4032"/>
    <w:rsid w:val="002C404A"/>
    <w:rsid w:val="002C4168"/>
    <w:rsid w:val="002C422A"/>
    <w:rsid w:val="002C4242"/>
    <w:rsid w:val="002C4343"/>
    <w:rsid w:val="002C434C"/>
    <w:rsid w:val="002C4489"/>
    <w:rsid w:val="002C45F7"/>
    <w:rsid w:val="002C4670"/>
    <w:rsid w:val="002C46C7"/>
    <w:rsid w:val="002C4763"/>
    <w:rsid w:val="002C482C"/>
    <w:rsid w:val="002C483D"/>
    <w:rsid w:val="002C4B8E"/>
    <w:rsid w:val="002C4C9E"/>
    <w:rsid w:val="002C4D56"/>
    <w:rsid w:val="002C4DFF"/>
    <w:rsid w:val="002C4E0E"/>
    <w:rsid w:val="002C4EA6"/>
    <w:rsid w:val="002C4ECC"/>
    <w:rsid w:val="002C4EF4"/>
    <w:rsid w:val="002C4F15"/>
    <w:rsid w:val="002C4FAC"/>
    <w:rsid w:val="002C4FC2"/>
    <w:rsid w:val="002C4FD0"/>
    <w:rsid w:val="002C507F"/>
    <w:rsid w:val="002C51B0"/>
    <w:rsid w:val="002C51D3"/>
    <w:rsid w:val="002C52B3"/>
    <w:rsid w:val="002C52C8"/>
    <w:rsid w:val="002C538D"/>
    <w:rsid w:val="002C53D7"/>
    <w:rsid w:val="002C544A"/>
    <w:rsid w:val="002C5466"/>
    <w:rsid w:val="002C55AB"/>
    <w:rsid w:val="002C55D2"/>
    <w:rsid w:val="002C5643"/>
    <w:rsid w:val="002C5660"/>
    <w:rsid w:val="002C56C8"/>
    <w:rsid w:val="002C56EA"/>
    <w:rsid w:val="002C5849"/>
    <w:rsid w:val="002C586B"/>
    <w:rsid w:val="002C5885"/>
    <w:rsid w:val="002C58B9"/>
    <w:rsid w:val="002C5905"/>
    <w:rsid w:val="002C59C4"/>
    <w:rsid w:val="002C5A3A"/>
    <w:rsid w:val="002C5A61"/>
    <w:rsid w:val="002C5AC5"/>
    <w:rsid w:val="002C5B47"/>
    <w:rsid w:val="002C5C19"/>
    <w:rsid w:val="002C5C5F"/>
    <w:rsid w:val="002C5D5F"/>
    <w:rsid w:val="002C5DA0"/>
    <w:rsid w:val="002C5DD4"/>
    <w:rsid w:val="002C5DD8"/>
    <w:rsid w:val="002C5FDB"/>
    <w:rsid w:val="002C60EA"/>
    <w:rsid w:val="002C615C"/>
    <w:rsid w:val="002C61DF"/>
    <w:rsid w:val="002C6254"/>
    <w:rsid w:val="002C629D"/>
    <w:rsid w:val="002C6360"/>
    <w:rsid w:val="002C642D"/>
    <w:rsid w:val="002C656C"/>
    <w:rsid w:val="002C6675"/>
    <w:rsid w:val="002C66BF"/>
    <w:rsid w:val="002C66E6"/>
    <w:rsid w:val="002C67F8"/>
    <w:rsid w:val="002C6B7F"/>
    <w:rsid w:val="002C6C01"/>
    <w:rsid w:val="002C6C5C"/>
    <w:rsid w:val="002C6D59"/>
    <w:rsid w:val="002C6D77"/>
    <w:rsid w:val="002C6DA5"/>
    <w:rsid w:val="002C6DF4"/>
    <w:rsid w:val="002C6E8E"/>
    <w:rsid w:val="002C6E90"/>
    <w:rsid w:val="002C6EE9"/>
    <w:rsid w:val="002C6FE6"/>
    <w:rsid w:val="002C7054"/>
    <w:rsid w:val="002C713B"/>
    <w:rsid w:val="002C7188"/>
    <w:rsid w:val="002C71C5"/>
    <w:rsid w:val="002C7303"/>
    <w:rsid w:val="002C73D3"/>
    <w:rsid w:val="002C73D6"/>
    <w:rsid w:val="002C7440"/>
    <w:rsid w:val="002C74BF"/>
    <w:rsid w:val="002C75E4"/>
    <w:rsid w:val="002C771B"/>
    <w:rsid w:val="002C77D2"/>
    <w:rsid w:val="002C7805"/>
    <w:rsid w:val="002C7899"/>
    <w:rsid w:val="002C793D"/>
    <w:rsid w:val="002C7976"/>
    <w:rsid w:val="002C7990"/>
    <w:rsid w:val="002C79B7"/>
    <w:rsid w:val="002C7A25"/>
    <w:rsid w:val="002C7AD2"/>
    <w:rsid w:val="002C7B51"/>
    <w:rsid w:val="002C7B6C"/>
    <w:rsid w:val="002C7B8F"/>
    <w:rsid w:val="002C7BE8"/>
    <w:rsid w:val="002C7C6B"/>
    <w:rsid w:val="002C7CB9"/>
    <w:rsid w:val="002C7CBE"/>
    <w:rsid w:val="002C7D74"/>
    <w:rsid w:val="002C7EEB"/>
    <w:rsid w:val="002C7EF5"/>
    <w:rsid w:val="002C7F71"/>
    <w:rsid w:val="002D00E6"/>
    <w:rsid w:val="002D010F"/>
    <w:rsid w:val="002D01BC"/>
    <w:rsid w:val="002D01D9"/>
    <w:rsid w:val="002D01E4"/>
    <w:rsid w:val="002D0270"/>
    <w:rsid w:val="002D0342"/>
    <w:rsid w:val="002D047C"/>
    <w:rsid w:val="002D0569"/>
    <w:rsid w:val="002D0699"/>
    <w:rsid w:val="002D06B0"/>
    <w:rsid w:val="002D06E2"/>
    <w:rsid w:val="002D0803"/>
    <w:rsid w:val="002D08A2"/>
    <w:rsid w:val="002D096A"/>
    <w:rsid w:val="002D097B"/>
    <w:rsid w:val="002D09DE"/>
    <w:rsid w:val="002D0A02"/>
    <w:rsid w:val="002D0AF2"/>
    <w:rsid w:val="002D0B89"/>
    <w:rsid w:val="002D0BC2"/>
    <w:rsid w:val="002D0BE4"/>
    <w:rsid w:val="002D0D0D"/>
    <w:rsid w:val="002D0D66"/>
    <w:rsid w:val="002D0E18"/>
    <w:rsid w:val="002D0EC9"/>
    <w:rsid w:val="002D0ED9"/>
    <w:rsid w:val="002D0F08"/>
    <w:rsid w:val="002D0FEC"/>
    <w:rsid w:val="002D1048"/>
    <w:rsid w:val="002D10BB"/>
    <w:rsid w:val="002D10ED"/>
    <w:rsid w:val="002D110C"/>
    <w:rsid w:val="002D135D"/>
    <w:rsid w:val="002D13BB"/>
    <w:rsid w:val="002D1437"/>
    <w:rsid w:val="002D14DE"/>
    <w:rsid w:val="002D153B"/>
    <w:rsid w:val="002D15A6"/>
    <w:rsid w:val="002D1652"/>
    <w:rsid w:val="002D1678"/>
    <w:rsid w:val="002D169C"/>
    <w:rsid w:val="002D16BC"/>
    <w:rsid w:val="002D172A"/>
    <w:rsid w:val="002D1781"/>
    <w:rsid w:val="002D1796"/>
    <w:rsid w:val="002D17A1"/>
    <w:rsid w:val="002D1880"/>
    <w:rsid w:val="002D18DF"/>
    <w:rsid w:val="002D19D3"/>
    <w:rsid w:val="002D1A4A"/>
    <w:rsid w:val="002D1B76"/>
    <w:rsid w:val="002D1BD5"/>
    <w:rsid w:val="002D1C76"/>
    <w:rsid w:val="002D1C7F"/>
    <w:rsid w:val="002D1CC7"/>
    <w:rsid w:val="002D1D1B"/>
    <w:rsid w:val="002D1DFE"/>
    <w:rsid w:val="002D1EA5"/>
    <w:rsid w:val="002D1EED"/>
    <w:rsid w:val="002D1EF9"/>
    <w:rsid w:val="002D1F1C"/>
    <w:rsid w:val="002D2001"/>
    <w:rsid w:val="002D2139"/>
    <w:rsid w:val="002D21D2"/>
    <w:rsid w:val="002D21D9"/>
    <w:rsid w:val="002D21F4"/>
    <w:rsid w:val="002D224C"/>
    <w:rsid w:val="002D23A4"/>
    <w:rsid w:val="002D2504"/>
    <w:rsid w:val="002D2570"/>
    <w:rsid w:val="002D25D1"/>
    <w:rsid w:val="002D25E1"/>
    <w:rsid w:val="002D2670"/>
    <w:rsid w:val="002D269F"/>
    <w:rsid w:val="002D26F0"/>
    <w:rsid w:val="002D27A8"/>
    <w:rsid w:val="002D28E8"/>
    <w:rsid w:val="002D29C0"/>
    <w:rsid w:val="002D29EE"/>
    <w:rsid w:val="002D2A3F"/>
    <w:rsid w:val="002D2A5C"/>
    <w:rsid w:val="002D2C93"/>
    <w:rsid w:val="002D2DC6"/>
    <w:rsid w:val="002D2F4C"/>
    <w:rsid w:val="002D3070"/>
    <w:rsid w:val="002D309F"/>
    <w:rsid w:val="002D30B1"/>
    <w:rsid w:val="002D30B7"/>
    <w:rsid w:val="002D313D"/>
    <w:rsid w:val="002D32D2"/>
    <w:rsid w:val="002D33AB"/>
    <w:rsid w:val="002D33F4"/>
    <w:rsid w:val="002D3449"/>
    <w:rsid w:val="002D34B9"/>
    <w:rsid w:val="002D3574"/>
    <w:rsid w:val="002D35EF"/>
    <w:rsid w:val="002D37BB"/>
    <w:rsid w:val="002D3844"/>
    <w:rsid w:val="002D3BF4"/>
    <w:rsid w:val="002D3C7B"/>
    <w:rsid w:val="002D3E28"/>
    <w:rsid w:val="002D3F52"/>
    <w:rsid w:val="002D3FAA"/>
    <w:rsid w:val="002D3FD6"/>
    <w:rsid w:val="002D3FEC"/>
    <w:rsid w:val="002D436A"/>
    <w:rsid w:val="002D4378"/>
    <w:rsid w:val="002D4659"/>
    <w:rsid w:val="002D465E"/>
    <w:rsid w:val="002D4688"/>
    <w:rsid w:val="002D4698"/>
    <w:rsid w:val="002D46A7"/>
    <w:rsid w:val="002D47D8"/>
    <w:rsid w:val="002D481A"/>
    <w:rsid w:val="002D4895"/>
    <w:rsid w:val="002D490A"/>
    <w:rsid w:val="002D49A9"/>
    <w:rsid w:val="002D4A50"/>
    <w:rsid w:val="002D4AC7"/>
    <w:rsid w:val="002D4B31"/>
    <w:rsid w:val="002D4B53"/>
    <w:rsid w:val="002D4C37"/>
    <w:rsid w:val="002D4C77"/>
    <w:rsid w:val="002D4D27"/>
    <w:rsid w:val="002D4D56"/>
    <w:rsid w:val="002D4DD5"/>
    <w:rsid w:val="002D4E21"/>
    <w:rsid w:val="002D502C"/>
    <w:rsid w:val="002D50D5"/>
    <w:rsid w:val="002D5188"/>
    <w:rsid w:val="002D52B9"/>
    <w:rsid w:val="002D536D"/>
    <w:rsid w:val="002D53BD"/>
    <w:rsid w:val="002D53E1"/>
    <w:rsid w:val="002D546F"/>
    <w:rsid w:val="002D54BC"/>
    <w:rsid w:val="002D54C7"/>
    <w:rsid w:val="002D5545"/>
    <w:rsid w:val="002D5556"/>
    <w:rsid w:val="002D556F"/>
    <w:rsid w:val="002D55B3"/>
    <w:rsid w:val="002D56AC"/>
    <w:rsid w:val="002D5736"/>
    <w:rsid w:val="002D592D"/>
    <w:rsid w:val="002D59ED"/>
    <w:rsid w:val="002D5B62"/>
    <w:rsid w:val="002D5CFB"/>
    <w:rsid w:val="002D5D5B"/>
    <w:rsid w:val="002D5DC0"/>
    <w:rsid w:val="002D5DC3"/>
    <w:rsid w:val="002D5F27"/>
    <w:rsid w:val="002D5FAF"/>
    <w:rsid w:val="002D60E4"/>
    <w:rsid w:val="002D60F5"/>
    <w:rsid w:val="002D6466"/>
    <w:rsid w:val="002D65D6"/>
    <w:rsid w:val="002D666D"/>
    <w:rsid w:val="002D6679"/>
    <w:rsid w:val="002D6718"/>
    <w:rsid w:val="002D6734"/>
    <w:rsid w:val="002D67E6"/>
    <w:rsid w:val="002D6861"/>
    <w:rsid w:val="002D688D"/>
    <w:rsid w:val="002D68EE"/>
    <w:rsid w:val="002D69C3"/>
    <w:rsid w:val="002D6A22"/>
    <w:rsid w:val="002D6B61"/>
    <w:rsid w:val="002D6BB6"/>
    <w:rsid w:val="002D6C50"/>
    <w:rsid w:val="002D6C82"/>
    <w:rsid w:val="002D6CB5"/>
    <w:rsid w:val="002D6DB5"/>
    <w:rsid w:val="002D6F1A"/>
    <w:rsid w:val="002D6F96"/>
    <w:rsid w:val="002D6FB0"/>
    <w:rsid w:val="002D7193"/>
    <w:rsid w:val="002D72C9"/>
    <w:rsid w:val="002D730C"/>
    <w:rsid w:val="002D7318"/>
    <w:rsid w:val="002D737D"/>
    <w:rsid w:val="002D74E7"/>
    <w:rsid w:val="002D7592"/>
    <w:rsid w:val="002D7636"/>
    <w:rsid w:val="002D76C0"/>
    <w:rsid w:val="002D7743"/>
    <w:rsid w:val="002D77E5"/>
    <w:rsid w:val="002D783F"/>
    <w:rsid w:val="002D7943"/>
    <w:rsid w:val="002D7B06"/>
    <w:rsid w:val="002D7BE1"/>
    <w:rsid w:val="002D7BF5"/>
    <w:rsid w:val="002D7C18"/>
    <w:rsid w:val="002D7C24"/>
    <w:rsid w:val="002D7CC4"/>
    <w:rsid w:val="002D7DE0"/>
    <w:rsid w:val="002D7F78"/>
    <w:rsid w:val="002D7FCE"/>
    <w:rsid w:val="002E0046"/>
    <w:rsid w:val="002E0082"/>
    <w:rsid w:val="002E015E"/>
    <w:rsid w:val="002E019B"/>
    <w:rsid w:val="002E01BC"/>
    <w:rsid w:val="002E01D0"/>
    <w:rsid w:val="002E0280"/>
    <w:rsid w:val="002E031F"/>
    <w:rsid w:val="002E0331"/>
    <w:rsid w:val="002E03A5"/>
    <w:rsid w:val="002E03CD"/>
    <w:rsid w:val="002E03DD"/>
    <w:rsid w:val="002E04DA"/>
    <w:rsid w:val="002E0544"/>
    <w:rsid w:val="002E05B4"/>
    <w:rsid w:val="002E05B6"/>
    <w:rsid w:val="002E06C9"/>
    <w:rsid w:val="002E0850"/>
    <w:rsid w:val="002E08FB"/>
    <w:rsid w:val="002E0A21"/>
    <w:rsid w:val="002E0AD4"/>
    <w:rsid w:val="002E0B4E"/>
    <w:rsid w:val="002E0B5F"/>
    <w:rsid w:val="002E0BEC"/>
    <w:rsid w:val="002E0D1B"/>
    <w:rsid w:val="002E0E30"/>
    <w:rsid w:val="002E0F6B"/>
    <w:rsid w:val="002E0FBF"/>
    <w:rsid w:val="002E0FDE"/>
    <w:rsid w:val="002E10FB"/>
    <w:rsid w:val="002E123B"/>
    <w:rsid w:val="002E141C"/>
    <w:rsid w:val="002E141E"/>
    <w:rsid w:val="002E147B"/>
    <w:rsid w:val="002E1489"/>
    <w:rsid w:val="002E14B1"/>
    <w:rsid w:val="002E1613"/>
    <w:rsid w:val="002E16AC"/>
    <w:rsid w:val="002E16D9"/>
    <w:rsid w:val="002E173A"/>
    <w:rsid w:val="002E1937"/>
    <w:rsid w:val="002E196F"/>
    <w:rsid w:val="002E1B0B"/>
    <w:rsid w:val="002E1BBB"/>
    <w:rsid w:val="002E1C32"/>
    <w:rsid w:val="002E1D6E"/>
    <w:rsid w:val="002E1DBE"/>
    <w:rsid w:val="002E1E08"/>
    <w:rsid w:val="002E1E68"/>
    <w:rsid w:val="002E2121"/>
    <w:rsid w:val="002E214F"/>
    <w:rsid w:val="002E21C4"/>
    <w:rsid w:val="002E2232"/>
    <w:rsid w:val="002E242A"/>
    <w:rsid w:val="002E24CD"/>
    <w:rsid w:val="002E2550"/>
    <w:rsid w:val="002E264F"/>
    <w:rsid w:val="002E2742"/>
    <w:rsid w:val="002E27A7"/>
    <w:rsid w:val="002E27CD"/>
    <w:rsid w:val="002E2861"/>
    <w:rsid w:val="002E289D"/>
    <w:rsid w:val="002E28CE"/>
    <w:rsid w:val="002E28DC"/>
    <w:rsid w:val="002E290D"/>
    <w:rsid w:val="002E294F"/>
    <w:rsid w:val="002E29D6"/>
    <w:rsid w:val="002E2B27"/>
    <w:rsid w:val="002E2B5C"/>
    <w:rsid w:val="002E2BF5"/>
    <w:rsid w:val="002E2C22"/>
    <w:rsid w:val="002E2CBE"/>
    <w:rsid w:val="002E2D05"/>
    <w:rsid w:val="002E2D8D"/>
    <w:rsid w:val="002E2DE2"/>
    <w:rsid w:val="002E2E86"/>
    <w:rsid w:val="002E2F10"/>
    <w:rsid w:val="002E2FAF"/>
    <w:rsid w:val="002E2FF1"/>
    <w:rsid w:val="002E30D4"/>
    <w:rsid w:val="002E311F"/>
    <w:rsid w:val="002E315D"/>
    <w:rsid w:val="002E325A"/>
    <w:rsid w:val="002E32B6"/>
    <w:rsid w:val="002E3361"/>
    <w:rsid w:val="002E33DE"/>
    <w:rsid w:val="002E3403"/>
    <w:rsid w:val="002E34D9"/>
    <w:rsid w:val="002E350D"/>
    <w:rsid w:val="002E3587"/>
    <w:rsid w:val="002E35BD"/>
    <w:rsid w:val="002E35C2"/>
    <w:rsid w:val="002E35DC"/>
    <w:rsid w:val="002E3622"/>
    <w:rsid w:val="002E3676"/>
    <w:rsid w:val="002E36DD"/>
    <w:rsid w:val="002E3943"/>
    <w:rsid w:val="002E3A33"/>
    <w:rsid w:val="002E3C48"/>
    <w:rsid w:val="002E3CFE"/>
    <w:rsid w:val="002E3D0A"/>
    <w:rsid w:val="002E3D82"/>
    <w:rsid w:val="002E3DD1"/>
    <w:rsid w:val="002E3EC2"/>
    <w:rsid w:val="002E3F17"/>
    <w:rsid w:val="002E3F5C"/>
    <w:rsid w:val="002E3F9D"/>
    <w:rsid w:val="002E4045"/>
    <w:rsid w:val="002E406C"/>
    <w:rsid w:val="002E4142"/>
    <w:rsid w:val="002E421F"/>
    <w:rsid w:val="002E4246"/>
    <w:rsid w:val="002E429C"/>
    <w:rsid w:val="002E4330"/>
    <w:rsid w:val="002E4335"/>
    <w:rsid w:val="002E435D"/>
    <w:rsid w:val="002E43D2"/>
    <w:rsid w:val="002E4453"/>
    <w:rsid w:val="002E45AD"/>
    <w:rsid w:val="002E4637"/>
    <w:rsid w:val="002E47A3"/>
    <w:rsid w:val="002E47E6"/>
    <w:rsid w:val="002E482D"/>
    <w:rsid w:val="002E48E7"/>
    <w:rsid w:val="002E490D"/>
    <w:rsid w:val="002E4A78"/>
    <w:rsid w:val="002E4C0B"/>
    <w:rsid w:val="002E4C88"/>
    <w:rsid w:val="002E4CB6"/>
    <w:rsid w:val="002E4D64"/>
    <w:rsid w:val="002E4DD8"/>
    <w:rsid w:val="002E4E66"/>
    <w:rsid w:val="002E4EF7"/>
    <w:rsid w:val="002E4EFC"/>
    <w:rsid w:val="002E4FEB"/>
    <w:rsid w:val="002E5038"/>
    <w:rsid w:val="002E516A"/>
    <w:rsid w:val="002E51AB"/>
    <w:rsid w:val="002E522C"/>
    <w:rsid w:val="002E5537"/>
    <w:rsid w:val="002E5582"/>
    <w:rsid w:val="002E55D4"/>
    <w:rsid w:val="002E565F"/>
    <w:rsid w:val="002E5673"/>
    <w:rsid w:val="002E572D"/>
    <w:rsid w:val="002E574D"/>
    <w:rsid w:val="002E57A5"/>
    <w:rsid w:val="002E57AF"/>
    <w:rsid w:val="002E5940"/>
    <w:rsid w:val="002E5986"/>
    <w:rsid w:val="002E5A1A"/>
    <w:rsid w:val="002E5B87"/>
    <w:rsid w:val="002E5BBD"/>
    <w:rsid w:val="002E5C21"/>
    <w:rsid w:val="002E5C92"/>
    <w:rsid w:val="002E5D98"/>
    <w:rsid w:val="002E5E6A"/>
    <w:rsid w:val="002E600D"/>
    <w:rsid w:val="002E6055"/>
    <w:rsid w:val="002E62BE"/>
    <w:rsid w:val="002E630A"/>
    <w:rsid w:val="002E63A8"/>
    <w:rsid w:val="002E6498"/>
    <w:rsid w:val="002E64B6"/>
    <w:rsid w:val="002E64EF"/>
    <w:rsid w:val="002E6537"/>
    <w:rsid w:val="002E655D"/>
    <w:rsid w:val="002E6595"/>
    <w:rsid w:val="002E6646"/>
    <w:rsid w:val="002E6797"/>
    <w:rsid w:val="002E67CC"/>
    <w:rsid w:val="002E68EE"/>
    <w:rsid w:val="002E6933"/>
    <w:rsid w:val="002E6A44"/>
    <w:rsid w:val="002E6A7B"/>
    <w:rsid w:val="002E6A84"/>
    <w:rsid w:val="002E6AAA"/>
    <w:rsid w:val="002E6B35"/>
    <w:rsid w:val="002E6CA9"/>
    <w:rsid w:val="002E6E58"/>
    <w:rsid w:val="002E6EA2"/>
    <w:rsid w:val="002E6EE9"/>
    <w:rsid w:val="002E6EEF"/>
    <w:rsid w:val="002E6FCE"/>
    <w:rsid w:val="002E704E"/>
    <w:rsid w:val="002E7206"/>
    <w:rsid w:val="002E7252"/>
    <w:rsid w:val="002E72C1"/>
    <w:rsid w:val="002E737C"/>
    <w:rsid w:val="002E737D"/>
    <w:rsid w:val="002E7388"/>
    <w:rsid w:val="002E7396"/>
    <w:rsid w:val="002E740B"/>
    <w:rsid w:val="002E7438"/>
    <w:rsid w:val="002E752E"/>
    <w:rsid w:val="002E7579"/>
    <w:rsid w:val="002E7580"/>
    <w:rsid w:val="002E7619"/>
    <w:rsid w:val="002E761A"/>
    <w:rsid w:val="002E7631"/>
    <w:rsid w:val="002E763B"/>
    <w:rsid w:val="002E7643"/>
    <w:rsid w:val="002E76C7"/>
    <w:rsid w:val="002E770E"/>
    <w:rsid w:val="002E777C"/>
    <w:rsid w:val="002E7815"/>
    <w:rsid w:val="002E7821"/>
    <w:rsid w:val="002E7851"/>
    <w:rsid w:val="002E7935"/>
    <w:rsid w:val="002E7A05"/>
    <w:rsid w:val="002E7C3E"/>
    <w:rsid w:val="002E7C6D"/>
    <w:rsid w:val="002E7CA3"/>
    <w:rsid w:val="002E7D91"/>
    <w:rsid w:val="002E7D9D"/>
    <w:rsid w:val="002E7DCE"/>
    <w:rsid w:val="002E7E4C"/>
    <w:rsid w:val="002E7E63"/>
    <w:rsid w:val="002E7E71"/>
    <w:rsid w:val="002E7E9A"/>
    <w:rsid w:val="002E7F38"/>
    <w:rsid w:val="002F0052"/>
    <w:rsid w:val="002F009F"/>
    <w:rsid w:val="002F00BF"/>
    <w:rsid w:val="002F00D6"/>
    <w:rsid w:val="002F0140"/>
    <w:rsid w:val="002F01C2"/>
    <w:rsid w:val="002F0296"/>
    <w:rsid w:val="002F036A"/>
    <w:rsid w:val="002F0391"/>
    <w:rsid w:val="002F03C1"/>
    <w:rsid w:val="002F03D1"/>
    <w:rsid w:val="002F04B7"/>
    <w:rsid w:val="002F04B9"/>
    <w:rsid w:val="002F057C"/>
    <w:rsid w:val="002F0586"/>
    <w:rsid w:val="002F05A3"/>
    <w:rsid w:val="002F05B8"/>
    <w:rsid w:val="002F05C3"/>
    <w:rsid w:val="002F05F2"/>
    <w:rsid w:val="002F0621"/>
    <w:rsid w:val="002F0641"/>
    <w:rsid w:val="002F06C1"/>
    <w:rsid w:val="002F06D8"/>
    <w:rsid w:val="002F0746"/>
    <w:rsid w:val="002F0794"/>
    <w:rsid w:val="002F07AE"/>
    <w:rsid w:val="002F0825"/>
    <w:rsid w:val="002F084E"/>
    <w:rsid w:val="002F093C"/>
    <w:rsid w:val="002F0A64"/>
    <w:rsid w:val="002F0BA4"/>
    <w:rsid w:val="002F0BE6"/>
    <w:rsid w:val="002F0C26"/>
    <w:rsid w:val="002F0C58"/>
    <w:rsid w:val="002F0C80"/>
    <w:rsid w:val="002F0CBD"/>
    <w:rsid w:val="002F0D6D"/>
    <w:rsid w:val="002F0EDD"/>
    <w:rsid w:val="002F0F3D"/>
    <w:rsid w:val="002F0FD5"/>
    <w:rsid w:val="002F1055"/>
    <w:rsid w:val="002F10EA"/>
    <w:rsid w:val="002F10FC"/>
    <w:rsid w:val="002F1106"/>
    <w:rsid w:val="002F11E4"/>
    <w:rsid w:val="002F1220"/>
    <w:rsid w:val="002F129F"/>
    <w:rsid w:val="002F12A3"/>
    <w:rsid w:val="002F13D2"/>
    <w:rsid w:val="002F16BF"/>
    <w:rsid w:val="002F16FC"/>
    <w:rsid w:val="002F17DC"/>
    <w:rsid w:val="002F17FA"/>
    <w:rsid w:val="002F1802"/>
    <w:rsid w:val="002F1890"/>
    <w:rsid w:val="002F18AD"/>
    <w:rsid w:val="002F18CB"/>
    <w:rsid w:val="002F18D1"/>
    <w:rsid w:val="002F1A72"/>
    <w:rsid w:val="002F1A77"/>
    <w:rsid w:val="002F1AF4"/>
    <w:rsid w:val="002F1BB5"/>
    <w:rsid w:val="002F1D08"/>
    <w:rsid w:val="002F1D7E"/>
    <w:rsid w:val="002F1DA9"/>
    <w:rsid w:val="002F1DB4"/>
    <w:rsid w:val="002F1E4D"/>
    <w:rsid w:val="002F1E60"/>
    <w:rsid w:val="002F1FCB"/>
    <w:rsid w:val="002F2078"/>
    <w:rsid w:val="002F210C"/>
    <w:rsid w:val="002F212E"/>
    <w:rsid w:val="002F2250"/>
    <w:rsid w:val="002F2269"/>
    <w:rsid w:val="002F2350"/>
    <w:rsid w:val="002F2425"/>
    <w:rsid w:val="002F2652"/>
    <w:rsid w:val="002F26ED"/>
    <w:rsid w:val="002F275B"/>
    <w:rsid w:val="002F276B"/>
    <w:rsid w:val="002F27A1"/>
    <w:rsid w:val="002F27C1"/>
    <w:rsid w:val="002F2A1E"/>
    <w:rsid w:val="002F2A63"/>
    <w:rsid w:val="002F2AAC"/>
    <w:rsid w:val="002F2AF9"/>
    <w:rsid w:val="002F2CF0"/>
    <w:rsid w:val="002F2DB9"/>
    <w:rsid w:val="002F2EA4"/>
    <w:rsid w:val="002F2EB6"/>
    <w:rsid w:val="002F2F75"/>
    <w:rsid w:val="002F30EE"/>
    <w:rsid w:val="002F32DE"/>
    <w:rsid w:val="002F33F2"/>
    <w:rsid w:val="002F34AE"/>
    <w:rsid w:val="002F34D2"/>
    <w:rsid w:val="002F3583"/>
    <w:rsid w:val="002F367A"/>
    <w:rsid w:val="002F369C"/>
    <w:rsid w:val="002F3923"/>
    <w:rsid w:val="002F3AF5"/>
    <w:rsid w:val="002F3B83"/>
    <w:rsid w:val="002F3C6D"/>
    <w:rsid w:val="002F3DB1"/>
    <w:rsid w:val="002F3E82"/>
    <w:rsid w:val="002F3E99"/>
    <w:rsid w:val="002F3E9B"/>
    <w:rsid w:val="002F3EEF"/>
    <w:rsid w:val="002F4007"/>
    <w:rsid w:val="002F4121"/>
    <w:rsid w:val="002F413E"/>
    <w:rsid w:val="002F4276"/>
    <w:rsid w:val="002F4336"/>
    <w:rsid w:val="002F4390"/>
    <w:rsid w:val="002F43F2"/>
    <w:rsid w:val="002F446A"/>
    <w:rsid w:val="002F4479"/>
    <w:rsid w:val="002F44B1"/>
    <w:rsid w:val="002F452C"/>
    <w:rsid w:val="002F453E"/>
    <w:rsid w:val="002F4682"/>
    <w:rsid w:val="002F468A"/>
    <w:rsid w:val="002F46CF"/>
    <w:rsid w:val="002F46D2"/>
    <w:rsid w:val="002F474E"/>
    <w:rsid w:val="002F47C6"/>
    <w:rsid w:val="002F484E"/>
    <w:rsid w:val="002F495B"/>
    <w:rsid w:val="002F4B15"/>
    <w:rsid w:val="002F4B76"/>
    <w:rsid w:val="002F4BA9"/>
    <w:rsid w:val="002F4C25"/>
    <w:rsid w:val="002F4C31"/>
    <w:rsid w:val="002F4C5C"/>
    <w:rsid w:val="002F4CDF"/>
    <w:rsid w:val="002F4DA7"/>
    <w:rsid w:val="002F4E00"/>
    <w:rsid w:val="002F4E1E"/>
    <w:rsid w:val="002F4F58"/>
    <w:rsid w:val="002F4F5F"/>
    <w:rsid w:val="002F4FDF"/>
    <w:rsid w:val="002F4FE4"/>
    <w:rsid w:val="002F50FD"/>
    <w:rsid w:val="002F5338"/>
    <w:rsid w:val="002F5339"/>
    <w:rsid w:val="002F53F9"/>
    <w:rsid w:val="002F5608"/>
    <w:rsid w:val="002F5697"/>
    <w:rsid w:val="002F56A0"/>
    <w:rsid w:val="002F56D3"/>
    <w:rsid w:val="002F5781"/>
    <w:rsid w:val="002F58BE"/>
    <w:rsid w:val="002F5957"/>
    <w:rsid w:val="002F59D7"/>
    <w:rsid w:val="002F59F5"/>
    <w:rsid w:val="002F5A01"/>
    <w:rsid w:val="002F5A7B"/>
    <w:rsid w:val="002F5B3F"/>
    <w:rsid w:val="002F5B94"/>
    <w:rsid w:val="002F5D4B"/>
    <w:rsid w:val="002F5D7B"/>
    <w:rsid w:val="002F5DE3"/>
    <w:rsid w:val="002F5F28"/>
    <w:rsid w:val="002F5F73"/>
    <w:rsid w:val="002F5F8D"/>
    <w:rsid w:val="002F603A"/>
    <w:rsid w:val="002F6096"/>
    <w:rsid w:val="002F616B"/>
    <w:rsid w:val="002F62A5"/>
    <w:rsid w:val="002F62DB"/>
    <w:rsid w:val="002F6438"/>
    <w:rsid w:val="002F643F"/>
    <w:rsid w:val="002F6583"/>
    <w:rsid w:val="002F658C"/>
    <w:rsid w:val="002F659E"/>
    <w:rsid w:val="002F65A2"/>
    <w:rsid w:val="002F65CB"/>
    <w:rsid w:val="002F65F2"/>
    <w:rsid w:val="002F6616"/>
    <w:rsid w:val="002F6651"/>
    <w:rsid w:val="002F671D"/>
    <w:rsid w:val="002F6784"/>
    <w:rsid w:val="002F6829"/>
    <w:rsid w:val="002F6908"/>
    <w:rsid w:val="002F692A"/>
    <w:rsid w:val="002F6979"/>
    <w:rsid w:val="002F6A11"/>
    <w:rsid w:val="002F6A29"/>
    <w:rsid w:val="002F6AB4"/>
    <w:rsid w:val="002F6AC4"/>
    <w:rsid w:val="002F6DD2"/>
    <w:rsid w:val="002F6E63"/>
    <w:rsid w:val="002F6E6B"/>
    <w:rsid w:val="002F6EDE"/>
    <w:rsid w:val="002F6FB2"/>
    <w:rsid w:val="002F6FC2"/>
    <w:rsid w:val="002F6FC4"/>
    <w:rsid w:val="002F7031"/>
    <w:rsid w:val="002F7221"/>
    <w:rsid w:val="002F7349"/>
    <w:rsid w:val="002F735D"/>
    <w:rsid w:val="002F7380"/>
    <w:rsid w:val="002F73EE"/>
    <w:rsid w:val="002F7478"/>
    <w:rsid w:val="002F74AF"/>
    <w:rsid w:val="002F74C2"/>
    <w:rsid w:val="002F74DE"/>
    <w:rsid w:val="002F7522"/>
    <w:rsid w:val="002F7555"/>
    <w:rsid w:val="002F763A"/>
    <w:rsid w:val="002F763C"/>
    <w:rsid w:val="002F76D7"/>
    <w:rsid w:val="002F778A"/>
    <w:rsid w:val="002F785F"/>
    <w:rsid w:val="002F78D6"/>
    <w:rsid w:val="002F78FC"/>
    <w:rsid w:val="002F7944"/>
    <w:rsid w:val="002F79A9"/>
    <w:rsid w:val="002F79AC"/>
    <w:rsid w:val="002F7A25"/>
    <w:rsid w:val="002F7A60"/>
    <w:rsid w:val="002F7A87"/>
    <w:rsid w:val="002F7B0F"/>
    <w:rsid w:val="002F7B33"/>
    <w:rsid w:val="002F7B99"/>
    <w:rsid w:val="002F7BD9"/>
    <w:rsid w:val="002F7C00"/>
    <w:rsid w:val="002F7C70"/>
    <w:rsid w:val="002F7CE8"/>
    <w:rsid w:val="002F7D28"/>
    <w:rsid w:val="002F7D41"/>
    <w:rsid w:val="002F7DC7"/>
    <w:rsid w:val="002F7E14"/>
    <w:rsid w:val="002F7E44"/>
    <w:rsid w:val="002F7E4B"/>
    <w:rsid w:val="002F7E90"/>
    <w:rsid w:val="002F7F2C"/>
    <w:rsid w:val="002F7F66"/>
    <w:rsid w:val="002F7F96"/>
    <w:rsid w:val="002F7FEC"/>
    <w:rsid w:val="00300057"/>
    <w:rsid w:val="003001EB"/>
    <w:rsid w:val="003001F0"/>
    <w:rsid w:val="00300354"/>
    <w:rsid w:val="003003C8"/>
    <w:rsid w:val="0030040D"/>
    <w:rsid w:val="00300422"/>
    <w:rsid w:val="0030043B"/>
    <w:rsid w:val="00300498"/>
    <w:rsid w:val="00300503"/>
    <w:rsid w:val="0030062D"/>
    <w:rsid w:val="00300638"/>
    <w:rsid w:val="00300728"/>
    <w:rsid w:val="003009AC"/>
    <w:rsid w:val="00300A28"/>
    <w:rsid w:val="00300B2B"/>
    <w:rsid w:val="00300CC2"/>
    <w:rsid w:val="00300D3F"/>
    <w:rsid w:val="00300E39"/>
    <w:rsid w:val="00300E67"/>
    <w:rsid w:val="00300EFC"/>
    <w:rsid w:val="00300F0E"/>
    <w:rsid w:val="00300F53"/>
    <w:rsid w:val="0030111D"/>
    <w:rsid w:val="00301269"/>
    <w:rsid w:val="003015A3"/>
    <w:rsid w:val="003015AD"/>
    <w:rsid w:val="00301667"/>
    <w:rsid w:val="003016A1"/>
    <w:rsid w:val="003016AC"/>
    <w:rsid w:val="00301872"/>
    <w:rsid w:val="0030187F"/>
    <w:rsid w:val="003018BC"/>
    <w:rsid w:val="00301A1A"/>
    <w:rsid w:val="00301BA5"/>
    <w:rsid w:val="00301C98"/>
    <w:rsid w:val="00301D56"/>
    <w:rsid w:val="00301EFE"/>
    <w:rsid w:val="00301F6F"/>
    <w:rsid w:val="00301F79"/>
    <w:rsid w:val="0030210E"/>
    <w:rsid w:val="0030216A"/>
    <w:rsid w:val="00302187"/>
    <w:rsid w:val="0030224E"/>
    <w:rsid w:val="003023FC"/>
    <w:rsid w:val="00302407"/>
    <w:rsid w:val="00302460"/>
    <w:rsid w:val="003024C7"/>
    <w:rsid w:val="0030258A"/>
    <w:rsid w:val="003025CD"/>
    <w:rsid w:val="003025DD"/>
    <w:rsid w:val="0030261E"/>
    <w:rsid w:val="0030279D"/>
    <w:rsid w:val="003027FB"/>
    <w:rsid w:val="00302805"/>
    <w:rsid w:val="0030285B"/>
    <w:rsid w:val="0030287E"/>
    <w:rsid w:val="00302907"/>
    <w:rsid w:val="00302921"/>
    <w:rsid w:val="0030293A"/>
    <w:rsid w:val="003029D8"/>
    <w:rsid w:val="00302ADE"/>
    <w:rsid w:val="00302B29"/>
    <w:rsid w:val="00302B86"/>
    <w:rsid w:val="00302D48"/>
    <w:rsid w:val="00302E3C"/>
    <w:rsid w:val="00302FEE"/>
    <w:rsid w:val="003031DB"/>
    <w:rsid w:val="003032C8"/>
    <w:rsid w:val="00303372"/>
    <w:rsid w:val="0030341F"/>
    <w:rsid w:val="003034D8"/>
    <w:rsid w:val="00303568"/>
    <w:rsid w:val="003035F7"/>
    <w:rsid w:val="00303644"/>
    <w:rsid w:val="003036F7"/>
    <w:rsid w:val="00303734"/>
    <w:rsid w:val="003037AC"/>
    <w:rsid w:val="003038BC"/>
    <w:rsid w:val="003039A0"/>
    <w:rsid w:val="003039E9"/>
    <w:rsid w:val="00303AA0"/>
    <w:rsid w:val="00303AB9"/>
    <w:rsid w:val="00303B66"/>
    <w:rsid w:val="00303B98"/>
    <w:rsid w:val="00303C01"/>
    <w:rsid w:val="00303C02"/>
    <w:rsid w:val="00303C08"/>
    <w:rsid w:val="00303C82"/>
    <w:rsid w:val="00303CD9"/>
    <w:rsid w:val="00303CE0"/>
    <w:rsid w:val="00303D6D"/>
    <w:rsid w:val="00303D8D"/>
    <w:rsid w:val="00303E2F"/>
    <w:rsid w:val="00303ECF"/>
    <w:rsid w:val="00303F18"/>
    <w:rsid w:val="00303FD6"/>
    <w:rsid w:val="00303FEB"/>
    <w:rsid w:val="00303FF7"/>
    <w:rsid w:val="003040B2"/>
    <w:rsid w:val="003041C6"/>
    <w:rsid w:val="003041FB"/>
    <w:rsid w:val="003042D4"/>
    <w:rsid w:val="003042E9"/>
    <w:rsid w:val="003043BB"/>
    <w:rsid w:val="00304411"/>
    <w:rsid w:val="00304501"/>
    <w:rsid w:val="0030467D"/>
    <w:rsid w:val="003046DC"/>
    <w:rsid w:val="00304763"/>
    <w:rsid w:val="00304814"/>
    <w:rsid w:val="0030486C"/>
    <w:rsid w:val="003048DE"/>
    <w:rsid w:val="0030492D"/>
    <w:rsid w:val="00304985"/>
    <w:rsid w:val="00304A44"/>
    <w:rsid w:val="00304A63"/>
    <w:rsid w:val="00304A7D"/>
    <w:rsid w:val="00304B8C"/>
    <w:rsid w:val="00304C03"/>
    <w:rsid w:val="00304C1B"/>
    <w:rsid w:val="00304CC0"/>
    <w:rsid w:val="00304D34"/>
    <w:rsid w:val="00304D6C"/>
    <w:rsid w:val="00304DF3"/>
    <w:rsid w:val="00304E89"/>
    <w:rsid w:val="00304F04"/>
    <w:rsid w:val="00304F6C"/>
    <w:rsid w:val="00304F76"/>
    <w:rsid w:val="00304F90"/>
    <w:rsid w:val="00304FC4"/>
    <w:rsid w:val="003050D6"/>
    <w:rsid w:val="00305191"/>
    <w:rsid w:val="003052EE"/>
    <w:rsid w:val="0030530B"/>
    <w:rsid w:val="00305381"/>
    <w:rsid w:val="003055C9"/>
    <w:rsid w:val="0030569A"/>
    <w:rsid w:val="003056D9"/>
    <w:rsid w:val="003057A4"/>
    <w:rsid w:val="00305817"/>
    <w:rsid w:val="00305921"/>
    <w:rsid w:val="0030594B"/>
    <w:rsid w:val="003059C6"/>
    <w:rsid w:val="00305A1B"/>
    <w:rsid w:val="00305A4D"/>
    <w:rsid w:val="00305ABD"/>
    <w:rsid w:val="00305AF2"/>
    <w:rsid w:val="00305B06"/>
    <w:rsid w:val="00305B9F"/>
    <w:rsid w:val="00305BE5"/>
    <w:rsid w:val="00305C9D"/>
    <w:rsid w:val="00305D6C"/>
    <w:rsid w:val="00305EAA"/>
    <w:rsid w:val="00305ED8"/>
    <w:rsid w:val="00306098"/>
    <w:rsid w:val="003060B3"/>
    <w:rsid w:val="0030615C"/>
    <w:rsid w:val="00306218"/>
    <w:rsid w:val="00306255"/>
    <w:rsid w:val="00306273"/>
    <w:rsid w:val="00306337"/>
    <w:rsid w:val="00306394"/>
    <w:rsid w:val="003063E7"/>
    <w:rsid w:val="00306441"/>
    <w:rsid w:val="00306525"/>
    <w:rsid w:val="0030655A"/>
    <w:rsid w:val="00306582"/>
    <w:rsid w:val="003065BD"/>
    <w:rsid w:val="00306619"/>
    <w:rsid w:val="00306664"/>
    <w:rsid w:val="00306781"/>
    <w:rsid w:val="00306843"/>
    <w:rsid w:val="003068B0"/>
    <w:rsid w:val="003069DE"/>
    <w:rsid w:val="003069F7"/>
    <w:rsid w:val="00306A08"/>
    <w:rsid w:val="00306A45"/>
    <w:rsid w:val="00306B6A"/>
    <w:rsid w:val="00306C12"/>
    <w:rsid w:val="00306C27"/>
    <w:rsid w:val="00306C5F"/>
    <w:rsid w:val="00306D41"/>
    <w:rsid w:val="00306DEF"/>
    <w:rsid w:val="00306E2D"/>
    <w:rsid w:val="00306E4D"/>
    <w:rsid w:val="00306F48"/>
    <w:rsid w:val="00307101"/>
    <w:rsid w:val="00307111"/>
    <w:rsid w:val="003071ED"/>
    <w:rsid w:val="0030728E"/>
    <w:rsid w:val="00307320"/>
    <w:rsid w:val="00307464"/>
    <w:rsid w:val="003074FF"/>
    <w:rsid w:val="00307617"/>
    <w:rsid w:val="0030767B"/>
    <w:rsid w:val="0030768E"/>
    <w:rsid w:val="003076BA"/>
    <w:rsid w:val="003076C6"/>
    <w:rsid w:val="003077D0"/>
    <w:rsid w:val="0030791B"/>
    <w:rsid w:val="00307A8C"/>
    <w:rsid w:val="00307B4A"/>
    <w:rsid w:val="00307B6D"/>
    <w:rsid w:val="00307B7D"/>
    <w:rsid w:val="00307BD6"/>
    <w:rsid w:val="00307BFE"/>
    <w:rsid w:val="00307C19"/>
    <w:rsid w:val="00307D93"/>
    <w:rsid w:val="00307DEE"/>
    <w:rsid w:val="00310046"/>
    <w:rsid w:val="0031006E"/>
    <w:rsid w:val="00310083"/>
    <w:rsid w:val="00310093"/>
    <w:rsid w:val="00310124"/>
    <w:rsid w:val="00310139"/>
    <w:rsid w:val="00310236"/>
    <w:rsid w:val="00310279"/>
    <w:rsid w:val="00310367"/>
    <w:rsid w:val="00310483"/>
    <w:rsid w:val="003104DD"/>
    <w:rsid w:val="00310534"/>
    <w:rsid w:val="0031057B"/>
    <w:rsid w:val="00310725"/>
    <w:rsid w:val="0031080F"/>
    <w:rsid w:val="003109CA"/>
    <w:rsid w:val="00310A32"/>
    <w:rsid w:val="00310A6A"/>
    <w:rsid w:val="00310A73"/>
    <w:rsid w:val="00310A8B"/>
    <w:rsid w:val="00310AC1"/>
    <w:rsid w:val="00310AF6"/>
    <w:rsid w:val="00310B18"/>
    <w:rsid w:val="00310B23"/>
    <w:rsid w:val="00310B24"/>
    <w:rsid w:val="00310BC3"/>
    <w:rsid w:val="00310C8F"/>
    <w:rsid w:val="00310D16"/>
    <w:rsid w:val="00310D39"/>
    <w:rsid w:val="00310D6E"/>
    <w:rsid w:val="00310D78"/>
    <w:rsid w:val="00310F30"/>
    <w:rsid w:val="00310F5B"/>
    <w:rsid w:val="003110A3"/>
    <w:rsid w:val="0031110B"/>
    <w:rsid w:val="0031113E"/>
    <w:rsid w:val="003111FE"/>
    <w:rsid w:val="00311260"/>
    <w:rsid w:val="003112E6"/>
    <w:rsid w:val="0031165F"/>
    <w:rsid w:val="003117A0"/>
    <w:rsid w:val="00311883"/>
    <w:rsid w:val="003118BD"/>
    <w:rsid w:val="003119B0"/>
    <w:rsid w:val="003119C3"/>
    <w:rsid w:val="00311A47"/>
    <w:rsid w:val="00311A8A"/>
    <w:rsid w:val="00311B97"/>
    <w:rsid w:val="00311C30"/>
    <w:rsid w:val="00311C4F"/>
    <w:rsid w:val="00311D8B"/>
    <w:rsid w:val="00311DAE"/>
    <w:rsid w:val="00311E4F"/>
    <w:rsid w:val="00311F96"/>
    <w:rsid w:val="0031205E"/>
    <w:rsid w:val="0031228C"/>
    <w:rsid w:val="003122C8"/>
    <w:rsid w:val="003123DA"/>
    <w:rsid w:val="00312520"/>
    <w:rsid w:val="00312558"/>
    <w:rsid w:val="003125E4"/>
    <w:rsid w:val="0031261D"/>
    <w:rsid w:val="0031265B"/>
    <w:rsid w:val="00312768"/>
    <w:rsid w:val="00312913"/>
    <w:rsid w:val="0031295F"/>
    <w:rsid w:val="0031299A"/>
    <w:rsid w:val="003129D7"/>
    <w:rsid w:val="00312A21"/>
    <w:rsid w:val="00312BBA"/>
    <w:rsid w:val="00312C00"/>
    <w:rsid w:val="00312C1E"/>
    <w:rsid w:val="00312DFB"/>
    <w:rsid w:val="00312EB9"/>
    <w:rsid w:val="003131C2"/>
    <w:rsid w:val="003132A5"/>
    <w:rsid w:val="00313446"/>
    <w:rsid w:val="00313480"/>
    <w:rsid w:val="003134F4"/>
    <w:rsid w:val="0031355C"/>
    <w:rsid w:val="003135B8"/>
    <w:rsid w:val="0031360E"/>
    <w:rsid w:val="003137C5"/>
    <w:rsid w:val="003138BB"/>
    <w:rsid w:val="003138CC"/>
    <w:rsid w:val="00313903"/>
    <w:rsid w:val="00313904"/>
    <w:rsid w:val="003139AE"/>
    <w:rsid w:val="003139C2"/>
    <w:rsid w:val="003139F5"/>
    <w:rsid w:val="00313A20"/>
    <w:rsid w:val="00313A8D"/>
    <w:rsid w:val="00313AC5"/>
    <w:rsid w:val="00313B2D"/>
    <w:rsid w:val="00313BDE"/>
    <w:rsid w:val="00313C0C"/>
    <w:rsid w:val="00313C24"/>
    <w:rsid w:val="00313CA8"/>
    <w:rsid w:val="00313CBC"/>
    <w:rsid w:val="00313D45"/>
    <w:rsid w:val="00313DD8"/>
    <w:rsid w:val="00313E41"/>
    <w:rsid w:val="00313ED3"/>
    <w:rsid w:val="00313F09"/>
    <w:rsid w:val="00313FA6"/>
    <w:rsid w:val="00313FD4"/>
    <w:rsid w:val="00314252"/>
    <w:rsid w:val="003142A8"/>
    <w:rsid w:val="00314407"/>
    <w:rsid w:val="0031444E"/>
    <w:rsid w:val="003144D7"/>
    <w:rsid w:val="0031451E"/>
    <w:rsid w:val="0031454F"/>
    <w:rsid w:val="00314587"/>
    <w:rsid w:val="00314590"/>
    <w:rsid w:val="003145B0"/>
    <w:rsid w:val="0031487E"/>
    <w:rsid w:val="00314A1D"/>
    <w:rsid w:val="00314A3E"/>
    <w:rsid w:val="00314AB3"/>
    <w:rsid w:val="00314B3E"/>
    <w:rsid w:val="00314C48"/>
    <w:rsid w:val="00314C8A"/>
    <w:rsid w:val="00314CB7"/>
    <w:rsid w:val="00314D26"/>
    <w:rsid w:val="00314D3E"/>
    <w:rsid w:val="00314DE0"/>
    <w:rsid w:val="00314DE3"/>
    <w:rsid w:val="00314E02"/>
    <w:rsid w:val="00314E14"/>
    <w:rsid w:val="00314E3D"/>
    <w:rsid w:val="00314E99"/>
    <w:rsid w:val="00314F58"/>
    <w:rsid w:val="00314F62"/>
    <w:rsid w:val="00314FF5"/>
    <w:rsid w:val="003152D3"/>
    <w:rsid w:val="0031533A"/>
    <w:rsid w:val="003153CA"/>
    <w:rsid w:val="003153E2"/>
    <w:rsid w:val="003155F2"/>
    <w:rsid w:val="0031575D"/>
    <w:rsid w:val="003157AD"/>
    <w:rsid w:val="003157FB"/>
    <w:rsid w:val="00315806"/>
    <w:rsid w:val="0031580A"/>
    <w:rsid w:val="00315811"/>
    <w:rsid w:val="003158A2"/>
    <w:rsid w:val="003158B7"/>
    <w:rsid w:val="00315913"/>
    <w:rsid w:val="003159F7"/>
    <w:rsid w:val="00315B54"/>
    <w:rsid w:val="00315B68"/>
    <w:rsid w:val="00315BC7"/>
    <w:rsid w:val="00315C51"/>
    <w:rsid w:val="00315D7F"/>
    <w:rsid w:val="00315D8D"/>
    <w:rsid w:val="00315D9E"/>
    <w:rsid w:val="00315E4A"/>
    <w:rsid w:val="00315E70"/>
    <w:rsid w:val="00315F08"/>
    <w:rsid w:val="00315F69"/>
    <w:rsid w:val="00315F8D"/>
    <w:rsid w:val="0031609D"/>
    <w:rsid w:val="003161A8"/>
    <w:rsid w:val="003161FE"/>
    <w:rsid w:val="00316202"/>
    <w:rsid w:val="003162DB"/>
    <w:rsid w:val="00316312"/>
    <w:rsid w:val="0031638A"/>
    <w:rsid w:val="003163A5"/>
    <w:rsid w:val="003163AB"/>
    <w:rsid w:val="00316451"/>
    <w:rsid w:val="00316526"/>
    <w:rsid w:val="0031654D"/>
    <w:rsid w:val="00316575"/>
    <w:rsid w:val="0031664C"/>
    <w:rsid w:val="00316658"/>
    <w:rsid w:val="0031671B"/>
    <w:rsid w:val="003167CB"/>
    <w:rsid w:val="003167DC"/>
    <w:rsid w:val="003167F2"/>
    <w:rsid w:val="003167F9"/>
    <w:rsid w:val="0031681C"/>
    <w:rsid w:val="003169BF"/>
    <w:rsid w:val="003169F0"/>
    <w:rsid w:val="00316A88"/>
    <w:rsid w:val="00316B43"/>
    <w:rsid w:val="00316BB9"/>
    <w:rsid w:val="00316BC3"/>
    <w:rsid w:val="00316C22"/>
    <w:rsid w:val="00316C27"/>
    <w:rsid w:val="00316CF6"/>
    <w:rsid w:val="00316D66"/>
    <w:rsid w:val="00316F4A"/>
    <w:rsid w:val="00317024"/>
    <w:rsid w:val="00317195"/>
    <w:rsid w:val="0031724C"/>
    <w:rsid w:val="003172AF"/>
    <w:rsid w:val="0031740C"/>
    <w:rsid w:val="0031759A"/>
    <w:rsid w:val="00317695"/>
    <w:rsid w:val="003177F6"/>
    <w:rsid w:val="00317868"/>
    <w:rsid w:val="003178D3"/>
    <w:rsid w:val="00317982"/>
    <w:rsid w:val="003179E6"/>
    <w:rsid w:val="00317AF8"/>
    <w:rsid w:val="00317CA1"/>
    <w:rsid w:val="00317D6A"/>
    <w:rsid w:val="00317D7A"/>
    <w:rsid w:val="00317D9E"/>
    <w:rsid w:val="00317DDD"/>
    <w:rsid w:val="00317E55"/>
    <w:rsid w:val="00317FD0"/>
    <w:rsid w:val="00317FE4"/>
    <w:rsid w:val="003200C0"/>
    <w:rsid w:val="003200C2"/>
    <w:rsid w:val="0032015E"/>
    <w:rsid w:val="00320162"/>
    <w:rsid w:val="0032016A"/>
    <w:rsid w:val="0032018E"/>
    <w:rsid w:val="003202FA"/>
    <w:rsid w:val="00320334"/>
    <w:rsid w:val="00320341"/>
    <w:rsid w:val="003204B1"/>
    <w:rsid w:val="003204DC"/>
    <w:rsid w:val="003205BD"/>
    <w:rsid w:val="0032067E"/>
    <w:rsid w:val="0032069E"/>
    <w:rsid w:val="00320740"/>
    <w:rsid w:val="003207EB"/>
    <w:rsid w:val="003209B4"/>
    <w:rsid w:val="003209F9"/>
    <w:rsid w:val="00320A69"/>
    <w:rsid w:val="00320ABE"/>
    <w:rsid w:val="00320BDF"/>
    <w:rsid w:val="00320C63"/>
    <w:rsid w:val="00320CF8"/>
    <w:rsid w:val="00320D9A"/>
    <w:rsid w:val="00320E4B"/>
    <w:rsid w:val="00320E65"/>
    <w:rsid w:val="00320F83"/>
    <w:rsid w:val="0032107B"/>
    <w:rsid w:val="0032114C"/>
    <w:rsid w:val="0032118B"/>
    <w:rsid w:val="003212E6"/>
    <w:rsid w:val="00321311"/>
    <w:rsid w:val="003213AC"/>
    <w:rsid w:val="0032156A"/>
    <w:rsid w:val="00321656"/>
    <w:rsid w:val="00321666"/>
    <w:rsid w:val="00321802"/>
    <w:rsid w:val="00321874"/>
    <w:rsid w:val="003218BA"/>
    <w:rsid w:val="00321A75"/>
    <w:rsid w:val="00321AB0"/>
    <w:rsid w:val="00321C32"/>
    <w:rsid w:val="00321C56"/>
    <w:rsid w:val="00321CA1"/>
    <w:rsid w:val="00321CAF"/>
    <w:rsid w:val="00321D03"/>
    <w:rsid w:val="00321D15"/>
    <w:rsid w:val="00321D20"/>
    <w:rsid w:val="00321D9C"/>
    <w:rsid w:val="00321E6B"/>
    <w:rsid w:val="00321EC0"/>
    <w:rsid w:val="00321FB1"/>
    <w:rsid w:val="0032204F"/>
    <w:rsid w:val="0032207D"/>
    <w:rsid w:val="00322117"/>
    <w:rsid w:val="0032225D"/>
    <w:rsid w:val="003222A3"/>
    <w:rsid w:val="00322371"/>
    <w:rsid w:val="00322376"/>
    <w:rsid w:val="0032243E"/>
    <w:rsid w:val="003224B0"/>
    <w:rsid w:val="003224BD"/>
    <w:rsid w:val="003225E1"/>
    <w:rsid w:val="003226C8"/>
    <w:rsid w:val="003226FF"/>
    <w:rsid w:val="0032279E"/>
    <w:rsid w:val="0032298E"/>
    <w:rsid w:val="00322A65"/>
    <w:rsid w:val="00322B98"/>
    <w:rsid w:val="00322BB6"/>
    <w:rsid w:val="00322C14"/>
    <w:rsid w:val="00322C24"/>
    <w:rsid w:val="00322C42"/>
    <w:rsid w:val="00322D16"/>
    <w:rsid w:val="00322D48"/>
    <w:rsid w:val="00322F4C"/>
    <w:rsid w:val="00322F4F"/>
    <w:rsid w:val="00322FA2"/>
    <w:rsid w:val="00323007"/>
    <w:rsid w:val="0032306C"/>
    <w:rsid w:val="00323089"/>
    <w:rsid w:val="0032328A"/>
    <w:rsid w:val="003233D9"/>
    <w:rsid w:val="003234AA"/>
    <w:rsid w:val="003234E2"/>
    <w:rsid w:val="00323571"/>
    <w:rsid w:val="00323635"/>
    <w:rsid w:val="00323679"/>
    <w:rsid w:val="003236E3"/>
    <w:rsid w:val="0032371E"/>
    <w:rsid w:val="0032378D"/>
    <w:rsid w:val="00323A9F"/>
    <w:rsid w:val="00323BCC"/>
    <w:rsid w:val="00323CFB"/>
    <w:rsid w:val="00323D2B"/>
    <w:rsid w:val="00323E03"/>
    <w:rsid w:val="00323EC1"/>
    <w:rsid w:val="00323F21"/>
    <w:rsid w:val="00323F25"/>
    <w:rsid w:val="0032401C"/>
    <w:rsid w:val="00324026"/>
    <w:rsid w:val="0032402A"/>
    <w:rsid w:val="003240AB"/>
    <w:rsid w:val="003240E3"/>
    <w:rsid w:val="00324125"/>
    <w:rsid w:val="0032414D"/>
    <w:rsid w:val="00324219"/>
    <w:rsid w:val="00324273"/>
    <w:rsid w:val="003243A1"/>
    <w:rsid w:val="003243F0"/>
    <w:rsid w:val="0032440D"/>
    <w:rsid w:val="00324539"/>
    <w:rsid w:val="00324698"/>
    <w:rsid w:val="00324701"/>
    <w:rsid w:val="00324703"/>
    <w:rsid w:val="0032477E"/>
    <w:rsid w:val="003247A1"/>
    <w:rsid w:val="00324A0F"/>
    <w:rsid w:val="00324B0A"/>
    <w:rsid w:val="00324B53"/>
    <w:rsid w:val="003250E0"/>
    <w:rsid w:val="003250F4"/>
    <w:rsid w:val="00325123"/>
    <w:rsid w:val="0032523F"/>
    <w:rsid w:val="00325340"/>
    <w:rsid w:val="00325370"/>
    <w:rsid w:val="003253D5"/>
    <w:rsid w:val="0032549E"/>
    <w:rsid w:val="003254E2"/>
    <w:rsid w:val="0032575D"/>
    <w:rsid w:val="00325850"/>
    <w:rsid w:val="00325981"/>
    <w:rsid w:val="00325988"/>
    <w:rsid w:val="003259A3"/>
    <w:rsid w:val="003259D5"/>
    <w:rsid w:val="00325A00"/>
    <w:rsid w:val="00325A0A"/>
    <w:rsid w:val="00325AB2"/>
    <w:rsid w:val="00325AD7"/>
    <w:rsid w:val="00325B2B"/>
    <w:rsid w:val="00325C0F"/>
    <w:rsid w:val="00325C66"/>
    <w:rsid w:val="00325F01"/>
    <w:rsid w:val="00325F7D"/>
    <w:rsid w:val="00326027"/>
    <w:rsid w:val="003260EB"/>
    <w:rsid w:val="003260F6"/>
    <w:rsid w:val="00326135"/>
    <w:rsid w:val="0032613D"/>
    <w:rsid w:val="0032614B"/>
    <w:rsid w:val="0032618C"/>
    <w:rsid w:val="0032624A"/>
    <w:rsid w:val="003262E2"/>
    <w:rsid w:val="003263DD"/>
    <w:rsid w:val="00326503"/>
    <w:rsid w:val="00326504"/>
    <w:rsid w:val="0032660F"/>
    <w:rsid w:val="00326634"/>
    <w:rsid w:val="003266DF"/>
    <w:rsid w:val="003267A6"/>
    <w:rsid w:val="003267EB"/>
    <w:rsid w:val="00326826"/>
    <w:rsid w:val="003268BE"/>
    <w:rsid w:val="00326925"/>
    <w:rsid w:val="003269B0"/>
    <w:rsid w:val="003269E2"/>
    <w:rsid w:val="00326A30"/>
    <w:rsid w:val="00326B15"/>
    <w:rsid w:val="00326C5A"/>
    <w:rsid w:val="00326E07"/>
    <w:rsid w:val="00326EBA"/>
    <w:rsid w:val="00326EDE"/>
    <w:rsid w:val="00326F38"/>
    <w:rsid w:val="00326F93"/>
    <w:rsid w:val="00326FF4"/>
    <w:rsid w:val="00327045"/>
    <w:rsid w:val="0032706C"/>
    <w:rsid w:val="003270E2"/>
    <w:rsid w:val="0032710C"/>
    <w:rsid w:val="0032718C"/>
    <w:rsid w:val="00327199"/>
    <w:rsid w:val="00327452"/>
    <w:rsid w:val="003275B6"/>
    <w:rsid w:val="003275D0"/>
    <w:rsid w:val="00327611"/>
    <w:rsid w:val="003276C7"/>
    <w:rsid w:val="003276E6"/>
    <w:rsid w:val="00327835"/>
    <w:rsid w:val="00327854"/>
    <w:rsid w:val="0032788D"/>
    <w:rsid w:val="003278B3"/>
    <w:rsid w:val="003278F4"/>
    <w:rsid w:val="0032792F"/>
    <w:rsid w:val="00327A2F"/>
    <w:rsid w:val="00327A32"/>
    <w:rsid w:val="00327A33"/>
    <w:rsid w:val="00327AEA"/>
    <w:rsid w:val="00327B1B"/>
    <w:rsid w:val="00327B3E"/>
    <w:rsid w:val="00327B5A"/>
    <w:rsid w:val="00327DBD"/>
    <w:rsid w:val="00327F05"/>
    <w:rsid w:val="0033004C"/>
    <w:rsid w:val="00330071"/>
    <w:rsid w:val="0033008A"/>
    <w:rsid w:val="0033015E"/>
    <w:rsid w:val="003301C5"/>
    <w:rsid w:val="003303F1"/>
    <w:rsid w:val="0033042C"/>
    <w:rsid w:val="00330470"/>
    <w:rsid w:val="003304E8"/>
    <w:rsid w:val="00330500"/>
    <w:rsid w:val="0033051D"/>
    <w:rsid w:val="00330586"/>
    <w:rsid w:val="00330624"/>
    <w:rsid w:val="00330727"/>
    <w:rsid w:val="00330774"/>
    <w:rsid w:val="0033081F"/>
    <w:rsid w:val="0033087C"/>
    <w:rsid w:val="003308F4"/>
    <w:rsid w:val="00330972"/>
    <w:rsid w:val="00330AF3"/>
    <w:rsid w:val="00330B81"/>
    <w:rsid w:val="00330BDA"/>
    <w:rsid w:val="00330CED"/>
    <w:rsid w:val="00330D3A"/>
    <w:rsid w:val="00330D74"/>
    <w:rsid w:val="00330E42"/>
    <w:rsid w:val="00330E82"/>
    <w:rsid w:val="00331005"/>
    <w:rsid w:val="00331140"/>
    <w:rsid w:val="0033116E"/>
    <w:rsid w:val="00331183"/>
    <w:rsid w:val="003311A6"/>
    <w:rsid w:val="003311EF"/>
    <w:rsid w:val="003312C4"/>
    <w:rsid w:val="00331368"/>
    <w:rsid w:val="003313DC"/>
    <w:rsid w:val="00331456"/>
    <w:rsid w:val="003314BC"/>
    <w:rsid w:val="003314EC"/>
    <w:rsid w:val="00331554"/>
    <w:rsid w:val="00331684"/>
    <w:rsid w:val="0033169A"/>
    <w:rsid w:val="00331885"/>
    <w:rsid w:val="003318C1"/>
    <w:rsid w:val="003318EF"/>
    <w:rsid w:val="0033191B"/>
    <w:rsid w:val="00331978"/>
    <w:rsid w:val="00331BDE"/>
    <w:rsid w:val="00331C93"/>
    <w:rsid w:val="00331CAD"/>
    <w:rsid w:val="00331CB2"/>
    <w:rsid w:val="00331D60"/>
    <w:rsid w:val="00331DC1"/>
    <w:rsid w:val="00331E77"/>
    <w:rsid w:val="00331EAD"/>
    <w:rsid w:val="00331FD1"/>
    <w:rsid w:val="00331FD3"/>
    <w:rsid w:val="00332007"/>
    <w:rsid w:val="003320E0"/>
    <w:rsid w:val="00332125"/>
    <w:rsid w:val="0033213C"/>
    <w:rsid w:val="003321C9"/>
    <w:rsid w:val="00332214"/>
    <w:rsid w:val="0033228C"/>
    <w:rsid w:val="0033229A"/>
    <w:rsid w:val="003322C7"/>
    <w:rsid w:val="0033231B"/>
    <w:rsid w:val="003323D5"/>
    <w:rsid w:val="003324D1"/>
    <w:rsid w:val="00332567"/>
    <w:rsid w:val="003325D0"/>
    <w:rsid w:val="003325DF"/>
    <w:rsid w:val="00332628"/>
    <w:rsid w:val="0033262B"/>
    <w:rsid w:val="003327CB"/>
    <w:rsid w:val="0033282E"/>
    <w:rsid w:val="00332897"/>
    <w:rsid w:val="003328B6"/>
    <w:rsid w:val="003328B9"/>
    <w:rsid w:val="003329A7"/>
    <w:rsid w:val="00332A82"/>
    <w:rsid w:val="00332CC0"/>
    <w:rsid w:val="00332CD2"/>
    <w:rsid w:val="00332CE4"/>
    <w:rsid w:val="00332D73"/>
    <w:rsid w:val="00332E74"/>
    <w:rsid w:val="00332EE1"/>
    <w:rsid w:val="00332F22"/>
    <w:rsid w:val="00332F63"/>
    <w:rsid w:val="00332F70"/>
    <w:rsid w:val="00332F9A"/>
    <w:rsid w:val="00333131"/>
    <w:rsid w:val="003332E6"/>
    <w:rsid w:val="0033333E"/>
    <w:rsid w:val="00333654"/>
    <w:rsid w:val="0033368E"/>
    <w:rsid w:val="00333731"/>
    <w:rsid w:val="00333782"/>
    <w:rsid w:val="003337AD"/>
    <w:rsid w:val="00333916"/>
    <w:rsid w:val="003339A6"/>
    <w:rsid w:val="003339F8"/>
    <w:rsid w:val="00333B59"/>
    <w:rsid w:val="00333C64"/>
    <w:rsid w:val="00333C6D"/>
    <w:rsid w:val="00333CB7"/>
    <w:rsid w:val="00333D28"/>
    <w:rsid w:val="00333D33"/>
    <w:rsid w:val="00333DE3"/>
    <w:rsid w:val="00333E8B"/>
    <w:rsid w:val="00333E96"/>
    <w:rsid w:val="00333EB0"/>
    <w:rsid w:val="00333EBB"/>
    <w:rsid w:val="00333EF1"/>
    <w:rsid w:val="00333F4B"/>
    <w:rsid w:val="00333F51"/>
    <w:rsid w:val="00333F60"/>
    <w:rsid w:val="00333F84"/>
    <w:rsid w:val="00333F97"/>
    <w:rsid w:val="00333FB6"/>
    <w:rsid w:val="00334042"/>
    <w:rsid w:val="0033416B"/>
    <w:rsid w:val="003341E2"/>
    <w:rsid w:val="00334224"/>
    <w:rsid w:val="00334248"/>
    <w:rsid w:val="00334275"/>
    <w:rsid w:val="0033427C"/>
    <w:rsid w:val="0033430D"/>
    <w:rsid w:val="003343C2"/>
    <w:rsid w:val="00334408"/>
    <w:rsid w:val="00334423"/>
    <w:rsid w:val="003344FD"/>
    <w:rsid w:val="003344FE"/>
    <w:rsid w:val="003345AC"/>
    <w:rsid w:val="00334665"/>
    <w:rsid w:val="00334841"/>
    <w:rsid w:val="00334B5D"/>
    <w:rsid w:val="00334B99"/>
    <w:rsid w:val="00334BA5"/>
    <w:rsid w:val="00334C56"/>
    <w:rsid w:val="00334CB6"/>
    <w:rsid w:val="00334CB8"/>
    <w:rsid w:val="00334F26"/>
    <w:rsid w:val="00335012"/>
    <w:rsid w:val="0033512A"/>
    <w:rsid w:val="003351F0"/>
    <w:rsid w:val="0033521D"/>
    <w:rsid w:val="00335239"/>
    <w:rsid w:val="0033525B"/>
    <w:rsid w:val="003352EA"/>
    <w:rsid w:val="0033532D"/>
    <w:rsid w:val="0033533F"/>
    <w:rsid w:val="0033534A"/>
    <w:rsid w:val="003353C4"/>
    <w:rsid w:val="003353C8"/>
    <w:rsid w:val="003353D0"/>
    <w:rsid w:val="0033542E"/>
    <w:rsid w:val="003354EF"/>
    <w:rsid w:val="00335553"/>
    <w:rsid w:val="00335618"/>
    <w:rsid w:val="0033564C"/>
    <w:rsid w:val="003356C9"/>
    <w:rsid w:val="00335951"/>
    <w:rsid w:val="003359B5"/>
    <w:rsid w:val="00335A47"/>
    <w:rsid w:val="00335AD6"/>
    <w:rsid w:val="00335BCF"/>
    <w:rsid w:val="00335CAE"/>
    <w:rsid w:val="00335D0B"/>
    <w:rsid w:val="00335EC2"/>
    <w:rsid w:val="00335ED4"/>
    <w:rsid w:val="00335EDD"/>
    <w:rsid w:val="00335F2C"/>
    <w:rsid w:val="00335F32"/>
    <w:rsid w:val="00335F84"/>
    <w:rsid w:val="00335F9D"/>
    <w:rsid w:val="00335FBB"/>
    <w:rsid w:val="00336042"/>
    <w:rsid w:val="00336142"/>
    <w:rsid w:val="00336177"/>
    <w:rsid w:val="003361A7"/>
    <w:rsid w:val="003361FB"/>
    <w:rsid w:val="00336380"/>
    <w:rsid w:val="003363D3"/>
    <w:rsid w:val="0033655C"/>
    <w:rsid w:val="00336589"/>
    <w:rsid w:val="003365D7"/>
    <w:rsid w:val="003365D8"/>
    <w:rsid w:val="00336750"/>
    <w:rsid w:val="003368A7"/>
    <w:rsid w:val="00336A69"/>
    <w:rsid w:val="00336B68"/>
    <w:rsid w:val="00336CC3"/>
    <w:rsid w:val="00336E0C"/>
    <w:rsid w:val="00336E34"/>
    <w:rsid w:val="00336E40"/>
    <w:rsid w:val="00336E5E"/>
    <w:rsid w:val="00336E64"/>
    <w:rsid w:val="00336E69"/>
    <w:rsid w:val="00336E70"/>
    <w:rsid w:val="00336EE0"/>
    <w:rsid w:val="00336F2B"/>
    <w:rsid w:val="00337083"/>
    <w:rsid w:val="0033709F"/>
    <w:rsid w:val="003370AA"/>
    <w:rsid w:val="00337111"/>
    <w:rsid w:val="00337151"/>
    <w:rsid w:val="00337259"/>
    <w:rsid w:val="003372A5"/>
    <w:rsid w:val="003372C6"/>
    <w:rsid w:val="0033732C"/>
    <w:rsid w:val="003375CF"/>
    <w:rsid w:val="00337609"/>
    <w:rsid w:val="003376BD"/>
    <w:rsid w:val="00337798"/>
    <w:rsid w:val="00337835"/>
    <w:rsid w:val="003378F9"/>
    <w:rsid w:val="00337901"/>
    <w:rsid w:val="00337953"/>
    <w:rsid w:val="00337B30"/>
    <w:rsid w:val="00337B67"/>
    <w:rsid w:val="00337B69"/>
    <w:rsid w:val="00337B6E"/>
    <w:rsid w:val="00337BDD"/>
    <w:rsid w:val="00337C21"/>
    <w:rsid w:val="00337C28"/>
    <w:rsid w:val="00337C75"/>
    <w:rsid w:val="00337CE5"/>
    <w:rsid w:val="00337D2E"/>
    <w:rsid w:val="00337DC3"/>
    <w:rsid w:val="00337E09"/>
    <w:rsid w:val="00337E2B"/>
    <w:rsid w:val="00337E46"/>
    <w:rsid w:val="00337EC8"/>
    <w:rsid w:val="00337ED0"/>
    <w:rsid w:val="00337F12"/>
    <w:rsid w:val="00337FD1"/>
    <w:rsid w:val="00340071"/>
    <w:rsid w:val="0034008F"/>
    <w:rsid w:val="00340128"/>
    <w:rsid w:val="003401C0"/>
    <w:rsid w:val="0034023D"/>
    <w:rsid w:val="00340259"/>
    <w:rsid w:val="00340260"/>
    <w:rsid w:val="00340394"/>
    <w:rsid w:val="003403D9"/>
    <w:rsid w:val="003404CC"/>
    <w:rsid w:val="00340510"/>
    <w:rsid w:val="00340519"/>
    <w:rsid w:val="00340676"/>
    <w:rsid w:val="0034068C"/>
    <w:rsid w:val="0034069A"/>
    <w:rsid w:val="0034077B"/>
    <w:rsid w:val="0034077E"/>
    <w:rsid w:val="003407A9"/>
    <w:rsid w:val="00340861"/>
    <w:rsid w:val="0034090E"/>
    <w:rsid w:val="00340966"/>
    <w:rsid w:val="00340989"/>
    <w:rsid w:val="00340A2F"/>
    <w:rsid w:val="00340A6F"/>
    <w:rsid w:val="00340AD4"/>
    <w:rsid w:val="00340B0A"/>
    <w:rsid w:val="00340B26"/>
    <w:rsid w:val="00340B94"/>
    <w:rsid w:val="00340C40"/>
    <w:rsid w:val="00340C5B"/>
    <w:rsid w:val="00340E19"/>
    <w:rsid w:val="00340EA3"/>
    <w:rsid w:val="00340EC5"/>
    <w:rsid w:val="00341060"/>
    <w:rsid w:val="0034107B"/>
    <w:rsid w:val="00341086"/>
    <w:rsid w:val="00341150"/>
    <w:rsid w:val="0034122B"/>
    <w:rsid w:val="003412C6"/>
    <w:rsid w:val="003414F2"/>
    <w:rsid w:val="0034152C"/>
    <w:rsid w:val="0034156F"/>
    <w:rsid w:val="003415D6"/>
    <w:rsid w:val="0034160D"/>
    <w:rsid w:val="0034168A"/>
    <w:rsid w:val="00341710"/>
    <w:rsid w:val="00341728"/>
    <w:rsid w:val="0034175A"/>
    <w:rsid w:val="00341825"/>
    <w:rsid w:val="0034194C"/>
    <w:rsid w:val="003419EC"/>
    <w:rsid w:val="00341A63"/>
    <w:rsid w:val="00341AFC"/>
    <w:rsid w:val="00341C3F"/>
    <w:rsid w:val="00341C57"/>
    <w:rsid w:val="00341DE3"/>
    <w:rsid w:val="00341E1A"/>
    <w:rsid w:val="00341E4B"/>
    <w:rsid w:val="00341F5A"/>
    <w:rsid w:val="00341F8C"/>
    <w:rsid w:val="00341FF4"/>
    <w:rsid w:val="0034202D"/>
    <w:rsid w:val="00342076"/>
    <w:rsid w:val="00342153"/>
    <w:rsid w:val="003421B9"/>
    <w:rsid w:val="003421E7"/>
    <w:rsid w:val="003421FF"/>
    <w:rsid w:val="00342341"/>
    <w:rsid w:val="003423FC"/>
    <w:rsid w:val="003424E6"/>
    <w:rsid w:val="00342603"/>
    <w:rsid w:val="00342763"/>
    <w:rsid w:val="003427E1"/>
    <w:rsid w:val="00342937"/>
    <w:rsid w:val="00342980"/>
    <w:rsid w:val="00342AA3"/>
    <w:rsid w:val="00342B69"/>
    <w:rsid w:val="00342BDE"/>
    <w:rsid w:val="00342C23"/>
    <w:rsid w:val="00342C57"/>
    <w:rsid w:val="00342C61"/>
    <w:rsid w:val="00342CE8"/>
    <w:rsid w:val="00342DA4"/>
    <w:rsid w:val="00342DA5"/>
    <w:rsid w:val="00342DF4"/>
    <w:rsid w:val="00342ED1"/>
    <w:rsid w:val="00342F2A"/>
    <w:rsid w:val="00342F7A"/>
    <w:rsid w:val="00342F7B"/>
    <w:rsid w:val="00343001"/>
    <w:rsid w:val="00343029"/>
    <w:rsid w:val="00343202"/>
    <w:rsid w:val="00343216"/>
    <w:rsid w:val="003432DD"/>
    <w:rsid w:val="0034332A"/>
    <w:rsid w:val="0034332C"/>
    <w:rsid w:val="00343360"/>
    <w:rsid w:val="003433CB"/>
    <w:rsid w:val="0034341D"/>
    <w:rsid w:val="00343437"/>
    <w:rsid w:val="00343668"/>
    <w:rsid w:val="0034369C"/>
    <w:rsid w:val="00343775"/>
    <w:rsid w:val="003438F2"/>
    <w:rsid w:val="00343902"/>
    <w:rsid w:val="00343C31"/>
    <w:rsid w:val="00343C7A"/>
    <w:rsid w:val="00343C84"/>
    <w:rsid w:val="00343CB5"/>
    <w:rsid w:val="00343DDE"/>
    <w:rsid w:val="00343E0B"/>
    <w:rsid w:val="00343F4E"/>
    <w:rsid w:val="00343FA8"/>
    <w:rsid w:val="00344180"/>
    <w:rsid w:val="0034423C"/>
    <w:rsid w:val="00344279"/>
    <w:rsid w:val="00344290"/>
    <w:rsid w:val="00344296"/>
    <w:rsid w:val="003442B7"/>
    <w:rsid w:val="00344300"/>
    <w:rsid w:val="00344382"/>
    <w:rsid w:val="00344454"/>
    <w:rsid w:val="003444DF"/>
    <w:rsid w:val="00344731"/>
    <w:rsid w:val="003447A1"/>
    <w:rsid w:val="00344827"/>
    <w:rsid w:val="0034492A"/>
    <w:rsid w:val="003449C0"/>
    <w:rsid w:val="00344B4C"/>
    <w:rsid w:val="00344CBF"/>
    <w:rsid w:val="00344CC1"/>
    <w:rsid w:val="00344D2C"/>
    <w:rsid w:val="00344D46"/>
    <w:rsid w:val="00344E5E"/>
    <w:rsid w:val="00344EDC"/>
    <w:rsid w:val="00344FF9"/>
    <w:rsid w:val="003451AD"/>
    <w:rsid w:val="003451BA"/>
    <w:rsid w:val="003451BD"/>
    <w:rsid w:val="0034520E"/>
    <w:rsid w:val="003452E6"/>
    <w:rsid w:val="00345420"/>
    <w:rsid w:val="0034552D"/>
    <w:rsid w:val="003456EC"/>
    <w:rsid w:val="0034575C"/>
    <w:rsid w:val="00345783"/>
    <w:rsid w:val="0034595A"/>
    <w:rsid w:val="00345A32"/>
    <w:rsid w:val="00345AEC"/>
    <w:rsid w:val="00345B8F"/>
    <w:rsid w:val="00345C33"/>
    <w:rsid w:val="00345D0F"/>
    <w:rsid w:val="00345D19"/>
    <w:rsid w:val="00345D7C"/>
    <w:rsid w:val="00345D80"/>
    <w:rsid w:val="00345E12"/>
    <w:rsid w:val="00345EA9"/>
    <w:rsid w:val="00345FD5"/>
    <w:rsid w:val="00345FFE"/>
    <w:rsid w:val="00346023"/>
    <w:rsid w:val="00346025"/>
    <w:rsid w:val="0034633D"/>
    <w:rsid w:val="00346401"/>
    <w:rsid w:val="003464A9"/>
    <w:rsid w:val="00346560"/>
    <w:rsid w:val="00346644"/>
    <w:rsid w:val="00346662"/>
    <w:rsid w:val="00346697"/>
    <w:rsid w:val="003466A0"/>
    <w:rsid w:val="00346737"/>
    <w:rsid w:val="0034680E"/>
    <w:rsid w:val="00346855"/>
    <w:rsid w:val="003468C2"/>
    <w:rsid w:val="003468FA"/>
    <w:rsid w:val="00346911"/>
    <w:rsid w:val="00346924"/>
    <w:rsid w:val="003469BA"/>
    <w:rsid w:val="00346C1E"/>
    <w:rsid w:val="00346C9D"/>
    <w:rsid w:val="00346CFF"/>
    <w:rsid w:val="00346D86"/>
    <w:rsid w:val="00346DBA"/>
    <w:rsid w:val="00346E92"/>
    <w:rsid w:val="00346EC1"/>
    <w:rsid w:val="00346F37"/>
    <w:rsid w:val="00346FAA"/>
    <w:rsid w:val="00346FB0"/>
    <w:rsid w:val="00346FD6"/>
    <w:rsid w:val="00347000"/>
    <w:rsid w:val="0034702B"/>
    <w:rsid w:val="0034706E"/>
    <w:rsid w:val="003470B4"/>
    <w:rsid w:val="003470C0"/>
    <w:rsid w:val="003470D3"/>
    <w:rsid w:val="003470E0"/>
    <w:rsid w:val="003470EF"/>
    <w:rsid w:val="00347104"/>
    <w:rsid w:val="00347140"/>
    <w:rsid w:val="003471CE"/>
    <w:rsid w:val="00347291"/>
    <w:rsid w:val="0034729A"/>
    <w:rsid w:val="003472D8"/>
    <w:rsid w:val="003472F5"/>
    <w:rsid w:val="00347324"/>
    <w:rsid w:val="00347362"/>
    <w:rsid w:val="0034736A"/>
    <w:rsid w:val="0034754F"/>
    <w:rsid w:val="003475CE"/>
    <w:rsid w:val="00347644"/>
    <w:rsid w:val="003476F3"/>
    <w:rsid w:val="0034776F"/>
    <w:rsid w:val="003477C1"/>
    <w:rsid w:val="0034783F"/>
    <w:rsid w:val="0034792E"/>
    <w:rsid w:val="003479B7"/>
    <w:rsid w:val="003479C9"/>
    <w:rsid w:val="00347A24"/>
    <w:rsid w:val="00347A45"/>
    <w:rsid w:val="00347B19"/>
    <w:rsid w:val="00347BDD"/>
    <w:rsid w:val="00347BE6"/>
    <w:rsid w:val="00347DA5"/>
    <w:rsid w:val="00347F17"/>
    <w:rsid w:val="00350068"/>
    <w:rsid w:val="003500C7"/>
    <w:rsid w:val="003500EB"/>
    <w:rsid w:val="003501B0"/>
    <w:rsid w:val="003501C4"/>
    <w:rsid w:val="003501F3"/>
    <w:rsid w:val="0035024B"/>
    <w:rsid w:val="0035029A"/>
    <w:rsid w:val="00350375"/>
    <w:rsid w:val="003503E5"/>
    <w:rsid w:val="0035055D"/>
    <w:rsid w:val="0035061D"/>
    <w:rsid w:val="003506AB"/>
    <w:rsid w:val="003506CC"/>
    <w:rsid w:val="0035079B"/>
    <w:rsid w:val="003507A4"/>
    <w:rsid w:val="00350887"/>
    <w:rsid w:val="003508A5"/>
    <w:rsid w:val="003508C3"/>
    <w:rsid w:val="00350980"/>
    <w:rsid w:val="00350982"/>
    <w:rsid w:val="00350985"/>
    <w:rsid w:val="00350A3F"/>
    <w:rsid w:val="00350B6A"/>
    <w:rsid w:val="00350B75"/>
    <w:rsid w:val="00350BF6"/>
    <w:rsid w:val="00350D38"/>
    <w:rsid w:val="00350D92"/>
    <w:rsid w:val="00350E10"/>
    <w:rsid w:val="00350E61"/>
    <w:rsid w:val="00350EE6"/>
    <w:rsid w:val="00350F4F"/>
    <w:rsid w:val="00350FC9"/>
    <w:rsid w:val="00351028"/>
    <w:rsid w:val="00351090"/>
    <w:rsid w:val="00351120"/>
    <w:rsid w:val="003511A5"/>
    <w:rsid w:val="003511AB"/>
    <w:rsid w:val="0035123C"/>
    <w:rsid w:val="00351295"/>
    <w:rsid w:val="003512D4"/>
    <w:rsid w:val="00351389"/>
    <w:rsid w:val="003513C6"/>
    <w:rsid w:val="0035142F"/>
    <w:rsid w:val="00351438"/>
    <w:rsid w:val="00351697"/>
    <w:rsid w:val="003516AF"/>
    <w:rsid w:val="0035172E"/>
    <w:rsid w:val="003517A0"/>
    <w:rsid w:val="003517B7"/>
    <w:rsid w:val="00351826"/>
    <w:rsid w:val="00351A33"/>
    <w:rsid w:val="00351B11"/>
    <w:rsid w:val="00351DB5"/>
    <w:rsid w:val="00351E25"/>
    <w:rsid w:val="00351E40"/>
    <w:rsid w:val="00351EB7"/>
    <w:rsid w:val="00351EEC"/>
    <w:rsid w:val="00351EF3"/>
    <w:rsid w:val="00351F10"/>
    <w:rsid w:val="0035200D"/>
    <w:rsid w:val="00352093"/>
    <w:rsid w:val="003520E4"/>
    <w:rsid w:val="00352107"/>
    <w:rsid w:val="00352228"/>
    <w:rsid w:val="003523B0"/>
    <w:rsid w:val="00352408"/>
    <w:rsid w:val="00352458"/>
    <w:rsid w:val="003524F3"/>
    <w:rsid w:val="00352527"/>
    <w:rsid w:val="00352566"/>
    <w:rsid w:val="0035259E"/>
    <w:rsid w:val="003525C2"/>
    <w:rsid w:val="0035261E"/>
    <w:rsid w:val="00352652"/>
    <w:rsid w:val="003526CF"/>
    <w:rsid w:val="003526E4"/>
    <w:rsid w:val="003526EA"/>
    <w:rsid w:val="003527F1"/>
    <w:rsid w:val="003527FC"/>
    <w:rsid w:val="00352877"/>
    <w:rsid w:val="00352A0F"/>
    <w:rsid w:val="00352A57"/>
    <w:rsid w:val="00352BDB"/>
    <w:rsid w:val="00352C9B"/>
    <w:rsid w:val="00352D7A"/>
    <w:rsid w:val="00352D96"/>
    <w:rsid w:val="00352F25"/>
    <w:rsid w:val="003530E8"/>
    <w:rsid w:val="00353343"/>
    <w:rsid w:val="0035336E"/>
    <w:rsid w:val="00353463"/>
    <w:rsid w:val="00353521"/>
    <w:rsid w:val="00353580"/>
    <w:rsid w:val="00353644"/>
    <w:rsid w:val="003536D5"/>
    <w:rsid w:val="003536FF"/>
    <w:rsid w:val="00353759"/>
    <w:rsid w:val="00353833"/>
    <w:rsid w:val="0035384C"/>
    <w:rsid w:val="003538E6"/>
    <w:rsid w:val="00353941"/>
    <w:rsid w:val="00353A33"/>
    <w:rsid w:val="00353AB7"/>
    <w:rsid w:val="00353ACA"/>
    <w:rsid w:val="00353B56"/>
    <w:rsid w:val="00353B67"/>
    <w:rsid w:val="00353BC7"/>
    <w:rsid w:val="00353C7C"/>
    <w:rsid w:val="00353EBF"/>
    <w:rsid w:val="00353EEB"/>
    <w:rsid w:val="00353F00"/>
    <w:rsid w:val="00353F0F"/>
    <w:rsid w:val="00353F31"/>
    <w:rsid w:val="00354181"/>
    <w:rsid w:val="003541CA"/>
    <w:rsid w:val="00354255"/>
    <w:rsid w:val="003542E6"/>
    <w:rsid w:val="00354393"/>
    <w:rsid w:val="00354534"/>
    <w:rsid w:val="00354540"/>
    <w:rsid w:val="003545F3"/>
    <w:rsid w:val="00354606"/>
    <w:rsid w:val="00354724"/>
    <w:rsid w:val="0035474B"/>
    <w:rsid w:val="0035478B"/>
    <w:rsid w:val="00354809"/>
    <w:rsid w:val="0035497C"/>
    <w:rsid w:val="00354AED"/>
    <w:rsid w:val="00354B81"/>
    <w:rsid w:val="00354C27"/>
    <w:rsid w:val="00354CA1"/>
    <w:rsid w:val="00354CD7"/>
    <w:rsid w:val="00354D12"/>
    <w:rsid w:val="00354E46"/>
    <w:rsid w:val="00354EF9"/>
    <w:rsid w:val="00354F13"/>
    <w:rsid w:val="00354FB6"/>
    <w:rsid w:val="003550E7"/>
    <w:rsid w:val="00355125"/>
    <w:rsid w:val="00355299"/>
    <w:rsid w:val="003552C6"/>
    <w:rsid w:val="00355304"/>
    <w:rsid w:val="00355362"/>
    <w:rsid w:val="0035540F"/>
    <w:rsid w:val="00355422"/>
    <w:rsid w:val="003555A4"/>
    <w:rsid w:val="003555CB"/>
    <w:rsid w:val="003555DA"/>
    <w:rsid w:val="00355635"/>
    <w:rsid w:val="00355741"/>
    <w:rsid w:val="003557EE"/>
    <w:rsid w:val="0035585B"/>
    <w:rsid w:val="0035586C"/>
    <w:rsid w:val="003558B9"/>
    <w:rsid w:val="003558E4"/>
    <w:rsid w:val="0035597D"/>
    <w:rsid w:val="0035599A"/>
    <w:rsid w:val="00355C5F"/>
    <w:rsid w:val="00355DA0"/>
    <w:rsid w:val="00355DBD"/>
    <w:rsid w:val="003560AE"/>
    <w:rsid w:val="0035618D"/>
    <w:rsid w:val="0035619F"/>
    <w:rsid w:val="003561FD"/>
    <w:rsid w:val="00356333"/>
    <w:rsid w:val="00356391"/>
    <w:rsid w:val="00356438"/>
    <w:rsid w:val="00356451"/>
    <w:rsid w:val="00356495"/>
    <w:rsid w:val="003564C0"/>
    <w:rsid w:val="00356560"/>
    <w:rsid w:val="003566E0"/>
    <w:rsid w:val="003566F8"/>
    <w:rsid w:val="0035671E"/>
    <w:rsid w:val="00356795"/>
    <w:rsid w:val="003567F6"/>
    <w:rsid w:val="003569F1"/>
    <w:rsid w:val="00356A26"/>
    <w:rsid w:val="00356B7F"/>
    <w:rsid w:val="00356BB7"/>
    <w:rsid w:val="00356C55"/>
    <w:rsid w:val="00356C6A"/>
    <w:rsid w:val="00356C85"/>
    <w:rsid w:val="00356CA7"/>
    <w:rsid w:val="00356D30"/>
    <w:rsid w:val="00356D83"/>
    <w:rsid w:val="00356DBB"/>
    <w:rsid w:val="00356EA0"/>
    <w:rsid w:val="00356EC4"/>
    <w:rsid w:val="00356ECB"/>
    <w:rsid w:val="00356ED4"/>
    <w:rsid w:val="00356F27"/>
    <w:rsid w:val="00356F8A"/>
    <w:rsid w:val="00356FAD"/>
    <w:rsid w:val="00356FEF"/>
    <w:rsid w:val="00356FFA"/>
    <w:rsid w:val="0035703E"/>
    <w:rsid w:val="003570A0"/>
    <w:rsid w:val="003570EE"/>
    <w:rsid w:val="0035718C"/>
    <w:rsid w:val="00357260"/>
    <w:rsid w:val="003573D2"/>
    <w:rsid w:val="0035745A"/>
    <w:rsid w:val="00357469"/>
    <w:rsid w:val="00357560"/>
    <w:rsid w:val="0035763B"/>
    <w:rsid w:val="00357812"/>
    <w:rsid w:val="0035781E"/>
    <w:rsid w:val="0035786E"/>
    <w:rsid w:val="0035792E"/>
    <w:rsid w:val="00357AE3"/>
    <w:rsid w:val="00357C09"/>
    <w:rsid w:val="00357C61"/>
    <w:rsid w:val="00357DAF"/>
    <w:rsid w:val="00357DBD"/>
    <w:rsid w:val="00357DEC"/>
    <w:rsid w:val="00357E98"/>
    <w:rsid w:val="00357FAB"/>
    <w:rsid w:val="00357FD8"/>
    <w:rsid w:val="00360007"/>
    <w:rsid w:val="0036005B"/>
    <w:rsid w:val="00360152"/>
    <w:rsid w:val="003601AC"/>
    <w:rsid w:val="003601F0"/>
    <w:rsid w:val="003601F4"/>
    <w:rsid w:val="0036028A"/>
    <w:rsid w:val="003602EA"/>
    <w:rsid w:val="0036032A"/>
    <w:rsid w:val="0036032B"/>
    <w:rsid w:val="003603D2"/>
    <w:rsid w:val="003603FD"/>
    <w:rsid w:val="0036056D"/>
    <w:rsid w:val="003606B8"/>
    <w:rsid w:val="00360735"/>
    <w:rsid w:val="00360740"/>
    <w:rsid w:val="00360751"/>
    <w:rsid w:val="003607CE"/>
    <w:rsid w:val="003608D5"/>
    <w:rsid w:val="00360963"/>
    <w:rsid w:val="00360970"/>
    <w:rsid w:val="00360A3A"/>
    <w:rsid w:val="00360A55"/>
    <w:rsid w:val="00360AA2"/>
    <w:rsid w:val="00360AE8"/>
    <w:rsid w:val="00360B5A"/>
    <w:rsid w:val="00360C57"/>
    <w:rsid w:val="00360CA1"/>
    <w:rsid w:val="00360DD4"/>
    <w:rsid w:val="00360E13"/>
    <w:rsid w:val="00360E37"/>
    <w:rsid w:val="00360E9D"/>
    <w:rsid w:val="00360F03"/>
    <w:rsid w:val="00360F45"/>
    <w:rsid w:val="00360FF4"/>
    <w:rsid w:val="00361005"/>
    <w:rsid w:val="003610BC"/>
    <w:rsid w:val="003610F3"/>
    <w:rsid w:val="0036116E"/>
    <w:rsid w:val="00361240"/>
    <w:rsid w:val="00361244"/>
    <w:rsid w:val="0036126B"/>
    <w:rsid w:val="00361335"/>
    <w:rsid w:val="00361448"/>
    <w:rsid w:val="003614A5"/>
    <w:rsid w:val="003614E8"/>
    <w:rsid w:val="003615BC"/>
    <w:rsid w:val="003616B3"/>
    <w:rsid w:val="0036177B"/>
    <w:rsid w:val="003617EF"/>
    <w:rsid w:val="003618F6"/>
    <w:rsid w:val="00361A20"/>
    <w:rsid w:val="00361A9B"/>
    <w:rsid w:val="00361BBD"/>
    <w:rsid w:val="00361D08"/>
    <w:rsid w:val="00361D46"/>
    <w:rsid w:val="00361D7E"/>
    <w:rsid w:val="00361E00"/>
    <w:rsid w:val="00361E1B"/>
    <w:rsid w:val="00361E78"/>
    <w:rsid w:val="00361F1E"/>
    <w:rsid w:val="00362209"/>
    <w:rsid w:val="0036222D"/>
    <w:rsid w:val="003622AA"/>
    <w:rsid w:val="00362424"/>
    <w:rsid w:val="00362555"/>
    <w:rsid w:val="003626FD"/>
    <w:rsid w:val="003627CD"/>
    <w:rsid w:val="003627F7"/>
    <w:rsid w:val="00362810"/>
    <w:rsid w:val="0036296E"/>
    <w:rsid w:val="0036298E"/>
    <w:rsid w:val="00362A5F"/>
    <w:rsid w:val="00362B0F"/>
    <w:rsid w:val="00362BB5"/>
    <w:rsid w:val="00362C4A"/>
    <w:rsid w:val="00362D01"/>
    <w:rsid w:val="00362D03"/>
    <w:rsid w:val="00362D94"/>
    <w:rsid w:val="00362F42"/>
    <w:rsid w:val="003630E0"/>
    <w:rsid w:val="00363195"/>
    <w:rsid w:val="003631F4"/>
    <w:rsid w:val="00363230"/>
    <w:rsid w:val="0036326E"/>
    <w:rsid w:val="003633C4"/>
    <w:rsid w:val="003633F4"/>
    <w:rsid w:val="003633FB"/>
    <w:rsid w:val="00363503"/>
    <w:rsid w:val="00363551"/>
    <w:rsid w:val="0036359B"/>
    <w:rsid w:val="003635C5"/>
    <w:rsid w:val="0036363A"/>
    <w:rsid w:val="00363678"/>
    <w:rsid w:val="003636A4"/>
    <w:rsid w:val="0036386E"/>
    <w:rsid w:val="0036394D"/>
    <w:rsid w:val="0036399E"/>
    <w:rsid w:val="00363ACB"/>
    <w:rsid w:val="00363B26"/>
    <w:rsid w:val="00363B85"/>
    <w:rsid w:val="00363D6A"/>
    <w:rsid w:val="00363D7F"/>
    <w:rsid w:val="00363DBD"/>
    <w:rsid w:val="00363E80"/>
    <w:rsid w:val="00363E9D"/>
    <w:rsid w:val="00363EFB"/>
    <w:rsid w:val="00363FCF"/>
    <w:rsid w:val="00364025"/>
    <w:rsid w:val="003640C6"/>
    <w:rsid w:val="003640DD"/>
    <w:rsid w:val="0036417E"/>
    <w:rsid w:val="003641A8"/>
    <w:rsid w:val="003641EC"/>
    <w:rsid w:val="0036421F"/>
    <w:rsid w:val="00364378"/>
    <w:rsid w:val="0036446A"/>
    <w:rsid w:val="003644CE"/>
    <w:rsid w:val="003644E3"/>
    <w:rsid w:val="003644EF"/>
    <w:rsid w:val="0036452B"/>
    <w:rsid w:val="00364552"/>
    <w:rsid w:val="003645AC"/>
    <w:rsid w:val="003645C9"/>
    <w:rsid w:val="003646C4"/>
    <w:rsid w:val="003646CB"/>
    <w:rsid w:val="00364708"/>
    <w:rsid w:val="00364760"/>
    <w:rsid w:val="00364782"/>
    <w:rsid w:val="003647D8"/>
    <w:rsid w:val="0036484B"/>
    <w:rsid w:val="0036488A"/>
    <w:rsid w:val="0036488C"/>
    <w:rsid w:val="00364891"/>
    <w:rsid w:val="003649F5"/>
    <w:rsid w:val="00364A58"/>
    <w:rsid w:val="00364A67"/>
    <w:rsid w:val="00364AA3"/>
    <w:rsid w:val="00364AED"/>
    <w:rsid w:val="00364B2C"/>
    <w:rsid w:val="00364CB6"/>
    <w:rsid w:val="00364CB8"/>
    <w:rsid w:val="003651C4"/>
    <w:rsid w:val="0036520D"/>
    <w:rsid w:val="003652D9"/>
    <w:rsid w:val="00365323"/>
    <w:rsid w:val="00365413"/>
    <w:rsid w:val="0036541E"/>
    <w:rsid w:val="0036542B"/>
    <w:rsid w:val="0036542F"/>
    <w:rsid w:val="00365443"/>
    <w:rsid w:val="003655C1"/>
    <w:rsid w:val="003657A9"/>
    <w:rsid w:val="00365896"/>
    <w:rsid w:val="003658A4"/>
    <w:rsid w:val="00365981"/>
    <w:rsid w:val="003659CB"/>
    <w:rsid w:val="00365A0A"/>
    <w:rsid w:val="00365C96"/>
    <w:rsid w:val="00365D5E"/>
    <w:rsid w:val="00365DCF"/>
    <w:rsid w:val="00365E03"/>
    <w:rsid w:val="00365E5D"/>
    <w:rsid w:val="00365FCA"/>
    <w:rsid w:val="00366004"/>
    <w:rsid w:val="003660F9"/>
    <w:rsid w:val="003661C9"/>
    <w:rsid w:val="00366242"/>
    <w:rsid w:val="0036632E"/>
    <w:rsid w:val="00366340"/>
    <w:rsid w:val="003665F9"/>
    <w:rsid w:val="00366604"/>
    <w:rsid w:val="0036662C"/>
    <w:rsid w:val="003666C4"/>
    <w:rsid w:val="0036677B"/>
    <w:rsid w:val="0036692E"/>
    <w:rsid w:val="00366A3F"/>
    <w:rsid w:val="00366AAC"/>
    <w:rsid w:val="00366B1B"/>
    <w:rsid w:val="00366BA1"/>
    <w:rsid w:val="00366BB2"/>
    <w:rsid w:val="00366CFB"/>
    <w:rsid w:val="00366E4B"/>
    <w:rsid w:val="00366EB9"/>
    <w:rsid w:val="00366F3E"/>
    <w:rsid w:val="00366F8C"/>
    <w:rsid w:val="00366FBC"/>
    <w:rsid w:val="00366FEA"/>
    <w:rsid w:val="00367022"/>
    <w:rsid w:val="00367034"/>
    <w:rsid w:val="003672D3"/>
    <w:rsid w:val="00367381"/>
    <w:rsid w:val="003673C7"/>
    <w:rsid w:val="0036757B"/>
    <w:rsid w:val="00367591"/>
    <w:rsid w:val="003675DC"/>
    <w:rsid w:val="00367635"/>
    <w:rsid w:val="00367675"/>
    <w:rsid w:val="00367769"/>
    <w:rsid w:val="00367785"/>
    <w:rsid w:val="003677E2"/>
    <w:rsid w:val="003678E4"/>
    <w:rsid w:val="003679CA"/>
    <w:rsid w:val="00367AEA"/>
    <w:rsid w:val="00367BFE"/>
    <w:rsid w:val="00367D04"/>
    <w:rsid w:val="00367D08"/>
    <w:rsid w:val="00367DC7"/>
    <w:rsid w:val="00367DE0"/>
    <w:rsid w:val="00367DFA"/>
    <w:rsid w:val="00367E79"/>
    <w:rsid w:val="00367F12"/>
    <w:rsid w:val="00367FBC"/>
    <w:rsid w:val="0037011D"/>
    <w:rsid w:val="0037015C"/>
    <w:rsid w:val="003701EC"/>
    <w:rsid w:val="0037021E"/>
    <w:rsid w:val="003702E7"/>
    <w:rsid w:val="003703E8"/>
    <w:rsid w:val="00370483"/>
    <w:rsid w:val="00370523"/>
    <w:rsid w:val="00370541"/>
    <w:rsid w:val="003706C8"/>
    <w:rsid w:val="00370748"/>
    <w:rsid w:val="0037086A"/>
    <w:rsid w:val="0037087A"/>
    <w:rsid w:val="003708A3"/>
    <w:rsid w:val="003709E9"/>
    <w:rsid w:val="00370A87"/>
    <w:rsid w:val="00370A90"/>
    <w:rsid w:val="00370B7B"/>
    <w:rsid w:val="00370BC4"/>
    <w:rsid w:val="00370C4D"/>
    <w:rsid w:val="00370C93"/>
    <w:rsid w:val="00370D1C"/>
    <w:rsid w:val="00370DC5"/>
    <w:rsid w:val="00370E09"/>
    <w:rsid w:val="00370E79"/>
    <w:rsid w:val="00370EB9"/>
    <w:rsid w:val="00370ECD"/>
    <w:rsid w:val="0037100F"/>
    <w:rsid w:val="003710D6"/>
    <w:rsid w:val="00371163"/>
    <w:rsid w:val="003711E8"/>
    <w:rsid w:val="0037123B"/>
    <w:rsid w:val="00371278"/>
    <w:rsid w:val="003714C9"/>
    <w:rsid w:val="0037155B"/>
    <w:rsid w:val="00371593"/>
    <w:rsid w:val="00371601"/>
    <w:rsid w:val="0037162D"/>
    <w:rsid w:val="00371644"/>
    <w:rsid w:val="003718AE"/>
    <w:rsid w:val="00371905"/>
    <w:rsid w:val="0037199A"/>
    <w:rsid w:val="003719AD"/>
    <w:rsid w:val="00371BAA"/>
    <w:rsid w:val="00371BAE"/>
    <w:rsid w:val="00371C59"/>
    <w:rsid w:val="00371C5B"/>
    <w:rsid w:val="00371C7D"/>
    <w:rsid w:val="00371D2A"/>
    <w:rsid w:val="00371D4E"/>
    <w:rsid w:val="00371D9E"/>
    <w:rsid w:val="00371E6E"/>
    <w:rsid w:val="0037200B"/>
    <w:rsid w:val="00372013"/>
    <w:rsid w:val="0037208F"/>
    <w:rsid w:val="003721B5"/>
    <w:rsid w:val="003721E7"/>
    <w:rsid w:val="003722EF"/>
    <w:rsid w:val="003722F2"/>
    <w:rsid w:val="00372309"/>
    <w:rsid w:val="00372373"/>
    <w:rsid w:val="00372426"/>
    <w:rsid w:val="0037249D"/>
    <w:rsid w:val="003724DF"/>
    <w:rsid w:val="003724E3"/>
    <w:rsid w:val="0037256E"/>
    <w:rsid w:val="00372623"/>
    <w:rsid w:val="003726D4"/>
    <w:rsid w:val="00372802"/>
    <w:rsid w:val="0037283F"/>
    <w:rsid w:val="00372868"/>
    <w:rsid w:val="00372B46"/>
    <w:rsid w:val="00372B6F"/>
    <w:rsid w:val="00372B9A"/>
    <w:rsid w:val="00372C6C"/>
    <w:rsid w:val="00372CD3"/>
    <w:rsid w:val="00372D25"/>
    <w:rsid w:val="00372DBD"/>
    <w:rsid w:val="00372FCE"/>
    <w:rsid w:val="003730B1"/>
    <w:rsid w:val="003731D6"/>
    <w:rsid w:val="003731E1"/>
    <w:rsid w:val="00373237"/>
    <w:rsid w:val="00373245"/>
    <w:rsid w:val="00373309"/>
    <w:rsid w:val="00373475"/>
    <w:rsid w:val="00373637"/>
    <w:rsid w:val="0037373F"/>
    <w:rsid w:val="0037374A"/>
    <w:rsid w:val="003737BA"/>
    <w:rsid w:val="003737C8"/>
    <w:rsid w:val="003737EA"/>
    <w:rsid w:val="003738B1"/>
    <w:rsid w:val="003738B2"/>
    <w:rsid w:val="003739E8"/>
    <w:rsid w:val="00373A3A"/>
    <w:rsid w:val="00373B50"/>
    <w:rsid w:val="00373CA3"/>
    <w:rsid w:val="00373D02"/>
    <w:rsid w:val="00373E14"/>
    <w:rsid w:val="00373E59"/>
    <w:rsid w:val="00373F87"/>
    <w:rsid w:val="0037407D"/>
    <w:rsid w:val="00374081"/>
    <w:rsid w:val="00374141"/>
    <w:rsid w:val="003741C5"/>
    <w:rsid w:val="00374241"/>
    <w:rsid w:val="0037448B"/>
    <w:rsid w:val="00374523"/>
    <w:rsid w:val="0037453F"/>
    <w:rsid w:val="003745A6"/>
    <w:rsid w:val="003745AE"/>
    <w:rsid w:val="00374755"/>
    <w:rsid w:val="003749B1"/>
    <w:rsid w:val="00374A71"/>
    <w:rsid w:val="00374BE4"/>
    <w:rsid w:val="00374E6F"/>
    <w:rsid w:val="00374F52"/>
    <w:rsid w:val="00374F71"/>
    <w:rsid w:val="0037519F"/>
    <w:rsid w:val="0037547A"/>
    <w:rsid w:val="00375566"/>
    <w:rsid w:val="003755E8"/>
    <w:rsid w:val="003755F1"/>
    <w:rsid w:val="003755F3"/>
    <w:rsid w:val="00375613"/>
    <w:rsid w:val="0037562D"/>
    <w:rsid w:val="00375664"/>
    <w:rsid w:val="0037568C"/>
    <w:rsid w:val="0037568D"/>
    <w:rsid w:val="0037580F"/>
    <w:rsid w:val="00375920"/>
    <w:rsid w:val="0037599B"/>
    <w:rsid w:val="00375A44"/>
    <w:rsid w:val="00375C34"/>
    <w:rsid w:val="00375CFF"/>
    <w:rsid w:val="00375D83"/>
    <w:rsid w:val="00375DBE"/>
    <w:rsid w:val="00375DDA"/>
    <w:rsid w:val="00375E40"/>
    <w:rsid w:val="00375ED0"/>
    <w:rsid w:val="00375F17"/>
    <w:rsid w:val="00375F84"/>
    <w:rsid w:val="003760C7"/>
    <w:rsid w:val="003760EF"/>
    <w:rsid w:val="00376231"/>
    <w:rsid w:val="003762CD"/>
    <w:rsid w:val="00376337"/>
    <w:rsid w:val="003763AD"/>
    <w:rsid w:val="00376433"/>
    <w:rsid w:val="00376440"/>
    <w:rsid w:val="00376486"/>
    <w:rsid w:val="0037650B"/>
    <w:rsid w:val="0037652A"/>
    <w:rsid w:val="003765B8"/>
    <w:rsid w:val="0037669C"/>
    <w:rsid w:val="00376777"/>
    <w:rsid w:val="0037677D"/>
    <w:rsid w:val="00376785"/>
    <w:rsid w:val="0037678E"/>
    <w:rsid w:val="003767AE"/>
    <w:rsid w:val="00376884"/>
    <w:rsid w:val="00376885"/>
    <w:rsid w:val="00376888"/>
    <w:rsid w:val="003768BB"/>
    <w:rsid w:val="00376BDB"/>
    <w:rsid w:val="00376C41"/>
    <w:rsid w:val="00376D49"/>
    <w:rsid w:val="00376DB8"/>
    <w:rsid w:val="00376ED5"/>
    <w:rsid w:val="00376EF8"/>
    <w:rsid w:val="00376F90"/>
    <w:rsid w:val="00377055"/>
    <w:rsid w:val="00377089"/>
    <w:rsid w:val="003770F3"/>
    <w:rsid w:val="003770F8"/>
    <w:rsid w:val="00377196"/>
    <w:rsid w:val="003771AD"/>
    <w:rsid w:val="003772A0"/>
    <w:rsid w:val="0037731C"/>
    <w:rsid w:val="00377399"/>
    <w:rsid w:val="0037739D"/>
    <w:rsid w:val="003773EC"/>
    <w:rsid w:val="00377653"/>
    <w:rsid w:val="00377681"/>
    <w:rsid w:val="003776AF"/>
    <w:rsid w:val="00377748"/>
    <w:rsid w:val="00377759"/>
    <w:rsid w:val="0037778F"/>
    <w:rsid w:val="00377806"/>
    <w:rsid w:val="0037784A"/>
    <w:rsid w:val="00377933"/>
    <w:rsid w:val="00377944"/>
    <w:rsid w:val="00377969"/>
    <w:rsid w:val="00377A5D"/>
    <w:rsid w:val="00377AFE"/>
    <w:rsid w:val="00377B5B"/>
    <w:rsid w:val="00377BFB"/>
    <w:rsid w:val="00377CCD"/>
    <w:rsid w:val="00377D1F"/>
    <w:rsid w:val="00377D38"/>
    <w:rsid w:val="00377D50"/>
    <w:rsid w:val="00377DDD"/>
    <w:rsid w:val="00377E23"/>
    <w:rsid w:val="00377E84"/>
    <w:rsid w:val="00377F24"/>
    <w:rsid w:val="00380022"/>
    <w:rsid w:val="003800C6"/>
    <w:rsid w:val="003800D6"/>
    <w:rsid w:val="00380127"/>
    <w:rsid w:val="00380254"/>
    <w:rsid w:val="0038037C"/>
    <w:rsid w:val="00380396"/>
    <w:rsid w:val="0038039B"/>
    <w:rsid w:val="003803BC"/>
    <w:rsid w:val="00380500"/>
    <w:rsid w:val="0038052F"/>
    <w:rsid w:val="003805D2"/>
    <w:rsid w:val="0038067C"/>
    <w:rsid w:val="00380687"/>
    <w:rsid w:val="003807EF"/>
    <w:rsid w:val="00380A43"/>
    <w:rsid w:val="00380AB8"/>
    <w:rsid w:val="00380ADE"/>
    <w:rsid w:val="00380B12"/>
    <w:rsid w:val="00380B3A"/>
    <w:rsid w:val="00380BF9"/>
    <w:rsid w:val="00380D7F"/>
    <w:rsid w:val="00380E10"/>
    <w:rsid w:val="00380E45"/>
    <w:rsid w:val="00380EA2"/>
    <w:rsid w:val="00381058"/>
    <w:rsid w:val="0038106F"/>
    <w:rsid w:val="00381081"/>
    <w:rsid w:val="0038122C"/>
    <w:rsid w:val="00381230"/>
    <w:rsid w:val="00381272"/>
    <w:rsid w:val="0038128F"/>
    <w:rsid w:val="003813A2"/>
    <w:rsid w:val="003815E3"/>
    <w:rsid w:val="0038171E"/>
    <w:rsid w:val="00381720"/>
    <w:rsid w:val="003817D3"/>
    <w:rsid w:val="003817F9"/>
    <w:rsid w:val="0038183B"/>
    <w:rsid w:val="003818BD"/>
    <w:rsid w:val="003818F4"/>
    <w:rsid w:val="00381966"/>
    <w:rsid w:val="003819EA"/>
    <w:rsid w:val="003819EE"/>
    <w:rsid w:val="00381A50"/>
    <w:rsid w:val="00381A9C"/>
    <w:rsid w:val="00381BDA"/>
    <w:rsid w:val="00381BE3"/>
    <w:rsid w:val="00381C7F"/>
    <w:rsid w:val="00381C99"/>
    <w:rsid w:val="00381E7F"/>
    <w:rsid w:val="00381E9D"/>
    <w:rsid w:val="00381FB3"/>
    <w:rsid w:val="00381FF3"/>
    <w:rsid w:val="00382086"/>
    <w:rsid w:val="00382095"/>
    <w:rsid w:val="0038212B"/>
    <w:rsid w:val="00382191"/>
    <w:rsid w:val="003821F4"/>
    <w:rsid w:val="003822FC"/>
    <w:rsid w:val="0038237F"/>
    <w:rsid w:val="003823D9"/>
    <w:rsid w:val="003823DC"/>
    <w:rsid w:val="00382417"/>
    <w:rsid w:val="003824CE"/>
    <w:rsid w:val="003824D3"/>
    <w:rsid w:val="003824DA"/>
    <w:rsid w:val="003827A9"/>
    <w:rsid w:val="00382877"/>
    <w:rsid w:val="0038291C"/>
    <w:rsid w:val="00382A3D"/>
    <w:rsid w:val="00382A5D"/>
    <w:rsid w:val="00382A91"/>
    <w:rsid w:val="00382A9D"/>
    <w:rsid w:val="00382B67"/>
    <w:rsid w:val="00382C2E"/>
    <w:rsid w:val="00382C9C"/>
    <w:rsid w:val="00382CFA"/>
    <w:rsid w:val="00382D22"/>
    <w:rsid w:val="00382E0C"/>
    <w:rsid w:val="00382E95"/>
    <w:rsid w:val="00382F33"/>
    <w:rsid w:val="00382FE8"/>
    <w:rsid w:val="0038304A"/>
    <w:rsid w:val="00383126"/>
    <w:rsid w:val="003832DC"/>
    <w:rsid w:val="003833BE"/>
    <w:rsid w:val="00383422"/>
    <w:rsid w:val="0038344D"/>
    <w:rsid w:val="003834A9"/>
    <w:rsid w:val="003834CA"/>
    <w:rsid w:val="003835D1"/>
    <w:rsid w:val="00383728"/>
    <w:rsid w:val="00383737"/>
    <w:rsid w:val="00383759"/>
    <w:rsid w:val="00383899"/>
    <w:rsid w:val="003838D7"/>
    <w:rsid w:val="00383A0B"/>
    <w:rsid w:val="00383A2D"/>
    <w:rsid w:val="00383B70"/>
    <w:rsid w:val="00383C3C"/>
    <w:rsid w:val="00383CAD"/>
    <w:rsid w:val="00383CB0"/>
    <w:rsid w:val="00383E29"/>
    <w:rsid w:val="00383E69"/>
    <w:rsid w:val="0038404F"/>
    <w:rsid w:val="00384128"/>
    <w:rsid w:val="00384170"/>
    <w:rsid w:val="00384278"/>
    <w:rsid w:val="00384542"/>
    <w:rsid w:val="00384678"/>
    <w:rsid w:val="0038468C"/>
    <w:rsid w:val="003846ED"/>
    <w:rsid w:val="00384710"/>
    <w:rsid w:val="0038475B"/>
    <w:rsid w:val="003849A2"/>
    <w:rsid w:val="00384A32"/>
    <w:rsid w:val="00384C05"/>
    <w:rsid w:val="00384CA8"/>
    <w:rsid w:val="00384CCB"/>
    <w:rsid w:val="00384CDD"/>
    <w:rsid w:val="00384D99"/>
    <w:rsid w:val="00384EA3"/>
    <w:rsid w:val="00384FBA"/>
    <w:rsid w:val="0038507D"/>
    <w:rsid w:val="003850B2"/>
    <w:rsid w:val="0038516A"/>
    <w:rsid w:val="003851FA"/>
    <w:rsid w:val="00385373"/>
    <w:rsid w:val="00385548"/>
    <w:rsid w:val="003855A4"/>
    <w:rsid w:val="003855E3"/>
    <w:rsid w:val="003856AC"/>
    <w:rsid w:val="0038572D"/>
    <w:rsid w:val="0038594A"/>
    <w:rsid w:val="00385971"/>
    <w:rsid w:val="00385A07"/>
    <w:rsid w:val="00385A6D"/>
    <w:rsid w:val="00385C21"/>
    <w:rsid w:val="00385C9E"/>
    <w:rsid w:val="00385CEC"/>
    <w:rsid w:val="00385D7D"/>
    <w:rsid w:val="00385DA5"/>
    <w:rsid w:val="00385E58"/>
    <w:rsid w:val="00385EAB"/>
    <w:rsid w:val="00385F8A"/>
    <w:rsid w:val="00385FE6"/>
    <w:rsid w:val="0038614F"/>
    <w:rsid w:val="003861FF"/>
    <w:rsid w:val="003862A7"/>
    <w:rsid w:val="00386399"/>
    <w:rsid w:val="003864C2"/>
    <w:rsid w:val="003864F0"/>
    <w:rsid w:val="00386544"/>
    <w:rsid w:val="00386634"/>
    <w:rsid w:val="00386685"/>
    <w:rsid w:val="003866A3"/>
    <w:rsid w:val="00386787"/>
    <w:rsid w:val="00386790"/>
    <w:rsid w:val="00386945"/>
    <w:rsid w:val="00386A61"/>
    <w:rsid w:val="00386AFE"/>
    <w:rsid w:val="00386B8E"/>
    <w:rsid w:val="00386BCC"/>
    <w:rsid w:val="00386C22"/>
    <w:rsid w:val="00386C3A"/>
    <w:rsid w:val="00386D46"/>
    <w:rsid w:val="00386DF9"/>
    <w:rsid w:val="00386E73"/>
    <w:rsid w:val="00386EDD"/>
    <w:rsid w:val="00386F55"/>
    <w:rsid w:val="00386FE1"/>
    <w:rsid w:val="003870E9"/>
    <w:rsid w:val="00387134"/>
    <w:rsid w:val="0038714B"/>
    <w:rsid w:val="003871A4"/>
    <w:rsid w:val="003874CF"/>
    <w:rsid w:val="00387504"/>
    <w:rsid w:val="0038769C"/>
    <w:rsid w:val="003877C2"/>
    <w:rsid w:val="003877F6"/>
    <w:rsid w:val="00387901"/>
    <w:rsid w:val="00387A11"/>
    <w:rsid w:val="00387A95"/>
    <w:rsid w:val="00387B0D"/>
    <w:rsid w:val="00387BED"/>
    <w:rsid w:val="00387C27"/>
    <w:rsid w:val="00387CBE"/>
    <w:rsid w:val="00387CE0"/>
    <w:rsid w:val="00387D08"/>
    <w:rsid w:val="00387D35"/>
    <w:rsid w:val="00387E14"/>
    <w:rsid w:val="00387F36"/>
    <w:rsid w:val="00387FBF"/>
    <w:rsid w:val="00387FF7"/>
    <w:rsid w:val="003901B8"/>
    <w:rsid w:val="003901BD"/>
    <w:rsid w:val="0039031A"/>
    <w:rsid w:val="00390423"/>
    <w:rsid w:val="00390515"/>
    <w:rsid w:val="00390535"/>
    <w:rsid w:val="003906C1"/>
    <w:rsid w:val="00390749"/>
    <w:rsid w:val="0039078F"/>
    <w:rsid w:val="003907D8"/>
    <w:rsid w:val="00390839"/>
    <w:rsid w:val="00390909"/>
    <w:rsid w:val="00390A90"/>
    <w:rsid w:val="00390BDB"/>
    <w:rsid w:val="00390C97"/>
    <w:rsid w:val="00390D6E"/>
    <w:rsid w:val="00390F4E"/>
    <w:rsid w:val="00390FCA"/>
    <w:rsid w:val="00391090"/>
    <w:rsid w:val="003910F2"/>
    <w:rsid w:val="00391238"/>
    <w:rsid w:val="003912CD"/>
    <w:rsid w:val="0039133D"/>
    <w:rsid w:val="003913FB"/>
    <w:rsid w:val="0039141A"/>
    <w:rsid w:val="0039152D"/>
    <w:rsid w:val="00391534"/>
    <w:rsid w:val="00391539"/>
    <w:rsid w:val="00391599"/>
    <w:rsid w:val="003915A2"/>
    <w:rsid w:val="003915D9"/>
    <w:rsid w:val="00391668"/>
    <w:rsid w:val="0039171F"/>
    <w:rsid w:val="00391813"/>
    <w:rsid w:val="0039182C"/>
    <w:rsid w:val="0039182D"/>
    <w:rsid w:val="00391923"/>
    <w:rsid w:val="003919AE"/>
    <w:rsid w:val="00391AA5"/>
    <w:rsid w:val="00391AB3"/>
    <w:rsid w:val="00391AD3"/>
    <w:rsid w:val="00391AE8"/>
    <w:rsid w:val="00391B2F"/>
    <w:rsid w:val="00391B55"/>
    <w:rsid w:val="00391BC8"/>
    <w:rsid w:val="00391D45"/>
    <w:rsid w:val="00391D7B"/>
    <w:rsid w:val="00391F55"/>
    <w:rsid w:val="0039212A"/>
    <w:rsid w:val="00392281"/>
    <w:rsid w:val="003922CA"/>
    <w:rsid w:val="0039235F"/>
    <w:rsid w:val="003923EC"/>
    <w:rsid w:val="003923FA"/>
    <w:rsid w:val="00392460"/>
    <w:rsid w:val="00392549"/>
    <w:rsid w:val="00392561"/>
    <w:rsid w:val="00392607"/>
    <w:rsid w:val="00392625"/>
    <w:rsid w:val="00392684"/>
    <w:rsid w:val="003926B0"/>
    <w:rsid w:val="00392786"/>
    <w:rsid w:val="00392921"/>
    <w:rsid w:val="00392A10"/>
    <w:rsid w:val="00392ABC"/>
    <w:rsid w:val="00392AFD"/>
    <w:rsid w:val="00392B35"/>
    <w:rsid w:val="00392BC6"/>
    <w:rsid w:val="00392BDE"/>
    <w:rsid w:val="00392D77"/>
    <w:rsid w:val="00392E8D"/>
    <w:rsid w:val="00392F07"/>
    <w:rsid w:val="00392F44"/>
    <w:rsid w:val="003930EC"/>
    <w:rsid w:val="00393156"/>
    <w:rsid w:val="00393309"/>
    <w:rsid w:val="0039336B"/>
    <w:rsid w:val="00393424"/>
    <w:rsid w:val="0039345A"/>
    <w:rsid w:val="00393698"/>
    <w:rsid w:val="00393837"/>
    <w:rsid w:val="003939A3"/>
    <w:rsid w:val="00393A9D"/>
    <w:rsid w:val="00393AB5"/>
    <w:rsid w:val="00393AEC"/>
    <w:rsid w:val="00393AEF"/>
    <w:rsid w:val="00393CE7"/>
    <w:rsid w:val="00393D18"/>
    <w:rsid w:val="00393D65"/>
    <w:rsid w:val="00393D67"/>
    <w:rsid w:val="00393D9B"/>
    <w:rsid w:val="00393DA3"/>
    <w:rsid w:val="00393DA4"/>
    <w:rsid w:val="00393E03"/>
    <w:rsid w:val="00393EC3"/>
    <w:rsid w:val="00393F9E"/>
    <w:rsid w:val="00393FA7"/>
    <w:rsid w:val="0039415F"/>
    <w:rsid w:val="003941C7"/>
    <w:rsid w:val="00394273"/>
    <w:rsid w:val="00394286"/>
    <w:rsid w:val="00394320"/>
    <w:rsid w:val="00394354"/>
    <w:rsid w:val="0039450B"/>
    <w:rsid w:val="00394535"/>
    <w:rsid w:val="003945BE"/>
    <w:rsid w:val="003945ED"/>
    <w:rsid w:val="00394663"/>
    <w:rsid w:val="003947D4"/>
    <w:rsid w:val="00394958"/>
    <w:rsid w:val="003949C6"/>
    <w:rsid w:val="00394A26"/>
    <w:rsid w:val="00394ADA"/>
    <w:rsid w:val="00394AE8"/>
    <w:rsid w:val="00394B42"/>
    <w:rsid w:val="00394BA1"/>
    <w:rsid w:val="00394BD4"/>
    <w:rsid w:val="00394C89"/>
    <w:rsid w:val="00394CD1"/>
    <w:rsid w:val="00394D05"/>
    <w:rsid w:val="00394D44"/>
    <w:rsid w:val="00394DBB"/>
    <w:rsid w:val="00394DC7"/>
    <w:rsid w:val="00394E3B"/>
    <w:rsid w:val="00394E78"/>
    <w:rsid w:val="00394E7F"/>
    <w:rsid w:val="00394E99"/>
    <w:rsid w:val="00394F10"/>
    <w:rsid w:val="00394FA5"/>
    <w:rsid w:val="00394FAF"/>
    <w:rsid w:val="00395062"/>
    <w:rsid w:val="0039522B"/>
    <w:rsid w:val="00395241"/>
    <w:rsid w:val="00395322"/>
    <w:rsid w:val="00395368"/>
    <w:rsid w:val="003955D0"/>
    <w:rsid w:val="00395622"/>
    <w:rsid w:val="003956AA"/>
    <w:rsid w:val="003957A6"/>
    <w:rsid w:val="003957D1"/>
    <w:rsid w:val="00395816"/>
    <w:rsid w:val="00395855"/>
    <w:rsid w:val="00395896"/>
    <w:rsid w:val="0039594A"/>
    <w:rsid w:val="00395C2C"/>
    <w:rsid w:val="00395C3F"/>
    <w:rsid w:val="00395C4F"/>
    <w:rsid w:val="00395DF6"/>
    <w:rsid w:val="00395EBF"/>
    <w:rsid w:val="00395F8D"/>
    <w:rsid w:val="00396188"/>
    <w:rsid w:val="0039618C"/>
    <w:rsid w:val="003961E1"/>
    <w:rsid w:val="00396237"/>
    <w:rsid w:val="00396269"/>
    <w:rsid w:val="0039627D"/>
    <w:rsid w:val="0039638D"/>
    <w:rsid w:val="003963BD"/>
    <w:rsid w:val="00396497"/>
    <w:rsid w:val="003964DF"/>
    <w:rsid w:val="003964E1"/>
    <w:rsid w:val="003964E7"/>
    <w:rsid w:val="003966AB"/>
    <w:rsid w:val="003967B8"/>
    <w:rsid w:val="003969DD"/>
    <w:rsid w:val="003969EC"/>
    <w:rsid w:val="00396A0A"/>
    <w:rsid w:val="00396A17"/>
    <w:rsid w:val="00396A86"/>
    <w:rsid w:val="00396AC8"/>
    <w:rsid w:val="00396B1D"/>
    <w:rsid w:val="00396B50"/>
    <w:rsid w:val="00396C8A"/>
    <w:rsid w:val="00396D32"/>
    <w:rsid w:val="00396E34"/>
    <w:rsid w:val="00396F30"/>
    <w:rsid w:val="00396F38"/>
    <w:rsid w:val="00396F92"/>
    <w:rsid w:val="00396FF3"/>
    <w:rsid w:val="00397107"/>
    <w:rsid w:val="00397404"/>
    <w:rsid w:val="00397409"/>
    <w:rsid w:val="00397441"/>
    <w:rsid w:val="00397506"/>
    <w:rsid w:val="003975F6"/>
    <w:rsid w:val="0039762F"/>
    <w:rsid w:val="003976E5"/>
    <w:rsid w:val="0039779D"/>
    <w:rsid w:val="00397826"/>
    <w:rsid w:val="00397908"/>
    <w:rsid w:val="00397ACF"/>
    <w:rsid w:val="00397B9D"/>
    <w:rsid w:val="00397BAF"/>
    <w:rsid w:val="00397BCC"/>
    <w:rsid w:val="00397CC5"/>
    <w:rsid w:val="00397CF6"/>
    <w:rsid w:val="00397DDB"/>
    <w:rsid w:val="00397E1A"/>
    <w:rsid w:val="00397E5B"/>
    <w:rsid w:val="00397F17"/>
    <w:rsid w:val="00397FE1"/>
    <w:rsid w:val="003A0090"/>
    <w:rsid w:val="003A00D6"/>
    <w:rsid w:val="003A00F7"/>
    <w:rsid w:val="003A0131"/>
    <w:rsid w:val="003A01BE"/>
    <w:rsid w:val="003A01F0"/>
    <w:rsid w:val="003A0226"/>
    <w:rsid w:val="003A02C4"/>
    <w:rsid w:val="003A02FC"/>
    <w:rsid w:val="003A03D7"/>
    <w:rsid w:val="003A04E6"/>
    <w:rsid w:val="003A057A"/>
    <w:rsid w:val="003A05DB"/>
    <w:rsid w:val="003A0672"/>
    <w:rsid w:val="003A06B7"/>
    <w:rsid w:val="003A06D8"/>
    <w:rsid w:val="003A0799"/>
    <w:rsid w:val="003A07E9"/>
    <w:rsid w:val="003A0859"/>
    <w:rsid w:val="003A0959"/>
    <w:rsid w:val="003A096E"/>
    <w:rsid w:val="003A0A19"/>
    <w:rsid w:val="003A0A77"/>
    <w:rsid w:val="003A0BC8"/>
    <w:rsid w:val="003A0C95"/>
    <w:rsid w:val="003A0D25"/>
    <w:rsid w:val="003A0DDB"/>
    <w:rsid w:val="003A0E92"/>
    <w:rsid w:val="003A0EEC"/>
    <w:rsid w:val="003A0F98"/>
    <w:rsid w:val="003A1076"/>
    <w:rsid w:val="003A10BB"/>
    <w:rsid w:val="003A118E"/>
    <w:rsid w:val="003A11BF"/>
    <w:rsid w:val="003A11E6"/>
    <w:rsid w:val="003A11EC"/>
    <w:rsid w:val="003A1276"/>
    <w:rsid w:val="003A129F"/>
    <w:rsid w:val="003A131F"/>
    <w:rsid w:val="003A1322"/>
    <w:rsid w:val="003A1356"/>
    <w:rsid w:val="003A13D3"/>
    <w:rsid w:val="003A13FE"/>
    <w:rsid w:val="003A1765"/>
    <w:rsid w:val="003A188F"/>
    <w:rsid w:val="003A1AA2"/>
    <w:rsid w:val="003A1C42"/>
    <w:rsid w:val="003A1D7A"/>
    <w:rsid w:val="003A1DC3"/>
    <w:rsid w:val="003A1E90"/>
    <w:rsid w:val="003A1F22"/>
    <w:rsid w:val="003A1F46"/>
    <w:rsid w:val="003A1F95"/>
    <w:rsid w:val="003A1FEF"/>
    <w:rsid w:val="003A21FD"/>
    <w:rsid w:val="003A2309"/>
    <w:rsid w:val="003A248B"/>
    <w:rsid w:val="003A24E5"/>
    <w:rsid w:val="003A2518"/>
    <w:rsid w:val="003A2530"/>
    <w:rsid w:val="003A2690"/>
    <w:rsid w:val="003A2740"/>
    <w:rsid w:val="003A27F5"/>
    <w:rsid w:val="003A2903"/>
    <w:rsid w:val="003A2AF8"/>
    <w:rsid w:val="003A2B00"/>
    <w:rsid w:val="003A2B15"/>
    <w:rsid w:val="003A2B35"/>
    <w:rsid w:val="003A2BD4"/>
    <w:rsid w:val="003A2C34"/>
    <w:rsid w:val="003A2CAF"/>
    <w:rsid w:val="003A2CB7"/>
    <w:rsid w:val="003A2D62"/>
    <w:rsid w:val="003A2DDD"/>
    <w:rsid w:val="003A2E21"/>
    <w:rsid w:val="003A2E61"/>
    <w:rsid w:val="003A2E7D"/>
    <w:rsid w:val="003A2F32"/>
    <w:rsid w:val="003A30B8"/>
    <w:rsid w:val="003A310E"/>
    <w:rsid w:val="003A3166"/>
    <w:rsid w:val="003A319B"/>
    <w:rsid w:val="003A31A7"/>
    <w:rsid w:val="003A31C6"/>
    <w:rsid w:val="003A320E"/>
    <w:rsid w:val="003A3230"/>
    <w:rsid w:val="003A32EA"/>
    <w:rsid w:val="003A3360"/>
    <w:rsid w:val="003A341C"/>
    <w:rsid w:val="003A35A5"/>
    <w:rsid w:val="003A35DD"/>
    <w:rsid w:val="003A3694"/>
    <w:rsid w:val="003A36B0"/>
    <w:rsid w:val="003A37ED"/>
    <w:rsid w:val="003A37F3"/>
    <w:rsid w:val="003A3834"/>
    <w:rsid w:val="003A3947"/>
    <w:rsid w:val="003A39FC"/>
    <w:rsid w:val="003A3A18"/>
    <w:rsid w:val="003A3A9C"/>
    <w:rsid w:val="003A3AD9"/>
    <w:rsid w:val="003A3AEA"/>
    <w:rsid w:val="003A3C5F"/>
    <w:rsid w:val="003A3C7A"/>
    <w:rsid w:val="003A3FD5"/>
    <w:rsid w:val="003A41B9"/>
    <w:rsid w:val="003A41BA"/>
    <w:rsid w:val="003A43B5"/>
    <w:rsid w:val="003A43E9"/>
    <w:rsid w:val="003A4443"/>
    <w:rsid w:val="003A4491"/>
    <w:rsid w:val="003A4617"/>
    <w:rsid w:val="003A4618"/>
    <w:rsid w:val="003A4660"/>
    <w:rsid w:val="003A46D5"/>
    <w:rsid w:val="003A4735"/>
    <w:rsid w:val="003A477E"/>
    <w:rsid w:val="003A47C8"/>
    <w:rsid w:val="003A47E2"/>
    <w:rsid w:val="003A4846"/>
    <w:rsid w:val="003A488F"/>
    <w:rsid w:val="003A494C"/>
    <w:rsid w:val="003A4ACC"/>
    <w:rsid w:val="003A4B24"/>
    <w:rsid w:val="003A4B6A"/>
    <w:rsid w:val="003A4B7A"/>
    <w:rsid w:val="003A4B9B"/>
    <w:rsid w:val="003A4BCF"/>
    <w:rsid w:val="003A4C04"/>
    <w:rsid w:val="003A4C5C"/>
    <w:rsid w:val="003A4D0B"/>
    <w:rsid w:val="003A4DF0"/>
    <w:rsid w:val="003A4E36"/>
    <w:rsid w:val="003A4F78"/>
    <w:rsid w:val="003A50A1"/>
    <w:rsid w:val="003A50A7"/>
    <w:rsid w:val="003A50D5"/>
    <w:rsid w:val="003A516A"/>
    <w:rsid w:val="003A51A8"/>
    <w:rsid w:val="003A51AC"/>
    <w:rsid w:val="003A521F"/>
    <w:rsid w:val="003A5349"/>
    <w:rsid w:val="003A5374"/>
    <w:rsid w:val="003A54B4"/>
    <w:rsid w:val="003A552F"/>
    <w:rsid w:val="003A557A"/>
    <w:rsid w:val="003A55A4"/>
    <w:rsid w:val="003A55E1"/>
    <w:rsid w:val="003A56CD"/>
    <w:rsid w:val="003A5764"/>
    <w:rsid w:val="003A57B1"/>
    <w:rsid w:val="003A59C2"/>
    <w:rsid w:val="003A5AA3"/>
    <w:rsid w:val="003A5B2C"/>
    <w:rsid w:val="003A5B6B"/>
    <w:rsid w:val="003A5C79"/>
    <w:rsid w:val="003A5C9D"/>
    <w:rsid w:val="003A5CA2"/>
    <w:rsid w:val="003A5CAB"/>
    <w:rsid w:val="003A5CB5"/>
    <w:rsid w:val="003A5D83"/>
    <w:rsid w:val="003A5ED4"/>
    <w:rsid w:val="003A5EF4"/>
    <w:rsid w:val="003A5F0A"/>
    <w:rsid w:val="003A6051"/>
    <w:rsid w:val="003A6068"/>
    <w:rsid w:val="003A6110"/>
    <w:rsid w:val="003A6142"/>
    <w:rsid w:val="003A6155"/>
    <w:rsid w:val="003A61D6"/>
    <w:rsid w:val="003A62DD"/>
    <w:rsid w:val="003A6316"/>
    <w:rsid w:val="003A6336"/>
    <w:rsid w:val="003A636A"/>
    <w:rsid w:val="003A6372"/>
    <w:rsid w:val="003A63A9"/>
    <w:rsid w:val="003A63AD"/>
    <w:rsid w:val="003A63DD"/>
    <w:rsid w:val="003A653A"/>
    <w:rsid w:val="003A65DD"/>
    <w:rsid w:val="003A6646"/>
    <w:rsid w:val="003A67D2"/>
    <w:rsid w:val="003A680F"/>
    <w:rsid w:val="003A6900"/>
    <w:rsid w:val="003A6A02"/>
    <w:rsid w:val="003A6A16"/>
    <w:rsid w:val="003A6B06"/>
    <w:rsid w:val="003A6B72"/>
    <w:rsid w:val="003A6C78"/>
    <w:rsid w:val="003A6CCC"/>
    <w:rsid w:val="003A6D55"/>
    <w:rsid w:val="003A6DB2"/>
    <w:rsid w:val="003A6DE1"/>
    <w:rsid w:val="003A6F95"/>
    <w:rsid w:val="003A7116"/>
    <w:rsid w:val="003A7134"/>
    <w:rsid w:val="003A7137"/>
    <w:rsid w:val="003A713B"/>
    <w:rsid w:val="003A713D"/>
    <w:rsid w:val="003A71F6"/>
    <w:rsid w:val="003A7230"/>
    <w:rsid w:val="003A7243"/>
    <w:rsid w:val="003A7376"/>
    <w:rsid w:val="003A7391"/>
    <w:rsid w:val="003A73EA"/>
    <w:rsid w:val="003A743F"/>
    <w:rsid w:val="003A7452"/>
    <w:rsid w:val="003A74B3"/>
    <w:rsid w:val="003A74B7"/>
    <w:rsid w:val="003A7526"/>
    <w:rsid w:val="003A753A"/>
    <w:rsid w:val="003A761F"/>
    <w:rsid w:val="003A76FE"/>
    <w:rsid w:val="003A792A"/>
    <w:rsid w:val="003A793C"/>
    <w:rsid w:val="003A7973"/>
    <w:rsid w:val="003A7A0F"/>
    <w:rsid w:val="003A7A9D"/>
    <w:rsid w:val="003A7AB4"/>
    <w:rsid w:val="003A7B35"/>
    <w:rsid w:val="003A7B5F"/>
    <w:rsid w:val="003A7B88"/>
    <w:rsid w:val="003A7D84"/>
    <w:rsid w:val="003A7E46"/>
    <w:rsid w:val="003A7E70"/>
    <w:rsid w:val="003A7FFB"/>
    <w:rsid w:val="003B00D9"/>
    <w:rsid w:val="003B00EA"/>
    <w:rsid w:val="003B010A"/>
    <w:rsid w:val="003B013D"/>
    <w:rsid w:val="003B0275"/>
    <w:rsid w:val="003B02BC"/>
    <w:rsid w:val="003B0312"/>
    <w:rsid w:val="003B03C4"/>
    <w:rsid w:val="003B05E1"/>
    <w:rsid w:val="003B05ED"/>
    <w:rsid w:val="003B0645"/>
    <w:rsid w:val="003B06E6"/>
    <w:rsid w:val="003B0A8C"/>
    <w:rsid w:val="003B0B55"/>
    <w:rsid w:val="003B0BDB"/>
    <w:rsid w:val="003B0C2D"/>
    <w:rsid w:val="003B0D91"/>
    <w:rsid w:val="003B0DA2"/>
    <w:rsid w:val="003B0DDF"/>
    <w:rsid w:val="003B0ECA"/>
    <w:rsid w:val="003B0F10"/>
    <w:rsid w:val="003B0F58"/>
    <w:rsid w:val="003B0FA3"/>
    <w:rsid w:val="003B0FD8"/>
    <w:rsid w:val="003B10A6"/>
    <w:rsid w:val="003B10F9"/>
    <w:rsid w:val="003B11BF"/>
    <w:rsid w:val="003B1320"/>
    <w:rsid w:val="003B15F3"/>
    <w:rsid w:val="003B15FC"/>
    <w:rsid w:val="003B1603"/>
    <w:rsid w:val="003B162B"/>
    <w:rsid w:val="003B1641"/>
    <w:rsid w:val="003B16E9"/>
    <w:rsid w:val="003B1716"/>
    <w:rsid w:val="003B1780"/>
    <w:rsid w:val="003B17A3"/>
    <w:rsid w:val="003B17E7"/>
    <w:rsid w:val="003B187F"/>
    <w:rsid w:val="003B1896"/>
    <w:rsid w:val="003B1939"/>
    <w:rsid w:val="003B1A5E"/>
    <w:rsid w:val="003B1A7C"/>
    <w:rsid w:val="003B1A92"/>
    <w:rsid w:val="003B1AD0"/>
    <w:rsid w:val="003B1B12"/>
    <w:rsid w:val="003B1B56"/>
    <w:rsid w:val="003B1BD1"/>
    <w:rsid w:val="003B1BDF"/>
    <w:rsid w:val="003B1C2D"/>
    <w:rsid w:val="003B1D8A"/>
    <w:rsid w:val="003B1DB9"/>
    <w:rsid w:val="003B1E9A"/>
    <w:rsid w:val="003B1ED1"/>
    <w:rsid w:val="003B1F1B"/>
    <w:rsid w:val="003B200B"/>
    <w:rsid w:val="003B2025"/>
    <w:rsid w:val="003B2042"/>
    <w:rsid w:val="003B2081"/>
    <w:rsid w:val="003B209E"/>
    <w:rsid w:val="003B2167"/>
    <w:rsid w:val="003B2185"/>
    <w:rsid w:val="003B2213"/>
    <w:rsid w:val="003B2381"/>
    <w:rsid w:val="003B23B1"/>
    <w:rsid w:val="003B23FF"/>
    <w:rsid w:val="003B244A"/>
    <w:rsid w:val="003B24AA"/>
    <w:rsid w:val="003B253F"/>
    <w:rsid w:val="003B25D8"/>
    <w:rsid w:val="003B25F8"/>
    <w:rsid w:val="003B2672"/>
    <w:rsid w:val="003B2778"/>
    <w:rsid w:val="003B2781"/>
    <w:rsid w:val="003B278F"/>
    <w:rsid w:val="003B27F7"/>
    <w:rsid w:val="003B2894"/>
    <w:rsid w:val="003B28B1"/>
    <w:rsid w:val="003B28B5"/>
    <w:rsid w:val="003B2921"/>
    <w:rsid w:val="003B2A07"/>
    <w:rsid w:val="003B2A85"/>
    <w:rsid w:val="003B2CE7"/>
    <w:rsid w:val="003B2D6F"/>
    <w:rsid w:val="003B2D7D"/>
    <w:rsid w:val="003B2D84"/>
    <w:rsid w:val="003B2E27"/>
    <w:rsid w:val="003B2ED0"/>
    <w:rsid w:val="003B2FB8"/>
    <w:rsid w:val="003B30D1"/>
    <w:rsid w:val="003B3135"/>
    <w:rsid w:val="003B3185"/>
    <w:rsid w:val="003B32D3"/>
    <w:rsid w:val="003B3311"/>
    <w:rsid w:val="003B3320"/>
    <w:rsid w:val="003B333D"/>
    <w:rsid w:val="003B3499"/>
    <w:rsid w:val="003B349F"/>
    <w:rsid w:val="003B34B1"/>
    <w:rsid w:val="003B3556"/>
    <w:rsid w:val="003B361F"/>
    <w:rsid w:val="003B3662"/>
    <w:rsid w:val="003B3680"/>
    <w:rsid w:val="003B3760"/>
    <w:rsid w:val="003B386D"/>
    <w:rsid w:val="003B38F4"/>
    <w:rsid w:val="003B3984"/>
    <w:rsid w:val="003B3AF8"/>
    <w:rsid w:val="003B3B4A"/>
    <w:rsid w:val="003B3C80"/>
    <w:rsid w:val="003B3DB9"/>
    <w:rsid w:val="003B3E3B"/>
    <w:rsid w:val="003B3E42"/>
    <w:rsid w:val="003B3E66"/>
    <w:rsid w:val="003B3E93"/>
    <w:rsid w:val="003B3EF9"/>
    <w:rsid w:val="003B405C"/>
    <w:rsid w:val="003B4103"/>
    <w:rsid w:val="003B431F"/>
    <w:rsid w:val="003B43D3"/>
    <w:rsid w:val="003B43FE"/>
    <w:rsid w:val="003B45B1"/>
    <w:rsid w:val="003B4607"/>
    <w:rsid w:val="003B462F"/>
    <w:rsid w:val="003B46F4"/>
    <w:rsid w:val="003B4763"/>
    <w:rsid w:val="003B47F9"/>
    <w:rsid w:val="003B485B"/>
    <w:rsid w:val="003B4878"/>
    <w:rsid w:val="003B4910"/>
    <w:rsid w:val="003B49B0"/>
    <w:rsid w:val="003B4A20"/>
    <w:rsid w:val="003B4ADB"/>
    <w:rsid w:val="003B4C53"/>
    <w:rsid w:val="003B4C80"/>
    <w:rsid w:val="003B4CA2"/>
    <w:rsid w:val="003B4CEB"/>
    <w:rsid w:val="003B4D44"/>
    <w:rsid w:val="003B4DAD"/>
    <w:rsid w:val="003B4DF4"/>
    <w:rsid w:val="003B4F77"/>
    <w:rsid w:val="003B4F79"/>
    <w:rsid w:val="003B4FD5"/>
    <w:rsid w:val="003B5082"/>
    <w:rsid w:val="003B5101"/>
    <w:rsid w:val="003B5180"/>
    <w:rsid w:val="003B51C3"/>
    <w:rsid w:val="003B52B4"/>
    <w:rsid w:val="003B52BF"/>
    <w:rsid w:val="003B5330"/>
    <w:rsid w:val="003B538F"/>
    <w:rsid w:val="003B5398"/>
    <w:rsid w:val="003B550C"/>
    <w:rsid w:val="003B5527"/>
    <w:rsid w:val="003B5615"/>
    <w:rsid w:val="003B5623"/>
    <w:rsid w:val="003B5626"/>
    <w:rsid w:val="003B5709"/>
    <w:rsid w:val="003B5737"/>
    <w:rsid w:val="003B58B1"/>
    <w:rsid w:val="003B5C58"/>
    <w:rsid w:val="003B5CB9"/>
    <w:rsid w:val="003B5D35"/>
    <w:rsid w:val="003B5DB3"/>
    <w:rsid w:val="003B5E27"/>
    <w:rsid w:val="003B5E58"/>
    <w:rsid w:val="003B5EF5"/>
    <w:rsid w:val="003B5F1C"/>
    <w:rsid w:val="003B6016"/>
    <w:rsid w:val="003B6080"/>
    <w:rsid w:val="003B6152"/>
    <w:rsid w:val="003B61D3"/>
    <w:rsid w:val="003B6221"/>
    <w:rsid w:val="003B625B"/>
    <w:rsid w:val="003B6303"/>
    <w:rsid w:val="003B630E"/>
    <w:rsid w:val="003B63DF"/>
    <w:rsid w:val="003B63E2"/>
    <w:rsid w:val="003B6529"/>
    <w:rsid w:val="003B653A"/>
    <w:rsid w:val="003B67DE"/>
    <w:rsid w:val="003B6869"/>
    <w:rsid w:val="003B690A"/>
    <w:rsid w:val="003B6988"/>
    <w:rsid w:val="003B6A60"/>
    <w:rsid w:val="003B6B05"/>
    <w:rsid w:val="003B6CAA"/>
    <w:rsid w:val="003B6CCF"/>
    <w:rsid w:val="003B6D36"/>
    <w:rsid w:val="003B6D74"/>
    <w:rsid w:val="003B6E9E"/>
    <w:rsid w:val="003B6F1F"/>
    <w:rsid w:val="003B6F8B"/>
    <w:rsid w:val="003B6FCC"/>
    <w:rsid w:val="003B7007"/>
    <w:rsid w:val="003B70C5"/>
    <w:rsid w:val="003B710B"/>
    <w:rsid w:val="003B7261"/>
    <w:rsid w:val="003B72DB"/>
    <w:rsid w:val="003B7345"/>
    <w:rsid w:val="003B73C6"/>
    <w:rsid w:val="003B73C9"/>
    <w:rsid w:val="003B742D"/>
    <w:rsid w:val="003B74D0"/>
    <w:rsid w:val="003B7530"/>
    <w:rsid w:val="003B762F"/>
    <w:rsid w:val="003B7681"/>
    <w:rsid w:val="003B76BC"/>
    <w:rsid w:val="003B7700"/>
    <w:rsid w:val="003B774C"/>
    <w:rsid w:val="003B7773"/>
    <w:rsid w:val="003B7822"/>
    <w:rsid w:val="003B79C6"/>
    <w:rsid w:val="003B79EC"/>
    <w:rsid w:val="003B7A99"/>
    <w:rsid w:val="003B7BB9"/>
    <w:rsid w:val="003B7C1C"/>
    <w:rsid w:val="003B7CBC"/>
    <w:rsid w:val="003B7CE0"/>
    <w:rsid w:val="003B7D99"/>
    <w:rsid w:val="003B7DA3"/>
    <w:rsid w:val="003B7E45"/>
    <w:rsid w:val="003B7EFB"/>
    <w:rsid w:val="003B7F84"/>
    <w:rsid w:val="003C003F"/>
    <w:rsid w:val="003C0073"/>
    <w:rsid w:val="003C008A"/>
    <w:rsid w:val="003C01C1"/>
    <w:rsid w:val="003C0283"/>
    <w:rsid w:val="003C0297"/>
    <w:rsid w:val="003C0335"/>
    <w:rsid w:val="003C035E"/>
    <w:rsid w:val="003C0452"/>
    <w:rsid w:val="003C0481"/>
    <w:rsid w:val="003C052B"/>
    <w:rsid w:val="003C06A1"/>
    <w:rsid w:val="003C06B4"/>
    <w:rsid w:val="003C06CF"/>
    <w:rsid w:val="003C07B6"/>
    <w:rsid w:val="003C08A6"/>
    <w:rsid w:val="003C097C"/>
    <w:rsid w:val="003C0A25"/>
    <w:rsid w:val="003C0ACB"/>
    <w:rsid w:val="003C0B2F"/>
    <w:rsid w:val="003C0B33"/>
    <w:rsid w:val="003C0C8F"/>
    <w:rsid w:val="003C0CEB"/>
    <w:rsid w:val="003C0D01"/>
    <w:rsid w:val="003C0D9D"/>
    <w:rsid w:val="003C0E6A"/>
    <w:rsid w:val="003C0FF4"/>
    <w:rsid w:val="003C1073"/>
    <w:rsid w:val="003C1088"/>
    <w:rsid w:val="003C1093"/>
    <w:rsid w:val="003C11B1"/>
    <w:rsid w:val="003C11FB"/>
    <w:rsid w:val="003C1246"/>
    <w:rsid w:val="003C13CA"/>
    <w:rsid w:val="003C145A"/>
    <w:rsid w:val="003C1462"/>
    <w:rsid w:val="003C1530"/>
    <w:rsid w:val="003C15C3"/>
    <w:rsid w:val="003C15F0"/>
    <w:rsid w:val="003C164A"/>
    <w:rsid w:val="003C16E3"/>
    <w:rsid w:val="003C175C"/>
    <w:rsid w:val="003C1943"/>
    <w:rsid w:val="003C19F5"/>
    <w:rsid w:val="003C1A2F"/>
    <w:rsid w:val="003C1A57"/>
    <w:rsid w:val="003C1A9E"/>
    <w:rsid w:val="003C1ABA"/>
    <w:rsid w:val="003C1ABB"/>
    <w:rsid w:val="003C1AE5"/>
    <w:rsid w:val="003C1B7C"/>
    <w:rsid w:val="003C1BF4"/>
    <w:rsid w:val="003C1C2F"/>
    <w:rsid w:val="003C1D22"/>
    <w:rsid w:val="003C1DEB"/>
    <w:rsid w:val="003C1E1D"/>
    <w:rsid w:val="003C1E89"/>
    <w:rsid w:val="003C1EA0"/>
    <w:rsid w:val="003C1F65"/>
    <w:rsid w:val="003C1FD4"/>
    <w:rsid w:val="003C200F"/>
    <w:rsid w:val="003C203B"/>
    <w:rsid w:val="003C2067"/>
    <w:rsid w:val="003C2149"/>
    <w:rsid w:val="003C22CA"/>
    <w:rsid w:val="003C2310"/>
    <w:rsid w:val="003C2328"/>
    <w:rsid w:val="003C2369"/>
    <w:rsid w:val="003C2436"/>
    <w:rsid w:val="003C247C"/>
    <w:rsid w:val="003C2537"/>
    <w:rsid w:val="003C253A"/>
    <w:rsid w:val="003C2604"/>
    <w:rsid w:val="003C2618"/>
    <w:rsid w:val="003C2630"/>
    <w:rsid w:val="003C26F1"/>
    <w:rsid w:val="003C278C"/>
    <w:rsid w:val="003C27DA"/>
    <w:rsid w:val="003C27FC"/>
    <w:rsid w:val="003C28BA"/>
    <w:rsid w:val="003C28C0"/>
    <w:rsid w:val="003C2905"/>
    <w:rsid w:val="003C2927"/>
    <w:rsid w:val="003C2941"/>
    <w:rsid w:val="003C2945"/>
    <w:rsid w:val="003C2AEC"/>
    <w:rsid w:val="003C2B1C"/>
    <w:rsid w:val="003C2BCD"/>
    <w:rsid w:val="003C2CA9"/>
    <w:rsid w:val="003C2CE7"/>
    <w:rsid w:val="003C2D9E"/>
    <w:rsid w:val="003C2E0F"/>
    <w:rsid w:val="003C2E92"/>
    <w:rsid w:val="003C2FA6"/>
    <w:rsid w:val="003C2FDE"/>
    <w:rsid w:val="003C3049"/>
    <w:rsid w:val="003C306B"/>
    <w:rsid w:val="003C3087"/>
    <w:rsid w:val="003C30A3"/>
    <w:rsid w:val="003C3156"/>
    <w:rsid w:val="003C3178"/>
    <w:rsid w:val="003C31EB"/>
    <w:rsid w:val="003C3337"/>
    <w:rsid w:val="003C3397"/>
    <w:rsid w:val="003C3407"/>
    <w:rsid w:val="003C3480"/>
    <w:rsid w:val="003C358A"/>
    <w:rsid w:val="003C3608"/>
    <w:rsid w:val="003C3887"/>
    <w:rsid w:val="003C38A6"/>
    <w:rsid w:val="003C393E"/>
    <w:rsid w:val="003C39CD"/>
    <w:rsid w:val="003C3A94"/>
    <w:rsid w:val="003C3AF3"/>
    <w:rsid w:val="003C3B25"/>
    <w:rsid w:val="003C3BA0"/>
    <w:rsid w:val="003C3C1D"/>
    <w:rsid w:val="003C3CE7"/>
    <w:rsid w:val="003C3D64"/>
    <w:rsid w:val="003C3DBD"/>
    <w:rsid w:val="003C3E0B"/>
    <w:rsid w:val="003C3E64"/>
    <w:rsid w:val="003C4034"/>
    <w:rsid w:val="003C408A"/>
    <w:rsid w:val="003C40D2"/>
    <w:rsid w:val="003C410F"/>
    <w:rsid w:val="003C4364"/>
    <w:rsid w:val="003C43D6"/>
    <w:rsid w:val="003C43DD"/>
    <w:rsid w:val="003C444E"/>
    <w:rsid w:val="003C449D"/>
    <w:rsid w:val="003C466C"/>
    <w:rsid w:val="003C4755"/>
    <w:rsid w:val="003C4783"/>
    <w:rsid w:val="003C4803"/>
    <w:rsid w:val="003C4836"/>
    <w:rsid w:val="003C4867"/>
    <w:rsid w:val="003C48B8"/>
    <w:rsid w:val="003C48F6"/>
    <w:rsid w:val="003C49E8"/>
    <w:rsid w:val="003C4B31"/>
    <w:rsid w:val="003C4C64"/>
    <w:rsid w:val="003C4C9A"/>
    <w:rsid w:val="003C4D28"/>
    <w:rsid w:val="003C4E0E"/>
    <w:rsid w:val="003C4E43"/>
    <w:rsid w:val="003C4E97"/>
    <w:rsid w:val="003C4EAB"/>
    <w:rsid w:val="003C4EB8"/>
    <w:rsid w:val="003C4F59"/>
    <w:rsid w:val="003C4FD2"/>
    <w:rsid w:val="003C5111"/>
    <w:rsid w:val="003C5177"/>
    <w:rsid w:val="003C51D3"/>
    <w:rsid w:val="003C52A4"/>
    <w:rsid w:val="003C536C"/>
    <w:rsid w:val="003C5575"/>
    <w:rsid w:val="003C55EE"/>
    <w:rsid w:val="003C5762"/>
    <w:rsid w:val="003C58B3"/>
    <w:rsid w:val="003C5905"/>
    <w:rsid w:val="003C5AE0"/>
    <w:rsid w:val="003C5B05"/>
    <w:rsid w:val="003C5C17"/>
    <w:rsid w:val="003C5CA6"/>
    <w:rsid w:val="003C5CB0"/>
    <w:rsid w:val="003C5D48"/>
    <w:rsid w:val="003C5DB6"/>
    <w:rsid w:val="003C5E9A"/>
    <w:rsid w:val="003C5F7E"/>
    <w:rsid w:val="003C5F7F"/>
    <w:rsid w:val="003C5FDF"/>
    <w:rsid w:val="003C6180"/>
    <w:rsid w:val="003C62D9"/>
    <w:rsid w:val="003C635A"/>
    <w:rsid w:val="003C65E7"/>
    <w:rsid w:val="003C669B"/>
    <w:rsid w:val="003C67F6"/>
    <w:rsid w:val="003C6864"/>
    <w:rsid w:val="003C68FF"/>
    <w:rsid w:val="003C692D"/>
    <w:rsid w:val="003C6ABB"/>
    <w:rsid w:val="003C6B06"/>
    <w:rsid w:val="003C6CD5"/>
    <w:rsid w:val="003C6D2E"/>
    <w:rsid w:val="003C6EA6"/>
    <w:rsid w:val="003C6EE7"/>
    <w:rsid w:val="003C6F87"/>
    <w:rsid w:val="003C6F94"/>
    <w:rsid w:val="003C705A"/>
    <w:rsid w:val="003C70E8"/>
    <w:rsid w:val="003C7120"/>
    <w:rsid w:val="003C7184"/>
    <w:rsid w:val="003C7188"/>
    <w:rsid w:val="003C7190"/>
    <w:rsid w:val="003C71CF"/>
    <w:rsid w:val="003C7201"/>
    <w:rsid w:val="003C720E"/>
    <w:rsid w:val="003C724E"/>
    <w:rsid w:val="003C7393"/>
    <w:rsid w:val="003C73F8"/>
    <w:rsid w:val="003C740C"/>
    <w:rsid w:val="003C7525"/>
    <w:rsid w:val="003C7547"/>
    <w:rsid w:val="003C75D2"/>
    <w:rsid w:val="003C761A"/>
    <w:rsid w:val="003C76F6"/>
    <w:rsid w:val="003C77CA"/>
    <w:rsid w:val="003C77E4"/>
    <w:rsid w:val="003C77FC"/>
    <w:rsid w:val="003C7858"/>
    <w:rsid w:val="003C788E"/>
    <w:rsid w:val="003C7958"/>
    <w:rsid w:val="003C7A57"/>
    <w:rsid w:val="003C7A7E"/>
    <w:rsid w:val="003C7AEC"/>
    <w:rsid w:val="003C7B41"/>
    <w:rsid w:val="003C7C5C"/>
    <w:rsid w:val="003C7D03"/>
    <w:rsid w:val="003C7D6D"/>
    <w:rsid w:val="003C7EC9"/>
    <w:rsid w:val="003D0099"/>
    <w:rsid w:val="003D00D1"/>
    <w:rsid w:val="003D0356"/>
    <w:rsid w:val="003D0359"/>
    <w:rsid w:val="003D03DC"/>
    <w:rsid w:val="003D03E3"/>
    <w:rsid w:val="003D04D8"/>
    <w:rsid w:val="003D04DD"/>
    <w:rsid w:val="003D06B9"/>
    <w:rsid w:val="003D06C5"/>
    <w:rsid w:val="003D06E8"/>
    <w:rsid w:val="003D0728"/>
    <w:rsid w:val="003D07D2"/>
    <w:rsid w:val="003D07D9"/>
    <w:rsid w:val="003D085D"/>
    <w:rsid w:val="003D086B"/>
    <w:rsid w:val="003D09B6"/>
    <w:rsid w:val="003D0A34"/>
    <w:rsid w:val="003D0A38"/>
    <w:rsid w:val="003D0A3C"/>
    <w:rsid w:val="003D0A4D"/>
    <w:rsid w:val="003D0AE3"/>
    <w:rsid w:val="003D0C66"/>
    <w:rsid w:val="003D0CA3"/>
    <w:rsid w:val="003D0D04"/>
    <w:rsid w:val="003D0D92"/>
    <w:rsid w:val="003D0DB9"/>
    <w:rsid w:val="003D0DDC"/>
    <w:rsid w:val="003D0DF8"/>
    <w:rsid w:val="003D0E39"/>
    <w:rsid w:val="003D10A7"/>
    <w:rsid w:val="003D1165"/>
    <w:rsid w:val="003D1240"/>
    <w:rsid w:val="003D12B1"/>
    <w:rsid w:val="003D135C"/>
    <w:rsid w:val="003D137F"/>
    <w:rsid w:val="003D139C"/>
    <w:rsid w:val="003D13A3"/>
    <w:rsid w:val="003D13F8"/>
    <w:rsid w:val="003D1460"/>
    <w:rsid w:val="003D14CF"/>
    <w:rsid w:val="003D15FD"/>
    <w:rsid w:val="003D16FC"/>
    <w:rsid w:val="003D1770"/>
    <w:rsid w:val="003D178C"/>
    <w:rsid w:val="003D179A"/>
    <w:rsid w:val="003D1948"/>
    <w:rsid w:val="003D1B3D"/>
    <w:rsid w:val="003D1B70"/>
    <w:rsid w:val="003D1BAB"/>
    <w:rsid w:val="003D1CC2"/>
    <w:rsid w:val="003D1CDF"/>
    <w:rsid w:val="003D1D04"/>
    <w:rsid w:val="003D1E0A"/>
    <w:rsid w:val="003D1EC0"/>
    <w:rsid w:val="003D1EC9"/>
    <w:rsid w:val="003D1F50"/>
    <w:rsid w:val="003D2161"/>
    <w:rsid w:val="003D219F"/>
    <w:rsid w:val="003D22DD"/>
    <w:rsid w:val="003D23B9"/>
    <w:rsid w:val="003D2528"/>
    <w:rsid w:val="003D27B9"/>
    <w:rsid w:val="003D27F3"/>
    <w:rsid w:val="003D2841"/>
    <w:rsid w:val="003D2857"/>
    <w:rsid w:val="003D28A4"/>
    <w:rsid w:val="003D28BE"/>
    <w:rsid w:val="003D28DB"/>
    <w:rsid w:val="003D29A2"/>
    <w:rsid w:val="003D2A05"/>
    <w:rsid w:val="003D2B32"/>
    <w:rsid w:val="003D2B3D"/>
    <w:rsid w:val="003D2D1D"/>
    <w:rsid w:val="003D2D20"/>
    <w:rsid w:val="003D2D24"/>
    <w:rsid w:val="003D2D62"/>
    <w:rsid w:val="003D2E26"/>
    <w:rsid w:val="003D2E29"/>
    <w:rsid w:val="003D2E33"/>
    <w:rsid w:val="003D2E47"/>
    <w:rsid w:val="003D3022"/>
    <w:rsid w:val="003D310A"/>
    <w:rsid w:val="003D314C"/>
    <w:rsid w:val="003D3242"/>
    <w:rsid w:val="003D3310"/>
    <w:rsid w:val="003D3556"/>
    <w:rsid w:val="003D3580"/>
    <w:rsid w:val="003D36DF"/>
    <w:rsid w:val="003D36E7"/>
    <w:rsid w:val="003D3761"/>
    <w:rsid w:val="003D37DE"/>
    <w:rsid w:val="003D38E9"/>
    <w:rsid w:val="003D3995"/>
    <w:rsid w:val="003D39C9"/>
    <w:rsid w:val="003D39E5"/>
    <w:rsid w:val="003D3A6D"/>
    <w:rsid w:val="003D3AA5"/>
    <w:rsid w:val="003D3B01"/>
    <w:rsid w:val="003D3B23"/>
    <w:rsid w:val="003D3B3A"/>
    <w:rsid w:val="003D3B41"/>
    <w:rsid w:val="003D3B53"/>
    <w:rsid w:val="003D3B96"/>
    <w:rsid w:val="003D3BB8"/>
    <w:rsid w:val="003D3CCD"/>
    <w:rsid w:val="003D3CE0"/>
    <w:rsid w:val="003D3DD2"/>
    <w:rsid w:val="003D3E02"/>
    <w:rsid w:val="003D3E0E"/>
    <w:rsid w:val="003D3EFB"/>
    <w:rsid w:val="003D3F9E"/>
    <w:rsid w:val="003D3FD7"/>
    <w:rsid w:val="003D408B"/>
    <w:rsid w:val="003D4241"/>
    <w:rsid w:val="003D428C"/>
    <w:rsid w:val="003D4303"/>
    <w:rsid w:val="003D4338"/>
    <w:rsid w:val="003D436A"/>
    <w:rsid w:val="003D436F"/>
    <w:rsid w:val="003D457B"/>
    <w:rsid w:val="003D45E3"/>
    <w:rsid w:val="003D47CF"/>
    <w:rsid w:val="003D4807"/>
    <w:rsid w:val="003D4829"/>
    <w:rsid w:val="003D4861"/>
    <w:rsid w:val="003D4884"/>
    <w:rsid w:val="003D49C8"/>
    <w:rsid w:val="003D49EF"/>
    <w:rsid w:val="003D4AE6"/>
    <w:rsid w:val="003D4B3B"/>
    <w:rsid w:val="003D4B42"/>
    <w:rsid w:val="003D4B81"/>
    <w:rsid w:val="003D4CA2"/>
    <w:rsid w:val="003D4CD5"/>
    <w:rsid w:val="003D4CE1"/>
    <w:rsid w:val="003D4D5F"/>
    <w:rsid w:val="003D4E25"/>
    <w:rsid w:val="003D4E2D"/>
    <w:rsid w:val="003D4F58"/>
    <w:rsid w:val="003D4F5C"/>
    <w:rsid w:val="003D502A"/>
    <w:rsid w:val="003D5045"/>
    <w:rsid w:val="003D5084"/>
    <w:rsid w:val="003D5104"/>
    <w:rsid w:val="003D513E"/>
    <w:rsid w:val="003D51DC"/>
    <w:rsid w:val="003D52B1"/>
    <w:rsid w:val="003D52DB"/>
    <w:rsid w:val="003D52F5"/>
    <w:rsid w:val="003D53DF"/>
    <w:rsid w:val="003D5443"/>
    <w:rsid w:val="003D5591"/>
    <w:rsid w:val="003D55A0"/>
    <w:rsid w:val="003D569F"/>
    <w:rsid w:val="003D5799"/>
    <w:rsid w:val="003D57B8"/>
    <w:rsid w:val="003D58D7"/>
    <w:rsid w:val="003D5971"/>
    <w:rsid w:val="003D5A8D"/>
    <w:rsid w:val="003D5B48"/>
    <w:rsid w:val="003D5B92"/>
    <w:rsid w:val="003D5B9B"/>
    <w:rsid w:val="003D5FBD"/>
    <w:rsid w:val="003D5FBE"/>
    <w:rsid w:val="003D609E"/>
    <w:rsid w:val="003D60C2"/>
    <w:rsid w:val="003D60C4"/>
    <w:rsid w:val="003D61B0"/>
    <w:rsid w:val="003D61B5"/>
    <w:rsid w:val="003D63BF"/>
    <w:rsid w:val="003D63E2"/>
    <w:rsid w:val="003D6417"/>
    <w:rsid w:val="003D64F2"/>
    <w:rsid w:val="003D65BC"/>
    <w:rsid w:val="003D6631"/>
    <w:rsid w:val="003D6635"/>
    <w:rsid w:val="003D67D7"/>
    <w:rsid w:val="003D684C"/>
    <w:rsid w:val="003D6989"/>
    <w:rsid w:val="003D69F4"/>
    <w:rsid w:val="003D6AEE"/>
    <w:rsid w:val="003D6B4C"/>
    <w:rsid w:val="003D6B60"/>
    <w:rsid w:val="003D6BDF"/>
    <w:rsid w:val="003D6C9E"/>
    <w:rsid w:val="003D6CA0"/>
    <w:rsid w:val="003D6CA8"/>
    <w:rsid w:val="003D6CCD"/>
    <w:rsid w:val="003D6D25"/>
    <w:rsid w:val="003D6E48"/>
    <w:rsid w:val="003D6F02"/>
    <w:rsid w:val="003D6F0B"/>
    <w:rsid w:val="003D6F7B"/>
    <w:rsid w:val="003D7093"/>
    <w:rsid w:val="003D7117"/>
    <w:rsid w:val="003D71AB"/>
    <w:rsid w:val="003D726C"/>
    <w:rsid w:val="003D7279"/>
    <w:rsid w:val="003D727A"/>
    <w:rsid w:val="003D72EB"/>
    <w:rsid w:val="003D72FF"/>
    <w:rsid w:val="003D7324"/>
    <w:rsid w:val="003D75C1"/>
    <w:rsid w:val="003D760E"/>
    <w:rsid w:val="003D7875"/>
    <w:rsid w:val="003D78B4"/>
    <w:rsid w:val="003D791B"/>
    <w:rsid w:val="003D7943"/>
    <w:rsid w:val="003D7A19"/>
    <w:rsid w:val="003D7B37"/>
    <w:rsid w:val="003D7C7B"/>
    <w:rsid w:val="003D7D04"/>
    <w:rsid w:val="003D7DC1"/>
    <w:rsid w:val="003D7E40"/>
    <w:rsid w:val="003D7E51"/>
    <w:rsid w:val="003D7EDA"/>
    <w:rsid w:val="003D7EFD"/>
    <w:rsid w:val="003D7F24"/>
    <w:rsid w:val="003D7FEF"/>
    <w:rsid w:val="003E0077"/>
    <w:rsid w:val="003E0178"/>
    <w:rsid w:val="003E01B5"/>
    <w:rsid w:val="003E01E5"/>
    <w:rsid w:val="003E0249"/>
    <w:rsid w:val="003E02B9"/>
    <w:rsid w:val="003E039A"/>
    <w:rsid w:val="003E03D1"/>
    <w:rsid w:val="003E03F2"/>
    <w:rsid w:val="003E040E"/>
    <w:rsid w:val="003E041F"/>
    <w:rsid w:val="003E0437"/>
    <w:rsid w:val="003E043A"/>
    <w:rsid w:val="003E04D9"/>
    <w:rsid w:val="003E052E"/>
    <w:rsid w:val="003E05D5"/>
    <w:rsid w:val="003E05F4"/>
    <w:rsid w:val="003E0605"/>
    <w:rsid w:val="003E0616"/>
    <w:rsid w:val="003E07DE"/>
    <w:rsid w:val="003E0822"/>
    <w:rsid w:val="003E0882"/>
    <w:rsid w:val="003E091D"/>
    <w:rsid w:val="003E0A07"/>
    <w:rsid w:val="003E0ACC"/>
    <w:rsid w:val="003E0C46"/>
    <w:rsid w:val="003E0D1A"/>
    <w:rsid w:val="003E0D24"/>
    <w:rsid w:val="003E0FC5"/>
    <w:rsid w:val="003E1145"/>
    <w:rsid w:val="003E11F0"/>
    <w:rsid w:val="003E12A8"/>
    <w:rsid w:val="003E1338"/>
    <w:rsid w:val="003E1569"/>
    <w:rsid w:val="003E161D"/>
    <w:rsid w:val="003E1650"/>
    <w:rsid w:val="003E179B"/>
    <w:rsid w:val="003E17AF"/>
    <w:rsid w:val="003E18BA"/>
    <w:rsid w:val="003E1920"/>
    <w:rsid w:val="003E1A16"/>
    <w:rsid w:val="003E1A20"/>
    <w:rsid w:val="003E1A77"/>
    <w:rsid w:val="003E1ACD"/>
    <w:rsid w:val="003E1B9C"/>
    <w:rsid w:val="003E1B9E"/>
    <w:rsid w:val="003E1C0D"/>
    <w:rsid w:val="003E1C54"/>
    <w:rsid w:val="003E1C7E"/>
    <w:rsid w:val="003E1E30"/>
    <w:rsid w:val="003E1E56"/>
    <w:rsid w:val="003E2009"/>
    <w:rsid w:val="003E20D3"/>
    <w:rsid w:val="003E20F2"/>
    <w:rsid w:val="003E214D"/>
    <w:rsid w:val="003E2189"/>
    <w:rsid w:val="003E223A"/>
    <w:rsid w:val="003E23FD"/>
    <w:rsid w:val="003E23FF"/>
    <w:rsid w:val="003E2496"/>
    <w:rsid w:val="003E2637"/>
    <w:rsid w:val="003E2656"/>
    <w:rsid w:val="003E2660"/>
    <w:rsid w:val="003E2672"/>
    <w:rsid w:val="003E2691"/>
    <w:rsid w:val="003E26B6"/>
    <w:rsid w:val="003E2918"/>
    <w:rsid w:val="003E2A18"/>
    <w:rsid w:val="003E2A57"/>
    <w:rsid w:val="003E2AC1"/>
    <w:rsid w:val="003E2B2F"/>
    <w:rsid w:val="003E2B42"/>
    <w:rsid w:val="003E2B80"/>
    <w:rsid w:val="003E2B9E"/>
    <w:rsid w:val="003E2BA0"/>
    <w:rsid w:val="003E2BBD"/>
    <w:rsid w:val="003E2C3A"/>
    <w:rsid w:val="003E2CBD"/>
    <w:rsid w:val="003E2D29"/>
    <w:rsid w:val="003E2D38"/>
    <w:rsid w:val="003E2D48"/>
    <w:rsid w:val="003E2D6A"/>
    <w:rsid w:val="003E2E93"/>
    <w:rsid w:val="003E2F34"/>
    <w:rsid w:val="003E2F62"/>
    <w:rsid w:val="003E2F79"/>
    <w:rsid w:val="003E2FF1"/>
    <w:rsid w:val="003E30F0"/>
    <w:rsid w:val="003E3174"/>
    <w:rsid w:val="003E31AF"/>
    <w:rsid w:val="003E3248"/>
    <w:rsid w:val="003E32C0"/>
    <w:rsid w:val="003E3312"/>
    <w:rsid w:val="003E3335"/>
    <w:rsid w:val="003E3594"/>
    <w:rsid w:val="003E368F"/>
    <w:rsid w:val="003E3755"/>
    <w:rsid w:val="003E380F"/>
    <w:rsid w:val="003E381A"/>
    <w:rsid w:val="003E38AE"/>
    <w:rsid w:val="003E394F"/>
    <w:rsid w:val="003E3B5A"/>
    <w:rsid w:val="003E3B64"/>
    <w:rsid w:val="003E3B73"/>
    <w:rsid w:val="003E3C1E"/>
    <w:rsid w:val="003E3D10"/>
    <w:rsid w:val="003E3DE1"/>
    <w:rsid w:val="003E3E00"/>
    <w:rsid w:val="003E3F16"/>
    <w:rsid w:val="003E3FB2"/>
    <w:rsid w:val="003E403C"/>
    <w:rsid w:val="003E4093"/>
    <w:rsid w:val="003E40C5"/>
    <w:rsid w:val="003E4146"/>
    <w:rsid w:val="003E4166"/>
    <w:rsid w:val="003E4184"/>
    <w:rsid w:val="003E4316"/>
    <w:rsid w:val="003E4333"/>
    <w:rsid w:val="003E433A"/>
    <w:rsid w:val="003E43B6"/>
    <w:rsid w:val="003E4459"/>
    <w:rsid w:val="003E4504"/>
    <w:rsid w:val="003E452F"/>
    <w:rsid w:val="003E459D"/>
    <w:rsid w:val="003E46DA"/>
    <w:rsid w:val="003E471A"/>
    <w:rsid w:val="003E47BD"/>
    <w:rsid w:val="003E48D5"/>
    <w:rsid w:val="003E4919"/>
    <w:rsid w:val="003E49EE"/>
    <w:rsid w:val="003E4A7F"/>
    <w:rsid w:val="003E4AED"/>
    <w:rsid w:val="003E4BB4"/>
    <w:rsid w:val="003E4C19"/>
    <w:rsid w:val="003E4C48"/>
    <w:rsid w:val="003E4CA3"/>
    <w:rsid w:val="003E4E28"/>
    <w:rsid w:val="003E4E88"/>
    <w:rsid w:val="003E4E92"/>
    <w:rsid w:val="003E4FC0"/>
    <w:rsid w:val="003E4FCC"/>
    <w:rsid w:val="003E5064"/>
    <w:rsid w:val="003E518B"/>
    <w:rsid w:val="003E52DF"/>
    <w:rsid w:val="003E540C"/>
    <w:rsid w:val="003E54EA"/>
    <w:rsid w:val="003E5505"/>
    <w:rsid w:val="003E5527"/>
    <w:rsid w:val="003E55BE"/>
    <w:rsid w:val="003E55D2"/>
    <w:rsid w:val="003E564A"/>
    <w:rsid w:val="003E567F"/>
    <w:rsid w:val="003E568A"/>
    <w:rsid w:val="003E597A"/>
    <w:rsid w:val="003E5BA6"/>
    <w:rsid w:val="003E5C00"/>
    <w:rsid w:val="003E5D3B"/>
    <w:rsid w:val="003E5D77"/>
    <w:rsid w:val="003E5E65"/>
    <w:rsid w:val="003E5EBF"/>
    <w:rsid w:val="003E5F48"/>
    <w:rsid w:val="003E5F7A"/>
    <w:rsid w:val="003E5F84"/>
    <w:rsid w:val="003E5FB9"/>
    <w:rsid w:val="003E6062"/>
    <w:rsid w:val="003E61B5"/>
    <w:rsid w:val="003E61C3"/>
    <w:rsid w:val="003E6372"/>
    <w:rsid w:val="003E66CD"/>
    <w:rsid w:val="003E66DE"/>
    <w:rsid w:val="003E672D"/>
    <w:rsid w:val="003E6765"/>
    <w:rsid w:val="003E6891"/>
    <w:rsid w:val="003E690F"/>
    <w:rsid w:val="003E694F"/>
    <w:rsid w:val="003E6980"/>
    <w:rsid w:val="003E6997"/>
    <w:rsid w:val="003E6AA3"/>
    <w:rsid w:val="003E6C77"/>
    <w:rsid w:val="003E6CEC"/>
    <w:rsid w:val="003E6DD4"/>
    <w:rsid w:val="003E6DE2"/>
    <w:rsid w:val="003E6DEB"/>
    <w:rsid w:val="003E6DEE"/>
    <w:rsid w:val="003E6E25"/>
    <w:rsid w:val="003E6F1E"/>
    <w:rsid w:val="003E6F86"/>
    <w:rsid w:val="003E70AA"/>
    <w:rsid w:val="003E70F8"/>
    <w:rsid w:val="003E714D"/>
    <w:rsid w:val="003E71EE"/>
    <w:rsid w:val="003E72F3"/>
    <w:rsid w:val="003E7346"/>
    <w:rsid w:val="003E7348"/>
    <w:rsid w:val="003E73E9"/>
    <w:rsid w:val="003E7407"/>
    <w:rsid w:val="003E742F"/>
    <w:rsid w:val="003E7438"/>
    <w:rsid w:val="003E7458"/>
    <w:rsid w:val="003E7522"/>
    <w:rsid w:val="003E7698"/>
    <w:rsid w:val="003E76B2"/>
    <w:rsid w:val="003E7758"/>
    <w:rsid w:val="003E778F"/>
    <w:rsid w:val="003E77EC"/>
    <w:rsid w:val="003E7823"/>
    <w:rsid w:val="003E7993"/>
    <w:rsid w:val="003E7C43"/>
    <w:rsid w:val="003E7C5B"/>
    <w:rsid w:val="003E7CF2"/>
    <w:rsid w:val="003E7D5E"/>
    <w:rsid w:val="003E7DC1"/>
    <w:rsid w:val="003E7E3C"/>
    <w:rsid w:val="003E7EBB"/>
    <w:rsid w:val="003E7F85"/>
    <w:rsid w:val="003E7FF6"/>
    <w:rsid w:val="003F004B"/>
    <w:rsid w:val="003F015A"/>
    <w:rsid w:val="003F030C"/>
    <w:rsid w:val="003F0405"/>
    <w:rsid w:val="003F0472"/>
    <w:rsid w:val="003F06F9"/>
    <w:rsid w:val="003F07B5"/>
    <w:rsid w:val="003F0897"/>
    <w:rsid w:val="003F0898"/>
    <w:rsid w:val="003F08D0"/>
    <w:rsid w:val="003F08D6"/>
    <w:rsid w:val="003F09D7"/>
    <w:rsid w:val="003F0A17"/>
    <w:rsid w:val="003F0B6E"/>
    <w:rsid w:val="003F0C79"/>
    <w:rsid w:val="003F0FB0"/>
    <w:rsid w:val="003F117D"/>
    <w:rsid w:val="003F118A"/>
    <w:rsid w:val="003F1214"/>
    <w:rsid w:val="003F1537"/>
    <w:rsid w:val="003F1664"/>
    <w:rsid w:val="003F16C8"/>
    <w:rsid w:val="003F1834"/>
    <w:rsid w:val="003F18F2"/>
    <w:rsid w:val="003F195A"/>
    <w:rsid w:val="003F1A7C"/>
    <w:rsid w:val="003F1B0A"/>
    <w:rsid w:val="003F1C32"/>
    <w:rsid w:val="003F1CAB"/>
    <w:rsid w:val="003F1D1C"/>
    <w:rsid w:val="003F1DC3"/>
    <w:rsid w:val="003F1DEB"/>
    <w:rsid w:val="003F1E26"/>
    <w:rsid w:val="003F1E77"/>
    <w:rsid w:val="003F1EB0"/>
    <w:rsid w:val="003F1F5A"/>
    <w:rsid w:val="003F1F66"/>
    <w:rsid w:val="003F1FC2"/>
    <w:rsid w:val="003F213D"/>
    <w:rsid w:val="003F219E"/>
    <w:rsid w:val="003F21AC"/>
    <w:rsid w:val="003F239C"/>
    <w:rsid w:val="003F23DD"/>
    <w:rsid w:val="003F2593"/>
    <w:rsid w:val="003F262A"/>
    <w:rsid w:val="003F296A"/>
    <w:rsid w:val="003F296B"/>
    <w:rsid w:val="003F29C5"/>
    <w:rsid w:val="003F2A50"/>
    <w:rsid w:val="003F2A94"/>
    <w:rsid w:val="003F2AD7"/>
    <w:rsid w:val="003F2B8E"/>
    <w:rsid w:val="003F2C9D"/>
    <w:rsid w:val="003F2E02"/>
    <w:rsid w:val="003F2E97"/>
    <w:rsid w:val="003F2F34"/>
    <w:rsid w:val="003F2FC7"/>
    <w:rsid w:val="003F2FD8"/>
    <w:rsid w:val="003F3006"/>
    <w:rsid w:val="003F3012"/>
    <w:rsid w:val="003F3032"/>
    <w:rsid w:val="003F3087"/>
    <w:rsid w:val="003F32E5"/>
    <w:rsid w:val="003F32FF"/>
    <w:rsid w:val="003F332F"/>
    <w:rsid w:val="003F3370"/>
    <w:rsid w:val="003F34D2"/>
    <w:rsid w:val="003F3521"/>
    <w:rsid w:val="003F3729"/>
    <w:rsid w:val="003F373F"/>
    <w:rsid w:val="003F390B"/>
    <w:rsid w:val="003F39DE"/>
    <w:rsid w:val="003F3A7E"/>
    <w:rsid w:val="003F3AF3"/>
    <w:rsid w:val="003F3B1D"/>
    <w:rsid w:val="003F3B60"/>
    <w:rsid w:val="003F3E39"/>
    <w:rsid w:val="003F3F1D"/>
    <w:rsid w:val="003F3FAE"/>
    <w:rsid w:val="003F3FE7"/>
    <w:rsid w:val="003F408E"/>
    <w:rsid w:val="003F41F4"/>
    <w:rsid w:val="003F4253"/>
    <w:rsid w:val="003F4256"/>
    <w:rsid w:val="003F426A"/>
    <w:rsid w:val="003F4448"/>
    <w:rsid w:val="003F4569"/>
    <w:rsid w:val="003F470D"/>
    <w:rsid w:val="003F47AF"/>
    <w:rsid w:val="003F4815"/>
    <w:rsid w:val="003F48AD"/>
    <w:rsid w:val="003F4908"/>
    <w:rsid w:val="003F4963"/>
    <w:rsid w:val="003F49BF"/>
    <w:rsid w:val="003F4A31"/>
    <w:rsid w:val="003F4BF5"/>
    <w:rsid w:val="003F4C68"/>
    <w:rsid w:val="003F4C87"/>
    <w:rsid w:val="003F4CEE"/>
    <w:rsid w:val="003F4D58"/>
    <w:rsid w:val="003F4D71"/>
    <w:rsid w:val="003F4DDD"/>
    <w:rsid w:val="003F4E91"/>
    <w:rsid w:val="003F4EE4"/>
    <w:rsid w:val="003F4FD4"/>
    <w:rsid w:val="003F504E"/>
    <w:rsid w:val="003F50B9"/>
    <w:rsid w:val="003F50EA"/>
    <w:rsid w:val="003F5118"/>
    <w:rsid w:val="003F517E"/>
    <w:rsid w:val="003F51BC"/>
    <w:rsid w:val="003F522A"/>
    <w:rsid w:val="003F527E"/>
    <w:rsid w:val="003F52F7"/>
    <w:rsid w:val="003F5481"/>
    <w:rsid w:val="003F5546"/>
    <w:rsid w:val="003F5599"/>
    <w:rsid w:val="003F55F8"/>
    <w:rsid w:val="003F561E"/>
    <w:rsid w:val="003F5691"/>
    <w:rsid w:val="003F596E"/>
    <w:rsid w:val="003F5A0B"/>
    <w:rsid w:val="003F5A70"/>
    <w:rsid w:val="003F5AC6"/>
    <w:rsid w:val="003F5B8C"/>
    <w:rsid w:val="003F5C45"/>
    <w:rsid w:val="003F5CC9"/>
    <w:rsid w:val="003F5DE7"/>
    <w:rsid w:val="003F5DF1"/>
    <w:rsid w:val="003F5E0D"/>
    <w:rsid w:val="003F5E81"/>
    <w:rsid w:val="003F5E8B"/>
    <w:rsid w:val="003F5F6B"/>
    <w:rsid w:val="003F5FA5"/>
    <w:rsid w:val="003F604A"/>
    <w:rsid w:val="003F607E"/>
    <w:rsid w:val="003F6147"/>
    <w:rsid w:val="003F6239"/>
    <w:rsid w:val="003F6385"/>
    <w:rsid w:val="003F645C"/>
    <w:rsid w:val="003F64C2"/>
    <w:rsid w:val="003F64F7"/>
    <w:rsid w:val="003F64FC"/>
    <w:rsid w:val="003F6535"/>
    <w:rsid w:val="003F6562"/>
    <w:rsid w:val="003F657E"/>
    <w:rsid w:val="003F6634"/>
    <w:rsid w:val="003F670E"/>
    <w:rsid w:val="003F6759"/>
    <w:rsid w:val="003F676F"/>
    <w:rsid w:val="003F6783"/>
    <w:rsid w:val="003F67AE"/>
    <w:rsid w:val="003F67DE"/>
    <w:rsid w:val="003F684C"/>
    <w:rsid w:val="003F6941"/>
    <w:rsid w:val="003F696C"/>
    <w:rsid w:val="003F699B"/>
    <w:rsid w:val="003F69CE"/>
    <w:rsid w:val="003F6A08"/>
    <w:rsid w:val="003F6A29"/>
    <w:rsid w:val="003F6A8F"/>
    <w:rsid w:val="003F6C47"/>
    <w:rsid w:val="003F6CD2"/>
    <w:rsid w:val="003F6CDE"/>
    <w:rsid w:val="003F6CEC"/>
    <w:rsid w:val="003F6CFF"/>
    <w:rsid w:val="003F6D6E"/>
    <w:rsid w:val="003F6DB3"/>
    <w:rsid w:val="003F6EFD"/>
    <w:rsid w:val="003F705A"/>
    <w:rsid w:val="003F7099"/>
    <w:rsid w:val="003F713B"/>
    <w:rsid w:val="003F7173"/>
    <w:rsid w:val="003F7244"/>
    <w:rsid w:val="003F7327"/>
    <w:rsid w:val="003F7381"/>
    <w:rsid w:val="003F73B0"/>
    <w:rsid w:val="003F756F"/>
    <w:rsid w:val="003F7611"/>
    <w:rsid w:val="003F7687"/>
    <w:rsid w:val="003F7695"/>
    <w:rsid w:val="003F76C0"/>
    <w:rsid w:val="003F7819"/>
    <w:rsid w:val="003F7866"/>
    <w:rsid w:val="003F7869"/>
    <w:rsid w:val="003F78A9"/>
    <w:rsid w:val="003F797C"/>
    <w:rsid w:val="003F7A35"/>
    <w:rsid w:val="003F7A78"/>
    <w:rsid w:val="003F7B27"/>
    <w:rsid w:val="003F7B76"/>
    <w:rsid w:val="003F7B8B"/>
    <w:rsid w:val="003F7BE0"/>
    <w:rsid w:val="003F7C6E"/>
    <w:rsid w:val="003F7CE2"/>
    <w:rsid w:val="003F7CF0"/>
    <w:rsid w:val="003F7D4B"/>
    <w:rsid w:val="003F7D6C"/>
    <w:rsid w:val="003F7E65"/>
    <w:rsid w:val="003F7F92"/>
    <w:rsid w:val="004000A5"/>
    <w:rsid w:val="00400101"/>
    <w:rsid w:val="004001C9"/>
    <w:rsid w:val="004001DC"/>
    <w:rsid w:val="00400272"/>
    <w:rsid w:val="0040031F"/>
    <w:rsid w:val="0040032F"/>
    <w:rsid w:val="004005FF"/>
    <w:rsid w:val="0040062E"/>
    <w:rsid w:val="00400685"/>
    <w:rsid w:val="004007B9"/>
    <w:rsid w:val="004007BE"/>
    <w:rsid w:val="00400867"/>
    <w:rsid w:val="0040099B"/>
    <w:rsid w:val="00400A6A"/>
    <w:rsid w:val="00400AAB"/>
    <w:rsid w:val="00400AB3"/>
    <w:rsid w:val="00400B2C"/>
    <w:rsid w:val="00400B88"/>
    <w:rsid w:val="00400BAF"/>
    <w:rsid w:val="00400BB5"/>
    <w:rsid w:val="00400BCC"/>
    <w:rsid w:val="00400CC2"/>
    <w:rsid w:val="00400D5F"/>
    <w:rsid w:val="00400D75"/>
    <w:rsid w:val="00400FBF"/>
    <w:rsid w:val="00401004"/>
    <w:rsid w:val="00401012"/>
    <w:rsid w:val="0040108E"/>
    <w:rsid w:val="004010FF"/>
    <w:rsid w:val="00401299"/>
    <w:rsid w:val="00401324"/>
    <w:rsid w:val="00401502"/>
    <w:rsid w:val="00401513"/>
    <w:rsid w:val="00401529"/>
    <w:rsid w:val="004015CC"/>
    <w:rsid w:val="004016B8"/>
    <w:rsid w:val="004016F4"/>
    <w:rsid w:val="004016FB"/>
    <w:rsid w:val="00401721"/>
    <w:rsid w:val="00401782"/>
    <w:rsid w:val="00401882"/>
    <w:rsid w:val="0040188C"/>
    <w:rsid w:val="00401A9C"/>
    <w:rsid w:val="00401B2B"/>
    <w:rsid w:val="00401B41"/>
    <w:rsid w:val="00401B89"/>
    <w:rsid w:val="00401BE1"/>
    <w:rsid w:val="00401C37"/>
    <w:rsid w:val="00401C3C"/>
    <w:rsid w:val="00401C57"/>
    <w:rsid w:val="00401E0F"/>
    <w:rsid w:val="00401E85"/>
    <w:rsid w:val="00401ED6"/>
    <w:rsid w:val="00402045"/>
    <w:rsid w:val="0040208A"/>
    <w:rsid w:val="0040210C"/>
    <w:rsid w:val="0040217B"/>
    <w:rsid w:val="004021F5"/>
    <w:rsid w:val="00402241"/>
    <w:rsid w:val="00402287"/>
    <w:rsid w:val="004022B8"/>
    <w:rsid w:val="00402321"/>
    <w:rsid w:val="004023B7"/>
    <w:rsid w:val="00402559"/>
    <w:rsid w:val="004025B4"/>
    <w:rsid w:val="004026D7"/>
    <w:rsid w:val="004027A8"/>
    <w:rsid w:val="004028AA"/>
    <w:rsid w:val="0040296A"/>
    <w:rsid w:val="004029D6"/>
    <w:rsid w:val="00402A2C"/>
    <w:rsid w:val="00402DD8"/>
    <w:rsid w:val="00402F6E"/>
    <w:rsid w:val="00402FEB"/>
    <w:rsid w:val="0040300A"/>
    <w:rsid w:val="0040312A"/>
    <w:rsid w:val="004031D8"/>
    <w:rsid w:val="004031FD"/>
    <w:rsid w:val="00403245"/>
    <w:rsid w:val="0040331D"/>
    <w:rsid w:val="00403561"/>
    <w:rsid w:val="004035E1"/>
    <w:rsid w:val="0040368D"/>
    <w:rsid w:val="00403785"/>
    <w:rsid w:val="004038B5"/>
    <w:rsid w:val="0040396B"/>
    <w:rsid w:val="00403ADA"/>
    <w:rsid w:val="00403BAA"/>
    <w:rsid w:val="00403C3B"/>
    <w:rsid w:val="00403CE8"/>
    <w:rsid w:val="00403D98"/>
    <w:rsid w:val="00403DE4"/>
    <w:rsid w:val="00403EAB"/>
    <w:rsid w:val="00403EB4"/>
    <w:rsid w:val="00403F68"/>
    <w:rsid w:val="00403FBA"/>
    <w:rsid w:val="00403FDC"/>
    <w:rsid w:val="00404058"/>
    <w:rsid w:val="004040B8"/>
    <w:rsid w:val="0040416D"/>
    <w:rsid w:val="004041AF"/>
    <w:rsid w:val="004041B8"/>
    <w:rsid w:val="004041EB"/>
    <w:rsid w:val="00404277"/>
    <w:rsid w:val="0040441A"/>
    <w:rsid w:val="00404424"/>
    <w:rsid w:val="00404471"/>
    <w:rsid w:val="00404562"/>
    <w:rsid w:val="00404643"/>
    <w:rsid w:val="00404714"/>
    <w:rsid w:val="00404799"/>
    <w:rsid w:val="00404872"/>
    <w:rsid w:val="00404914"/>
    <w:rsid w:val="004049A9"/>
    <w:rsid w:val="004049DE"/>
    <w:rsid w:val="00404A11"/>
    <w:rsid w:val="00404A75"/>
    <w:rsid w:val="00404AEE"/>
    <w:rsid w:val="00404AF9"/>
    <w:rsid w:val="00404B87"/>
    <w:rsid w:val="00404C14"/>
    <w:rsid w:val="00404C3D"/>
    <w:rsid w:val="00404E3B"/>
    <w:rsid w:val="00404EB5"/>
    <w:rsid w:val="00404EC9"/>
    <w:rsid w:val="00404F68"/>
    <w:rsid w:val="00405092"/>
    <w:rsid w:val="004050A1"/>
    <w:rsid w:val="00405138"/>
    <w:rsid w:val="00405139"/>
    <w:rsid w:val="00405249"/>
    <w:rsid w:val="00405302"/>
    <w:rsid w:val="004057DF"/>
    <w:rsid w:val="004057F6"/>
    <w:rsid w:val="00405860"/>
    <w:rsid w:val="00405993"/>
    <w:rsid w:val="00405A43"/>
    <w:rsid w:val="00405B8F"/>
    <w:rsid w:val="00405B9E"/>
    <w:rsid w:val="00405BD2"/>
    <w:rsid w:val="00405C5B"/>
    <w:rsid w:val="00405C87"/>
    <w:rsid w:val="00405DA7"/>
    <w:rsid w:val="00405E23"/>
    <w:rsid w:val="00405E67"/>
    <w:rsid w:val="00405F26"/>
    <w:rsid w:val="00405F2C"/>
    <w:rsid w:val="00406032"/>
    <w:rsid w:val="0040603F"/>
    <w:rsid w:val="00406213"/>
    <w:rsid w:val="004062AE"/>
    <w:rsid w:val="004062D8"/>
    <w:rsid w:val="004063AD"/>
    <w:rsid w:val="004064AC"/>
    <w:rsid w:val="004064BC"/>
    <w:rsid w:val="0040652D"/>
    <w:rsid w:val="004065BB"/>
    <w:rsid w:val="00406620"/>
    <w:rsid w:val="004066BD"/>
    <w:rsid w:val="004066FA"/>
    <w:rsid w:val="0040672D"/>
    <w:rsid w:val="00406791"/>
    <w:rsid w:val="004067C1"/>
    <w:rsid w:val="00406830"/>
    <w:rsid w:val="004068D8"/>
    <w:rsid w:val="0040690F"/>
    <w:rsid w:val="0040691A"/>
    <w:rsid w:val="0040699B"/>
    <w:rsid w:val="004069B5"/>
    <w:rsid w:val="004069F0"/>
    <w:rsid w:val="00406A76"/>
    <w:rsid w:val="00406A9D"/>
    <w:rsid w:val="00406B60"/>
    <w:rsid w:val="00406B65"/>
    <w:rsid w:val="00406C09"/>
    <w:rsid w:val="00406C90"/>
    <w:rsid w:val="00406CBB"/>
    <w:rsid w:val="00406D61"/>
    <w:rsid w:val="00406F76"/>
    <w:rsid w:val="0040712B"/>
    <w:rsid w:val="0040719B"/>
    <w:rsid w:val="004071BF"/>
    <w:rsid w:val="00407295"/>
    <w:rsid w:val="004072E2"/>
    <w:rsid w:val="00407425"/>
    <w:rsid w:val="004074A6"/>
    <w:rsid w:val="004074F9"/>
    <w:rsid w:val="00407563"/>
    <w:rsid w:val="004075B7"/>
    <w:rsid w:val="004076D0"/>
    <w:rsid w:val="004076D1"/>
    <w:rsid w:val="00407759"/>
    <w:rsid w:val="00407806"/>
    <w:rsid w:val="0040784F"/>
    <w:rsid w:val="004078E3"/>
    <w:rsid w:val="004078FA"/>
    <w:rsid w:val="00407984"/>
    <w:rsid w:val="00407A4E"/>
    <w:rsid w:val="00407A67"/>
    <w:rsid w:val="00407AC3"/>
    <w:rsid w:val="00407D17"/>
    <w:rsid w:val="00407D27"/>
    <w:rsid w:val="00407D2D"/>
    <w:rsid w:val="00407E04"/>
    <w:rsid w:val="00407E26"/>
    <w:rsid w:val="00407E9A"/>
    <w:rsid w:val="00407EDB"/>
    <w:rsid w:val="00407FDD"/>
    <w:rsid w:val="00410246"/>
    <w:rsid w:val="00410299"/>
    <w:rsid w:val="00410399"/>
    <w:rsid w:val="00410579"/>
    <w:rsid w:val="004105ED"/>
    <w:rsid w:val="00410646"/>
    <w:rsid w:val="004106AD"/>
    <w:rsid w:val="00410761"/>
    <w:rsid w:val="004108B9"/>
    <w:rsid w:val="004109FB"/>
    <w:rsid w:val="00410A96"/>
    <w:rsid w:val="00410B3E"/>
    <w:rsid w:val="00410BE6"/>
    <w:rsid w:val="00410D20"/>
    <w:rsid w:val="00410D2F"/>
    <w:rsid w:val="00410DB7"/>
    <w:rsid w:val="00410E88"/>
    <w:rsid w:val="00410E9D"/>
    <w:rsid w:val="00410EDB"/>
    <w:rsid w:val="00410F5A"/>
    <w:rsid w:val="00410F67"/>
    <w:rsid w:val="00410F7A"/>
    <w:rsid w:val="004110A1"/>
    <w:rsid w:val="004110C0"/>
    <w:rsid w:val="004110C6"/>
    <w:rsid w:val="0041118C"/>
    <w:rsid w:val="00411210"/>
    <w:rsid w:val="0041130D"/>
    <w:rsid w:val="00411391"/>
    <w:rsid w:val="004113F5"/>
    <w:rsid w:val="004114C0"/>
    <w:rsid w:val="00411607"/>
    <w:rsid w:val="00411685"/>
    <w:rsid w:val="004117BA"/>
    <w:rsid w:val="004117BD"/>
    <w:rsid w:val="004117EE"/>
    <w:rsid w:val="004118B8"/>
    <w:rsid w:val="0041198C"/>
    <w:rsid w:val="004119B2"/>
    <w:rsid w:val="004119FB"/>
    <w:rsid w:val="00411B79"/>
    <w:rsid w:val="00411BEC"/>
    <w:rsid w:val="00411C25"/>
    <w:rsid w:val="00411C3C"/>
    <w:rsid w:val="00411C6A"/>
    <w:rsid w:val="00411CE9"/>
    <w:rsid w:val="00411D5D"/>
    <w:rsid w:val="00411DBC"/>
    <w:rsid w:val="00411EEC"/>
    <w:rsid w:val="00411F35"/>
    <w:rsid w:val="00411F48"/>
    <w:rsid w:val="00411F51"/>
    <w:rsid w:val="00412032"/>
    <w:rsid w:val="004120ED"/>
    <w:rsid w:val="00412138"/>
    <w:rsid w:val="00412332"/>
    <w:rsid w:val="00412428"/>
    <w:rsid w:val="004124AE"/>
    <w:rsid w:val="004124B3"/>
    <w:rsid w:val="004125CE"/>
    <w:rsid w:val="00412684"/>
    <w:rsid w:val="004126F9"/>
    <w:rsid w:val="00412764"/>
    <w:rsid w:val="00412817"/>
    <w:rsid w:val="00412890"/>
    <w:rsid w:val="00412B30"/>
    <w:rsid w:val="00412B89"/>
    <w:rsid w:val="00412B98"/>
    <w:rsid w:val="00412C59"/>
    <w:rsid w:val="00412D96"/>
    <w:rsid w:val="00412E73"/>
    <w:rsid w:val="0041301C"/>
    <w:rsid w:val="004130BA"/>
    <w:rsid w:val="004130D3"/>
    <w:rsid w:val="00413110"/>
    <w:rsid w:val="004131C2"/>
    <w:rsid w:val="00413220"/>
    <w:rsid w:val="0041329B"/>
    <w:rsid w:val="0041334F"/>
    <w:rsid w:val="004133EE"/>
    <w:rsid w:val="0041345E"/>
    <w:rsid w:val="0041346C"/>
    <w:rsid w:val="004134BC"/>
    <w:rsid w:val="00413554"/>
    <w:rsid w:val="004135D0"/>
    <w:rsid w:val="00413684"/>
    <w:rsid w:val="00413737"/>
    <w:rsid w:val="00413839"/>
    <w:rsid w:val="004138EB"/>
    <w:rsid w:val="004138EE"/>
    <w:rsid w:val="00413944"/>
    <w:rsid w:val="0041397D"/>
    <w:rsid w:val="00413BF8"/>
    <w:rsid w:val="00413C7D"/>
    <w:rsid w:val="00413D92"/>
    <w:rsid w:val="00413DF6"/>
    <w:rsid w:val="00413EFD"/>
    <w:rsid w:val="00413F32"/>
    <w:rsid w:val="0041407E"/>
    <w:rsid w:val="004140CF"/>
    <w:rsid w:val="004140DC"/>
    <w:rsid w:val="0041418D"/>
    <w:rsid w:val="004141A6"/>
    <w:rsid w:val="00414238"/>
    <w:rsid w:val="00414258"/>
    <w:rsid w:val="0041425C"/>
    <w:rsid w:val="00414396"/>
    <w:rsid w:val="0041439F"/>
    <w:rsid w:val="004143F8"/>
    <w:rsid w:val="00414412"/>
    <w:rsid w:val="004144F1"/>
    <w:rsid w:val="00414517"/>
    <w:rsid w:val="0041468B"/>
    <w:rsid w:val="004148AB"/>
    <w:rsid w:val="00414993"/>
    <w:rsid w:val="004149CB"/>
    <w:rsid w:val="00414AC8"/>
    <w:rsid w:val="00414B53"/>
    <w:rsid w:val="00414CB5"/>
    <w:rsid w:val="00414D1B"/>
    <w:rsid w:val="00414D25"/>
    <w:rsid w:val="00414D8D"/>
    <w:rsid w:val="00414E2E"/>
    <w:rsid w:val="00414F54"/>
    <w:rsid w:val="0041501D"/>
    <w:rsid w:val="0041502C"/>
    <w:rsid w:val="00415041"/>
    <w:rsid w:val="00415048"/>
    <w:rsid w:val="00415084"/>
    <w:rsid w:val="0041511D"/>
    <w:rsid w:val="0041515C"/>
    <w:rsid w:val="00415165"/>
    <w:rsid w:val="00415202"/>
    <w:rsid w:val="0041525B"/>
    <w:rsid w:val="0041526C"/>
    <w:rsid w:val="0041550B"/>
    <w:rsid w:val="0041550C"/>
    <w:rsid w:val="0041560E"/>
    <w:rsid w:val="00415679"/>
    <w:rsid w:val="0041576A"/>
    <w:rsid w:val="004157A3"/>
    <w:rsid w:val="004157CE"/>
    <w:rsid w:val="00415818"/>
    <w:rsid w:val="00415827"/>
    <w:rsid w:val="0041594A"/>
    <w:rsid w:val="004159C2"/>
    <w:rsid w:val="00415A4D"/>
    <w:rsid w:val="00415A60"/>
    <w:rsid w:val="00415A84"/>
    <w:rsid w:val="00415A91"/>
    <w:rsid w:val="00415B16"/>
    <w:rsid w:val="00415B51"/>
    <w:rsid w:val="00415B58"/>
    <w:rsid w:val="00415B72"/>
    <w:rsid w:val="00415BC4"/>
    <w:rsid w:val="00415BF7"/>
    <w:rsid w:val="00415CDD"/>
    <w:rsid w:val="00415D2D"/>
    <w:rsid w:val="00415D70"/>
    <w:rsid w:val="00415D7A"/>
    <w:rsid w:val="00415DB4"/>
    <w:rsid w:val="00415DEB"/>
    <w:rsid w:val="00415F7E"/>
    <w:rsid w:val="00415FBB"/>
    <w:rsid w:val="00416091"/>
    <w:rsid w:val="004160BD"/>
    <w:rsid w:val="00416124"/>
    <w:rsid w:val="004161DB"/>
    <w:rsid w:val="004162DE"/>
    <w:rsid w:val="004163E4"/>
    <w:rsid w:val="00416469"/>
    <w:rsid w:val="00416520"/>
    <w:rsid w:val="00416535"/>
    <w:rsid w:val="0041656C"/>
    <w:rsid w:val="004165F2"/>
    <w:rsid w:val="00416699"/>
    <w:rsid w:val="004166B0"/>
    <w:rsid w:val="004167D6"/>
    <w:rsid w:val="00416875"/>
    <w:rsid w:val="004168C5"/>
    <w:rsid w:val="0041693D"/>
    <w:rsid w:val="00416B14"/>
    <w:rsid w:val="00416C66"/>
    <w:rsid w:val="00416CF0"/>
    <w:rsid w:val="00416DB4"/>
    <w:rsid w:val="00416DBF"/>
    <w:rsid w:val="00416E0F"/>
    <w:rsid w:val="00416E38"/>
    <w:rsid w:val="00416E49"/>
    <w:rsid w:val="00416EFF"/>
    <w:rsid w:val="00416F2F"/>
    <w:rsid w:val="00416F40"/>
    <w:rsid w:val="0041705D"/>
    <w:rsid w:val="00417060"/>
    <w:rsid w:val="00417081"/>
    <w:rsid w:val="00417117"/>
    <w:rsid w:val="004171F9"/>
    <w:rsid w:val="00417227"/>
    <w:rsid w:val="0041725B"/>
    <w:rsid w:val="00417341"/>
    <w:rsid w:val="0041737E"/>
    <w:rsid w:val="00417396"/>
    <w:rsid w:val="004173F7"/>
    <w:rsid w:val="004174DD"/>
    <w:rsid w:val="00417577"/>
    <w:rsid w:val="004175A0"/>
    <w:rsid w:val="0041765D"/>
    <w:rsid w:val="004176B8"/>
    <w:rsid w:val="004177A3"/>
    <w:rsid w:val="004177B2"/>
    <w:rsid w:val="00417894"/>
    <w:rsid w:val="00417899"/>
    <w:rsid w:val="004179C5"/>
    <w:rsid w:val="00417B45"/>
    <w:rsid w:val="00417C37"/>
    <w:rsid w:val="00417C3D"/>
    <w:rsid w:val="00417C97"/>
    <w:rsid w:val="00417C9B"/>
    <w:rsid w:val="00417D42"/>
    <w:rsid w:val="00417EE2"/>
    <w:rsid w:val="00417F2B"/>
    <w:rsid w:val="0042007C"/>
    <w:rsid w:val="0042026D"/>
    <w:rsid w:val="0042034A"/>
    <w:rsid w:val="00420371"/>
    <w:rsid w:val="00420415"/>
    <w:rsid w:val="00420484"/>
    <w:rsid w:val="004204D2"/>
    <w:rsid w:val="004205D3"/>
    <w:rsid w:val="004206B0"/>
    <w:rsid w:val="004206C6"/>
    <w:rsid w:val="0042074C"/>
    <w:rsid w:val="00420764"/>
    <w:rsid w:val="004207B8"/>
    <w:rsid w:val="0042084E"/>
    <w:rsid w:val="00420880"/>
    <w:rsid w:val="0042097F"/>
    <w:rsid w:val="00420A51"/>
    <w:rsid w:val="00420B10"/>
    <w:rsid w:val="00420B2C"/>
    <w:rsid w:val="00420B6F"/>
    <w:rsid w:val="00420D28"/>
    <w:rsid w:val="00420D8B"/>
    <w:rsid w:val="00420DAF"/>
    <w:rsid w:val="00420DED"/>
    <w:rsid w:val="00420F1C"/>
    <w:rsid w:val="00420F52"/>
    <w:rsid w:val="004210BA"/>
    <w:rsid w:val="004210F5"/>
    <w:rsid w:val="00421104"/>
    <w:rsid w:val="0042112A"/>
    <w:rsid w:val="004211C4"/>
    <w:rsid w:val="0042122B"/>
    <w:rsid w:val="004213DC"/>
    <w:rsid w:val="004214CB"/>
    <w:rsid w:val="0042150D"/>
    <w:rsid w:val="0042150F"/>
    <w:rsid w:val="00421548"/>
    <w:rsid w:val="004215D7"/>
    <w:rsid w:val="004216A5"/>
    <w:rsid w:val="004216A6"/>
    <w:rsid w:val="004216CC"/>
    <w:rsid w:val="0042170B"/>
    <w:rsid w:val="0042176D"/>
    <w:rsid w:val="004217AC"/>
    <w:rsid w:val="0042180A"/>
    <w:rsid w:val="0042182E"/>
    <w:rsid w:val="004218E0"/>
    <w:rsid w:val="00421955"/>
    <w:rsid w:val="00421A71"/>
    <w:rsid w:val="00421C08"/>
    <w:rsid w:val="00421D84"/>
    <w:rsid w:val="00421DC5"/>
    <w:rsid w:val="00421E12"/>
    <w:rsid w:val="00421EEF"/>
    <w:rsid w:val="00421F6A"/>
    <w:rsid w:val="00422062"/>
    <w:rsid w:val="00422084"/>
    <w:rsid w:val="0042226F"/>
    <w:rsid w:val="0042228E"/>
    <w:rsid w:val="004223DB"/>
    <w:rsid w:val="0042240B"/>
    <w:rsid w:val="004227BD"/>
    <w:rsid w:val="0042284F"/>
    <w:rsid w:val="00422954"/>
    <w:rsid w:val="004229D6"/>
    <w:rsid w:val="00422A2F"/>
    <w:rsid w:val="00422A30"/>
    <w:rsid w:val="00422A6C"/>
    <w:rsid w:val="00422A9B"/>
    <w:rsid w:val="00422BE0"/>
    <w:rsid w:val="00422C8F"/>
    <w:rsid w:val="00422D61"/>
    <w:rsid w:val="00422E28"/>
    <w:rsid w:val="00422FAC"/>
    <w:rsid w:val="0042300B"/>
    <w:rsid w:val="004230AB"/>
    <w:rsid w:val="004230C0"/>
    <w:rsid w:val="004231D7"/>
    <w:rsid w:val="0042330E"/>
    <w:rsid w:val="004233E0"/>
    <w:rsid w:val="00423626"/>
    <w:rsid w:val="004236A5"/>
    <w:rsid w:val="004237CB"/>
    <w:rsid w:val="004238DB"/>
    <w:rsid w:val="00423A3A"/>
    <w:rsid w:val="00423B90"/>
    <w:rsid w:val="00423BA7"/>
    <w:rsid w:val="00423BB7"/>
    <w:rsid w:val="00423BDA"/>
    <w:rsid w:val="00423D00"/>
    <w:rsid w:val="00423D39"/>
    <w:rsid w:val="00423DD1"/>
    <w:rsid w:val="00423ED8"/>
    <w:rsid w:val="00423EFD"/>
    <w:rsid w:val="00423FD7"/>
    <w:rsid w:val="004241CD"/>
    <w:rsid w:val="004242A7"/>
    <w:rsid w:val="004242E9"/>
    <w:rsid w:val="00424364"/>
    <w:rsid w:val="0042445A"/>
    <w:rsid w:val="004244EC"/>
    <w:rsid w:val="004244FA"/>
    <w:rsid w:val="0042457C"/>
    <w:rsid w:val="004246B1"/>
    <w:rsid w:val="00424706"/>
    <w:rsid w:val="00424725"/>
    <w:rsid w:val="004247C7"/>
    <w:rsid w:val="004247DD"/>
    <w:rsid w:val="00424839"/>
    <w:rsid w:val="00424887"/>
    <w:rsid w:val="00424983"/>
    <w:rsid w:val="00424ACD"/>
    <w:rsid w:val="00424B15"/>
    <w:rsid w:val="00424BD5"/>
    <w:rsid w:val="00424CFB"/>
    <w:rsid w:val="00424FA1"/>
    <w:rsid w:val="00424FE2"/>
    <w:rsid w:val="00424FED"/>
    <w:rsid w:val="0042506D"/>
    <w:rsid w:val="004250F9"/>
    <w:rsid w:val="0042538F"/>
    <w:rsid w:val="0042551B"/>
    <w:rsid w:val="0042552A"/>
    <w:rsid w:val="00425691"/>
    <w:rsid w:val="004256ED"/>
    <w:rsid w:val="00425770"/>
    <w:rsid w:val="004257A2"/>
    <w:rsid w:val="004259BC"/>
    <w:rsid w:val="00425AC8"/>
    <w:rsid w:val="00425B61"/>
    <w:rsid w:val="00425B7D"/>
    <w:rsid w:val="00425BD2"/>
    <w:rsid w:val="00425C83"/>
    <w:rsid w:val="00425D06"/>
    <w:rsid w:val="00425D1E"/>
    <w:rsid w:val="00425F17"/>
    <w:rsid w:val="00425F2F"/>
    <w:rsid w:val="00425F37"/>
    <w:rsid w:val="00425F5E"/>
    <w:rsid w:val="00425FB8"/>
    <w:rsid w:val="00425FEF"/>
    <w:rsid w:val="00425FFD"/>
    <w:rsid w:val="00426095"/>
    <w:rsid w:val="004260FD"/>
    <w:rsid w:val="0042614D"/>
    <w:rsid w:val="004261F1"/>
    <w:rsid w:val="00426245"/>
    <w:rsid w:val="0042628E"/>
    <w:rsid w:val="0042632D"/>
    <w:rsid w:val="00426363"/>
    <w:rsid w:val="00426366"/>
    <w:rsid w:val="00426472"/>
    <w:rsid w:val="004265A2"/>
    <w:rsid w:val="00426604"/>
    <w:rsid w:val="00426636"/>
    <w:rsid w:val="0042675B"/>
    <w:rsid w:val="00426773"/>
    <w:rsid w:val="0042678F"/>
    <w:rsid w:val="0042679C"/>
    <w:rsid w:val="004267CD"/>
    <w:rsid w:val="00426970"/>
    <w:rsid w:val="004269BE"/>
    <w:rsid w:val="00426ADA"/>
    <w:rsid w:val="00426B08"/>
    <w:rsid w:val="00426B15"/>
    <w:rsid w:val="00426BB3"/>
    <w:rsid w:val="00426CFD"/>
    <w:rsid w:val="00426D21"/>
    <w:rsid w:val="00426D9B"/>
    <w:rsid w:val="00426E27"/>
    <w:rsid w:val="00426E5E"/>
    <w:rsid w:val="00426E70"/>
    <w:rsid w:val="00426E9A"/>
    <w:rsid w:val="00426ED8"/>
    <w:rsid w:val="00426F9A"/>
    <w:rsid w:val="00427035"/>
    <w:rsid w:val="004270FC"/>
    <w:rsid w:val="00427249"/>
    <w:rsid w:val="0042725C"/>
    <w:rsid w:val="00427287"/>
    <w:rsid w:val="00427355"/>
    <w:rsid w:val="00427389"/>
    <w:rsid w:val="004274CB"/>
    <w:rsid w:val="00427559"/>
    <w:rsid w:val="004276BA"/>
    <w:rsid w:val="0042772A"/>
    <w:rsid w:val="0042775D"/>
    <w:rsid w:val="004277E7"/>
    <w:rsid w:val="004277EA"/>
    <w:rsid w:val="004277EF"/>
    <w:rsid w:val="004278D5"/>
    <w:rsid w:val="004278D9"/>
    <w:rsid w:val="00427985"/>
    <w:rsid w:val="00427A23"/>
    <w:rsid w:val="00427B7C"/>
    <w:rsid w:val="00427B97"/>
    <w:rsid w:val="00427C40"/>
    <w:rsid w:val="00427D14"/>
    <w:rsid w:val="00427E23"/>
    <w:rsid w:val="00427E90"/>
    <w:rsid w:val="00427F55"/>
    <w:rsid w:val="00427F64"/>
    <w:rsid w:val="00430063"/>
    <w:rsid w:val="0043009A"/>
    <w:rsid w:val="0043013C"/>
    <w:rsid w:val="004301F2"/>
    <w:rsid w:val="004301FB"/>
    <w:rsid w:val="0043032F"/>
    <w:rsid w:val="00430402"/>
    <w:rsid w:val="00430480"/>
    <w:rsid w:val="00430584"/>
    <w:rsid w:val="00430657"/>
    <w:rsid w:val="0043065F"/>
    <w:rsid w:val="00430677"/>
    <w:rsid w:val="004307CD"/>
    <w:rsid w:val="00430892"/>
    <w:rsid w:val="0043097D"/>
    <w:rsid w:val="004309AA"/>
    <w:rsid w:val="00430A9F"/>
    <w:rsid w:val="00430BDC"/>
    <w:rsid w:val="00430CC4"/>
    <w:rsid w:val="00430CC7"/>
    <w:rsid w:val="00430CE8"/>
    <w:rsid w:val="00430E0A"/>
    <w:rsid w:val="00430E32"/>
    <w:rsid w:val="00430E96"/>
    <w:rsid w:val="00430E9C"/>
    <w:rsid w:val="00430F1E"/>
    <w:rsid w:val="00430F4E"/>
    <w:rsid w:val="00430FB5"/>
    <w:rsid w:val="00431102"/>
    <w:rsid w:val="004311C1"/>
    <w:rsid w:val="00431250"/>
    <w:rsid w:val="00431255"/>
    <w:rsid w:val="004312E1"/>
    <w:rsid w:val="00431351"/>
    <w:rsid w:val="00431357"/>
    <w:rsid w:val="00431384"/>
    <w:rsid w:val="004313E2"/>
    <w:rsid w:val="00431425"/>
    <w:rsid w:val="0043145D"/>
    <w:rsid w:val="00431472"/>
    <w:rsid w:val="0043159B"/>
    <w:rsid w:val="00431690"/>
    <w:rsid w:val="004316F7"/>
    <w:rsid w:val="00431737"/>
    <w:rsid w:val="004317F4"/>
    <w:rsid w:val="00431803"/>
    <w:rsid w:val="00431819"/>
    <w:rsid w:val="00431821"/>
    <w:rsid w:val="004318DB"/>
    <w:rsid w:val="0043190B"/>
    <w:rsid w:val="00431915"/>
    <w:rsid w:val="0043195E"/>
    <w:rsid w:val="00431A06"/>
    <w:rsid w:val="00431A2B"/>
    <w:rsid w:val="00431A3E"/>
    <w:rsid w:val="00431A90"/>
    <w:rsid w:val="00431B96"/>
    <w:rsid w:val="00431BB4"/>
    <w:rsid w:val="00431BB6"/>
    <w:rsid w:val="00431BD1"/>
    <w:rsid w:val="00431BE8"/>
    <w:rsid w:val="00431C57"/>
    <w:rsid w:val="00431CFD"/>
    <w:rsid w:val="00431D42"/>
    <w:rsid w:val="00431DF2"/>
    <w:rsid w:val="00431E19"/>
    <w:rsid w:val="00431E88"/>
    <w:rsid w:val="00431ED0"/>
    <w:rsid w:val="00431F30"/>
    <w:rsid w:val="00431FE6"/>
    <w:rsid w:val="004320C3"/>
    <w:rsid w:val="0043211B"/>
    <w:rsid w:val="00432169"/>
    <w:rsid w:val="00432202"/>
    <w:rsid w:val="004322C7"/>
    <w:rsid w:val="00432305"/>
    <w:rsid w:val="0043245B"/>
    <w:rsid w:val="004324D5"/>
    <w:rsid w:val="004324F5"/>
    <w:rsid w:val="0043257E"/>
    <w:rsid w:val="004325C6"/>
    <w:rsid w:val="0043267E"/>
    <w:rsid w:val="00432686"/>
    <w:rsid w:val="00432696"/>
    <w:rsid w:val="00432860"/>
    <w:rsid w:val="00432917"/>
    <w:rsid w:val="0043292D"/>
    <w:rsid w:val="00432947"/>
    <w:rsid w:val="00432A35"/>
    <w:rsid w:val="00432A5B"/>
    <w:rsid w:val="00432A7C"/>
    <w:rsid w:val="00432B1A"/>
    <w:rsid w:val="00432B69"/>
    <w:rsid w:val="00432C04"/>
    <w:rsid w:val="00432CA7"/>
    <w:rsid w:val="00432EBF"/>
    <w:rsid w:val="00432F6E"/>
    <w:rsid w:val="00432FAD"/>
    <w:rsid w:val="00433040"/>
    <w:rsid w:val="00433080"/>
    <w:rsid w:val="004330F4"/>
    <w:rsid w:val="0043333B"/>
    <w:rsid w:val="0043344A"/>
    <w:rsid w:val="00433467"/>
    <w:rsid w:val="00433492"/>
    <w:rsid w:val="004334E9"/>
    <w:rsid w:val="00433584"/>
    <w:rsid w:val="004335C5"/>
    <w:rsid w:val="004335DF"/>
    <w:rsid w:val="004335E7"/>
    <w:rsid w:val="004336D5"/>
    <w:rsid w:val="004336FC"/>
    <w:rsid w:val="00433715"/>
    <w:rsid w:val="004337E8"/>
    <w:rsid w:val="00433855"/>
    <w:rsid w:val="004338F5"/>
    <w:rsid w:val="00433941"/>
    <w:rsid w:val="00433B1E"/>
    <w:rsid w:val="00433C0A"/>
    <w:rsid w:val="00433C85"/>
    <w:rsid w:val="00433C8C"/>
    <w:rsid w:val="00433D13"/>
    <w:rsid w:val="00433D7C"/>
    <w:rsid w:val="00433DC3"/>
    <w:rsid w:val="00433E00"/>
    <w:rsid w:val="00433E06"/>
    <w:rsid w:val="00433E45"/>
    <w:rsid w:val="00433E50"/>
    <w:rsid w:val="00433E7E"/>
    <w:rsid w:val="00433E83"/>
    <w:rsid w:val="00433EC8"/>
    <w:rsid w:val="00433F02"/>
    <w:rsid w:val="00433F94"/>
    <w:rsid w:val="00434106"/>
    <w:rsid w:val="00434129"/>
    <w:rsid w:val="00434185"/>
    <w:rsid w:val="004343E9"/>
    <w:rsid w:val="0043446B"/>
    <w:rsid w:val="004345C4"/>
    <w:rsid w:val="0043464D"/>
    <w:rsid w:val="00434669"/>
    <w:rsid w:val="0043468C"/>
    <w:rsid w:val="004348B1"/>
    <w:rsid w:val="00434AF5"/>
    <w:rsid w:val="00434B5D"/>
    <w:rsid w:val="00434B7F"/>
    <w:rsid w:val="00434C6C"/>
    <w:rsid w:val="00434DBD"/>
    <w:rsid w:val="00434E21"/>
    <w:rsid w:val="00434E63"/>
    <w:rsid w:val="0043511C"/>
    <w:rsid w:val="0043533D"/>
    <w:rsid w:val="004353AF"/>
    <w:rsid w:val="004353FB"/>
    <w:rsid w:val="00435407"/>
    <w:rsid w:val="00435615"/>
    <w:rsid w:val="004356B6"/>
    <w:rsid w:val="00435730"/>
    <w:rsid w:val="00435772"/>
    <w:rsid w:val="00435882"/>
    <w:rsid w:val="00435885"/>
    <w:rsid w:val="0043592E"/>
    <w:rsid w:val="0043595A"/>
    <w:rsid w:val="00435A0E"/>
    <w:rsid w:val="00435C1D"/>
    <w:rsid w:val="00435C70"/>
    <w:rsid w:val="00435CF3"/>
    <w:rsid w:val="00435F41"/>
    <w:rsid w:val="00435F60"/>
    <w:rsid w:val="00436047"/>
    <w:rsid w:val="00436051"/>
    <w:rsid w:val="00436090"/>
    <w:rsid w:val="004360A6"/>
    <w:rsid w:val="00436127"/>
    <w:rsid w:val="00436139"/>
    <w:rsid w:val="00436189"/>
    <w:rsid w:val="004362AB"/>
    <w:rsid w:val="0043646E"/>
    <w:rsid w:val="00436560"/>
    <w:rsid w:val="00436686"/>
    <w:rsid w:val="004366D3"/>
    <w:rsid w:val="004368DC"/>
    <w:rsid w:val="00436ABD"/>
    <w:rsid w:val="00436B29"/>
    <w:rsid w:val="00436B93"/>
    <w:rsid w:val="00436BD4"/>
    <w:rsid w:val="00436D25"/>
    <w:rsid w:val="00436DBF"/>
    <w:rsid w:val="00436E53"/>
    <w:rsid w:val="00436E69"/>
    <w:rsid w:val="00436E9E"/>
    <w:rsid w:val="0043703A"/>
    <w:rsid w:val="004372E9"/>
    <w:rsid w:val="004373A5"/>
    <w:rsid w:val="004373CF"/>
    <w:rsid w:val="0043746C"/>
    <w:rsid w:val="004374B2"/>
    <w:rsid w:val="004375B3"/>
    <w:rsid w:val="004375B6"/>
    <w:rsid w:val="0043766F"/>
    <w:rsid w:val="004376A0"/>
    <w:rsid w:val="00437703"/>
    <w:rsid w:val="0043776D"/>
    <w:rsid w:val="004377E5"/>
    <w:rsid w:val="00437898"/>
    <w:rsid w:val="00437963"/>
    <w:rsid w:val="00437ACF"/>
    <w:rsid w:val="00437BB2"/>
    <w:rsid w:val="00437E30"/>
    <w:rsid w:val="00437EF6"/>
    <w:rsid w:val="00437F2F"/>
    <w:rsid w:val="00437F8B"/>
    <w:rsid w:val="00437FE4"/>
    <w:rsid w:val="0044001D"/>
    <w:rsid w:val="0044021A"/>
    <w:rsid w:val="00440294"/>
    <w:rsid w:val="004402A4"/>
    <w:rsid w:val="004402BE"/>
    <w:rsid w:val="004403D4"/>
    <w:rsid w:val="00440424"/>
    <w:rsid w:val="00440466"/>
    <w:rsid w:val="00440481"/>
    <w:rsid w:val="00440484"/>
    <w:rsid w:val="004404EA"/>
    <w:rsid w:val="00440503"/>
    <w:rsid w:val="004405A1"/>
    <w:rsid w:val="004405F1"/>
    <w:rsid w:val="0044063B"/>
    <w:rsid w:val="00440678"/>
    <w:rsid w:val="00440714"/>
    <w:rsid w:val="00440739"/>
    <w:rsid w:val="0044077C"/>
    <w:rsid w:val="00440785"/>
    <w:rsid w:val="00440829"/>
    <w:rsid w:val="0044082A"/>
    <w:rsid w:val="0044091D"/>
    <w:rsid w:val="0044094C"/>
    <w:rsid w:val="0044097B"/>
    <w:rsid w:val="00440997"/>
    <w:rsid w:val="004409B3"/>
    <w:rsid w:val="00440A24"/>
    <w:rsid w:val="00440AC4"/>
    <w:rsid w:val="00440B48"/>
    <w:rsid w:val="00440BB8"/>
    <w:rsid w:val="00440C86"/>
    <w:rsid w:val="00440D40"/>
    <w:rsid w:val="00440E6A"/>
    <w:rsid w:val="00440E8C"/>
    <w:rsid w:val="00440EB6"/>
    <w:rsid w:val="00440F43"/>
    <w:rsid w:val="004410D8"/>
    <w:rsid w:val="00441134"/>
    <w:rsid w:val="00441162"/>
    <w:rsid w:val="004411E0"/>
    <w:rsid w:val="00441238"/>
    <w:rsid w:val="0044130E"/>
    <w:rsid w:val="00441425"/>
    <w:rsid w:val="00441535"/>
    <w:rsid w:val="00441588"/>
    <w:rsid w:val="0044158B"/>
    <w:rsid w:val="004415E4"/>
    <w:rsid w:val="004416B4"/>
    <w:rsid w:val="004417D9"/>
    <w:rsid w:val="00441893"/>
    <w:rsid w:val="004418C7"/>
    <w:rsid w:val="0044193C"/>
    <w:rsid w:val="00441B34"/>
    <w:rsid w:val="00441C71"/>
    <w:rsid w:val="00441FD0"/>
    <w:rsid w:val="00442021"/>
    <w:rsid w:val="00442062"/>
    <w:rsid w:val="0044210E"/>
    <w:rsid w:val="00442194"/>
    <w:rsid w:val="0044230C"/>
    <w:rsid w:val="00442310"/>
    <w:rsid w:val="00442454"/>
    <w:rsid w:val="00442465"/>
    <w:rsid w:val="00442645"/>
    <w:rsid w:val="0044271C"/>
    <w:rsid w:val="0044279F"/>
    <w:rsid w:val="004427EF"/>
    <w:rsid w:val="0044286D"/>
    <w:rsid w:val="00442890"/>
    <w:rsid w:val="004428E7"/>
    <w:rsid w:val="00442923"/>
    <w:rsid w:val="0044298C"/>
    <w:rsid w:val="00442A00"/>
    <w:rsid w:val="00442A51"/>
    <w:rsid w:val="00442A6B"/>
    <w:rsid w:val="00442A7E"/>
    <w:rsid w:val="00442AA2"/>
    <w:rsid w:val="00442ACE"/>
    <w:rsid w:val="00442B36"/>
    <w:rsid w:val="00442C8A"/>
    <w:rsid w:val="00442CB5"/>
    <w:rsid w:val="00442CCA"/>
    <w:rsid w:val="00442CFF"/>
    <w:rsid w:val="00442D4A"/>
    <w:rsid w:val="00442D4D"/>
    <w:rsid w:val="00442E48"/>
    <w:rsid w:val="00442E51"/>
    <w:rsid w:val="00442F93"/>
    <w:rsid w:val="00442FE3"/>
    <w:rsid w:val="00442FE5"/>
    <w:rsid w:val="00443077"/>
    <w:rsid w:val="00443269"/>
    <w:rsid w:val="004432D1"/>
    <w:rsid w:val="00443410"/>
    <w:rsid w:val="00443413"/>
    <w:rsid w:val="004435B2"/>
    <w:rsid w:val="004435D2"/>
    <w:rsid w:val="0044364A"/>
    <w:rsid w:val="0044376F"/>
    <w:rsid w:val="004437BE"/>
    <w:rsid w:val="004438FF"/>
    <w:rsid w:val="00443918"/>
    <w:rsid w:val="0044394C"/>
    <w:rsid w:val="00443A29"/>
    <w:rsid w:val="00443AB7"/>
    <w:rsid w:val="00443B11"/>
    <w:rsid w:val="00443BBA"/>
    <w:rsid w:val="00443BEE"/>
    <w:rsid w:val="00443D86"/>
    <w:rsid w:val="00443E63"/>
    <w:rsid w:val="00443E91"/>
    <w:rsid w:val="00443EBF"/>
    <w:rsid w:val="00443EE6"/>
    <w:rsid w:val="00444066"/>
    <w:rsid w:val="004440CF"/>
    <w:rsid w:val="0044410B"/>
    <w:rsid w:val="00444139"/>
    <w:rsid w:val="00444151"/>
    <w:rsid w:val="0044424C"/>
    <w:rsid w:val="004442CE"/>
    <w:rsid w:val="004442DF"/>
    <w:rsid w:val="004443C0"/>
    <w:rsid w:val="00444483"/>
    <w:rsid w:val="004445A1"/>
    <w:rsid w:val="0044463A"/>
    <w:rsid w:val="0044467A"/>
    <w:rsid w:val="0044467C"/>
    <w:rsid w:val="0044468E"/>
    <w:rsid w:val="00444717"/>
    <w:rsid w:val="00444749"/>
    <w:rsid w:val="00444863"/>
    <w:rsid w:val="004448A6"/>
    <w:rsid w:val="00444A1E"/>
    <w:rsid w:val="00444AF3"/>
    <w:rsid w:val="00444BE6"/>
    <w:rsid w:val="00444C0B"/>
    <w:rsid w:val="00444C1A"/>
    <w:rsid w:val="00444C9F"/>
    <w:rsid w:val="00444D47"/>
    <w:rsid w:val="00444DF5"/>
    <w:rsid w:val="00444E03"/>
    <w:rsid w:val="00444F3A"/>
    <w:rsid w:val="00444FEB"/>
    <w:rsid w:val="00444FFB"/>
    <w:rsid w:val="00444FFC"/>
    <w:rsid w:val="0044507F"/>
    <w:rsid w:val="00445111"/>
    <w:rsid w:val="004451F0"/>
    <w:rsid w:val="004451F6"/>
    <w:rsid w:val="0044529D"/>
    <w:rsid w:val="004452B3"/>
    <w:rsid w:val="00445376"/>
    <w:rsid w:val="004453F5"/>
    <w:rsid w:val="00445518"/>
    <w:rsid w:val="004455A6"/>
    <w:rsid w:val="00445834"/>
    <w:rsid w:val="004458B3"/>
    <w:rsid w:val="00445918"/>
    <w:rsid w:val="00445961"/>
    <w:rsid w:val="0044596B"/>
    <w:rsid w:val="0044597A"/>
    <w:rsid w:val="004459CC"/>
    <w:rsid w:val="00445A26"/>
    <w:rsid w:val="00445A66"/>
    <w:rsid w:val="00445A9E"/>
    <w:rsid w:val="00445A9F"/>
    <w:rsid w:val="00445B39"/>
    <w:rsid w:val="00445BD2"/>
    <w:rsid w:val="00445C9F"/>
    <w:rsid w:val="00445CE8"/>
    <w:rsid w:val="00445D0B"/>
    <w:rsid w:val="00445D70"/>
    <w:rsid w:val="00445EC7"/>
    <w:rsid w:val="00445EDC"/>
    <w:rsid w:val="00445F80"/>
    <w:rsid w:val="00445FC8"/>
    <w:rsid w:val="0044603B"/>
    <w:rsid w:val="0044603E"/>
    <w:rsid w:val="00446052"/>
    <w:rsid w:val="004460D3"/>
    <w:rsid w:val="0044610C"/>
    <w:rsid w:val="00446186"/>
    <w:rsid w:val="00446196"/>
    <w:rsid w:val="0044626C"/>
    <w:rsid w:val="004463FF"/>
    <w:rsid w:val="0044640F"/>
    <w:rsid w:val="004464B9"/>
    <w:rsid w:val="00446586"/>
    <w:rsid w:val="00446593"/>
    <w:rsid w:val="004465EB"/>
    <w:rsid w:val="00446678"/>
    <w:rsid w:val="0044688D"/>
    <w:rsid w:val="00446892"/>
    <w:rsid w:val="00446970"/>
    <w:rsid w:val="00446BBE"/>
    <w:rsid w:val="00446BFB"/>
    <w:rsid w:val="00446C12"/>
    <w:rsid w:val="00446C8D"/>
    <w:rsid w:val="00446D48"/>
    <w:rsid w:val="00446F0B"/>
    <w:rsid w:val="00446F81"/>
    <w:rsid w:val="00446FEB"/>
    <w:rsid w:val="004470E3"/>
    <w:rsid w:val="0044717C"/>
    <w:rsid w:val="00447414"/>
    <w:rsid w:val="00447439"/>
    <w:rsid w:val="004474AA"/>
    <w:rsid w:val="004474F0"/>
    <w:rsid w:val="0044757E"/>
    <w:rsid w:val="00447673"/>
    <w:rsid w:val="00447742"/>
    <w:rsid w:val="00447756"/>
    <w:rsid w:val="00447784"/>
    <w:rsid w:val="004477EA"/>
    <w:rsid w:val="004477F2"/>
    <w:rsid w:val="004478D1"/>
    <w:rsid w:val="0044791A"/>
    <w:rsid w:val="0044792D"/>
    <w:rsid w:val="00447B10"/>
    <w:rsid w:val="00447CE5"/>
    <w:rsid w:val="00447D50"/>
    <w:rsid w:val="00447DD6"/>
    <w:rsid w:val="00447E42"/>
    <w:rsid w:val="00447F10"/>
    <w:rsid w:val="00447F67"/>
    <w:rsid w:val="004501B1"/>
    <w:rsid w:val="004501C7"/>
    <w:rsid w:val="004502F8"/>
    <w:rsid w:val="00450406"/>
    <w:rsid w:val="00450415"/>
    <w:rsid w:val="0045042D"/>
    <w:rsid w:val="00450491"/>
    <w:rsid w:val="004504F1"/>
    <w:rsid w:val="00450515"/>
    <w:rsid w:val="00450671"/>
    <w:rsid w:val="004507F4"/>
    <w:rsid w:val="0045084E"/>
    <w:rsid w:val="00450864"/>
    <w:rsid w:val="004508FC"/>
    <w:rsid w:val="0045093B"/>
    <w:rsid w:val="00450962"/>
    <w:rsid w:val="004509B6"/>
    <w:rsid w:val="004509CB"/>
    <w:rsid w:val="00450A01"/>
    <w:rsid w:val="00450BA9"/>
    <w:rsid w:val="00450C37"/>
    <w:rsid w:val="00450C43"/>
    <w:rsid w:val="00450C46"/>
    <w:rsid w:val="00450CDC"/>
    <w:rsid w:val="00450D82"/>
    <w:rsid w:val="00450E20"/>
    <w:rsid w:val="00450F7B"/>
    <w:rsid w:val="00450FF4"/>
    <w:rsid w:val="0045100D"/>
    <w:rsid w:val="00451016"/>
    <w:rsid w:val="0045105F"/>
    <w:rsid w:val="004510DF"/>
    <w:rsid w:val="0045110F"/>
    <w:rsid w:val="0045115F"/>
    <w:rsid w:val="004511B8"/>
    <w:rsid w:val="0045127D"/>
    <w:rsid w:val="004512BC"/>
    <w:rsid w:val="0045142D"/>
    <w:rsid w:val="004514BD"/>
    <w:rsid w:val="004514C9"/>
    <w:rsid w:val="004514EB"/>
    <w:rsid w:val="004516C0"/>
    <w:rsid w:val="004516EB"/>
    <w:rsid w:val="00451800"/>
    <w:rsid w:val="00451837"/>
    <w:rsid w:val="004518C9"/>
    <w:rsid w:val="0045192C"/>
    <w:rsid w:val="00451974"/>
    <w:rsid w:val="00451A6E"/>
    <w:rsid w:val="00451A72"/>
    <w:rsid w:val="00451A77"/>
    <w:rsid w:val="00451A8A"/>
    <w:rsid w:val="00451CA8"/>
    <w:rsid w:val="00451D97"/>
    <w:rsid w:val="00451DEE"/>
    <w:rsid w:val="00451DF1"/>
    <w:rsid w:val="00451F53"/>
    <w:rsid w:val="00452054"/>
    <w:rsid w:val="00452091"/>
    <w:rsid w:val="004520AF"/>
    <w:rsid w:val="00452133"/>
    <w:rsid w:val="004521C0"/>
    <w:rsid w:val="004522A5"/>
    <w:rsid w:val="004522C5"/>
    <w:rsid w:val="00452379"/>
    <w:rsid w:val="0045246C"/>
    <w:rsid w:val="00452477"/>
    <w:rsid w:val="0045254E"/>
    <w:rsid w:val="00452641"/>
    <w:rsid w:val="00452746"/>
    <w:rsid w:val="0045274E"/>
    <w:rsid w:val="0045279E"/>
    <w:rsid w:val="004527BF"/>
    <w:rsid w:val="0045282A"/>
    <w:rsid w:val="00452985"/>
    <w:rsid w:val="004529B1"/>
    <w:rsid w:val="00452A1C"/>
    <w:rsid w:val="00452B6B"/>
    <w:rsid w:val="00452CAB"/>
    <w:rsid w:val="00452CC0"/>
    <w:rsid w:val="00452DE7"/>
    <w:rsid w:val="00452DF9"/>
    <w:rsid w:val="00452E44"/>
    <w:rsid w:val="00452F16"/>
    <w:rsid w:val="00452F1C"/>
    <w:rsid w:val="00453079"/>
    <w:rsid w:val="00453174"/>
    <w:rsid w:val="0045319C"/>
    <w:rsid w:val="0045328F"/>
    <w:rsid w:val="004532A7"/>
    <w:rsid w:val="00453330"/>
    <w:rsid w:val="0045333D"/>
    <w:rsid w:val="004533A8"/>
    <w:rsid w:val="004534A6"/>
    <w:rsid w:val="004535A2"/>
    <w:rsid w:val="004535CA"/>
    <w:rsid w:val="00453604"/>
    <w:rsid w:val="0045362F"/>
    <w:rsid w:val="00453707"/>
    <w:rsid w:val="00453780"/>
    <w:rsid w:val="00453852"/>
    <w:rsid w:val="00453938"/>
    <w:rsid w:val="00453995"/>
    <w:rsid w:val="004539D0"/>
    <w:rsid w:val="00453A58"/>
    <w:rsid w:val="00453A78"/>
    <w:rsid w:val="00453B04"/>
    <w:rsid w:val="00453C25"/>
    <w:rsid w:val="00453DD7"/>
    <w:rsid w:val="00453DF6"/>
    <w:rsid w:val="00453E3C"/>
    <w:rsid w:val="00453EDD"/>
    <w:rsid w:val="00453F63"/>
    <w:rsid w:val="00453FED"/>
    <w:rsid w:val="00454346"/>
    <w:rsid w:val="004543B4"/>
    <w:rsid w:val="004543D2"/>
    <w:rsid w:val="00454434"/>
    <w:rsid w:val="0045447E"/>
    <w:rsid w:val="00454497"/>
    <w:rsid w:val="004545A8"/>
    <w:rsid w:val="0045460C"/>
    <w:rsid w:val="00454660"/>
    <w:rsid w:val="00454673"/>
    <w:rsid w:val="00454695"/>
    <w:rsid w:val="00454721"/>
    <w:rsid w:val="0045482E"/>
    <w:rsid w:val="0045496F"/>
    <w:rsid w:val="00454A94"/>
    <w:rsid w:val="00454B52"/>
    <w:rsid w:val="00454BB9"/>
    <w:rsid w:val="00454DF7"/>
    <w:rsid w:val="00454ED5"/>
    <w:rsid w:val="00454F31"/>
    <w:rsid w:val="00454F79"/>
    <w:rsid w:val="00454F91"/>
    <w:rsid w:val="00454FEC"/>
    <w:rsid w:val="0045502D"/>
    <w:rsid w:val="0045507C"/>
    <w:rsid w:val="0045508C"/>
    <w:rsid w:val="004551B3"/>
    <w:rsid w:val="004551DF"/>
    <w:rsid w:val="00455255"/>
    <w:rsid w:val="00455357"/>
    <w:rsid w:val="00455368"/>
    <w:rsid w:val="0045548D"/>
    <w:rsid w:val="004554B7"/>
    <w:rsid w:val="004556F3"/>
    <w:rsid w:val="0045574A"/>
    <w:rsid w:val="004557F3"/>
    <w:rsid w:val="00455845"/>
    <w:rsid w:val="00455881"/>
    <w:rsid w:val="004558A3"/>
    <w:rsid w:val="004558BC"/>
    <w:rsid w:val="00455991"/>
    <w:rsid w:val="00455A04"/>
    <w:rsid w:val="00455C12"/>
    <w:rsid w:val="00455D08"/>
    <w:rsid w:val="00455D4E"/>
    <w:rsid w:val="00455DEA"/>
    <w:rsid w:val="00455E30"/>
    <w:rsid w:val="00455E8D"/>
    <w:rsid w:val="00455EBA"/>
    <w:rsid w:val="00455F6D"/>
    <w:rsid w:val="00455FC8"/>
    <w:rsid w:val="0045600E"/>
    <w:rsid w:val="0045604A"/>
    <w:rsid w:val="0045627F"/>
    <w:rsid w:val="0045629B"/>
    <w:rsid w:val="004562DA"/>
    <w:rsid w:val="00456301"/>
    <w:rsid w:val="00456442"/>
    <w:rsid w:val="004566F6"/>
    <w:rsid w:val="00456783"/>
    <w:rsid w:val="0045678B"/>
    <w:rsid w:val="004567B2"/>
    <w:rsid w:val="00456870"/>
    <w:rsid w:val="00456A2E"/>
    <w:rsid w:val="00456A8A"/>
    <w:rsid w:val="00456AC5"/>
    <w:rsid w:val="00456B04"/>
    <w:rsid w:val="00456B28"/>
    <w:rsid w:val="00456BA4"/>
    <w:rsid w:val="00456C28"/>
    <w:rsid w:val="00456DF4"/>
    <w:rsid w:val="00456EB0"/>
    <w:rsid w:val="00456F08"/>
    <w:rsid w:val="00457104"/>
    <w:rsid w:val="00457191"/>
    <w:rsid w:val="00457199"/>
    <w:rsid w:val="004571AA"/>
    <w:rsid w:val="004571E1"/>
    <w:rsid w:val="00457225"/>
    <w:rsid w:val="0045724E"/>
    <w:rsid w:val="004572D5"/>
    <w:rsid w:val="00457303"/>
    <w:rsid w:val="00457424"/>
    <w:rsid w:val="004574C9"/>
    <w:rsid w:val="00457694"/>
    <w:rsid w:val="004576E7"/>
    <w:rsid w:val="0045778B"/>
    <w:rsid w:val="004577BB"/>
    <w:rsid w:val="004577F7"/>
    <w:rsid w:val="0045784C"/>
    <w:rsid w:val="00457859"/>
    <w:rsid w:val="0045787D"/>
    <w:rsid w:val="0045788B"/>
    <w:rsid w:val="0045789C"/>
    <w:rsid w:val="004578F7"/>
    <w:rsid w:val="00457909"/>
    <w:rsid w:val="004579F5"/>
    <w:rsid w:val="00457B2A"/>
    <w:rsid w:val="00457BCF"/>
    <w:rsid w:val="00457CE9"/>
    <w:rsid w:val="00457D32"/>
    <w:rsid w:val="00457DDA"/>
    <w:rsid w:val="00457ECE"/>
    <w:rsid w:val="00457F07"/>
    <w:rsid w:val="00457F0E"/>
    <w:rsid w:val="00457F0F"/>
    <w:rsid w:val="00457F59"/>
    <w:rsid w:val="00457FAE"/>
    <w:rsid w:val="00460013"/>
    <w:rsid w:val="00460065"/>
    <w:rsid w:val="00460157"/>
    <w:rsid w:val="00460283"/>
    <w:rsid w:val="004602FB"/>
    <w:rsid w:val="004603C9"/>
    <w:rsid w:val="00460505"/>
    <w:rsid w:val="004605DA"/>
    <w:rsid w:val="00460665"/>
    <w:rsid w:val="00460858"/>
    <w:rsid w:val="004608D3"/>
    <w:rsid w:val="00460919"/>
    <w:rsid w:val="00460965"/>
    <w:rsid w:val="00460A38"/>
    <w:rsid w:val="00460AB3"/>
    <w:rsid w:val="00460AC7"/>
    <w:rsid w:val="00460B05"/>
    <w:rsid w:val="00460BD1"/>
    <w:rsid w:val="00460BF6"/>
    <w:rsid w:val="00460D1F"/>
    <w:rsid w:val="00460DB8"/>
    <w:rsid w:val="00460DF6"/>
    <w:rsid w:val="00461010"/>
    <w:rsid w:val="004610A2"/>
    <w:rsid w:val="004610CD"/>
    <w:rsid w:val="0046115C"/>
    <w:rsid w:val="004611CE"/>
    <w:rsid w:val="0046120C"/>
    <w:rsid w:val="0046126B"/>
    <w:rsid w:val="00461321"/>
    <w:rsid w:val="00461324"/>
    <w:rsid w:val="00461417"/>
    <w:rsid w:val="00461545"/>
    <w:rsid w:val="00461572"/>
    <w:rsid w:val="00461587"/>
    <w:rsid w:val="00461615"/>
    <w:rsid w:val="0046172D"/>
    <w:rsid w:val="00461736"/>
    <w:rsid w:val="004617AA"/>
    <w:rsid w:val="004617AD"/>
    <w:rsid w:val="004617AF"/>
    <w:rsid w:val="004617D2"/>
    <w:rsid w:val="004619D3"/>
    <w:rsid w:val="00461A8D"/>
    <w:rsid w:val="00461AA9"/>
    <w:rsid w:val="00461ACC"/>
    <w:rsid w:val="00461BA1"/>
    <w:rsid w:val="00461BC9"/>
    <w:rsid w:val="00461BD9"/>
    <w:rsid w:val="00461C7F"/>
    <w:rsid w:val="00461CA6"/>
    <w:rsid w:val="00461D0F"/>
    <w:rsid w:val="00461D36"/>
    <w:rsid w:val="00461E3C"/>
    <w:rsid w:val="00461EEA"/>
    <w:rsid w:val="00461FF7"/>
    <w:rsid w:val="0046202C"/>
    <w:rsid w:val="004621B0"/>
    <w:rsid w:val="00462591"/>
    <w:rsid w:val="004625E9"/>
    <w:rsid w:val="004627E1"/>
    <w:rsid w:val="0046289A"/>
    <w:rsid w:val="0046289C"/>
    <w:rsid w:val="004628C7"/>
    <w:rsid w:val="0046292F"/>
    <w:rsid w:val="004629BA"/>
    <w:rsid w:val="004629C6"/>
    <w:rsid w:val="00462A4E"/>
    <w:rsid w:val="00462A93"/>
    <w:rsid w:val="00462BF0"/>
    <w:rsid w:val="00462CA8"/>
    <w:rsid w:val="00462CB8"/>
    <w:rsid w:val="00462D2A"/>
    <w:rsid w:val="00462DD8"/>
    <w:rsid w:val="00462DF2"/>
    <w:rsid w:val="00462F6F"/>
    <w:rsid w:val="0046301D"/>
    <w:rsid w:val="00463038"/>
    <w:rsid w:val="00463080"/>
    <w:rsid w:val="004630B2"/>
    <w:rsid w:val="00463114"/>
    <w:rsid w:val="00463192"/>
    <w:rsid w:val="004631D0"/>
    <w:rsid w:val="004631DB"/>
    <w:rsid w:val="0046329A"/>
    <w:rsid w:val="004632FB"/>
    <w:rsid w:val="0046337E"/>
    <w:rsid w:val="004633E0"/>
    <w:rsid w:val="0046343D"/>
    <w:rsid w:val="00463478"/>
    <w:rsid w:val="004635D9"/>
    <w:rsid w:val="004636AD"/>
    <w:rsid w:val="004636E8"/>
    <w:rsid w:val="00463729"/>
    <w:rsid w:val="00463746"/>
    <w:rsid w:val="00463811"/>
    <w:rsid w:val="00463856"/>
    <w:rsid w:val="00463895"/>
    <w:rsid w:val="004638F8"/>
    <w:rsid w:val="004639DD"/>
    <w:rsid w:val="004639E4"/>
    <w:rsid w:val="00463A67"/>
    <w:rsid w:val="00463A79"/>
    <w:rsid w:val="00463BE5"/>
    <w:rsid w:val="00463C34"/>
    <w:rsid w:val="00463CA7"/>
    <w:rsid w:val="00463D32"/>
    <w:rsid w:val="00463D4D"/>
    <w:rsid w:val="00463E6E"/>
    <w:rsid w:val="00463EE5"/>
    <w:rsid w:val="00463F31"/>
    <w:rsid w:val="00464057"/>
    <w:rsid w:val="004640E4"/>
    <w:rsid w:val="00464287"/>
    <w:rsid w:val="0046438C"/>
    <w:rsid w:val="00464420"/>
    <w:rsid w:val="00464524"/>
    <w:rsid w:val="00464718"/>
    <w:rsid w:val="0046474D"/>
    <w:rsid w:val="004647E7"/>
    <w:rsid w:val="004647F6"/>
    <w:rsid w:val="004647FA"/>
    <w:rsid w:val="004648FE"/>
    <w:rsid w:val="0046491A"/>
    <w:rsid w:val="00464937"/>
    <w:rsid w:val="00464987"/>
    <w:rsid w:val="00464AA0"/>
    <w:rsid w:val="00464BA2"/>
    <w:rsid w:val="00464D19"/>
    <w:rsid w:val="00464E5F"/>
    <w:rsid w:val="00464F2B"/>
    <w:rsid w:val="00464FCC"/>
    <w:rsid w:val="00464FDD"/>
    <w:rsid w:val="0046503E"/>
    <w:rsid w:val="004650E4"/>
    <w:rsid w:val="00465397"/>
    <w:rsid w:val="00465440"/>
    <w:rsid w:val="00465494"/>
    <w:rsid w:val="004654C3"/>
    <w:rsid w:val="0046553E"/>
    <w:rsid w:val="0046560E"/>
    <w:rsid w:val="00465723"/>
    <w:rsid w:val="0046576C"/>
    <w:rsid w:val="00465782"/>
    <w:rsid w:val="0046578F"/>
    <w:rsid w:val="004657B3"/>
    <w:rsid w:val="00465822"/>
    <w:rsid w:val="004659EC"/>
    <w:rsid w:val="00465A4D"/>
    <w:rsid w:val="00465AAD"/>
    <w:rsid w:val="00465AB4"/>
    <w:rsid w:val="00465B9B"/>
    <w:rsid w:val="00465BDF"/>
    <w:rsid w:val="00465BF7"/>
    <w:rsid w:val="00465CC2"/>
    <w:rsid w:val="00465DF8"/>
    <w:rsid w:val="00465E07"/>
    <w:rsid w:val="00465F22"/>
    <w:rsid w:val="00466007"/>
    <w:rsid w:val="00466069"/>
    <w:rsid w:val="00466163"/>
    <w:rsid w:val="00466169"/>
    <w:rsid w:val="00466196"/>
    <w:rsid w:val="00466366"/>
    <w:rsid w:val="004663EB"/>
    <w:rsid w:val="004663F8"/>
    <w:rsid w:val="00466407"/>
    <w:rsid w:val="004665A2"/>
    <w:rsid w:val="004665D3"/>
    <w:rsid w:val="00466613"/>
    <w:rsid w:val="00466687"/>
    <w:rsid w:val="004668A2"/>
    <w:rsid w:val="004669BF"/>
    <w:rsid w:val="00466A2E"/>
    <w:rsid w:val="00466B4B"/>
    <w:rsid w:val="00466BD4"/>
    <w:rsid w:val="00466CF5"/>
    <w:rsid w:val="00466F7A"/>
    <w:rsid w:val="00466FBA"/>
    <w:rsid w:val="00466FE6"/>
    <w:rsid w:val="00466FF9"/>
    <w:rsid w:val="00467068"/>
    <w:rsid w:val="004670D2"/>
    <w:rsid w:val="0046716B"/>
    <w:rsid w:val="00467171"/>
    <w:rsid w:val="004671FF"/>
    <w:rsid w:val="0046744E"/>
    <w:rsid w:val="00467452"/>
    <w:rsid w:val="00467474"/>
    <w:rsid w:val="004675DC"/>
    <w:rsid w:val="00467601"/>
    <w:rsid w:val="004676B5"/>
    <w:rsid w:val="004676C5"/>
    <w:rsid w:val="004677D1"/>
    <w:rsid w:val="004678F1"/>
    <w:rsid w:val="004678FC"/>
    <w:rsid w:val="00467906"/>
    <w:rsid w:val="0046792A"/>
    <w:rsid w:val="00467964"/>
    <w:rsid w:val="004679B9"/>
    <w:rsid w:val="00467A1E"/>
    <w:rsid w:val="00467AE7"/>
    <w:rsid w:val="00467B11"/>
    <w:rsid w:val="00467BFA"/>
    <w:rsid w:val="00467C09"/>
    <w:rsid w:val="00467C56"/>
    <w:rsid w:val="00467C98"/>
    <w:rsid w:val="00467DCE"/>
    <w:rsid w:val="00467E34"/>
    <w:rsid w:val="00467E97"/>
    <w:rsid w:val="00467EAC"/>
    <w:rsid w:val="00467F41"/>
    <w:rsid w:val="00470076"/>
    <w:rsid w:val="004700F7"/>
    <w:rsid w:val="00470196"/>
    <w:rsid w:val="00470206"/>
    <w:rsid w:val="0047030D"/>
    <w:rsid w:val="0047036E"/>
    <w:rsid w:val="0047039E"/>
    <w:rsid w:val="004703DA"/>
    <w:rsid w:val="004705B9"/>
    <w:rsid w:val="004705C1"/>
    <w:rsid w:val="00470709"/>
    <w:rsid w:val="00470806"/>
    <w:rsid w:val="0047080A"/>
    <w:rsid w:val="0047082D"/>
    <w:rsid w:val="004708B1"/>
    <w:rsid w:val="00470B3B"/>
    <w:rsid w:val="00470B65"/>
    <w:rsid w:val="00470C1C"/>
    <w:rsid w:val="00470CB7"/>
    <w:rsid w:val="00470CEF"/>
    <w:rsid w:val="00470DBA"/>
    <w:rsid w:val="00470DC4"/>
    <w:rsid w:val="00470E5F"/>
    <w:rsid w:val="00470E81"/>
    <w:rsid w:val="00470F81"/>
    <w:rsid w:val="00471010"/>
    <w:rsid w:val="004710E4"/>
    <w:rsid w:val="00471143"/>
    <w:rsid w:val="00471150"/>
    <w:rsid w:val="00471203"/>
    <w:rsid w:val="0047123C"/>
    <w:rsid w:val="00471275"/>
    <w:rsid w:val="00471316"/>
    <w:rsid w:val="00471383"/>
    <w:rsid w:val="00471394"/>
    <w:rsid w:val="0047141A"/>
    <w:rsid w:val="0047144A"/>
    <w:rsid w:val="004714BB"/>
    <w:rsid w:val="004714FE"/>
    <w:rsid w:val="0047157F"/>
    <w:rsid w:val="004715ED"/>
    <w:rsid w:val="00471739"/>
    <w:rsid w:val="0047173D"/>
    <w:rsid w:val="004717AC"/>
    <w:rsid w:val="00471816"/>
    <w:rsid w:val="0047196D"/>
    <w:rsid w:val="004719DD"/>
    <w:rsid w:val="00471A13"/>
    <w:rsid w:val="00471C50"/>
    <w:rsid w:val="00471D2D"/>
    <w:rsid w:val="00471DBD"/>
    <w:rsid w:val="00471E23"/>
    <w:rsid w:val="00471E66"/>
    <w:rsid w:val="00471EED"/>
    <w:rsid w:val="00471F4A"/>
    <w:rsid w:val="00471F94"/>
    <w:rsid w:val="00471FA9"/>
    <w:rsid w:val="00472196"/>
    <w:rsid w:val="004721A9"/>
    <w:rsid w:val="00472285"/>
    <w:rsid w:val="004723A2"/>
    <w:rsid w:val="004723D1"/>
    <w:rsid w:val="004723F5"/>
    <w:rsid w:val="00472466"/>
    <w:rsid w:val="00472477"/>
    <w:rsid w:val="00472496"/>
    <w:rsid w:val="004724D4"/>
    <w:rsid w:val="00472567"/>
    <w:rsid w:val="0047258E"/>
    <w:rsid w:val="004725CA"/>
    <w:rsid w:val="004725EB"/>
    <w:rsid w:val="00472689"/>
    <w:rsid w:val="004728CA"/>
    <w:rsid w:val="00472A5D"/>
    <w:rsid w:val="00472ABD"/>
    <w:rsid w:val="00472B0C"/>
    <w:rsid w:val="00472B40"/>
    <w:rsid w:val="00472B4D"/>
    <w:rsid w:val="00472CA3"/>
    <w:rsid w:val="00472D79"/>
    <w:rsid w:val="00472E2F"/>
    <w:rsid w:val="00472E6C"/>
    <w:rsid w:val="00472E88"/>
    <w:rsid w:val="00472F84"/>
    <w:rsid w:val="004730F2"/>
    <w:rsid w:val="004731DB"/>
    <w:rsid w:val="00473344"/>
    <w:rsid w:val="0047337F"/>
    <w:rsid w:val="004734F2"/>
    <w:rsid w:val="00473584"/>
    <w:rsid w:val="0047358D"/>
    <w:rsid w:val="004735A2"/>
    <w:rsid w:val="004735EA"/>
    <w:rsid w:val="00473752"/>
    <w:rsid w:val="004737CE"/>
    <w:rsid w:val="004737FD"/>
    <w:rsid w:val="0047389E"/>
    <w:rsid w:val="00473A99"/>
    <w:rsid w:val="00473BF6"/>
    <w:rsid w:val="00473D47"/>
    <w:rsid w:val="00473F28"/>
    <w:rsid w:val="00473FA2"/>
    <w:rsid w:val="00473FC3"/>
    <w:rsid w:val="00473FCD"/>
    <w:rsid w:val="00473FF2"/>
    <w:rsid w:val="00474089"/>
    <w:rsid w:val="004740EA"/>
    <w:rsid w:val="00474174"/>
    <w:rsid w:val="004741FD"/>
    <w:rsid w:val="0047426E"/>
    <w:rsid w:val="0047435C"/>
    <w:rsid w:val="00474383"/>
    <w:rsid w:val="004743A7"/>
    <w:rsid w:val="0047444B"/>
    <w:rsid w:val="00474468"/>
    <w:rsid w:val="004744DC"/>
    <w:rsid w:val="004745B3"/>
    <w:rsid w:val="004745D9"/>
    <w:rsid w:val="00474602"/>
    <w:rsid w:val="00474738"/>
    <w:rsid w:val="00474756"/>
    <w:rsid w:val="00474794"/>
    <w:rsid w:val="00474799"/>
    <w:rsid w:val="0047479A"/>
    <w:rsid w:val="00474838"/>
    <w:rsid w:val="004748D2"/>
    <w:rsid w:val="0047492B"/>
    <w:rsid w:val="00474940"/>
    <w:rsid w:val="0047498D"/>
    <w:rsid w:val="004749D1"/>
    <w:rsid w:val="00474B18"/>
    <w:rsid w:val="00474BFB"/>
    <w:rsid w:val="00474C48"/>
    <w:rsid w:val="00474CC0"/>
    <w:rsid w:val="00474CE1"/>
    <w:rsid w:val="00474D11"/>
    <w:rsid w:val="00474E9F"/>
    <w:rsid w:val="00474EE5"/>
    <w:rsid w:val="00474EEE"/>
    <w:rsid w:val="00474F86"/>
    <w:rsid w:val="00474FE1"/>
    <w:rsid w:val="00475019"/>
    <w:rsid w:val="00475090"/>
    <w:rsid w:val="00475110"/>
    <w:rsid w:val="00475195"/>
    <w:rsid w:val="0047529D"/>
    <w:rsid w:val="0047530C"/>
    <w:rsid w:val="00475316"/>
    <w:rsid w:val="0047533E"/>
    <w:rsid w:val="00475357"/>
    <w:rsid w:val="004753B5"/>
    <w:rsid w:val="00475418"/>
    <w:rsid w:val="0047541F"/>
    <w:rsid w:val="00475564"/>
    <w:rsid w:val="004755CF"/>
    <w:rsid w:val="004757B1"/>
    <w:rsid w:val="00475974"/>
    <w:rsid w:val="00475A9B"/>
    <w:rsid w:val="00475B48"/>
    <w:rsid w:val="00475B62"/>
    <w:rsid w:val="00475C71"/>
    <w:rsid w:val="00475C84"/>
    <w:rsid w:val="00475CAA"/>
    <w:rsid w:val="00475D52"/>
    <w:rsid w:val="00475D6C"/>
    <w:rsid w:val="00475E02"/>
    <w:rsid w:val="00475E03"/>
    <w:rsid w:val="00476264"/>
    <w:rsid w:val="004762B3"/>
    <w:rsid w:val="004762F1"/>
    <w:rsid w:val="00476324"/>
    <w:rsid w:val="00476457"/>
    <w:rsid w:val="004765BA"/>
    <w:rsid w:val="00476656"/>
    <w:rsid w:val="0047676D"/>
    <w:rsid w:val="004768D3"/>
    <w:rsid w:val="004769A4"/>
    <w:rsid w:val="00476AAD"/>
    <w:rsid w:val="00476BC2"/>
    <w:rsid w:val="00476C6A"/>
    <w:rsid w:val="00476D75"/>
    <w:rsid w:val="00476DD8"/>
    <w:rsid w:val="00476E12"/>
    <w:rsid w:val="00476E7C"/>
    <w:rsid w:val="00476EB3"/>
    <w:rsid w:val="00476F26"/>
    <w:rsid w:val="00476FFC"/>
    <w:rsid w:val="00477063"/>
    <w:rsid w:val="00477077"/>
    <w:rsid w:val="00477082"/>
    <w:rsid w:val="00477206"/>
    <w:rsid w:val="0047722F"/>
    <w:rsid w:val="00477235"/>
    <w:rsid w:val="004772D6"/>
    <w:rsid w:val="00477470"/>
    <w:rsid w:val="00477499"/>
    <w:rsid w:val="004774EB"/>
    <w:rsid w:val="00477685"/>
    <w:rsid w:val="004776A5"/>
    <w:rsid w:val="0047779E"/>
    <w:rsid w:val="004777CE"/>
    <w:rsid w:val="00477959"/>
    <w:rsid w:val="0047799A"/>
    <w:rsid w:val="00477B04"/>
    <w:rsid w:val="00477B7D"/>
    <w:rsid w:val="00477B8E"/>
    <w:rsid w:val="00477C7D"/>
    <w:rsid w:val="00477C8C"/>
    <w:rsid w:val="00477CC1"/>
    <w:rsid w:val="00477CE0"/>
    <w:rsid w:val="00477D25"/>
    <w:rsid w:val="00477D2D"/>
    <w:rsid w:val="00477E17"/>
    <w:rsid w:val="00477EE0"/>
    <w:rsid w:val="00477F25"/>
    <w:rsid w:val="00477F43"/>
    <w:rsid w:val="00477F5E"/>
    <w:rsid w:val="0048002A"/>
    <w:rsid w:val="004800A3"/>
    <w:rsid w:val="00480151"/>
    <w:rsid w:val="004801CF"/>
    <w:rsid w:val="004802FC"/>
    <w:rsid w:val="004803FF"/>
    <w:rsid w:val="0048069A"/>
    <w:rsid w:val="0048069E"/>
    <w:rsid w:val="004806D6"/>
    <w:rsid w:val="00480745"/>
    <w:rsid w:val="004807BB"/>
    <w:rsid w:val="004807C4"/>
    <w:rsid w:val="004807CA"/>
    <w:rsid w:val="00480904"/>
    <w:rsid w:val="00480A43"/>
    <w:rsid w:val="00480AD0"/>
    <w:rsid w:val="00480ADC"/>
    <w:rsid w:val="00480BD6"/>
    <w:rsid w:val="00480C26"/>
    <w:rsid w:val="00480D0A"/>
    <w:rsid w:val="00480DCF"/>
    <w:rsid w:val="00480F49"/>
    <w:rsid w:val="00480F4E"/>
    <w:rsid w:val="00480F62"/>
    <w:rsid w:val="00480F91"/>
    <w:rsid w:val="0048107B"/>
    <w:rsid w:val="0048108A"/>
    <w:rsid w:val="0048121F"/>
    <w:rsid w:val="00481251"/>
    <w:rsid w:val="00481365"/>
    <w:rsid w:val="00481416"/>
    <w:rsid w:val="0048146E"/>
    <w:rsid w:val="004814B9"/>
    <w:rsid w:val="00481504"/>
    <w:rsid w:val="0048151E"/>
    <w:rsid w:val="0048157B"/>
    <w:rsid w:val="00481596"/>
    <w:rsid w:val="004816C4"/>
    <w:rsid w:val="00481734"/>
    <w:rsid w:val="004817EF"/>
    <w:rsid w:val="00481821"/>
    <w:rsid w:val="00481827"/>
    <w:rsid w:val="00481878"/>
    <w:rsid w:val="004818DA"/>
    <w:rsid w:val="00481981"/>
    <w:rsid w:val="004819C2"/>
    <w:rsid w:val="00481A0B"/>
    <w:rsid w:val="00481B0A"/>
    <w:rsid w:val="00481ECC"/>
    <w:rsid w:val="00481F1E"/>
    <w:rsid w:val="00482064"/>
    <w:rsid w:val="004820B1"/>
    <w:rsid w:val="004820F5"/>
    <w:rsid w:val="0048213C"/>
    <w:rsid w:val="0048217A"/>
    <w:rsid w:val="004821A7"/>
    <w:rsid w:val="004821B5"/>
    <w:rsid w:val="004821DE"/>
    <w:rsid w:val="004821E0"/>
    <w:rsid w:val="004823F0"/>
    <w:rsid w:val="004826A3"/>
    <w:rsid w:val="00482878"/>
    <w:rsid w:val="00482912"/>
    <w:rsid w:val="00482A15"/>
    <w:rsid w:val="00482AA8"/>
    <w:rsid w:val="00482ACA"/>
    <w:rsid w:val="00482ACD"/>
    <w:rsid w:val="00482AE6"/>
    <w:rsid w:val="00482B97"/>
    <w:rsid w:val="00482CBA"/>
    <w:rsid w:val="00482E02"/>
    <w:rsid w:val="00482E0D"/>
    <w:rsid w:val="00482EC2"/>
    <w:rsid w:val="00482EFF"/>
    <w:rsid w:val="00482F70"/>
    <w:rsid w:val="00482F73"/>
    <w:rsid w:val="00482F9B"/>
    <w:rsid w:val="00482FFC"/>
    <w:rsid w:val="0048303F"/>
    <w:rsid w:val="00483086"/>
    <w:rsid w:val="00483297"/>
    <w:rsid w:val="004832E9"/>
    <w:rsid w:val="0048330D"/>
    <w:rsid w:val="00483423"/>
    <w:rsid w:val="00483492"/>
    <w:rsid w:val="0048351B"/>
    <w:rsid w:val="00483571"/>
    <w:rsid w:val="004835EB"/>
    <w:rsid w:val="0048370F"/>
    <w:rsid w:val="00483730"/>
    <w:rsid w:val="00483824"/>
    <w:rsid w:val="00483827"/>
    <w:rsid w:val="0048388E"/>
    <w:rsid w:val="004838D8"/>
    <w:rsid w:val="00483972"/>
    <w:rsid w:val="004839AC"/>
    <w:rsid w:val="00483AF6"/>
    <w:rsid w:val="00483B83"/>
    <w:rsid w:val="00483B95"/>
    <w:rsid w:val="00483C13"/>
    <w:rsid w:val="00483CB5"/>
    <w:rsid w:val="00483CCE"/>
    <w:rsid w:val="00483D41"/>
    <w:rsid w:val="00483E94"/>
    <w:rsid w:val="00483F55"/>
    <w:rsid w:val="00483FAA"/>
    <w:rsid w:val="00483FCC"/>
    <w:rsid w:val="00484022"/>
    <w:rsid w:val="0048402F"/>
    <w:rsid w:val="004841B7"/>
    <w:rsid w:val="004841B9"/>
    <w:rsid w:val="00484205"/>
    <w:rsid w:val="004842F1"/>
    <w:rsid w:val="00484376"/>
    <w:rsid w:val="0048444A"/>
    <w:rsid w:val="00484563"/>
    <w:rsid w:val="00484652"/>
    <w:rsid w:val="00484684"/>
    <w:rsid w:val="0048469D"/>
    <w:rsid w:val="00484771"/>
    <w:rsid w:val="00484815"/>
    <w:rsid w:val="004849E7"/>
    <w:rsid w:val="00484CA8"/>
    <w:rsid w:val="00484D85"/>
    <w:rsid w:val="00484EBF"/>
    <w:rsid w:val="00484ED1"/>
    <w:rsid w:val="00485121"/>
    <w:rsid w:val="00485355"/>
    <w:rsid w:val="004853B2"/>
    <w:rsid w:val="0048541E"/>
    <w:rsid w:val="00485422"/>
    <w:rsid w:val="00485482"/>
    <w:rsid w:val="004854F1"/>
    <w:rsid w:val="00485575"/>
    <w:rsid w:val="00485576"/>
    <w:rsid w:val="004855EF"/>
    <w:rsid w:val="00485627"/>
    <w:rsid w:val="00485649"/>
    <w:rsid w:val="0048575A"/>
    <w:rsid w:val="004858B3"/>
    <w:rsid w:val="0048594A"/>
    <w:rsid w:val="00485983"/>
    <w:rsid w:val="004859F1"/>
    <w:rsid w:val="004859FE"/>
    <w:rsid w:val="00485A2A"/>
    <w:rsid w:val="00485AFA"/>
    <w:rsid w:val="00485C52"/>
    <w:rsid w:val="00485C70"/>
    <w:rsid w:val="00485CE3"/>
    <w:rsid w:val="00485D7D"/>
    <w:rsid w:val="00485DC3"/>
    <w:rsid w:val="00485F20"/>
    <w:rsid w:val="00485F4D"/>
    <w:rsid w:val="00485FBA"/>
    <w:rsid w:val="00485FDB"/>
    <w:rsid w:val="00485FFF"/>
    <w:rsid w:val="00486059"/>
    <w:rsid w:val="004860EB"/>
    <w:rsid w:val="0048615A"/>
    <w:rsid w:val="00486191"/>
    <w:rsid w:val="0048624F"/>
    <w:rsid w:val="0048634D"/>
    <w:rsid w:val="0048635D"/>
    <w:rsid w:val="004863C9"/>
    <w:rsid w:val="00486458"/>
    <w:rsid w:val="004864F9"/>
    <w:rsid w:val="00486559"/>
    <w:rsid w:val="004865A6"/>
    <w:rsid w:val="004865F6"/>
    <w:rsid w:val="0048664D"/>
    <w:rsid w:val="004866BC"/>
    <w:rsid w:val="004867BF"/>
    <w:rsid w:val="004869CF"/>
    <w:rsid w:val="00486A22"/>
    <w:rsid w:val="00486B13"/>
    <w:rsid w:val="00486B38"/>
    <w:rsid w:val="00486B52"/>
    <w:rsid w:val="00486C2D"/>
    <w:rsid w:val="00486DF0"/>
    <w:rsid w:val="00486E2B"/>
    <w:rsid w:val="00486E46"/>
    <w:rsid w:val="00486EA9"/>
    <w:rsid w:val="00486EC0"/>
    <w:rsid w:val="00486F31"/>
    <w:rsid w:val="00486FCD"/>
    <w:rsid w:val="004870C8"/>
    <w:rsid w:val="00487169"/>
    <w:rsid w:val="004871E9"/>
    <w:rsid w:val="00487298"/>
    <w:rsid w:val="004873E5"/>
    <w:rsid w:val="00487419"/>
    <w:rsid w:val="00487451"/>
    <w:rsid w:val="0048751A"/>
    <w:rsid w:val="0048755E"/>
    <w:rsid w:val="00487567"/>
    <w:rsid w:val="0048766F"/>
    <w:rsid w:val="00487816"/>
    <w:rsid w:val="0048790C"/>
    <w:rsid w:val="00487A38"/>
    <w:rsid w:val="00487C38"/>
    <w:rsid w:val="00487EEE"/>
    <w:rsid w:val="00487F48"/>
    <w:rsid w:val="00487F87"/>
    <w:rsid w:val="0049007E"/>
    <w:rsid w:val="004900A4"/>
    <w:rsid w:val="004900FB"/>
    <w:rsid w:val="004901D6"/>
    <w:rsid w:val="0049023B"/>
    <w:rsid w:val="00490313"/>
    <w:rsid w:val="0049046A"/>
    <w:rsid w:val="00490483"/>
    <w:rsid w:val="004904E0"/>
    <w:rsid w:val="0049056D"/>
    <w:rsid w:val="004905DE"/>
    <w:rsid w:val="00490620"/>
    <w:rsid w:val="0049075F"/>
    <w:rsid w:val="00490798"/>
    <w:rsid w:val="004907DD"/>
    <w:rsid w:val="004909BA"/>
    <w:rsid w:val="004909CD"/>
    <w:rsid w:val="004909FD"/>
    <w:rsid w:val="00490A05"/>
    <w:rsid w:val="00490C5E"/>
    <w:rsid w:val="00490D71"/>
    <w:rsid w:val="00490FF7"/>
    <w:rsid w:val="00490FFD"/>
    <w:rsid w:val="0049100D"/>
    <w:rsid w:val="004912D2"/>
    <w:rsid w:val="0049132C"/>
    <w:rsid w:val="00491380"/>
    <w:rsid w:val="004914BF"/>
    <w:rsid w:val="004915BC"/>
    <w:rsid w:val="00491657"/>
    <w:rsid w:val="00491945"/>
    <w:rsid w:val="00491A72"/>
    <w:rsid w:val="00491B03"/>
    <w:rsid w:val="00491B96"/>
    <w:rsid w:val="00491C25"/>
    <w:rsid w:val="00491C42"/>
    <w:rsid w:val="00491E8D"/>
    <w:rsid w:val="00491E95"/>
    <w:rsid w:val="00491EC1"/>
    <w:rsid w:val="00491F13"/>
    <w:rsid w:val="00491FD7"/>
    <w:rsid w:val="00492033"/>
    <w:rsid w:val="0049225E"/>
    <w:rsid w:val="00492271"/>
    <w:rsid w:val="00492308"/>
    <w:rsid w:val="0049238D"/>
    <w:rsid w:val="004923B5"/>
    <w:rsid w:val="004924A8"/>
    <w:rsid w:val="004926D9"/>
    <w:rsid w:val="004928EA"/>
    <w:rsid w:val="004928EF"/>
    <w:rsid w:val="0049291D"/>
    <w:rsid w:val="00492980"/>
    <w:rsid w:val="004929B1"/>
    <w:rsid w:val="004929E2"/>
    <w:rsid w:val="00492A33"/>
    <w:rsid w:val="00492A96"/>
    <w:rsid w:val="00492AD9"/>
    <w:rsid w:val="00492B2A"/>
    <w:rsid w:val="00492B84"/>
    <w:rsid w:val="00492BEE"/>
    <w:rsid w:val="00492C3F"/>
    <w:rsid w:val="00492C80"/>
    <w:rsid w:val="00492C8B"/>
    <w:rsid w:val="00492CF2"/>
    <w:rsid w:val="00492DB9"/>
    <w:rsid w:val="00492F1B"/>
    <w:rsid w:val="00492F41"/>
    <w:rsid w:val="00492F89"/>
    <w:rsid w:val="00492FA8"/>
    <w:rsid w:val="00493025"/>
    <w:rsid w:val="004930AC"/>
    <w:rsid w:val="004930F1"/>
    <w:rsid w:val="00493179"/>
    <w:rsid w:val="00493211"/>
    <w:rsid w:val="004933AE"/>
    <w:rsid w:val="004933F0"/>
    <w:rsid w:val="00493449"/>
    <w:rsid w:val="00493469"/>
    <w:rsid w:val="00493483"/>
    <w:rsid w:val="004934B6"/>
    <w:rsid w:val="00493528"/>
    <w:rsid w:val="0049354A"/>
    <w:rsid w:val="004936FF"/>
    <w:rsid w:val="00493731"/>
    <w:rsid w:val="004937CA"/>
    <w:rsid w:val="00493963"/>
    <w:rsid w:val="00493A35"/>
    <w:rsid w:val="00493A3F"/>
    <w:rsid w:val="00493A74"/>
    <w:rsid w:val="00493B2D"/>
    <w:rsid w:val="00493B8F"/>
    <w:rsid w:val="00493B92"/>
    <w:rsid w:val="00493DA1"/>
    <w:rsid w:val="00493DCB"/>
    <w:rsid w:val="00493E24"/>
    <w:rsid w:val="00493EA1"/>
    <w:rsid w:val="00493FA4"/>
    <w:rsid w:val="0049410F"/>
    <w:rsid w:val="00494127"/>
    <w:rsid w:val="004941FF"/>
    <w:rsid w:val="004942B3"/>
    <w:rsid w:val="004942C8"/>
    <w:rsid w:val="004943CE"/>
    <w:rsid w:val="004944A9"/>
    <w:rsid w:val="00494533"/>
    <w:rsid w:val="0049459A"/>
    <w:rsid w:val="00494619"/>
    <w:rsid w:val="00494764"/>
    <w:rsid w:val="00494926"/>
    <w:rsid w:val="00494BAE"/>
    <w:rsid w:val="00494C02"/>
    <w:rsid w:val="00494C2B"/>
    <w:rsid w:val="00494EE0"/>
    <w:rsid w:val="00494F19"/>
    <w:rsid w:val="00494F21"/>
    <w:rsid w:val="00494F7C"/>
    <w:rsid w:val="0049505B"/>
    <w:rsid w:val="00495118"/>
    <w:rsid w:val="00495142"/>
    <w:rsid w:val="00495163"/>
    <w:rsid w:val="004951F0"/>
    <w:rsid w:val="00495290"/>
    <w:rsid w:val="0049529D"/>
    <w:rsid w:val="00495388"/>
    <w:rsid w:val="00495425"/>
    <w:rsid w:val="00495458"/>
    <w:rsid w:val="0049548D"/>
    <w:rsid w:val="004954E7"/>
    <w:rsid w:val="004955EA"/>
    <w:rsid w:val="00495604"/>
    <w:rsid w:val="00495653"/>
    <w:rsid w:val="0049573D"/>
    <w:rsid w:val="0049573F"/>
    <w:rsid w:val="0049580F"/>
    <w:rsid w:val="00495871"/>
    <w:rsid w:val="00495A01"/>
    <w:rsid w:val="00495AD6"/>
    <w:rsid w:val="00495B5D"/>
    <w:rsid w:val="00495BB3"/>
    <w:rsid w:val="00495CAB"/>
    <w:rsid w:val="00495D38"/>
    <w:rsid w:val="00495D47"/>
    <w:rsid w:val="00495EBF"/>
    <w:rsid w:val="00495EC3"/>
    <w:rsid w:val="00496012"/>
    <w:rsid w:val="00496071"/>
    <w:rsid w:val="004960AD"/>
    <w:rsid w:val="004960D8"/>
    <w:rsid w:val="0049619E"/>
    <w:rsid w:val="004961C6"/>
    <w:rsid w:val="004961DA"/>
    <w:rsid w:val="00496236"/>
    <w:rsid w:val="00496292"/>
    <w:rsid w:val="0049629F"/>
    <w:rsid w:val="004963BF"/>
    <w:rsid w:val="004964B7"/>
    <w:rsid w:val="004964CF"/>
    <w:rsid w:val="0049652E"/>
    <w:rsid w:val="0049676D"/>
    <w:rsid w:val="004967D2"/>
    <w:rsid w:val="00496975"/>
    <w:rsid w:val="004969B2"/>
    <w:rsid w:val="004969C1"/>
    <w:rsid w:val="004969F0"/>
    <w:rsid w:val="00496C81"/>
    <w:rsid w:val="00496C92"/>
    <w:rsid w:val="00496D7C"/>
    <w:rsid w:val="00496DF3"/>
    <w:rsid w:val="00496E33"/>
    <w:rsid w:val="00496EB9"/>
    <w:rsid w:val="00496F7C"/>
    <w:rsid w:val="00496FAC"/>
    <w:rsid w:val="00496FC6"/>
    <w:rsid w:val="0049701B"/>
    <w:rsid w:val="00497043"/>
    <w:rsid w:val="00497118"/>
    <w:rsid w:val="00497289"/>
    <w:rsid w:val="004972F6"/>
    <w:rsid w:val="004973D0"/>
    <w:rsid w:val="0049754B"/>
    <w:rsid w:val="004975C0"/>
    <w:rsid w:val="00497709"/>
    <w:rsid w:val="00497721"/>
    <w:rsid w:val="004978AE"/>
    <w:rsid w:val="004978CF"/>
    <w:rsid w:val="0049792F"/>
    <w:rsid w:val="00497975"/>
    <w:rsid w:val="00497BA6"/>
    <w:rsid w:val="00497CD3"/>
    <w:rsid w:val="00497D23"/>
    <w:rsid w:val="00497D83"/>
    <w:rsid w:val="00497E26"/>
    <w:rsid w:val="00497E96"/>
    <w:rsid w:val="00497F7A"/>
    <w:rsid w:val="004A0003"/>
    <w:rsid w:val="004A0152"/>
    <w:rsid w:val="004A0161"/>
    <w:rsid w:val="004A0169"/>
    <w:rsid w:val="004A026F"/>
    <w:rsid w:val="004A02C4"/>
    <w:rsid w:val="004A02EF"/>
    <w:rsid w:val="004A03F2"/>
    <w:rsid w:val="004A0438"/>
    <w:rsid w:val="004A0577"/>
    <w:rsid w:val="004A05AE"/>
    <w:rsid w:val="004A07A0"/>
    <w:rsid w:val="004A0876"/>
    <w:rsid w:val="004A0932"/>
    <w:rsid w:val="004A0A2A"/>
    <w:rsid w:val="004A0A69"/>
    <w:rsid w:val="004A0B51"/>
    <w:rsid w:val="004A0B8A"/>
    <w:rsid w:val="004A0C0F"/>
    <w:rsid w:val="004A0C8A"/>
    <w:rsid w:val="004A0CA0"/>
    <w:rsid w:val="004A0CA2"/>
    <w:rsid w:val="004A0DF6"/>
    <w:rsid w:val="004A0E81"/>
    <w:rsid w:val="004A0E82"/>
    <w:rsid w:val="004A0ED4"/>
    <w:rsid w:val="004A0F52"/>
    <w:rsid w:val="004A0FC1"/>
    <w:rsid w:val="004A100D"/>
    <w:rsid w:val="004A1103"/>
    <w:rsid w:val="004A1120"/>
    <w:rsid w:val="004A11EE"/>
    <w:rsid w:val="004A1204"/>
    <w:rsid w:val="004A1224"/>
    <w:rsid w:val="004A125D"/>
    <w:rsid w:val="004A126B"/>
    <w:rsid w:val="004A13A0"/>
    <w:rsid w:val="004A13D0"/>
    <w:rsid w:val="004A14E7"/>
    <w:rsid w:val="004A14F6"/>
    <w:rsid w:val="004A15F0"/>
    <w:rsid w:val="004A169E"/>
    <w:rsid w:val="004A16B8"/>
    <w:rsid w:val="004A172B"/>
    <w:rsid w:val="004A1808"/>
    <w:rsid w:val="004A182E"/>
    <w:rsid w:val="004A1839"/>
    <w:rsid w:val="004A1A4C"/>
    <w:rsid w:val="004A1AE1"/>
    <w:rsid w:val="004A1AED"/>
    <w:rsid w:val="004A1B18"/>
    <w:rsid w:val="004A1B9D"/>
    <w:rsid w:val="004A1D69"/>
    <w:rsid w:val="004A1DA2"/>
    <w:rsid w:val="004A1DC9"/>
    <w:rsid w:val="004A1DE6"/>
    <w:rsid w:val="004A1F31"/>
    <w:rsid w:val="004A1FAE"/>
    <w:rsid w:val="004A1FC3"/>
    <w:rsid w:val="004A201A"/>
    <w:rsid w:val="004A2080"/>
    <w:rsid w:val="004A20D1"/>
    <w:rsid w:val="004A2117"/>
    <w:rsid w:val="004A2150"/>
    <w:rsid w:val="004A2162"/>
    <w:rsid w:val="004A2163"/>
    <w:rsid w:val="004A219F"/>
    <w:rsid w:val="004A231B"/>
    <w:rsid w:val="004A23E9"/>
    <w:rsid w:val="004A2435"/>
    <w:rsid w:val="004A2439"/>
    <w:rsid w:val="004A2487"/>
    <w:rsid w:val="004A24E7"/>
    <w:rsid w:val="004A2567"/>
    <w:rsid w:val="004A25B2"/>
    <w:rsid w:val="004A261A"/>
    <w:rsid w:val="004A269A"/>
    <w:rsid w:val="004A27C3"/>
    <w:rsid w:val="004A292E"/>
    <w:rsid w:val="004A29C1"/>
    <w:rsid w:val="004A2A25"/>
    <w:rsid w:val="004A2AAC"/>
    <w:rsid w:val="004A2AD5"/>
    <w:rsid w:val="004A2B6A"/>
    <w:rsid w:val="004A2C26"/>
    <w:rsid w:val="004A2C4D"/>
    <w:rsid w:val="004A2C85"/>
    <w:rsid w:val="004A2E70"/>
    <w:rsid w:val="004A2EF5"/>
    <w:rsid w:val="004A2FBF"/>
    <w:rsid w:val="004A3030"/>
    <w:rsid w:val="004A303E"/>
    <w:rsid w:val="004A30D3"/>
    <w:rsid w:val="004A3147"/>
    <w:rsid w:val="004A3172"/>
    <w:rsid w:val="004A31A7"/>
    <w:rsid w:val="004A31B7"/>
    <w:rsid w:val="004A3212"/>
    <w:rsid w:val="004A322F"/>
    <w:rsid w:val="004A331C"/>
    <w:rsid w:val="004A335C"/>
    <w:rsid w:val="004A3360"/>
    <w:rsid w:val="004A33EE"/>
    <w:rsid w:val="004A3464"/>
    <w:rsid w:val="004A35C8"/>
    <w:rsid w:val="004A35DD"/>
    <w:rsid w:val="004A3642"/>
    <w:rsid w:val="004A3736"/>
    <w:rsid w:val="004A38BF"/>
    <w:rsid w:val="004A392F"/>
    <w:rsid w:val="004A395B"/>
    <w:rsid w:val="004A3B2A"/>
    <w:rsid w:val="004A3B99"/>
    <w:rsid w:val="004A3C8C"/>
    <w:rsid w:val="004A3D6B"/>
    <w:rsid w:val="004A3D96"/>
    <w:rsid w:val="004A3DD1"/>
    <w:rsid w:val="004A3DFA"/>
    <w:rsid w:val="004A3E37"/>
    <w:rsid w:val="004A3F26"/>
    <w:rsid w:val="004A3F45"/>
    <w:rsid w:val="004A3F9E"/>
    <w:rsid w:val="004A403E"/>
    <w:rsid w:val="004A412C"/>
    <w:rsid w:val="004A4138"/>
    <w:rsid w:val="004A4225"/>
    <w:rsid w:val="004A4301"/>
    <w:rsid w:val="004A43ED"/>
    <w:rsid w:val="004A43EF"/>
    <w:rsid w:val="004A445D"/>
    <w:rsid w:val="004A4562"/>
    <w:rsid w:val="004A45F0"/>
    <w:rsid w:val="004A4624"/>
    <w:rsid w:val="004A462E"/>
    <w:rsid w:val="004A4646"/>
    <w:rsid w:val="004A465C"/>
    <w:rsid w:val="004A4700"/>
    <w:rsid w:val="004A479F"/>
    <w:rsid w:val="004A4850"/>
    <w:rsid w:val="004A4961"/>
    <w:rsid w:val="004A49FC"/>
    <w:rsid w:val="004A4A80"/>
    <w:rsid w:val="004A4C7E"/>
    <w:rsid w:val="004A4C94"/>
    <w:rsid w:val="004A4C95"/>
    <w:rsid w:val="004A4CEB"/>
    <w:rsid w:val="004A4D62"/>
    <w:rsid w:val="004A4E3D"/>
    <w:rsid w:val="004A4E4A"/>
    <w:rsid w:val="004A4E76"/>
    <w:rsid w:val="004A4F44"/>
    <w:rsid w:val="004A5013"/>
    <w:rsid w:val="004A5099"/>
    <w:rsid w:val="004A50AC"/>
    <w:rsid w:val="004A5209"/>
    <w:rsid w:val="004A5313"/>
    <w:rsid w:val="004A5360"/>
    <w:rsid w:val="004A5429"/>
    <w:rsid w:val="004A54C9"/>
    <w:rsid w:val="004A55CD"/>
    <w:rsid w:val="004A575F"/>
    <w:rsid w:val="004A57C7"/>
    <w:rsid w:val="004A5830"/>
    <w:rsid w:val="004A58B1"/>
    <w:rsid w:val="004A58BB"/>
    <w:rsid w:val="004A5A44"/>
    <w:rsid w:val="004A5B5E"/>
    <w:rsid w:val="004A5BA8"/>
    <w:rsid w:val="004A5BEC"/>
    <w:rsid w:val="004A5DF8"/>
    <w:rsid w:val="004A5EF2"/>
    <w:rsid w:val="004A61A6"/>
    <w:rsid w:val="004A6244"/>
    <w:rsid w:val="004A6276"/>
    <w:rsid w:val="004A6285"/>
    <w:rsid w:val="004A63F5"/>
    <w:rsid w:val="004A63FE"/>
    <w:rsid w:val="004A6413"/>
    <w:rsid w:val="004A64CC"/>
    <w:rsid w:val="004A65D9"/>
    <w:rsid w:val="004A65EF"/>
    <w:rsid w:val="004A6684"/>
    <w:rsid w:val="004A66B1"/>
    <w:rsid w:val="004A6703"/>
    <w:rsid w:val="004A6742"/>
    <w:rsid w:val="004A67C9"/>
    <w:rsid w:val="004A6800"/>
    <w:rsid w:val="004A681F"/>
    <w:rsid w:val="004A6866"/>
    <w:rsid w:val="004A6901"/>
    <w:rsid w:val="004A6941"/>
    <w:rsid w:val="004A696A"/>
    <w:rsid w:val="004A697D"/>
    <w:rsid w:val="004A6A28"/>
    <w:rsid w:val="004A6A90"/>
    <w:rsid w:val="004A6AD0"/>
    <w:rsid w:val="004A6B45"/>
    <w:rsid w:val="004A6D20"/>
    <w:rsid w:val="004A6D37"/>
    <w:rsid w:val="004A7080"/>
    <w:rsid w:val="004A70FB"/>
    <w:rsid w:val="004A7112"/>
    <w:rsid w:val="004A7233"/>
    <w:rsid w:val="004A7250"/>
    <w:rsid w:val="004A7368"/>
    <w:rsid w:val="004A73A6"/>
    <w:rsid w:val="004A73A8"/>
    <w:rsid w:val="004A7434"/>
    <w:rsid w:val="004A748D"/>
    <w:rsid w:val="004A74C1"/>
    <w:rsid w:val="004A750B"/>
    <w:rsid w:val="004A75C4"/>
    <w:rsid w:val="004A75F1"/>
    <w:rsid w:val="004A762A"/>
    <w:rsid w:val="004A766E"/>
    <w:rsid w:val="004A7891"/>
    <w:rsid w:val="004A7942"/>
    <w:rsid w:val="004A7A13"/>
    <w:rsid w:val="004A7A1B"/>
    <w:rsid w:val="004A7BBA"/>
    <w:rsid w:val="004A7BDA"/>
    <w:rsid w:val="004A7CE8"/>
    <w:rsid w:val="004A7E26"/>
    <w:rsid w:val="004A7E38"/>
    <w:rsid w:val="004A7EC5"/>
    <w:rsid w:val="004A7F40"/>
    <w:rsid w:val="004B0039"/>
    <w:rsid w:val="004B007B"/>
    <w:rsid w:val="004B01FE"/>
    <w:rsid w:val="004B02EB"/>
    <w:rsid w:val="004B02EE"/>
    <w:rsid w:val="004B0320"/>
    <w:rsid w:val="004B03AD"/>
    <w:rsid w:val="004B03AE"/>
    <w:rsid w:val="004B0580"/>
    <w:rsid w:val="004B06D2"/>
    <w:rsid w:val="004B0739"/>
    <w:rsid w:val="004B0745"/>
    <w:rsid w:val="004B074F"/>
    <w:rsid w:val="004B075E"/>
    <w:rsid w:val="004B07A6"/>
    <w:rsid w:val="004B07F9"/>
    <w:rsid w:val="004B0807"/>
    <w:rsid w:val="004B0889"/>
    <w:rsid w:val="004B08A9"/>
    <w:rsid w:val="004B0915"/>
    <w:rsid w:val="004B0AD9"/>
    <w:rsid w:val="004B0B69"/>
    <w:rsid w:val="004B0D92"/>
    <w:rsid w:val="004B0DA7"/>
    <w:rsid w:val="004B0DB6"/>
    <w:rsid w:val="004B0DD2"/>
    <w:rsid w:val="004B0E46"/>
    <w:rsid w:val="004B0E5D"/>
    <w:rsid w:val="004B0EDA"/>
    <w:rsid w:val="004B0F63"/>
    <w:rsid w:val="004B0F6A"/>
    <w:rsid w:val="004B0FA5"/>
    <w:rsid w:val="004B0FCF"/>
    <w:rsid w:val="004B0FE8"/>
    <w:rsid w:val="004B107E"/>
    <w:rsid w:val="004B12C9"/>
    <w:rsid w:val="004B1327"/>
    <w:rsid w:val="004B13D1"/>
    <w:rsid w:val="004B1464"/>
    <w:rsid w:val="004B14B6"/>
    <w:rsid w:val="004B1727"/>
    <w:rsid w:val="004B1736"/>
    <w:rsid w:val="004B17AF"/>
    <w:rsid w:val="004B18DC"/>
    <w:rsid w:val="004B1984"/>
    <w:rsid w:val="004B1990"/>
    <w:rsid w:val="004B19B5"/>
    <w:rsid w:val="004B1A02"/>
    <w:rsid w:val="004B1A95"/>
    <w:rsid w:val="004B1AB4"/>
    <w:rsid w:val="004B1B8F"/>
    <w:rsid w:val="004B1BBD"/>
    <w:rsid w:val="004B1C1E"/>
    <w:rsid w:val="004B1E2E"/>
    <w:rsid w:val="004B1FE8"/>
    <w:rsid w:val="004B2071"/>
    <w:rsid w:val="004B208F"/>
    <w:rsid w:val="004B2213"/>
    <w:rsid w:val="004B2283"/>
    <w:rsid w:val="004B236A"/>
    <w:rsid w:val="004B24E4"/>
    <w:rsid w:val="004B2507"/>
    <w:rsid w:val="004B2509"/>
    <w:rsid w:val="004B261C"/>
    <w:rsid w:val="004B26EC"/>
    <w:rsid w:val="004B280A"/>
    <w:rsid w:val="004B2818"/>
    <w:rsid w:val="004B29B5"/>
    <w:rsid w:val="004B2A86"/>
    <w:rsid w:val="004B2B9D"/>
    <w:rsid w:val="004B2BBF"/>
    <w:rsid w:val="004B2C1F"/>
    <w:rsid w:val="004B2D41"/>
    <w:rsid w:val="004B2D65"/>
    <w:rsid w:val="004B2E0B"/>
    <w:rsid w:val="004B2E43"/>
    <w:rsid w:val="004B2E4E"/>
    <w:rsid w:val="004B2E9A"/>
    <w:rsid w:val="004B2EB7"/>
    <w:rsid w:val="004B2FE1"/>
    <w:rsid w:val="004B3007"/>
    <w:rsid w:val="004B3025"/>
    <w:rsid w:val="004B302E"/>
    <w:rsid w:val="004B3062"/>
    <w:rsid w:val="004B3153"/>
    <w:rsid w:val="004B31B2"/>
    <w:rsid w:val="004B31D7"/>
    <w:rsid w:val="004B32B8"/>
    <w:rsid w:val="004B332E"/>
    <w:rsid w:val="004B3339"/>
    <w:rsid w:val="004B3345"/>
    <w:rsid w:val="004B339E"/>
    <w:rsid w:val="004B3402"/>
    <w:rsid w:val="004B3613"/>
    <w:rsid w:val="004B36E5"/>
    <w:rsid w:val="004B370B"/>
    <w:rsid w:val="004B3772"/>
    <w:rsid w:val="004B37BE"/>
    <w:rsid w:val="004B3833"/>
    <w:rsid w:val="004B383E"/>
    <w:rsid w:val="004B386D"/>
    <w:rsid w:val="004B393A"/>
    <w:rsid w:val="004B3A7B"/>
    <w:rsid w:val="004B3AF8"/>
    <w:rsid w:val="004B3B6B"/>
    <w:rsid w:val="004B3B90"/>
    <w:rsid w:val="004B3B98"/>
    <w:rsid w:val="004B3BE9"/>
    <w:rsid w:val="004B3D0F"/>
    <w:rsid w:val="004B3E2D"/>
    <w:rsid w:val="004B3E39"/>
    <w:rsid w:val="004B3E78"/>
    <w:rsid w:val="004B3E86"/>
    <w:rsid w:val="004B3EA2"/>
    <w:rsid w:val="004B3FC3"/>
    <w:rsid w:val="004B400C"/>
    <w:rsid w:val="004B4022"/>
    <w:rsid w:val="004B40ED"/>
    <w:rsid w:val="004B4180"/>
    <w:rsid w:val="004B4260"/>
    <w:rsid w:val="004B427D"/>
    <w:rsid w:val="004B42E4"/>
    <w:rsid w:val="004B42EA"/>
    <w:rsid w:val="004B42FB"/>
    <w:rsid w:val="004B43BB"/>
    <w:rsid w:val="004B445E"/>
    <w:rsid w:val="004B44EA"/>
    <w:rsid w:val="004B44FB"/>
    <w:rsid w:val="004B44FE"/>
    <w:rsid w:val="004B46FE"/>
    <w:rsid w:val="004B47E8"/>
    <w:rsid w:val="004B481B"/>
    <w:rsid w:val="004B481F"/>
    <w:rsid w:val="004B485D"/>
    <w:rsid w:val="004B4881"/>
    <w:rsid w:val="004B48D1"/>
    <w:rsid w:val="004B4995"/>
    <w:rsid w:val="004B4A53"/>
    <w:rsid w:val="004B4B5C"/>
    <w:rsid w:val="004B4BB2"/>
    <w:rsid w:val="004B4BD9"/>
    <w:rsid w:val="004B4C35"/>
    <w:rsid w:val="004B4C5A"/>
    <w:rsid w:val="004B4CCF"/>
    <w:rsid w:val="004B4DD8"/>
    <w:rsid w:val="004B4E0A"/>
    <w:rsid w:val="004B4EAD"/>
    <w:rsid w:val="004B4F39"/>
    <w:rsid w:val="004B4F9E"/>
    <w:rsid w:val="004B4FDA"/>
    <w:rsid w:val="004B5099"/>
    <w:rsid w:val="004B50CD"/>
    <w:rsid w:val="004B50E8"/>
    <w:rsid w:val="004B5134"/>
    <w:rsid w:val="004B5151"/>
    <w:rsid w:val="004B517C"/>
    <w:rsid w:val="004B5203"/>
    <w:rsid w:val="004B521A"/>
    <w:rsid w:val="004B5250"/>
    <w:rsid w:val="004B5376"/>
    <w:rsid w:val="004B5382"/>
    <w:rsid w:val="004B53E8"/>
    <w:rsid w:val="004B53ED"/>
    <w:rsid w:val="004B5411"/>
    <w:rsid w:val="004B542B"/>
    <w:rsid w:val="004B5433"/>
    <w:rsid w:val="004B5519"/>
    <w:rsid w:val="004B554B"/>
    <w:rsid w:val="004B55F2"/>
    <w:rsid w:val="004B560D"/>
    <w:rsid w:val="004B5768"/>
    <w:rsid w:val="004B57EF"/>
    <w:rsid w:val="004B583F"/>
    <w:rsid w:val="004B5863"/>
    <w:rsid w:val="004B598B"/>
    <w:rsid w:val="004B59FA"/>
    <w:rsid w:val="004B5A1A"/>
    <w:rsid w:val="004B5ABF"/>
    <w:rsid w:val="004B5AF1"/>
    <w:rsid w:val="004B5AF5"/>
    <w:rsid w:val="004B5B41"/>
    <w:rsid w:val="004B5B48"/>
    <w:rsid w:val="004B5BE8"/>
    <w:rsid w:val="004B5D11"/>
    <w:rsid w:val="004B5D45"/>
    <w:rsid w:val="004B5DF3"/>
    <w:rsid w:val="004B5E35"/>
    <w:rsid w:val="004B5F72"/>
    <w:rsid w:val="004B5FBB"/>
    <w:rsid w:val="004B5FE5"/>
    <w:rsid w:val="004B6004"/>
    <w:rsid w:val="004B6012"/>
    <w:rsid w:val="004B6164"/>
    <w:rsid w:val="004B620F"/>
    <w:rsid w:val="004B62CF"/>
    <w:rsid w:val="004B6320"/>
    <w:rsid w:val="004B636F"/>
    <w:rsid w:val="004B639E"/>
    <w:rsid w:val="004B6485"/>
    <w:rsid w:val="004B6517"/>
    <w:rsid w:val="004B6629"/>
    <w:rsid w:val="004B6649"/>
    <w:rsid w:val="004B66A6"/>
    <w:rsid w:val="004B66FA"/>
    <w:rsid w:val="004B67FB"/>
    <w:rsid w:val="004B681C"/>
    <w:rsid w:val="004B68DE"/>
    <w:rsid w:val="004B6981"/>
    <w:rsid w:val="004B6A93"/>
    <w:rsid w:val="004B6B8E"/>
    <w:rsid w:val="004B6CC5"/>
    <w:rsid w:val="004B6D41"/>
    <w:rsid w:val="004B6D51"/>
    <w:rsid w:val="004B6E39"/>
    <w:rsid w:val="004B6F24"/>
    <w:rsid w:val="004B7063"/>
    <w:rsid w:val="004B70BD"/>
    <w:rsid w:val="004B7161"/>
    <w:rsid w:val="004B718E"/>
    <w:rsid w:val="004B7192"/>
    <w:rsid w:val="004B71A8"/>
    <w:rsid w:val="004B71E7"/>
    <w:rsid w:val="004B72AC"/>
    <w:rsid w:val="004B733A"/>
    <w:rsid w:val="004B73B4"/>
    <w:rsid w:val="004B751B"/>
    <w:rsid w:val="004B7695"/>
    <w:rsid w:val="004B76A4"/>
    <w:rsid w:val="004B76A5"/>
    <w:rsid w:val="004B76B0"/>
    <w:rsid w:val="004B7710"/>
    <w:rsid w:val="004B7711"/>
    <w:rsid w:val="004B775A"/>
    <w:rsid w:val="004B793D"/>
    <w:rsid w:val="004B79F6"/>
    <w:rsid w:val="004B7A09"/>
    <w:rsid w:val="004B7A37"/>
    <w:rsid w:val="004B7B40"/>
    <w:rsid w:val="004B7CAF"/>
    <w:rsid w:val="004B7CCD"/>
    <w:rsid w:val="004B7D0D"/>
    <w:rsid w:val="004B7E5C"/>
    <w:rsid w:val="004B7F01"/>
    <w:rsid w:val="004B7F5D"/>
    <w:rsid w:val="004B7FDF"/>
    <w:rsid w:val="004C0125"/>
    <w:rsid w:val="004C022C"/>
    <w:rsid w:val="004C029E"/>
    <w:rsid w:val="004C0379"/>
    <w:rsid w:val="004C03DF"/>
    <w:rsid w:val="004C045A"/>
    <w:rsid w:val="004C04E2"/>
    <w:rsid w:val="004C0517"/>
    <w:rsid w:val="004C052F"/>
    <w:rsid w:val="004C055B"/>
    <w:rsid w:val="004C0590"/>
    <w:rsid w:val="004C069B"/>
    <w:rsid w:val="004C06AB"/>
    <w:rsid w:val="004C06C0"/>
    <w:rsid w:val="004C075E"/>
    <w:rsid w:val="004C07B4"/>
    <w:rsid w:val="004C081E"/>
    <w:rsid w:val="004C08A3"/>
    <w:rsid w:val="004C08DA"/>
    <w:rsid w:val="004C08ED"/>
    <w:rsid w:val="004C0921"/>
    <w:rsid w:val="004C0959"/>
    <w:rsid w:val="004C0960"/>
    <w:rsid w:val="004C097B"/>
    <w:rsid w:val="004C0A29"/>
    <w:rsid w:val="004C0BB0"/>
    <w:rsid w:val="004C0C9A"/>
    <w:rsid w:val="004C0D32"/>
    <w:rsid w:val="004C0D68"/>
    <w:rsid w:val="004C0D87"/>
    <w:rsid w:val="004C0DDC"/>
    <w:rsid w:val="004C0EB1"/>
    <w:rsid w:val="004C0F54"/>
    <w:rsid w:val="004C0FAE"/>
    <w:rsid w:val="004C1006"/>
    <w:rsid w:val="004C1180"/>
    <w:rsid w:val="004C1198"/>
    <w:rsid w:val="004C11A9"/>
    <w:rsid w:val="004C1271"/>
    <w:rsid w:val="004C12CA"/>
    <w:rsid w:val="004C13AE"/>
    <w:rsid w:val="004C1493"/>
    <w:rsid w:val="004C150D"/>
    <w:rsid w:val="004C159B"/>
    <w:rsid w:val="004C171E"/>
    <w:rsid w:val="004C17A4"/>
    <w:rsid w:val="004C17B4"/>
    <w:rsid w:val="004C17F8"/>
    <w:rsid w:val="004C1825"/>
    <w:rsid w:val="004C18B9"/>
    <w:rsid w:val="004C1927"/>
    <w:rsid w:val="004C19D8"/>
    <w:rsid w:val="004C19DC"/>
    <w:rsid w:val="004C1A0C"/>
    <w:rsid w:val="004C1AE3"/>
    <w:rsid w:val="004C1C0F"/>
    <w:rsid w:val="004C1CD7"/>
    <w:rsid w:val="004C1DD7"/>
    <w:rsid w:val="004C1E9F"/>
    <w:rsid w:val="004C1EA1"/>
    <w:rsid w:val="004C1EDC"/>
    <w:rsid w:val="004C202A"/>
    <w:rsid w:val="004C204F"/>
    <w:rsid w:val="004C20CA"/>
    <w:rsid w:val="004C21E7"/>
    <w:rsid w:val="004C21F0"/>
    <w:rsid w:val="004C2406"/>
    <w:rsid w:val="004C26EE"/>
    <w:rsid w:val="004C27AA"/>
    <w:rsid w:val="004C283C"/>
    <w:rsid w:val="004C289A"/>
    <w:rsid w:val="004C294A"/>
    <w:rsid w:val="004C2982"/>
    <w:rsid w:val="004C2984"/>
    <w:rsid w:val="004C2A78"/>
    <w:rsid w:val="004C2AD6"/>
    <w:rsid w:val="004C2C13"/>
    <w:rsid w:val="004C2C90"/>
    <w:rsid w:val="004C2DAD"/>
    <w:rsid w:val="004C2E62"/>
    <w:rsid w:val="004C2FD9"/>
    <w:rsid w:val="004C300C"/>
    <w:rsid w:val="004C3059"/>
    <w:rsid w:val="004C3092"/>
    <w:rsid w:val="004C3128"/>
    <w:rsid w:val="004C31A7"/>
    <w:rsid w:val="004C338C"/>
    <w:rsid w:val="004C3439"/>
    <w:rsid w:val="004C34BD"/>
    <w:rsid w:val="004C38B5"/>
    <w:rsid w:val="004C394C"/>
    <w:rsid w:val="004C39F8"/>
    <w:rsid w:val="004C3AD2"/>
    <w:rsid w:val="004C3B14"/>
    <w:rsid w:val="004C3B1A"/>
    <w:rsid w:val="004C3BC5"/>
    <w:rsid w:val="004C3CCB"/>
    <w:rsid w:val="004C3CD9"/>
    <w:rsid w:val="004C3CDF"/>
    <w:rsid w:val="004C3D71"/>
    <w:rsid w:val="004C3F22"/>
    <w:rsid w:val="004C40D0"/>
    <w:rsid w:val="004C4164"/>
    <w:rsid w:val="004C4203"/>
    <w:rsid w:val="004C427C"/>
    <w:rsid w:val="004C443A"/>
    <w:rsid w:val="004C44BD"/>
    <w:rsid w:val="004C45E1"/>
    <w:rsid w:val="004C45F6"/>
    <w:rsid w:val="004C4714"/>
    <w:rsid w:val="004C4717"/>
    <w:rsid w:val="004C4721"/>
    <w:rsid w:val="004C4791"/>
    <w:rsid w:val="004C4858"/>
    <w:rsid w:val="004C4876"/>
    <w:rsid w:val="004C490F"/>
    <w:rsid w:val="004C492C"/>
    <w:rsid w:val="004C493E"/>
    <w:rsid w:val="004C4AE6"/>
    <w:rsid w:val="004C4BE7"/>
    <w:rsid w:val="004C4C64"/>
    <w:rsid w:val="004C4C92"/>
    <w:rsid w:val="004C4EE8"/>
    <w:rsid w:val="004C4F4F"/>
    <w:rsid w:val="004C505D"/>
    <w:rsid w:val="004C5063"/>
    <w:rsid w:val="004C5127"/>
    <w:rsid w:val="004C52A0"/>
    <w:rsid w:val="004C52AA"/>
    <w:rsid w:val="004C53B7"/>
    <w:rsid w:val="004C53BC"/>
    <w:rsid w:val="004C54A8"/>
    <w:rsid w:val="004C5517"/>
    <w:rsid w:val="004C5539"/>
    <w:rsid w:val="004C5644"/>
    <w:rsid w:val="004C5670"/>
    <w:rsid w:val="004C56A9"/>
    <w:rsid w:val="004C56DF"/>
    <w:rsid w:val="004C5785"/>
    <w:rsid w:val="004C57D3"/>
    <w:rsid w:val="004C57FC"/>
    <w:rsid w:val="004C58AD"/>
    <w:rsid w:val="004C58B7"/>
    <w:rsid w:val="004C5921"/>
    <w:rsid w:val="004C594C"/>
    <w:rsid w:val="004C5A1E"/>
    <w:rsid w:val="004C5ABF"/>
    <w:rsid w:val="004C5AEC"/>
    <w:rsid w:val="004C5BE3"/>
    <w:rsid w:val="004C5CE6"/>
    <w:rsid w:val="004C5D3C"/>
    <w:rsid w:val="004C5D96"/>
    <w:rsid w:val="004C5DCF"/>
    <w:rsid w:val="004C5E25"/>
    <w:rsid w:val="004C5E48"/>
    <w:rsid w:val="004C5EC6"/>
    <w:rsid w:val="004C5F85"/>
    <w:rsid w:val="004C5FC7"/>
    <w:rsid w:val="004C6064"/>
    <w:rsid w:val="004C60E2"/>
    <w:rsid w:val="004C60EE"/>
    <w:rsid w:val="004C62FD"/>
    <w:rsid w:val="004C6360"/>
    <w:rsid w:val="004C6381"/>
    <w:rsid w:val="004C6498"/>
    <w:rsid w:val="004C654E"/>
    <w:rsid w:val="004C6668"/>
    <w:rsid w:val="004C670A"/>
    <w:rsid w:val="004C6866"/>
    <w:rsid w:val="004C68BE"/>
    <w:rsid w:val="004C6918"/>
    <w:rsid w:val="004C6938"/>
    <w:rsid w:val="004C69EB"/>
    <w:rsid w:val="004C6A8B"/>
    <w:rsid w:val="004C6AB1"/>
    <w:rsid w:val="004C6BA8"/>
    <w:rsid w:val="004C6BCF"/>
    <w:rsid w:val="004C6BEC"/>
    <w:rsid w:val="004C6C2F"/>
    <w:rsid w:val="004C6C3F"/>
    <w:rsid w:val="004C6E89"/>
    <w:rsid w:val="004C6F14"/>
    <w:rsid w:val="004C6F77"/>
    <w:rsid w:val="004C6FA8"/>
    <w:rsid w:val="004C6FC5"/>
    <w:rsid w:val="004C7098"/>
    <w:rsid w:val="004C70B0"/>
    <w:rsid w:val="004C7160"/>
    <w:rsid w:val="004C7232"/>
    <w:rsid w:val="004C724D"/>
    <w:rsid w:val="004C7257"/>
    <w:rsid w:val="004C7264"/>
    <w:rsid w:val="004C72B0"/>
    <w:rsid w:val="004C7313"/>
    <w:rsid w:val="004C7384"/>
    <w:rsid w:val="004C7388"/>
    <w:rsid w:val="004C73AA"/>
    <w:rsid w:val="004C73F9"/>
    <w:rsid w:val="004C7414"/>
    <w:rsid w:val="004C741D"/>
    <w:rsid w:val="004C7463"/>
    <w:rsid w:val="004C76E3"/>
    <w:rsid w:val="004C78A9"/>
    <w:rsid w:val="004C78D7"/>
    <w:rsid w:val="004C7970"/>
    <w:rsid w:val="004C7A14"/>
    <w:rsid w:val="004C7AF7"/>
    <w:rsid w:val="004C7CB0"/>
    <w:rsid w:val="004C7CC0"/>
    <w:rsid w:val="004C7CE1"/>
    <w:rsid w:val="004C7DDB"/>
    <w:rsid w:val="004C7E11"/>
    <w:rsid w:val="004C7E71"/>
    <w:rsid w:val="004C7F5B"/>
    <w:rsid w:val="004C7FC7"/>
    <w:rsid w:val="004C7FCD"/>
    <w:rsid w:val="004D00F3"/>
    <w:rsid w:val="004D09DA"/>
    <w:rsid w:val="004D09DF"/>
    <w:rsid w:val="004D09F2"/>
    <w:rsid w:val="004D0A97"/>
    <w:rsid w:val="004D0AA7"/>
    <w:rsid w:val="004D0AE6"/>
    <w:rsid w:val="004D0B28"/>
    <w:rsid w:val="004D0B39"/>
    <w:rsid w:val="004D0B97"/>
    <w:rsid w:val="004D0D14"/>
    <w:rsid w:val="004D0D4C"/>
    <w:rsid w:val="004D0E59"/>
    <w:rsid w:val="004D0E7A"/>
    <w:rsid w:val="004D0ED2"/>
    <w:rsid w:val="004D0FF7"/>
    <w:rsid w:val="004D0FF9"/>
    <w:rsid w:val="004D10CF"/>
    <w:rsid w:val="004D11C6"/>
    <w:rsid w:val="004D14C4"/>
    <w:rsid w:val="004D1518"/>
    <w:rsid w:val="004D155F"/>
    <w:rsid w:val="004D158B"/>
    <w:rsid w:val="004D16D0"/>
    <w:rsid w:val="004D1765"/>
    <w:rsid w:val="004D19B5"/>
    <w:rsid w:val="004D1A53"/>
    <w:rsid w:val="004D1A58"/>
    <w:rsid w:val="004D1BBB"/>
    <w:rsid w:val="004D1C45"/>
    <w:rsid w:val="004D1CCC"/>
    <w:rsid w:val="004D1D2B"/>
    <w:rsid w:val="004D1D73"/>
    <w:rsid w:val="004D1DD4"/>
    <w:rsid w:val="004D1DFD"/>
    <w:rsid w:val="004D1EE9"/>
    <w:rsid w:val="004D1F01"/>
    <w:rsid w:val="004D1FC8"/>
    <w:rsid w:val="004D208E"/>
    <w:rsid w:val="004D22B3"/>
    <w:rsid w:val="004D2322"/>
    <w:rsid w:val="004D23F7"/>
    <w:rsid w:val="004D2411"/>
    <w:rsid w:val="004D244F"/>
    <w:rsid w:val="004D24DF"/>
    <w:rsid w:val="004D2592"/>
    <w:rsid w:val="004D2716"/>
    <w:rsid w:val="004D2767"/>
    <w:rsid w:val="004D2802"/>
    <w:rsid w:val="004D2853"/>
    <w:rsid w:val="004D2934"/>
    <w:rsid w:val="004D2A41"/>
    <w:rsid w:val="004D2B57"/>
    <w:rsid w:val="004D2C88"/>
    <w:rsid w:val="004D2D2B"/>
    <w:rsid w:val="004D2DEA"/>
    <w:rsid w:val="004D2E31"/>
    <w:rsid w:val="004D2E7A"/>
    <w:rsid w:val="004D2EF7"/>
    <w:rsid w:val="004D3125"/>
    <w:rsid w:val="004D316B"/>
    <w:rsid w:val="004D31C7"/>
    <w:rsid w:val="004D3266"/>
    <w:rsid w:val="004D3288"/>
    <w:rsid w:val="004D3371"/>
    <w:rsid w:val="004D3379"/>
    <w:rsid w:val="004D3390"/>
    <w:rsid w:val="004D33AC"/>
    <w:rsid w:val="004D33B9"/>
    <w:rsid w:val="004D346B"/>
    <w:rsid w:val="004D3509"/>
    <w:rsid w:val="004D3538"/>
    <w:rsid w:val="004D35DD"/>
    <w:rsid w:val="004D3637"/>
    <w:rsid w:val="004D36AB"/>
    <w:rsid w:val="004D36CC"/>
    <w:rsid w:val="004D36EC"/>
    <w:rsid w:val="004D3716"/>
    <w:rsid w:val="004D3809"/>
    <w:rsid w:val="004D384D"/>
    <w:rsid w:val="004D3A02"/>
    <w:rsid w:val="004D3A55"/>
    <w:rsid w:val="004D3B76"/>
    <w:rsid w:val="004D3C86"/>
    <w:rsid w:val="004D3F09"/>
    <w:rsid w:val="004D3FA8"/>
    <w:rsid w:val="004D406F"/>
    <w:rsid w:val="004D424B"/>
    <w:rsid w:val="004D42DF"/>
    <w:rsid w:val="004D42E3"/>
    <w:rsid w:val="004D4379"/>
    <w:rsid w:val="004D4408"/>
    <w:rsid w:val="004D442B"/>
    <w:rsid w:val="004D4487"/>
    <w:rsid w:val="004D4509"/>
    <w:rsid w:val="004D4511"/>
    <w:rsid w:val="004D4590"/>
    <w:rsid w:val="004D45A0"/>
    <w:rsid w:val="004D46EF"/>
    <w:rsid w:val="004D4764"/>
    <w:rsid w:val="004D4978"/>
    <w:rsid w:val="004D4B28"/>
    <w:rsid w:val="004D4D47"/>
    <w:rsid w:val="004D4D66"/>
    <w:rsid w:val="004D4D84"/>
    <w:rsid w:val="004D4FF6"/>
    <w:rsid w:val="004D50A5"/>
    <w:rsid w:val="004D5373"/>
    <w:rsid w:val="004D540D"/>
    <w:rsid w:val="004D543C"/>
    <w:rsid w:val="004D54E3"/>
    <w:rsid w:val="004D551C"/>
    <w:rsid w:val="004D57D9"/>
    <w:rsid w:val="004D5A38"/>
    <w:rsid w:val="004D5B36"/>
    <w:rsid w:val="004D5B7B"/>
    <w:rsid w:val="004D5B98"/>
    <w:rsid w:val="004D5D00"/>
    <w:rsid w:val="004D5D5B"/>
    <w:rsid w:val="004D5D6B"/>
    <w:rsid w:val="004D5E02"/>
    <w:rsid w:val="004D5E96"/>
    <w:rsid w:val="004D5ED7"/>
    <w:rsid w:val="004D5EF6"/>
    <w:rsid w:val="004D5F32"/>
    <w:rsid w:val="004D5FC7"/>
    <w:rsid w:val="004D5FDD"/>
    <w:rsid w:val="004D5FE0"/>
    <w:rsid w:val="004D5FF1"/>
    <w:rsid w:val="004D606F"/>
    <w:rsid w:val="004D626D"/>
    <w:rsid w:val="004D62E5"/>
    <w:rsid w:val="004D62EA"/>
    <w:rsid w:val="004D6344"/>
    <w:rsid w:val="004D636B"/>
    <w:rsid w:val="004D642D"/>
    <w:rsid w:val="004D6434"/>
    <w:rsid w:val="004D644E"/>
    <w:rsid w:val="004D64F0"/>
    <w:rsid w:val="004D65CA"/>
    <w:rsid w:val="004D674B"/>
    <w:rsid w:val="004D678A"/>
    <w:rsid w:val="004D6798"/>
    <w:rsid w:val="004D685B"/>
    <w:rsid w:val="004D6982"/>
    <w:rsid w:val="004D69B6"/>
    <w:rsid w:val="004D6B19"/>
    <w:rsid w:val="004D6B64"/>
    <w:rsid w:val="004D6BC7"/>
    <w:rsid w:val="004D6C7C"/>
    <w:rsid w:val="004D6D55"/>
    <w:rsid w:val="004D6E41"/>
    <w:rsid w:val="004D6E46"/>
    <w:rsid w:val="004D6EA4"/>
    <w:rsid w:val="004D6EAE"/>
    <w:rsid w:val="004D6F1E"/>
    <w:rsid w:val="004D6F83"/>
    <w:rsid w:val="004D7095"/>
    <w:rsid w:val="004D7109"/>
    <w:rsid w:val="004D71A6"/>
    <w:rsid w:val="004D7240"/>
    <w:rsid w:val="004D7363"/>
    <w:rsid w:val="004D7379"/>
    <w:rsid w:val="004D73D5"/>
    <w:rsid w:val="004D7491"/>
    <w:rsid w:val="004D76C4"/>
    <w:rsid w:val="004D7769"/>
    <w:rsid w:val="004D778F"/>
    <w:rsid w:val="004D77B8"/>
    <w:rsid w:val="004D7827"/>
    <w:rsid w:val="004D78CC"/>
    <w:rsid w:val="004D797F"/>
    <w:rsid w:val="004D79F9"/>
    <w:rsid w:val="004D7A30"/>
    <w:rsid w:val="004D7A78"/>
    <w:rsid w:val="004D7A94"/>
    <w:rsid w:val="004D7AD8"/>
    <w:rsid w:val="004D7AFB"/>
    <w:rsid w:val="004D7B13"/>
    <w:rsid w:val="004D7B90"/>
    <w:rsid w:val="004D7CC9"/>
    <w:rsid w:val="004D7D0E"/>
    <w:rsid w:val="004D7D11"/>
    <w:rsid w:val="004D7DF3"/>
    <w:rsid w:val="004D7E0F"/>
    <w:rsid w:val="004D7E4B"/>
    <w:rsid w:val="004D7E8C"/>
    <w:rsid w:val="004D7EB0"/>
    <w:rsid w:val="004E000C"/>
    <w:rsid w:val="004E00A1"/>
    <w:rsid w:val="004E017D"/>
    <w:rsid w:val="004E019A"/>
    <w:rsid w:val="004E01C1"/>
    <w:rsid w:val="004E01DA"/>
    <w:rsid w:val="004E0270"/>
    <w:rsid w:val="004E02A7"/>
    <w:rsid w:val="004E031C"/>
    <w:rsid w:val="004E040E"/>
    <w:rsid w:val="004E045E"/>
    <w:rsid w:val="004E0509"/>
    <w:rsid w:val="004E0568"/>
    <w:rsid w:val="004E06B0"/>
    <w:rsid w:val="004E06D0"/>
    <w:rsid w:val="004E06F3"/>
    <w:rsid w:val="004E0802"/>
    <w:rsid w:val="004E08B5"/>
    <w:rsid w:val="004E0965"/>
    <w:rsid w:val="004E098C"/>
    <w:rsid w:val="004E09AF"/>
    <w:rsid w:val="004E0B46"/>
    <w:rsid w:val="004E0C46"/>
    <w:rsid w:val="004E0CC5"/>
    <w:rsid w:val="004E0D63"/>
    <w:rsid w:val="004E0F86"/>
    <w:rsid w:val="004E0F9D"/>
    <w:rsid w:val="004E1071"/>
    <w:rsid w:val="004E10A3"/>
    <w:rsid w:val="004E10A9"/>
    <w:rsid w:val="004E1246"/>
    <w:rsid w:val="004E131D"/>
    <w:rsid w:val="004E15D4"/>
    <w:rsid w:val="004E1684"/>
    <w:rsid w:val="004E16DB"/>
    <w:rsid w:val="004E1736"/>
    <w:rsid w:val="004E177E"/>
    <w:rsid w:val="004E178A"/>
    <w:rsid w:val="004E17E1"/>
    <w:rsid w:val="004E17FE"/>
    <w:rsid w:val="004E1832"/>
    <w:rsid w:val="004E189E"/>
    <w:rsid w:val="004E18DE"/>
    <w:rsid w:val="004E19BB"/>
    <w:rsid w:val="004E19C7"/>
    <w:rsid w:val="004E1ACC"/>
    <w:rsid w:val="004E1ACF"/>
    <w:rsid w:val="004E1C31"/>
    <w:rsid w:val="004E1C33"/>
    <w:rsid w:val="004E1C7F"/>
    <w:rsid w:val="004E1C90"/>
    <w:rsid w:val="004E1CF5"/>
    <w:rsid w:val="004E1DA1"/>
    <w:rsid w:val="004E1E88"/>
    <w:rsid w:val="004E1EB9"/>
    <w:rsid w:val="004E1F58"/>
    <w:rsid w:val="004E1F6D"/>
    <w:rsid w:val="004E2263"/>
    <w:rsid w:val="004E228B"/>
    <w:rsid w:val="004E22CC"/>
    <w:rsid w:val="004E22CE"/>
    <w:rsid w:val="004E235F"/>
    <w:rsid w:val="004E23DD"/>
    <w:rsid w:val="004E2425"/>
    <w:rsid w:val="004E2492"/>
    <w:rsid w:val="004E24E5"/>
    <w:rsid w:val="004E2567"/>
    <w:rsid w:val="004E2601"/>
    <w:rsid w:val="004E268E"/>
    <w:rsid w:val="004E26DA"/>
    <w:rsid w:val="004E27B7"/>
    <w:rsid w:val="004E2807"/>
    <w:rsid w:val="004E28F4"/>
    <w:rsid w:val="004E2A46"/>
    <w:rsid w:val="004E2B98"/>
    <w:rsid w:val="004E2E1A"/>
    <w:rsid w:val="004E2E56"/>
    <w:rsid w:val="004E2EBB"/>
    <w:rsid w:val="004E2F3B"/>
    <w:rsid w:val="004E2FA0"/>
    <w:rsid w:val="004E2FFA"/>
    <w:rsid w:val="004E301A"/>
    <w:rsid w:val="004E3039"/>
    <w:rsid w:val="004E3101"/>
    <w:rsid w:val="004E310D"/>
    <w:rsid w:val="004E3119"/>
    <w:rsid w:val="004E31C5"/>
    <w:rsid w:val="004E321C"/>
    <w:rsid w:val="004E334A"/>
    <w:rsid w:val="004E334F"/>
    <w:rsid w:val="004E35D1"/>
    <w:rsid w:val="004E35FB"/>
    <w:rsid w:val="004E373F"/>
    <w:rsid w:val="004E3775"/>
    <w:rsid w:val="004E3785"/>
    <w:rsid w:val="004E3834"/>
    <w:rsid w:val="004E384E"/>
    <w:rsid w:val="004E3888"/>
    <w:rsid w:val="004E38CF"/>
    <w:rsid w:val="004E3949"/>
    <w:rsid w:val="004E3980"/>
    <w:rsid w:val="004E3A14"/>
    <w:rsid w:val="004E3A3A"/>
    <w:rsid w:val="004E3AC6"/>
    <w:rsid w:val="004E3ACD"/>
    <w:rsid w:val="004E3AFA"/>
    <w:rsid w:val="004E3BAC"/>
    <w:rsid w:val="004E3BE9"/>
    <w:rsid w:val="004E3C08"/>
    <w:rsid w:val="004E3C82"/>
    <w:rsid w:val="004E3CB8"/>
    <w:rsid w:val="004E3DBB"/>
    <w:rsid w:val="004E3DF8"/>
    <w:rsid w:val="004E3E89"/>
    <w:rsid w:val="004E3EFD"/>
    <w:rsid w:val="004E3F81"/>
    <w:rsid w:val="004E3FC1"/>
    <w:rsid w:val="004E40B9"/>
    <w:rsid w:val="004E4201"/>
    <w:rsid w:val="004E422E"/>
    <w:rsid w:val="004E42D9"/>
    <w:rsid w:val="004E4369"/>
    <w:rsid w:val="004E439B"/>
    <w:rsid w:val="004E43AC"/>
    <w:rsid w:val="004E43D0"/>
    <w:rsid w:val="004E44D1"/>
    <w:rsid w:val="004E4559"/>
    <w:rsid w:val="004E45A8"/>
    <w:rsid w:val="004E471E"/>
    <w:rsid w:val="004E47A2"/>
    <w:rsid w:val="004E4A11"/>
    <w:rsid w:val="004E4A1D"/>
    <w:rsid w:val="004E4A9A"/>
    <w:rsid w:val="004E4AFF"/>
    <w:rsid w:val="004E4B58"/>
    <w:rsid w:val="004E4BD8"/>
    <w:rsid w:val="004E4BDF"/>
    <w:rsid w:val="004E4C1F"/>
    <w:rsid w:val="004E4C4A"/>
    <w:rsid w:val="004E4C50"/>
    <w:rsid w:val="004E4C5F"/>
    <w:rsid w:val="004E4C77"/>
    <w:rsid w:val="004E4D3B"/>
    <w:rsid w:val="004E4D6C"/>
    <w:rsid w:val="004E4D8F"/>
    <w:rsid w:val="004E4DDB"/>
    <w:rsid w:val="004E4E89"/>
    <w:rsid w:val="004E4E9D"/>
    <w:rsid w:val="004E4F3D"/>
    <w:rsid w:val="004E4F81"/>
    <w:rsid w:val="004E4FE0"/>
    <w:rsid w:val="004E5066"/>
    <w:rsid w:val="004E51F1"/>
    <w:rsid w:val="004E51FE"/>
    <w:rsid w:val="004E524B"/>
    <w:rsid w:val="004E525F"/>
    <w:rsid w:val="004E52F9"/>
    <w:rsid w:val="004E5338"/>
    <w:rsid w:val="004E5375"/>
    <w:rsid w:val="004E5394"/>
    <w:rsid w:val="004E5420"/>
    <w:rsid w:val="004E5499"/>
    <w:rsid w:val="004E54E0"/>
    <w:rsid w:val="004E5697"/>
    <w:rsid w:val="004E569A"/>
    <w:rsid w:val="004E57BA"/>
    <w:rsid w:val="004E5842"/>
    <w:rsid w:val="004E5935"/>
    <w:rsid w:val="004E5959"/>
    <w:rsid w:val="004E5A49"/>
    <w:rsid w:val="004E5A73"/>
    <w:rsid w:val="004E5B54"/>
    <w:rsid w:val="004E5B97"/>
    <w:rsid w:val="004E5BA3"/>
    <w:rsid w:val="004E5C0F"/>
    <w:rsid w:val="004E5C6E"/>
    <w:rsid w:val="004E5CB6"/>
    <w:rsid w:val="004E5D0E"/>
    <w:rsid w:val="004E5D36"/>
    <w:rsid w:val="004E5DFF"/>
    <w:rsid w:val="004E5E79"/>
    <w:rsid w:val="004E5F09"/>
    <w:rsid w:val="004E5F10"/>
    <w:rsid w:val="004E5F42"/>
    <w:rsid w:val="004E5F96"/>
    <w:rsid w:val="004E60BE"/>
    <w:rsid w:val="004E6196"/>
    <w:rsid w:val="004E6238"/>
    <w:rsid w:val="004E63E4"/>
    <w:rsid w:val="004E6402"/>
    <w:rsid w:val="004E643F"/>
    <w:rsid w:val="004E645B"/>
    <w:rsid w:val="004E6477"/>
    <w:rsid w:val="004E64C4"/>
    <w:rsid w:val="004E67AF"/>
    <w:rsid w:val="004E6825"/>
    <w:rsid w:val="004E68DD"/>
    <w:rsid w:val="004E69E0"/>
    <w:rsid w:val="004E6D38"/>
    <w:rsid w:val="004E6D49"/>
    <w:rsid w:val="004E6E2B"/>
    <w:rsid w:val="004E6E2D"/>
    <w:rsid w:val="004E6E2E"/>
    <w:rsid w:val="004E6ED7"/>
    <w:rsid w:val="004E6F16"/>
    <w:rsid w:val="004E6F36"/>
    <w:rsid w:val="004E6F4A"/>
    <w:rsid w:val="004E7027"/>
    <w:rsid w:val="004E70AD"/>
    <w:rsid w:val="004E70B8"/>
    <w:rsid w:val="004E711C"/>
    <w:rsid w:val="004E720D"/>
    <w:rsid w:val="004E72A1"/>
    <w:rsid w:val="004E736D"/>
    <w:rsid w:val="004E7493"/>
    <w:rsid w:val="004E7738"/>
    <w:rsid w:val="004E779E"/>
    <w:rsid w:val="004E784C"/>
    <w:rsid w:val="004E787E"/>
    <w:rsid w:val="004E78A1"/>
    <w:rsid w:val="004E78AD"/>
    <w:rsid w:val="004E7900"/>
    <w:rsid w:val="004E7A8C"/>
    <w:rsid w:val="004E7B49"/>
    <w:rsid w:val="004E7BE9"/>
    <w:rsid w:val="004E7C09"/>
    <w:rsid w:val="004E7CE2"/>
    <w:rsid w:val="004E7E0A"/>
    <w:rsid w:val="004E7EA3"/>
    <w:rsid w:val="004E7EC2"/>
    <w:rsid w:val="004E7F2F"/>
    <w:rsid w:val="004F019C"/>
    <w:rsid w:val="004F02C6"/>
    <w:rsid w:val="004F0384"/>
    <w:rsid w:val="004F03AF"/>
    <w:rsid w:val="004F03D1"/>
    <w:rsid w:val="004F040C"/>
    <w:rsid w:val="004F0461"/>
    <w:rsid w:val="004F0486"/>
    <w:rsid w:val="004F04C3"/>
    <w:rsid w:val="004F04EE"/>
    <w:rsid w:val="004F050B"/>
    <w:rsid w:val="004F058A"/>
    <w:rsid w:val="004F05C8"/>
    <w:rsid w:val="004F0648"/>
    <w:rsid w:val="004F064F"/>
    <w:rsid w:val="004F06D4"/>
    <w:rsid w:val="004F0706"/>
    <w:rsid w:val="004F08F0"/>
    <w:rsid w:val="004F0921"/>
    <w:rsid w:val="004F0A3E"/>
    <w:rsid w:val="004F0A6A"/>
    <w:rsid w:val="004F0ABE"/>
    <w:rsid w:val="004F0B76"/>
    <w:rsid w:val="004F0BF3"/>
    <w:rsid w:val="004F0D31"/>
    <w:rsid w:val="004F0DA7"/>
    <w:rsid w:val="004F0DEA"/>
    <w:rsid w:val="004F0E29"/>
    <w:rsid w:val="004F0E47"/>
    <w:rsid w:val="004F10A5"/>
    <w:rsid w:val="004F1140"/>
    <w:rsid w:val="004F11A7"/>
    <w:rsid w:val="004F11B0"/>
    <w:rsid w:val="004F11B6"/>
    <w:rsid w:val="004F11C7"/>
    <w:rsid w:val="004F1219"/>
    <w:rsid w:val="004F1223"/>
    <w:rsid w:val="004F1291"/>
    <w:rsid w:val="004F1318"/>
    <w:rsid w:val="004F13DF"/>
    <w:rsid w:val="004F13FA"/>
    <w:rsid w:val="004F1417"/>
    <w:rsid w:val="004F14AE"/>
    <w:rsid w:val="004F14B2"/>
    <w:rsid w:val="004F153B"/>
    <w:rsid w:val="004F15C9"/>
    <w:rsid w:val="004F169E"/>
    <w:rsid w:val="004F16FC"/>
    <w:rsid w:val="004F1799"/>
    <w:rsid w:val="004F17D4"/>
    <w:rsid w:val="004F180D"/>
    <w:rsid w:val="004F1862"/>
    <w:rsid w:val="004F1866"/>
    <w:rsid w:val="004F1871"/>
    <w:rsid w:val="004F19AB"/>
    <w:rsid w:val="004F1A99"/>
    <w:rsid w:val="004F1C43"/>
    <w:rsid w:val="004F1D7A"/>
    <w:rsid w:val="004F1EC2"/>
    <w:rsid w:val="004F21CB"/>
    <w:rsid w:val="004F23B0"/>
    <w:rsid w:val="004F23C3"/>
    <w:rsid w:val="004F23DD"/>
    <w:rsid w:val="004F23FB"/>
    <w:rsid w:val="004F2474"/>
    <w:rsid w:val="004F2508"/>
    <w:rsid w:val="004F254C"/>
    <w:rsid w:val="004F2650"/>
    <w:rsid w:val="004F26D0"/>
    <w:rsid w:val="004F26D7"/>
    <w:rsid w:val="004F26E9"/>
    <w:rsid w:val="004F276B"/>
    <w:rsid w:val="004F27D5"/>
    <w:rsid w:val="004F286E"/>
    <w:rsid w:val="004F2905"/>
    <w:rsid w:val="004F292F"/>
    <w:rsid w:val="004F2980"/>
    <w:rsid w:val="004F2B8C"/>
    <w:rsid w:val="004F2BA3"/>
    <w:rsid w:val="004F2BDE"/>
    <w:rsid w:val="004F2DB8"/>
    <w:rsid w:val="004F2E92"/>
    <w:rsid w:val="004F2F56"/>
    <w:rsid w:val="004F30BB"/>
    <w:rsid w:val="004F312B"/>
    <w:rsid w:val="004F31E9"/>
    <w:rsid w:val="004F3212"/>
    <w:rsid w:val="004F3278"/>
    <w:rsid w:val="004F3314"/>
    <w:rsid w:val="004F333D"/>
    <w:rsid w:val="004F336D"/>
    <w:rsid w:val="004F33D4"/>
    <w:rsid w:val="004F346A"/>
    <w:rsid w:val="004F34F0"/>
    <w:rsid w:val="004F35D1"/>
    <w:rsid w:val="004F3608"/>
    <w:rsid w:val="004F36F8"/>
    <w:rsid w:val="004F3796"/>
    <w:rsid w:val="004F37FF"/>
    <w:rsid w:val="004F3889"/>
    <w:rsid w:val="004F38B8"/>
    <w:rsid w:val="004F3941"/>
    <w:rsid w:val="004F3BE2"/>
    <w:rsid w:val="004F3C1E"/>
    <w:rsid w:val="004F3C3B"/>
    <w:rsid w:val="004F3C86"/>
    <w:rsid w:val="004F3CAF"/>
    <w:rsid w:val="004F3CCE"/>
    <w:rsid w:val="004F3D28"/>
    <w:rsid w:val="004F3D8A"/>
    <w:rsid w:val="004F3ED5"/>
    <w:rsid w:val="004F3F08"/>
    <w:rsid w:val="004F3FE4"/>
    <w:rsid w:val="004F4067"/>
    <w:rsid w:val="004F41CF"/>
    <w:rsid w:val="004F43F2"/>
    <w:rsid w:val="004F4412"/>
    <w:rsid w:val="004F4490"/>
    <w:rsid w:val="004F44E1"/>
    <w:rsid w:val="004F451A"/>
    <w:rsid w:val="004F45B1"/>
    <w:rsid w:val="004F45D5"/>
    <w:rsid w:val="004F4614"/>
    <w:rsid w:val="004F4702"/>
    <w:rsid w:val="004F470F"/>
    <w:rsid w:val="004F4762"/>
    <w:rsid w:val="004F47B0"/>
    <w:rsid w:val="004F4837"/>
    <w:rsid w:val="004F48A9"/>
    <w:rsid w:val="004F4A01"/>
    <w:rsid w:val="004F4A33"/>
    <w:rsid w:val="004F4A4E"/>
    <w:rsid w:val="004F4B1F"/>
    <w:rsid w:val="004F4BB1"/>
    <w:rsid w:val="004F4C36"/>
    <w:rsid w:val="004F4D0A"/>
    <w:rsid w:val="004F4FC1"/>
    <w:rsid w:val="004F4FD7"/>
    <w:rsid w:val="004F502C"/>
    <w:rsid w:val="004F50CB"/>
    <w:rsid w:val="004F5131"/>
    <w:rsid w:val="004F5211"/>
    <w:rsid w:val="004F528D"/>
    <w:rsid w:val="004F52F4"/>
    <w:rsid w:val="004F534E"/>
    <w:rsid w:val="004F5364"/>
    <w:rsid w:val="004F542E"/>
    <w:rsid w:val="004F54B4"/>
    <w:rsid w:val="004F54D3"/>
    <w:rsid w:val="004F5510"/>
    <w:rsid w:val="004F552E"/>
    <w:rsid w:val="004F55A0"/>
    <w:rsid w:val="004F55E7"/>
    <w:rsid w:val="004F5609"/>
    <w:rsid w:val="004F56B6"/>
    <w:rsid w:val="004F579C"/>
    <w:rsid w:val="004F57F5"/>
    <w:rsid w:val="004F58A1"/>
    <w:rsid w:val="004F58B4"/>
    <w:rsid w:val="004F58F6"/>
    <w:rsid w:val="004F597B"/>
    <w:rsid w:val="004F598C"/>
    <w:rsid w:val="004F5A54"/>
    <w:rsid w:val="004F5AFC"/>
    <w:rsid w:val="004F5CF5"/>
    <w:rsid w:val="004F5D28"/>
    <w:rsid w:val="004F5D51"/>
    <w:rsid w:val="004F5DF4"/>
    <w:rsid w:val="004F5EB2"/>
    <w:rsid w:val="004F5F59"/>
    <w:rsid w:val="004F5FB0"/>
    <w:rsid w:val="004F5FCE"/>
    <w:rsid w:val="004F604E"/>
    <w:rsid w:val="004F6075"/>
    <w:rsid w:val="004F6078"/>
    <w:rsid w:val="004F60E5"/>
    <w:rsid w:val="004F60EB"/>
    <w:rsid w:val="004F614E"/>
    <w:rsid w:val="004F62C2"/>
    <w:rsid w:val="004F6368"/>
    <w:rsid w:val="004F6385"/>
    <w:rsid w:val="004F645C"/>
    <w:rsid w:val="004F64F0"/>
    <w:rsid w:val="004F65A3"/>
    <w:rsid w:val="004F666A"/>
    <w:rsid w:val="004F66F3"/>
    <w:rsid w:val="004F6790"/>
    <w:rsid w:val="004F6828"/>
    <w:rsid w:val="004F684D"/>
    <w:rsid w:val="004F685F"/>
    <w:rsid w:val="004F68AF"/>
    <w:rsid w:val="004F68F5"/>
    <w:rsid w:val="004F69C0"/>
    <w:rsid w:val="004F6AE3"/>
    <w:rsid w:val="004F6C47"/>
    <w:rsid w:val="004F6C9E"/>
    <w:rsid w:val="004F6D14"/>
    <w:rsid w:val="004F6EEA"/>
    <w:rsid w:val="004F6F0F"/>
    <w:rsid w:val="004F6FD6"/>
    <w:rsid w:val="004F7245"/>
    <w:rsid w:val="004F7302"/>
    <w:rsid w:val="004F7343"/>
    <w:rsid w:val="004F7361"/>
    <w:rsid w:val="004F736D"/>
    <w:rsid w:val="004F741B"/>
    <w:rsid w:val="004F7475"/>
    <w:rsid w:val="004F74C9"/>
    <w:rsid w:val="004F74F8"/>
    <w:rsid w:val="004F75CC"/>
    <w:rsid w:val="004F766E"/>
    <w:rsid w:val="004F76E5"/>
    <w:rsid w:val="004F7938"/>
    <w:rsid w:val="004F7A92"/>
    <w:rsid w:val="004F7B7E"/>
    <w:rsid w:val="004F7C2D"/>
    <w:rsid w:val="004F7D14"/>
    <w:rsid w:val="004F7EBC"/>
    <w:rsid w:val="004F7EE0"/>
    <w:rsid w:val="004F7EF4"/>
    <w:rsid w:val="004F7F39"/>
    <w:rsid w:val="004F7F8D"/>
    <w:rsid w:val="004F7FC3"/>
    <w:rsid w:val="00500152"/>
    <w:rsid w:val="00500167"/>
    <w:rsid w:val="0050016D"/>
    <w:rsid w:val="0050049D"/>
    <w:rsid w:val="005004C4"/>
    <w:rsid w:val="00500573"/>
    <w:rsid w:val="00500650"/>
    <w:rsid w:val="00500678"/>
    <w:rsid w:val="00500707"/>
    <w:rsid w:val="0050086B"/>
    <w:rsid w:val="005008F5"/>
    <w:rsid w:val="00500931"/>
    <w:rsid w:val="00500A58"/>
    <w:rsid w:val="00500A73"/>
    <w:rsid w:val="00500ABE"/>
    <w:rsid w:val="00500BD4"/>
    <w:rsid w:val="00500CDC"/>
    <w:rsid w:val="00500D01"/>
    <w:rsid w:val="00500F1E"/>
    <w:rsid w:val="00500FFB"/>
    <w:rsid w:val="0050128D"/>
    <w:rsid w:val="005013EB"/>
    <w:rsid w:val="005015A0"/>
    <w:rsid w:val="005015D9"/>
    <w:rsid w:val="005015EB"/>
    <w:rsid w:val="005016E4"/>
    <w:rsid w:val="005016E8"/>
    <w:rsid w:val="00501799"/>
    <w:rsid w:val="005017B1"/>
    <w:rsid w:val="005018A3"/>
    <w:rsid w:val="00501AB1"/>
    <w:rsid w:val="00501ADC"/>
    <w:rsid w:val="00501AE3"/>
    <w:rsid w:val="00501BC4"/>
    <w:rsid w:val="00501D24"/>
    <w:rsid w:val="00501D41"/>
    <w:rsid w:val="00501D4F"/>
    <w:rsid w:val="00501E15"/>
    <w:rsid w:val="00501F6A"/>
    <w:rsid w:val="00501FCF"/>
    <w:rsid w:val="0050206D"/>
    <w:rsid w:val="00502089"/>
    <w:rsid w:val="00502142"/>
    <w:rsid w:val="0050217F"/>
    <w:rsid w:val="00502224"/>
    <w:rsid w:val="00502283"/>
    <w:rsid w:val="005022F4"/>
    <w:rsid w:val="005023C3"/>
    <w:rsid w:val="00502417"/>
    <w:rsid w:val="00502433"/>
    <w:rsid w:val="00502437"/>
    <w:rsid w:val="00502458"/>
    <w:rsid w:val="0050246D"/>
    <w:rsid w:val="00502515"/>
    <w:rsid w:val="00502536"/>
    <w:rsid w:val="005025DE"/>
    <w:rsid w:val="00502773"/>
    <w:rsid w:val="00502886"/>
    <w:rsid w:val="005028A9"/>
    <w:rsid w:val="0050292E"/>
    <w:rsid w:val="005029B0"/>
    <w:rsid w:val="005029DA"/>
    <w:rsid w:val="00502A28"/>
    <w:rsid w:val="00502A4E"/>
    <w:rsid w:val="00502A5F"/>
    <w:rsid w:val="00502A90"/>
    <w:rsid w:val="00502A9E"/>
    <w:rsid w:val="00502AE9"/>
    <w:rsid w:val="00502B22"/>
    <w:rsid w:val="00502C70"/>
    <w:rsid w:val="00502CCC"/>
    <w:rsid w:val="00502DB6"/>
    <w:rsid w:val="00502E15"/>
    <w:rsid w:val="00502EFA"/>
    <w:rsid w:val="00502F4E"/>
    <w:rsid w:val="00503018"/>
    <w:rsid w:val="005030D3"/>
    <w:rsid w:val="0050318D"/>
    <w:rsid w:val="005031C7"/>
    <w:rsid w:val="005031EE"/>
    <w:rsid w:val="00503217"/>
    <w:rsid w:val="005032D3"/>
    <w:rsid w:val="005033AC"/>
    <w:rsid w:val="005033FB"/>
    <w:rsid w:val="0050343B"/>
    <w:rsid w:val="0050349B"/>
    <w:rsid w:val="005035F6"/>
    <w:rsid w:val="00503901"/>
    <w:rsid w:val="0050398C"/>
    <w:rsid w:val="005039B1"/>
    <w:rsid w:val="00503A11"/>
    <w:rsid w:val="00503A12"/>
    <w:rsid w:val="00503A19"/>
    <w:rsid w:val="00503A31"/>
    <w:rsid w:val="00503A3F"/>
    <w:rsid w:val="00503A45"/>
    <w:rsid w:val="00503A4C"/>
    <w:rsid w:val="00503A8E"/>
    <w:rsid w:val="00503AB2"/>
    <w:rsid w:val="00503AD6"/>
    <w:rsid w:val="00503AF6"/>
    <w:rsid w:val="00503B25"/>
    <w:rsid w:val="00503B98"/>
    <w:rsid w:val="00503BF2"/>
    <w:rsid w:val="00503BF7"/>
    <w:rsid w:val="00503C2A"/>
    <w:rsid w:val="00503C7B"/>
    <w:rsid w:val="00503D3F"/>
    <w:rsid w:val="00503DDB"/>
    <w:rsid w:val="005040A2"/>
    <w:rsid w:val="00504142"/>
    <w:rsid w:val="00504188"/>
    <w:rsid w:val="00504241"/>
    <w:rsid w:val="0050426D"/>
    <w:rsid w:val="0050432A"/>
    <w:rsid w:val="0050438A"/>
    <w:rsid w:val="005046AA"/>
    <w:rsid w:val="00504831"/>
    <w:rsid w:val="00504934"/>
    <w:rsid w:val="005049D7"/>
    <w:rsid w:val="005049DD"/>
    <w:rsid w:val="00504A9D"/>
    <w:rsid w:val="00504ABB"/>
    <w:rsid w:val="00504B5C"/>
    <w:rsid w:val="00504B96"/>
    <w:rsid w:val="00504BEC"/>
    <w:rsid w:val="00504C99"/>
    <w:rsid w:val="00504D26"/>
    <w:rsid w:val="00504D69"/>
    <w:rsid w:val="00504DE2"/>
    <w:rsid w:val="00504E4E"/>
    <w:rsid w:val="00504E52"/>
    <w:rsid w:val="00504F2E"/>
    <w:rsid w:val="00504F30"/>
    <w:rsid w:val="00505051"/>
    <w:rsid w:val="00505392"/>
    <w:rsid w:val="005053F5"/>
    <w:rsid w:val="00505434"/>
    <w:rsid w:val="0050546C"/>
    <w:rsid w:val="00505509"/>
    <w:rsid w:val="0050553B"/>
    <w:rsid w:val="00505670"/>
    <w:rsid w:val="00505690"/>
    <w:rsid w:val="00505742"/>
    <w:rsid w:val="0050585E"/>
    <w:rsid w:val="00505920"/>
    <w:rsid w:val="00505A48"/>
    <w:rsid w:val="00505AB3"/>
    <w:rsid w:val="00505AE1"/>
    <w:rsid w:val="00505B0B"/>
    <w:rsid w:val="00505B89"/>
    <w:rsid w:val="00505BF9"/>
    <w:rsid w:val="00505C7D"/>
    <w:rsid w:val="00505E3C"/>
    <w:rsid w:val="00505E96"/>
    <w:rsid w:val="00505EEB"/>
    <w:rsid w:val="00505F68"/>
    <w:rsid w:val="00505F69"/>
    <w:rsid w:val="00506031"/>
    <w:rsid w:val="00506059"/>
    <w:rsid w:val="00506133"/>
    <w:rsid w:val="00506153"/>
    <w:rsid w:val="00506208"/>
    <w:rsid w:val="00506271"/>
    <w:rsid w:val="00506304"/>
    <w:rsid w:val="00506381"/>
    <w:rsid w:val="00506457"/>
    <w:rsid w:val="005065B8"/>
    <w:rsid w:val="005065C0"/>
    <w:rsid w:val="0050662E"/>
    <w:rsid w:val="0050666A"/>
    <w:rsid w:val="0050668E"/>
    <w:rsid w:val="005066A3"/>
    <w:rsid w:val="005066EB"/>
    <w:rsid w:val="00506768"/>
    <w:rsid w:val="005067C6"/>
    <w:rsid w:val="00506811"/>
    <w:rsid w:val="005068C1"/>
    <w:rsid w:val="0050695C"/>
    <w:rsid w:val="0050696C"/>
    <w:rsid w:val="005069E0"/>
    <w:rsid w:val="005069F9"/>
    <w:rsid w:val="00506AE6"/>
    <w:rsid w:val="00506B61"/>
    <w:rsid w:val="00506BB0"/>
    <w:rsid w:val="00506BB4"/>
    <w:rsid w:val="00506C47"/>
    <w:rsid w:val="00506C92"/>
    <w:rsid w:val="00506DFD"/>
    <w:rsid w:val="00506E01"/>
    <w:rsid w:val="00506E19"/>
    <w:rsid w:val="00506ED6"/>
    <w:rsid w:val="00506FAF"/>
    <w:rsid w:val="00506FE5"/>
    <w:rsid w:val="00506FFA"/>
    <w:rsid w:val="00506FFE"/>
    <w:rsid w:val="00507159"/>
    <w:rsid w:val="005072D4"/>
    <w:rsid w:val="0050734D"/>
    <w:rsid w:val="00507365"/>
    <w:rsid w:val="0050736C"/>
    <w:rsid w:val="00507597"/>
    <w:rsid w:val="005075A2"/>
    <w:rsid w:val="0050764F"/>
    <w:rsid w:val="005076F6"/>
    <w:rsid w:val="0050773F"/>
    <w:rsid w:val="00507744"/>
    <w:rsid w:val="00507753"/>
    <w:rsid w:val="00507792"/>
    <w:rsid w:val="005077B7"/>
    <w:rsid w:val="0050780E"/>
    <w:rsid w:val="00507857"/>
    <w:rsid w:val="005079AD"/>
    <w:rsid w:val="00507A1A"/>
    <w:rsid w:val="00507A3B"/>
    <w:rsid w:val="00507A70"/>
    <w:rsid w:val="00507B08"/>
    <w:rsid w:val="00507EED"/>
    <w:rsid w:val="00507F30"/>
    <w:rsid w:val="00510022"/>
    <w:rsid w:val="0051002D"/>
    <w:rsid w:val="005100D9"/>
    <w:rsid w:val="005101AE"/>
    <w:rsid w:val="005101EF"/>
    <w:rsid w:val="0051031C"/>
    <w:rsid w:val="00510348"/>
    <w:rsid w:val="005103E5"/>
    <w:rsid w:val="00510408"/>
    <w:rsid w:val="005104F9"/>
    <w:rsid w:val="005105FD"/>
    <w:rsid w:val="005105FF"/>
    <w:rsid w:val="0051066D"/>
    <w:rsid w:val="005107EC"/>
    <w:rsid w:val="00510A2F"/>
    <w:rsid w:val="00510A38"/>
    <w:rsid w:val="00510B4A"/>
    <w:rsid w:val="00510BE2"/>
    <w:rsid w:val="00510BFB"/>
    <w:rsid w:val="00510C2A"/>
    <w:rsid w:val="00510C2E"/>
    <w:rsid w:val="00510CCD"/>
    <w:rsid w:val="00510CFA"/>
    <w:rsid w:val="00510D59"/>
    <w:rsid w:val="00510D6B"/>
    <w:rsid w:val="00510E05"/>
    <w:rsid w:val="00510E98"/>
    <w:rsid w:val="00510EAE"/>
    <w:rsid w:val="00511058"/>
    <w:rsid w:val="005110C4"/>
    <w:rsid w:val="00511114"/>
    <w:rsid w:val="005111C0"/>
    <w:rsid w:val="005111DE"/>
    <w:rsid w:val="005111F5"/>
    <w:rsid w:val="00511251"/>
    <w:rsid w:val="005112BE"/>
    <w:rsid w:val="005112F6"/>
    <w:rsid w:val="00511398"/>
    <w:rsid w:val="005114A0"/>
    <w:rsid w:val="0051154D"/>
    <w:rsid w:val="00511625"/>
    <w:rsid w:val="00511680"/>
    <w:rsid w:val="00511799"/>
    <w:rsid w:val="005117A1"/>
    <w:rsid w:val="00511923"/>
    <w:rsid w:val="0051193F"/>
    <w:rsid w:val="0051195A"/>
    <w:rsid w:val="005119BB"/>
    <w:rsid w:val="005119FF"/>
    <w:rsid w:val="00511A51"/>
    <w:rsid w:val="00511A70"/>
    <w:rsid w:val="00511AD7"/>
    <w:rsid w:val="00511AEA"/>
    <w:rsid w:val="00511B68"/>
    <w:rsid w:val="00511B79"/>
    <w:rsid w:val="00511CB3"/>
    <w:rsid w:val="00511DF0"/>
    <w:rsid w:val="00511E0B"/>
    <w:rsid w:val="00511F05"/>
    <w:rsid w:val="0051216B"/>
    <w:rsid w:val="00512217"/>
    <w:rsid w:val="005122DE"/>
    <w:rsid w:val="00512378"/>
    <w:rsid w:val="0051257F"/>
    <w:rsid w:val="00512621"/>
    <w:rsid w:val="00512640"/>
    <w:rsid w:val="00512663"/>
    <w:rsid w:val="0051268A"/>
    <w:rsid w:val="0051277D"/>
    <w:rsid w:val="005127D0"/>
    <w:rsid w:val="0051286F"/>
    <w:rsid w:val="00512873"/>
    <w:rsid w:val="005128E8"/>
    <w:rsid w:val="0051294C"/>
    <w:rsid w:val="005129B0"/>
    <w:rsid w:val="005129DD"/>
    <w:rsid w:val="00512A18"/>
    <w:rsid w:val="00512AF6"/>
    <w:rsid w:val="00512BB7"/>
    <w:rsid w:val="00512BD8"/>
    <w:rsid w:val="00512C6A"/>
    <w:rsid w:val="00512D0B"/>
    <w:rsid w:val="00512D15"/>
    <w:rsid w:val="00512DA7"/>
    <w:rsid w:val="00512EB6"/>
    <w:rsid w:val="00512ED2"/>
    <w:rsid w:val="00512FB0"/>
    <w:rsid w:val="00512FBA"/>
    <w:rsid w:val="0051315F"/>
    <w:rsid w:val="005131BC"/>
    <w:rsid w:val="00513463"/>
    <w:rsid w:val="005134A6"/>
    <w:rsid w:val="00513521"/>
    <w:rsid w:val="00513590"/>
    <w:rsid w:val="00513615"/>
    <w:rsid w:val="0051365C"/>
    <w:rsid w:val="00513777"/>
    <w:rsid w:val="00513951"/>
    <w:rsid w:val="00513970"/>
    <w:rsid w:val="00513A1D"/>
    <w:rsid w:val="00513A22"/>
    <w:rsid w:val="00513A79"/>
    <w:rsid w:val="00513AA9"/>
    <w:rsid w:val="00513ACF"/>
    <w:rsid w:val="00513BE9"/>
    <w:rsid w:val="00513C9A"/>
    <w:rsid w:val="00513CB5"/>
    <w:rsid w:val="00513D9F"/>
    <w:rsid w:val="00513F84"/>
    <w:rsid w:val="00513F9A"/>
    <w:rsid w:val="00513FF2"/>
    <w:rsid w:val="00514007"/>
    <w:rsid w:val="0051417B"/>
    <w:rsid w:val="005141D2"/>
    <w:rsid w:val="00514270"/>
    <w:rsid w:val="005142E4"/>
    <w:rsid w:val="00514345"/>
    <w:rsid w:val="00514504"/>
    <w:rsid w:val="005145E3"/>
    <w:rsid w:val="005146D4"/>
    <w:rsid w:val="00514721"/>
    <w:rsid w:val="00514783"/>
    <w:rsid w:val="005147DE"/>
    <w:rsid w:val="0051480B"/>
    <w:rsid w:val="0051487E"/>
    <w:rsid w:val="00514A31"/>
    <w:rsid w:val="00514A39"/>
    <w:rsid w:val="00514A7E"/>
    <w:rsid w:val="00514B2E"/>
    <w:rsid w:val="00514B3F"/>
    <w:rsid w:val="00514B60"/>
    <w:rsid w:val="00514C26"/>
    <w:rsid w:val="00514ED4"/>
    <w:rsid w:val="00514EF6"/>
    <w:rsid w:val="00514FBD"/>
    <w:rsid w:val="00515011"/>
    <w:rsid w:val="00515015"/>
    <w:rsid w:val="00515123"/>
    <w:rsid w:val="005152DB"/>
    <w:rsid w:val="00515307"/>
    <w:rsid w:val="0051549B"/>
    <w:rsid w:val="005154D7"/>
    <w:rsid w:val="00515572"/>
    <w:rsid w:val="005155E4"/>
    <w:rsid w:val="00515671"/>
    <w:rsid w:val="00515731"/>
    <w:rsid w:val="005157E2"/>
    <w:rsid w:val="0051583D"/>
    <w:rsid w:val="00515854"/>
    <w:rsid w:val="00515897"/>
    <w:rsid w:val="005158BC"/>
    <w:rsid w:val="00515910"/>
    <w:rsid w:val="0051591F"/>
    <w:rsid w:val="005159EB"/>
    <w:rsid w:val="00515B76"/>
    <w:rsid w:val="00515BC0"/>
    <w:rsid w:val="00515C98"/>
    <w:rsid w:val="00515D75"/>
    <w:rsid w:val="00515DD8"/>
    <w:rsid w:val="00515DF6"/>
    <w:rsid w:val="00515E13"/>
    <w:rsid w:val="00515E6A"/>
    <w:rsid w:val="00515E70"/>
    <w:rsid w:val="00515EC1"/>
    <w:rsid w:val="00515F0C"/>
    <w:rsid w:val="0051603A"/>
    <w:rsid w:val="00516050"/>
    <w:rsid w:val="005160FB"/>
    <w:rsid w:val="00516106"/>
    <w:rsid w:val="0051611D"/>
    <w:rsid w:val="0051628D"/>
    <w:rsid w:val="00516291"/>
    <w:rsid w:val="00516306"/>
    <w:rsid w:val="00516325"/>
    <w:rsid w:val="00516526"/>
    <w:rsid w:val="005165CD"/>
    <w:rsid w:val="0051665E"/>
    <w:rsid w:val="005166F7"/>
    <w:rsid w:val="00516887"/>
    <w:rsid w:val="005168B1"/>
    <w:rsid w:val="0051699B"/>
    <w:rsid w:val="00516A39"/>
    <w:rsid w:val="00516A84"/>
    <w:rsid w:val="00516B3F"/>
    <w:rsid w:val="00516B76"/>
    <w:rsid w:val="00516BA8"/>
    <w:rsid w:val="00516CBE"/>
    <w:rsid w:val="00516D12"/>
    <w:rsid w:val="00516F00"/>
    <w:rsid w:val="005170CF"/>
    <w:rsid w:val="00517373"/>
    <w:rsid w:val="005173C4"/>
    <w:rsid w:val="005173C6"/>
    <w:rsid w:val="005173CC"/>
    <w:rsid w:val="00517503"/>
    <w:rsid w:val="0051750B"/>
    <w:rsid w:val="00517569"/>
    <w:rsid w:val="0051759B"/>
    <w:rsid w:val="00517690"/>
    <w:rsid w:val="00517776"/>
    <w:rsid w:val="00517780"/>
    <w:rsid w:val="00517879"/>
    <w:rsid w:val="0051794E"/>
    <w:rsid w:val="00517956"/>
    <w:rsid w:val="00517B72"/>
    <w:rsid w:val="00517BBC"/>
    <w:rsid w:val="00517BE9"/>
    <w:rsid w:val="00517C4F"/>
    <w:rsid w:val="00517D00"/>
    <w:rsid w:val="00517DE7"/>
    <w:rsid w:val="00517E3E"/>
    <w:rsid w:val="00517E6C"/>
    <w:rsid w:val="00517E90"/>
    <w:rsid w:val="00517EB9"/>
    <w:rsid w:val="00517F03"/>
    <w:rsid w:val="00517F5D"/>
    <w:rsid w:val="00517FD6"/>
    <w:rsid w:val="00517FDF"/>
    <w:rsid w:val="0052007A"/>
    <w:rsid w:val="005201A2"/>
    <w:rsid w:val="005201B5"/>
    <w:rsid w:val="00520228"/>
    <w:rsid w:val="00520314"/>
    <w:rsid w:val="0052032B"/>
    <w:rsid w:val="00520352"/>
    <w:rsid w:val="005203A0"/>
    <w:rsid w:val="00520403"/>
    <w:rsid w:val="005204D7"/>
    <w:rsid w:val="005204F3"/>
    <w:rsid w:val="00520534"/>
    <w:rsid w:val="00520606"/>
    <w:rsid w:val="0052063C"/>
    <w:rsid w:val="0052063D"/>
    <w:rsid w:val="00520804"/>
    <w:rsid w:val="00520867"/>
    <w:rsid w:val="00520871"/>
    <w:rsid w:val="005208D0"/>
    <w:rsid w:val="005208F5"/>
    <w:rsid w:val="00520928"/>
    <w:rsid w:val="00520985"/>
    <w:rsid w:val="00520A42"/>
    <w:rsid w:val="00520AA9"/>
    <w:rsid w:val="00520B2A"/>
    <w:rsid w:val="00520C3D"/>
    <w:rsid w:val="00520C4C"/>
    <w:rsid w:val="00520CB6"/>
    <w:rsid w:val="00520CE1"/>
    <w:rsid w:val="00520D32"/>
    <w:rsid w:val="00520DA6"/>
    <w:rsid w:val="00520DF2"/>
    <w:rsid w:val="00520F93"/>
    <w:rsid w:val="00521026"/>
    <w:rsid w:val="00521058"/>
    <w:rsid w:val="00521074"/>
    <w:rsid w:val="0052148B"/>
    <w:rsid w:val="00521495"/>
    <w:rsid w:val="005214C3"/>
    <w:rsid w:val="00521517"/>
    <w:rsid w:val="0052151B"/>
    <w:rsid w:val="00521563"/>
    <w:rsid w:val="0052160E"/>
    <w:rsid w:val="005216D8"/>
    <w:rsid w:val="0052175C"/>
    <w:rsid w:val="0052195A"/>
    <w:rsid w:val="00521A04"/>
    <w:rsid w:val="00521A53"/>
    <w:rsid w:val="00521B39"/>
    <w:rsid w:val="00521B59"/>
    <w:rsid w:val="00521D3B"/>
    <w:rsid w:val="00521D4C"/>
    <w:rsid w:val="00521F35"/>
    <w:rsid w:val="00521FD0"/>
    <w:rsid w:val="00521FDF"/>
    <w:rsid w:val="00522097"/>
    <w:rsid w:val="005221FB"/>
    <w:rsid w:val="005225C5"/>
    <w:rsid w:val="005226A2"/>
    <w:rsid w:val="005227E3"/>
    <w:rsid w:val="005229E5"/>
    <w:rsid w:val="00522B56"/>
    <w:rsid w:val="00522CB8"/>
    <w:rsid w:val="00522E95"/>
    <w:rsid w:val="00522F26"/>
    <w:rsid w:val="00522FDF"/>
    <w:rsid w:val="0052309A"/>
    <w:rsid w:val="00523135"/>
    <w:rsid w:val="00523233"/>
    <w:rsid w:val="005232D8"/>
    <w:rsid w:val="00523368"/>
    <w:rsid w:val="005233E8"/>
    <w:rsid w:val="00523557"/>
    <w:rsid w:val="00523583"/>
    <w:rsid w:val="005235D4"/>
    <w:rsid w:val="00523685"/>
    <w:rsid w:val="005236D6"/>
    <w:rsid w:val="005236D7"/>
    <w:rsid w:val="0052373D"/>
    <w:rsid w:val="0052374C"/>
    <w:rsid w:val="00523789"/>
    <w:rsid w:val="005237DB"/>
    <w:rsid w:val="005238AF"/>
    <w:rsid w:val="005238F3"/>
    <w:rsid w:val="0052390D"/>
    <w:rsid w:val="0052393B"/>
    <w:rsid w:val="00523989"/>
    <w:rsid w:val="005239BB"/>
    <w:rsid w:val="005239CB"/>
    <w:rsid w:val="00523B56"/>
    <w:rsid w:val="00523B70"/>
    <w:rsid w:val="00523C16"/>
    <w:rsid w:val="00523C5A"/>
    <w:rsid w:val="00523D5A"/>
    <w:rsid w:val="00523D9A"/>
    <w:rsid w:val="00523DFE"/>
    <w:rsid w:val="00523E91"/>
    <w:rsid w:val="00523EE0"/>
    <w:rsid w:val="00523EF6"/>
    <w:rsid w:val="00523F41"/>
    <w:rsid w:val="00523F55"/>
    <w:rsid w:val="00524029"/>
    <w:rsid w:val="005240FA"/>
    <w:rsid w:val="0052416C"/>
    <w:rsid w:val="00524234"/>
    <w:rsid w:val="00524362"/>
    <w:rsid w:val="0052438C"/>
    <w:rsid w:val="005243D5"/>
    <w:rsid w:val="005243F8"/>
    <w:rsid w:val="005244BD"/>
    <w:rsid w:val="00524784"/>
    <w:rsid w:val="005247B8"/>
    <w:rsid w:val="005247FF"/>
    <w:rsid w:val="0052482C"/>
    <w:rsid w:val="00524853"/>
    <w:rsid w:val="00524B42"/>
    <w:rsid w:val="00524B6C"/>
    <w:rsid w:val="00524BCD"/>
    <w:rsid w:val="00524BD0"/>
    <w:rsid w:val="00524BF3"/>
    <w:rsid w:val="00524C65"/>
    <w:rsid w:val="00524CE9"/>
    <w:rsid w:val="00524D46"/>
    <w:rsid w:val="00524D8D"/>
    <w:rsid w:val="00524D9B"/>
    <w:rsid w:val="00524DBE"/>
    <w:rsid w:val="0052500B"/>
    <w:rsid w:val="00525189"/>
    <w:rsid w:val="005251F0"/>
    <w:rsid w:val="005252CD"/>
    <w:rsid w:val="005252EA"/>
    <w:rsid w:val="00525630"/>
    <w:rsid w:val="005257B0"/>
    <w:rsid w:val="005257FC"/>
    <w:rsid w:val="00525818"/>
    <w:rsid w:val="005258B4"/>
    <w:rsid w:val="005258CF"/>
    <w:rsid w:val="00525A48"/>
    <w:rsid w:val="00525B05"/>
    <w:rsid w:val="00525B71"/>
    <w:rsid w:val="00525BB0"/>
    <w:rsid w:val="00525C06"/>
    <w:rsid w:val="00525C9B"/>
    <w:rsid w:val="00525D0C"/>
    <w:rsid w:val="00525D29"/>
    <w:rsid w:val="00525D62"/>
    <w:rsid w:val="00525E0C"/>
    <w:rsid w:val="00525EE3"/>
    <w:rsid w:val="00525FE7"/>
    <w:rsid w:val="00525FF9"/>
    <w:rsid w:val="00526021"/>
    <w:rsid w:val="0052605F"/>
    <w:rsid w:val="005261B4"/>
    <w:rsid w:val="0052631D"/>
    <w:rsid w:val="00526328"/>
    <w:rsid w:val="005263F7"/>
    <w:rsid w:val="00526400"/>
    <w:rsid w:val="0052643B"/>
    <w:rsid w:val="0052644B"/>
    <w:rsid w:val="0052646D"/>
    <w:rsid w:val="00526485"/>
    <w:rsid w:val="005265C9"/>
    <w:rsid w:val="005265F6"/>
    <w:rsid w:val="00526681"/>
    <w:rsid w:val="00526738"/>
    <w:rsid w:val="005267AC"/>
    <w:rsid w:val="00526850"/>
    <w:rsid w:val="00526895"/>
    <w:rsid w:val="005268CA"/>
    <w:rsid w:val="005268CB"/>
    <w:rsid w:val="005269BA"/>
    <w:rsid w:val="005269EB"/>
    <w:rsid w:val="00526A40"/>
    <w:rsid w:val="00526A48"/>
    <w:rsid w:val="00526AD5"/>
    <w:rsid w:val="00526B64"/>
    <w:rsid w:val="00526BF4"/>
    <w:rsid w:val="00526C61"/>
    <w:rsid w:val="00526CBB"/>
    <w:rsid w:val="00526CDD"/>
    <w:rsid w:val="00526D1B"/>
    <w:rsid w:val="00526D1E"/>
    <w:rsid w:val="00526DB1"/>
    <w:rsid w:val="00526F5D"/>
    <w:rsid w:val="00527015"/>
    <w:rsid w:val="0052704D"/>
    <w:rsid w:val="005270D3"/>
    <w:rsid w:val="005271B2"/>
    <w:rsid w:val="0052725E"/>
    <w:rsid w:val="005272A8"/>
    <w:rsid w:val="005272C8"/>
    <w:rsid w:val="005272E7"/>
    <w:rsid w:val="005273CD"/>
    <w:rsid w:val="00527469"/>
    <w:rsid w:val="00527485"/>
    <w:rsid w:val="005275E6"/>
    <w:rsid w:val="0052762B"/>
    <w:rsid w:val="00527819"/>
    <w:rsid w:val="0052781E"/>
    <w:rsid w:val="00527878"/>
    <w:rsid w:val="005278FA"/>
    <w:rsid w:val="0052790F"/>
    <w:rsid w:val="00527916"/>
    <w:rsid w:val="0052794D"/>
    <w:rsid w:val="00527968"/>
    <w:rsid w:val="00527A49"/>
    <w:rsid w:val="00527A7D"/>
    <w:rsid w:val="00527ACD"/>
    <w:rsid w:val="00527B57"/>
    <w:rsid w:val="00527C89"/>
    <w:rsid w:val="00527CD9"/>
    <w:rsid w:val="00527CF5"/>
    <w:rsid w:val="00527D46"/>
    <w:rsid w:val="00527D65"/>
    <w:rsid w:val="00527E63"/>
    <w:rsid w:val="00527EF3"/>
    <w:rsid w:val="00527FB4"/>
    <w:rsid w:val="00530154"/>
    <w:rsid w:val="00530224"/>
    <w:rsid w:val="00530229"/>
    <w:rsid w:val="00530404"/>
    <w:rsid w:val="0053041B"/>
    <w:rsid w:val="005305DD"/>
    <w:rsid w:val="0053066E"/>
    <w:rsid w:val="005306A4"/>
    <w:rsid w:val="005306C6"/>
    <w:rsid w:val="00530855"/>
    <w:rsid w:val="00530A29"/>
    <w:rsid w:val="00530ADD"/>
    <w:rsid w:val="00530B70"/>
    <w:rsid w:val="00530C44"/>
    <w:rsid w:val="00530E1A"/>
    <w:rsid w:val="00530EAF"/>
    <w:rsid w:val="00530EB8"/>
    <w:rsid w:val="00530EC5"/>
    <w:rsid w:val="00530F8A"/>
    <w:rsid w:val="00531026"/>
    <w:rsid w:val="00531037"/>
    <w:rsid w:val="005312B8"/>
    <w:rsid w:val="005312C8"/>
    <w:rsid w:val="00531502"/>
    <w:rsid w:val="0053150D"/>
    <w:rsid w:val="00531652"/>
    <w:rsid w:val="0053169D"/>
    <w:rsid w:val="005316AD"/>
    <w:rsid w:val="005317E0"/>
    <w:rsid w:val="005318A2"/>
    <w:rsid w:val="005318AF"/>
    <w:rsid w:val="0053199D"/>
    <w:rsid w:val="00531B10"/>
    <w:rsid w:val="00531B21"/>
    <w:rsid w:val="00531B98"/>
    <w:rsid w:val="00531B9D"/>
    <w:rsid w:val="00531D6A"/>
    <w:rsid w:val="00531E71"/>
    <w:rsid w:val="00531EAB"/>
    <w:rsid w:val="00531EE7"/>
    <w:rsid w:val="00531F50"/>
    <w:rsid w:val="00531F56"/>
    <w:rsid w:val="00531F75"/>
    <w:rsid w:val="00531FA5"/>
    <w:rsid w:val="00532016"/>
    <w:rsid w:val="0053205D"/>
    <w:rsid w:val="00532066"/>
    <w:rsid w:val="00532141"/>
    <w:rsid w:val="005321EE"/>
    <w:rsid w:val="005321F8"/>
    <w:rsid w:val="00532297"/>
    <w:rsid w:val="00532338"/>
    <w:rsid w:val="00532373"/>
    <w:rsid w:val="005323F6"/>
    <w:rsid w:val="0053247C"/>
    <w:rsid w:val="005325BD"/>
    <w:rsid w:val="0053264A"/>
    <w:rsid w:val="005326C1"/>
    <w:rsid w:val="00532938"/>
    <w:rsid w:val="00532960"/>
    <w:rsid w:val="00532994"/>
    <w:rsid w:val="00532A0F"/>
    <w:rsid w:val="00532A71"/>
    <w:rsid w:val="00532A90"/>
    <w:rsid w:val="00532A9D"/>
    <w:rsid w:val="00532BCF"/>
    <w:rsid w:val="00532D5B"/>
    <w:rsid w:val="00532E08"/>
    <w:rsid w:val="00532E98"/>
    <w:rsid w:val="00532EA9"/>
    <w:rsid w:val="00532F71"/>
    <w:rsid w:val="00532FF3"/>
    <w:rsid w:val="00533104"/>
    <w:rsid w:val="005331C2"/>
    <w:rsid w:val="00533221"/>
    <w:rsid w:val="005333B2"/>
    <w:rsid w:val="00533508"/>
    <w:rsid w:val="0053362C"/>
    <w:rsid w:val="00533639"/>
    <w:rsid w:val="0053366B"/>
    <w:rsid w:val="005336AD"/>
    <w:rsid w:val="00533790"/>
    <w:rsid w:val="005337B7"/>
    <w:rsid w:val="005338CE"/>
    <w:rsid w:val="0053390F"/>
    <w:rsid w:val="005339CD"/>
    <w:rsid w:val="00533B1F"/>
    <w:rsid w:val="00533B56"/>
    <w:rsid w:val="00533B95"/>
    <w:rsid w:val="00533BEB"/>
    <w:rsid w:val="00533C5B"/>
    <w:rsid w:val="00533CD9"/>
    <w:rsid w:val="00533DBA"/>
    <w:rsid w:val="00533ED5"/>
    <w:rsid w:val="00533F36"/>
    <w:rsid w:val="00533F89"/>
    <w:rsid w:val="00533FA2"/>
    <w:rsid w:val="00533FCA"/>
    <w:rsid w:val="00534116"/>
    <w:rsid w:val="005341F2"/>
    <w:rsid w:val="00534273"/>
    <w:rsid w:val="0053427B"/>
    <w:rsid w:val="00534360"/>
    <w:rsid w:val="00534361"/>
    <w:rsid w:val="0053436E"/>
    <w:rsid w:val="005343E4"/>
    <w:rsid w:val="00534406"/>
    <w:rsid w:val="0053454C"/>
    <w:rsid w:val="00534619"/>
    <w:rsid w:val="0053465D"/>
    <w:rsid w:val="0053466F"/>
    <w:rsid w:val="00534687"/>
    <w:rsid w:val="005346F5"/>
    <w:rsid w:val="005347F2"/>
    <w:rsid w:val="0053483A"/>
    <w:rsid w:val="00534872"/>
    <w:rsid w:val="005348F2"/>
    <w:rsid w:val="0053495D"/>
    <w:rsid w:val="005349AA"/>
    <w:rsid w:val="00534A2D"/>
    <w:rsid w:val="00534A9D"/>
    <w:rsid w:val="00534B87"/>
    <w:rsid w:val="00534CED"/>
    <w:rsid w:val="00534DDC"/>
    <w:rsid w:val="00534E81"/>
    <w:rsid w:val="00534EBF"/>
    <w:rsid w:val="00534FB9"/>
    <w:rsid w:val="00534FEF"/>
    <w:rsid w:val="00535033"/>
    <w:rsid w:val="005352A1"/>
    <w:rsid w:val="005352D4"/>
    <w:rsid w:val="005352DB"/>
    <w:rsid w:val="0053530C"/>
    <w:rsid w:val="0053539F"/>
    <w:rsid w:val="005354A1"/>
    <w:rsid w:val="0053553A"/>
    <w:rsid w:val="00535568"/>
    <w:rsid w:val="005355BD"/>
    <w:rsid w:val="005355FD"/>
    <w:rsid w:val="005357AE"/>
    <w:rsid w:val="0053589B"/>
    <w:rsid w:val="005358BE"/>
    <w:rsid w:val="00535926"/>
    <w:rsid w:val="005359CD"/>
    <w:rsid w:val="00535A97"/>
    <w:rsid w:val="00535B44"/>
    <w:rsid w:val="00535B52"/>
    <w:rsid w:val="00535BC1"/>
    <w:rsid w:val="00535C3B"/>
    <w:rsid w:val="00535D12"/>
    <w:rsid w:val="00535D6B"/>
    <w:rsid w:val="00535D77"/>
    <w:rsid w:val="00535E04"/>
    <w:rsid w:val="00535EF0"/>
    <w:rsid w:val="00535F09"/>
    <w:rsid w:val="00535F5F"/>
    <w:rsid w:val="00535F7A"/>
    <w:rsid w:val="00535F9A"/>
    <w:rsid w:val="00535FA1"/>
    <w:rsid w:val="00535FF6"/>
    <w:rsid w:val="00536038"/>
    <w:rsid w:val="00536114"/>
    <w:rsid w:val="005364A1"/>
    <w:rsid w:val="005364AB"/>
    <w:rsid w:val="00536519"/>
    <w:rsid w:val="0053665F"/>
    <w:rsid w:val="00536669"/>
    <w:rsid w:val="00536689"/>
    <w:rsid w:val="005367B6"/>
    <w:rsid w:val="00536893"/>
    <w:rsid w:val="005368A2"/>
    <w:rsid w:val="005368C8"/>
    <w:rsid w:val="0053694A"/>
    <w:rsid w:val="0053697A"/>
    <w:rsid w:val="005369CD"/>
    <w:rsid w:val="00536A03"/>
    <w:rsid w:val="00536A15"/>
    <w:rsid w:val="00536A3E"/>
    <w:rsid w:val="00536B1E"/>
    <w:rsid w:val="00536B8B"/>
    <w:rsid w:val="00536E67"/>
    <w:rsid w:val="00536E81"/>
    <w:rsid w:val="00536F46"/>
    <w:rsid w:val="00537088"/>
    <w:rsid w:val="005370BD"/>
    <w:rsid w:val="00537143"/>
    <w:rsid w:val="00537309"/>
    <w:rsid w:val="00537315"/>
    <w:rsid w:val="0053733A"/>
    <w:rsid w:val="00537387"/>
    <w:rsid w:val="005374B5"/>
    <w:rsid w:val="005374D2"/>
    <w:rsid w:val="00537528"/>
    <w:rsid w:val="005375AB"/>
    <w:rsid w:val="00537617"/>
    <w:rsid w:val="0053764C"/>
    <w:rsid w:val="00537661"/>
    <w:rsid w:val="0053768F"/>
    <w:rsid w:val="005376C0"/>
    <w:rsid w:val="00537744"/>
    <w:rsid w:val="005377DA"/>
    <w:rsid w:val="00537860"/>
    <w:rsid w:val="005378A0"/>
    <w:rsid w:val="00537A2F"/>
    <w:rsid w:val="00537A75"/>
    <w:rsid w:val="00537A87"/>
    <w:rsid w:val="00537AF6"/>
    <w:rsid w:val="00537C4A"/>
    <w:rsid w:val="00537D60"/>
    <w:rsid w:val="00537DC5"/>
    <w:rsid w:val="00537E26"/>
    <w:rsid w:val="00537EE3"/>
    <w:rsid w:val="00540001"/>
    <w:rsid w:val="005400A6"/>
    <w:rsid w:val="00540110"/>
    <w:rsid w:val="005402E9"/>
    <w:rsid w:val="0054034A"/>
    <w:rsid w:val="0054039B"/>
    <w:rsid w:val="00540670"/>
    <w:rsid w:val="00540779"/>
    <w:rsid w:val="00540840"/>
    <w:rsid w:val="005408B4"/>
    <w:rsid w:val="005408CA"/>
    <w:rsid w:val="00540A6B"/>
    <w:rsid w:val="00540BC1"/>
    <w:rsid w:val="00540BE9"/>
    <w:rsid w:val="00540C2F"/>
    <w:rsid w:val="00540C69"/>
    <w:rsid w:val="00540D2A"/>
    <w:rsid w:val="00540E39"/>
    <w:rsid w:val="00540F8D"/>
    <w:rsid w:val="0054102F"/>
    <w:rsid w:val="0054107B"/>
    <w:rsid w:val="00541203"/>
    <w:rsid w:val="005412F2"/>
    <w:rsid w:val="005413A8"/>
    <w:rsid w:val="0054141A"/>
    <w:rsid w:val="00541496"/>
    <w:rsid w:val="005414AB"/>
    <w:rsid w:val="0054153C"/>
    <w:rsid w:val="0054159B"/>
    <w:rsid w:val="005415A1"/>
    <w:rsid w:val="005415BD"/>
    <w:rsid w:val="005416C1"/>
    <w:rsid w:val="005416D1"/>
    <w:rsid w:val="0054170A"/>
    <w:rsid w:val="0054171A"/>
    <w:rsid w:val="0054189D"/>
    <w:rsid w:val="005418B0"/>
    <w:rsid w:val="005418CA"/>
    <w:rsid w:val="00541902"/>
    <w:rsid w:val="0054199A"/>
    <w:rsid w:val="005419F0"/>
    <w:rsid w:val="00541B40"/>
    <w:rsid w:val="00541C52"/>
    <w:rsid w:val="00541E53"/>
    <w:rsid w:val="00541E70"/>
    <w:rsid w:val="00541EEC"/>
    <w:rsid w:val="00541F29"/>
    <w:rsid w:val="00542022"/>
    <w:rsid w:val="0054229B"/>
    <w:rsid w:val="00542346"/>
    <w:rsid w:val="005423B3"/>
    <w:rsid w:val="005423F7"/>
    <w:rsid w:val="00542544"/>
    <w:rsid w:val="005425B1"/>
    <w:rsid w:val="0054265F"/>
    <w:rsid w:val="00542671"/>
    <w:rsid w:val="005426DC"/>
    <w:rsid w:val="0054272C"/>
    <w:rsid w:val="0054283B"/>
    <w:rsid w:val="0054287A"/>
    <w:rsid w:val="005428F6"/>
    <w:rsid w:val="005428FD"/>
    <w:rsid w:val="005429AF"/>
    <w:rsid w:val="00542A55"/>
    <w:rsid w:val="00542CB3"/>
    <w:rsid w:val="00542D6D"/>
    <w:rsid w:val="00542D91"/>
    <w:rsid w:val="00542DC3"/>
    <w:rsid w:val="00542E4B"/>
    <w:rsid w:val="00542E9B"/>
    <w:rsid w:val="00542F55"/>
    <w:rsid w:val="00542F9D"/>
    <w:rsid w:val="00543001"/>
    <w:rsid w:val="00543030"/>
    <w:rsid w:val="00543035"/>
    <w:rsid w:val="00543041"/>
    <w:rsid w:val="005430F4"/>
    <w:rsid w:val="00543101"/>
    <w:rsid w:val="005431C8"/>
    <w:rsid w:val="00543297"/>
    <w:rsid w:val="005432AB"/>
    <w:rsid w:val="005432AD"/>
    <w:rsid w:val="005432B4"/>
    <w:rsid w:val="005432F5"/>
    <w:rsid w:val="0054343C"/>
    <w:rsid w:val="0054346C"/>
    <w:rsid w:val="005435BF"/>
    <w:rsid w:val="0054366C"/>
    <w:rsid w:val="0054368A"/>
    <w:rsid w:val="005438A6"/>
    <w:rsid w:val="005438F4"/>
    <w:rsid w:val="005439E0"/>
    <w:rsid w:val="00543AF7"/>
    <w:rsid w:val="00543B00"/>
    <w:rsid w:val="00543B0C"/>
    <w:rsid w:val="00543B6F"/>
    <w:rsid w:val="00543BB9"/>
    <w:rsid w:val="00543C9B"/>
    <w:rsid w:val="00543CC6"/>
    <w:rsid w:val="00543F17"/>
    <w:rsid w:val="00544014"/>
    <w:rsid w:val="005441EE"/>
    <w:rsid w:val="00544200"/>
    <w:rsid w:val="00544241"/>
    <w:rsid w:val="005442D5"/>
    <w:rsid w:val="00544339"/>
    <w:rsid w:val="00544415"/>
    <w:rsid w:val="00544444"/>
    <w:rsid w:val="005444BD"/>
    <w:rsid w:val="005445A8"/>
    <w:rsid w:val="0054474D"/>
    <w:rsid w:val="00544781"/>
    <w:rsid w:val="00544843"/>
    <w:rsid w:val="0054488F"/>
    <w:rsid w:val="005448DD"/>
    <w:rsid w:val="005449C2"/>
    <w:rsid w:val="005449D7"/>
    <w:rsid w:val="00544A0C"/>
    <w:rsid w:val="00544A20"/>
    <w:rsid w:val="00544A21"/>
    <w:rsid w:val="00544A40"/>
    <w:rsid w:val="00544CCE"/>
    <w:rsid w:val="00544F8E"/>
    <w:rsid w:val="0054510A"/>
    <w:rsid w:val="0054510C"/>
    <w:rsid w:val="00545149"/>
    <w:rsid w:val="005452FB"/>
    <w:rsid w:val="00545305"/>
    <w:rsid w:val="00545448"/>
    <w:rsid w:val="005454A1"/>
    <w:rsid w:val="00545534"/>
    <w:rsid w:val="00545688"/>
    <w:rsid w:val="005456AD"/>
    <w:rsid w:val="005457AD"/>
    <w:rsid w:val="005457FE"/>
    <w:rsid w:val="005458ED"/>
    <w:rsid w:val="005458F7"/>
    <w:rsid w:val="00545934"/>
    <w:rsid w:val="00545A69"/>
    <w:rsid w:val="00545B9A"/>
    <w:rsid w:val="00545C13"/>
    <w:rsid w:val="00545C65"/>
    <w:rsid w:val="00546010"/>
    <w:rsid w:val="005461B2"/>
    <w:rsid w:val="0054625A"/>
    <w:rsid w:val="005462E4"/>
    <w:rsid w:val="005462F0"/>
    <w:rsid w:val="0054644F"/>
    <w:rsid w:val="00546457"/>
    <w:rsid w:val="00546762"/>
    <w:rsid w:val="005467CA"/>
    <w:rsid w:val="00546842"/>
    <w:rsid w:val="00546913"/>
    <w:rsid w:val="00546936"/>
    <w:rsid w:val="00546973"/>
    <w:rsid w:val="00546A19"/>
    <w:rsid w:val="00546DCF"/>
    <w:rsid w:val="00546F46"/>
    <w:rsid w:val="00546F99"/>
    <w:rsid w:val="00546FD3"/>
    <w:rsid w:val="0054701E"/>
    <w:rsid w:val="00547083"/>
    <w:rsid w:val="00547113"/>
    <w:rsid w:val="005471B4"/>
    <w:rsid w:val="005472C4"/>
    <w:rsid w:val="00547321"/>
    <w:rsid w:val="0054743D"/>
    <w:rsid w:val="00547522"/>
    <w:rsid w:val="00547539"/>
    <w:rsid w:val="00547554"/>
    <w:rsid w:val="0054757F"/>
    <w:rsid w:val="005476D5"/>
    <w:rsid w:val="005476FE"/>
    <w:rsid w:val="0054774A"/>
    <w:rsid w:val="0054787C"/>
    <w:rsid w:val="005478FA"/>
    <w:rsid w:val="00547927"/>
    <w:rsid w:val="005479CF"/>
    <w:rsid w:val="00547B61"/>
    <w:rsid w:val="00547C0F"/>
    <w:rsid w:val="00547C75"/>
    <w:rsid w:val="00547CC1"/>
    <w:rsid w:val="00547D87"/>
    <w:rsid w:val="00547DB2"/>
    <w:rsid w:val="00547F56"/>
    <w:rsid w:val="00547FAE"/>
    <w:rsid w:val="005501AC"/>
    <w:rsid w:val="00550249"/>
    <w:rsid w:val="005503DD"/>
    <w:rsid w:val="005503E2"/>
    <w:rsid w:val="0055040A"/>
    <w:rsid w:val="0055044D"/>
    <w:rsid w:val="00550474"/>
    <w:rsid w:val="005504AE"/>
    <w:rsid w:val="0055052E"/>
    <w:rsid w:val="00550577"/>
    <w:rsid w:val="005505A6"/>
    <w:rsid w:val="005505D5"/>
    <w:rsid w:val="00550781"/>
    <w:rsid w:val="0055079C"/>
    <w:rsid w:val="005507A0"/>
    <w:rsid w:val="00550827"/>
    <w:rsid w:val="0055090C"/>
    <w:rsid w:val="00550B55"/>
    <w:rsid w:val="00550CE1"/>
    <w:rsid w:val="00550CFD"/>
    <w:rsid w:val="00550D00"/>
    <w:rsid w:val="00550D01"/>
    <w:rsid w:val="00550D36"/>
    <w:rsid w:val="00550D59"/>
    <w:rsid w:val="00550DC9"/>
    <w:rsid w:val="00550E1B"/>
    <w:rsid w:val="00550E4B"/>
    <w:rsid w:val="0055100F"/>
    <w:rsid w:val="00551032"/>
    <w:rsid w:val="005510B2"/>
    <w:rsid w:val="00551364"/>
    <w:rsid w:val="0055136D"/>
    <w:rsid w:val="005513F0"/>
    <w:rsid w:val="00551441"/>
    <w:rsid w:val="0055151F"/>
    <w:rsid w:val="0055152B"/>
    <w:rsid w:val="0055155D"/>
    <w:rsid w:val="0055174E"/>
    <w:rsid w:val="00551759"/>
    <w:rsid w:val="005517C6"/>
    <w:rsid w:val="00551832"/>
    <w:rsid w:val="0055186A"/>
    <w:rsid w:val="005518A4"/>
    <w:rsid w:val="005519B8"/>
    <w:rsid w:val="005519EB"/>
    <w:rsid w:val="00551AF1"/>
    <w:rsid w:val="00551B9D"/>
    <w:rsid w:val="00551E14"/>
    <w:rsid w:val="00551E5E"/>
    <w:rsid w:val="00551F5E"/>
    <w:rsid w:val="00551F93"/>
    <w:rsid w:val="0055207C"/>
    <w:rsid w:val="005520BE"/>
    <w:rsid w:val="005520F1"/>
    <w:rsid w:val="00552123"/>
    <w:rsid w:val="00552180"/>
    <w:rsid w:val="005521DE"/>
    <w:rsid w:val="0055224D"/>
    <w:rsid w:val="0055230A"/>
    <w:rsid w:val="005523F5"/>
    <w:rsid w:val="00552405"/>
    <w:rsid w:val="005525FC"/>
    <w:rsid w:val="00552660"/>
    <w:rsid w:val="0055267C"/>
    <w:rsid w:val="005526FB"/>
    <w:rsid w:val="00552770"/>
    <w:rsid w:val="005528D2"/>
    <w:rsid w:val="005528D5"/>
    <w:rsid w:val="00552A6A"/>
    <w:rsid w:val="00552A90"/>
    <w:rsid w:val="00552AE2"/>
    <w:rsid w:val="00552BA6"/>
    <w:rsid w:val="00552BF8"/>
    <w:rsid w:val="00552D1D"/>
    <w:rsid w:val="00552D25"/>
    <w:rsid w:val="00552D39"/>
    <w:rsid w:val="00552D9C"/>
    <w:rsid w:val="00552DC7"/>
    <w:rsid w:val="00552DF9"/>
    <w:rsid w:val="0055303B"/>
    <w:rsid w:val="005530E0"/>
    <w:rsid w:val="00553165"/>
    <w:rsid w:val="0055317F"/>
    <w:rsid w:val="0055319C"/>
    <w:rsid w:val="005533E0"/>
    <w:rsid w:val="005534A4"/>
    <w:rsid w:val="005534DB"/>
    <w:rsid w:val="0055352A"/>
    <w:rsid w:val="005535EB"/>
    <w:rsid w:val="0055361B"/>
    <w:rsid w:val="0055378D"/>
    <w:rsid w:val="005537A6"/>
    <w:rsid w:val="0055382F"/>
    <w:rsid w:val="005538AB"/>
    <w:rsid w:val="005538D8"/>
    <w:rsid w:val="00553937"/>
    <w:rsid w:val="00553B35"/>
    <w:rsid w:val="00553C5D"/>
    <w:rsid w:val="00553C94"/>
    <w:rsid w:val="00553C96"/>
    <w:rsid w:val="00553D22"/>
    <w:rsid w:val="00553D38"/>
    <w:rsid w:val="00553EAD"/>
    <w:rsid w:val="00553EDB"/>
    <w:rsid w:val="00553FBC"/>
    <w:rsid w:val="00554020"/>
    <w:rsid w:val="0055420E"/>
    <w:rsid w:val="0055421C"/>
    <w:rsid w:val="00554279"/>
    <w:rsid w:val="005543C8"/>
    <w:rsid w:val="00554435"/>
    <w:rsid w:val="005544B4"/>
    <w:rsid w:val="005544D6"/>
    <w:rsid w:val="005544F9"/>
    <w:rsid w:val="0055456E"/>
    <w:rsid w:val="005545B4"/>
    <w:rsid w:val="005546A2"/>
    <w:rsid w:val="005547CC"/>
    <w:rsid w:val="005548A6"/>
    <w:rsid w:val="005548E6"/>
    <w:rsid w:val="0055498B"/>
    <w:rsid w:val="005549EA"/>
    <w:rsid w:val="00554A70"/>
    <w:rsid w:val="00554AC1"/>
    <w:rsid w:val="00554B0B"/>
    <w:rsid w:val="00554B93"/>
    <w:rsid w:val="00554BD4"/>
    <w:rsid w:val="00554C29"/>
    <w:rsid w:val="00554C2E"/>
    <w:rsid w:val="00554C4E"/>
    <w:rsid w:val="00554D29"/>
    <w:rsid w:val="00554DE2"/>
    <w:rsid w:val="00554E91"/>
    <w:rsid w:val="00554F33"/>
    <w:rsid w:val="0055511E"/>
    <w:rsid w:val="0055534A"/>
    <w:rsid w:val="005553D5"/>
    <w:rsid w:val="005553E1"/>
    <w:rsid w:val="00555423"/>
    <w:rsid w:val="00555437"/>
    <w:rsid w:val="00555585"/>
    <w:rsid w:val="005555DA"/>
    <w:rsid w:val="0055578D"/>
    <w:rsid w:val="005557C8"/>
    <w:rsid w:val="0055583F"/>
    <w:rsid w:val="00555911"/>
    <w:rsid w:val="005559DA"/>
    <w:rsid w:val="00555A71"/>
    <w:rsid w:val="00555A98"/>
    <w:rsid w:val="00555BCA"/>
    <w:rsid w:val="00555CA8"/>
    <w:rsid w:val="00555CEB"/>
    <w:rsid w:val="00555CF0"/>
    <w:rsid w:val="00555D01"/>
    <w:rsid w:val="00555DB9"/>
    <w:rsid w:val="00555E36"/>
    <w:rsid w:val="00555EDC"/>
    <w:rsid w:val="00555FF3"/>
    <w:rsid w:val="00555FFA"/>
    <w:rsid w:val="005560CF"/>
    <w:rsid w:val="0055618A"/>
    <w:rsid w:val="0055622C"/>
    <w:rsid w:val="0055626C"/>
    <w:rsid w:val="005562A7"/>
    <w:rsid w:val="00556419"/>
    <w:rsid w:val="00556490"/>
    <w:rsid w:val="005564B4"/>
    <w:rsid w:val="00556577"/>
    <w:rsid w:val="005565A9"/>
    <w:rsid w:val="005566DD"/>
    <w:rsid w:val="005566E9"/>
    <w:rsid w:val="00556716"/>
    <w:rsid w:val="0055675F"/>
    <w:rsid w:val="00556791"/>
    <w:rsid w:val="005567BD"/>
    <w:rsid w:val="00556820"/>
    <w:rsid w:val="005568A6"/>
    <w:rsid w:val="005569B2"/>
    <w:rsid w:val="00556ABC"/>
    <w:rsid w:val="00556B9D"/>
    <w:rsid w:val="00556BBA"/>
    <w:rsid w:val="00556C3E"/>
    <w:rsid w:val="00556C42"/>
    <w:rsid w:val="00556E2F"/>
    <w:rsid w:val="00556F4C"/>
    <w:rsid w:val="00556F98"/>
    <w:rsid w:val="00556FCE"/>
    <w:rsid w:val="00556FE5"/>
    <w:rsid w:val="00557074"/>
    <w:rsid w:val="005570C3"/>
    <w:rsid w:val="005571F9"/>
    <w:rsid w:val="005571FC"/>
    <w:rsid w:val="00557219"/>
    <w:rsid w:val="005572E7"/>
    <w:rsid w:val="005572F7"/>
    <w:rsid w:val="0055753C"/>
    <w:rsid w:val="00557643"/>
    <w:rsid w:val="00557759"/>
    <w:rsid w:val="00557762"/>
    <w:rsid w:val="00557787"/>
    <w:rsid w:val="005577CD"/>
    <w:rsid w:val="005577D5"/>
    <w:rsid w:val="005577DB"/>
    <w:rsid w:val="00557896"/>
    <w:rsid w:val="00557915"/>
    <w:rsid w:val="00557950"/>
    <w:rsid w:val="005579F4"/>
    <w:rsid w:val="00557A52"/>
    <w:rsid w:val="00557A83"/>
    <w:rsid w:val="00557AAD"/>
    <w:rsid w:val="00557AB2"/>
    <w:rsid w:val="00557C1D"/>
    <w:rsid w:val="00557CEA"/>
    <w:rsid w:val="00557DB2"/>
    <w:rsid w:val="00557DD3"/>
    <w:rsid w:val="0056002A"/>
    <w:rsid w:val="0056005D"/>
    <w:rsid w:val="0056006D"/>
    <w:rsid w:val="005600BF"/>
    <w:rsid w:val="00560123"/>
    <w:rsid w:val="00560250"/>
    <w:rsid w:val="005602B5"/>
    <w:rsid w:val="005602FF"/>
    <w:rsid w:val="00560368"/>
    <w:rsid w:val="00560369"/>
    <w:rsid w:val="005603B0"/>
    <w:rsid w:val="005603D1"/>
    <w:rsid w:val="005603E0"/>
    <w:rsid w:val="00560439"/>
    <w:rsid w:val="0056044A"/>
    <w:rsid w:val="00560532"/>
    <w:rsid w:val="00560562"/>
    <w:rsid w:val="00560566"/>
    <w:rsid w:val="0056059F"/>
    <w:rsid w:val="005605DA"/>
    <w:rsid w:val="00560683"/>
    <w:rsid w:val="0056070A"/>
    <w:rsid w:val="00560783"/>
    <w:rsid w:val="0056079C"/>
    <w:rsid w:val="00560813"/>
    <w:rsid w:val="00560838"/>
    <w:rsid w:val="00560985"/>
    <w:rsid w:val="005609A0"/>
    <w:rsid w:val="00560B91"/>
    <w:rsid w:val="00560BD0"/>
    <w:rsid w:val="00560CA3"/>
    <w:rsid w:val="00560D4B"/>
    <w:rsid w:val="00560FD7"/>
    <w:rsid w:val="00561027"/>
    <w:rsid w:val="00561121"/>
    <w:rsid w:val="0056118C"/>
    <w:rsid w:val="005612EF"/>
    <w:rsid w:val="0056134A"/>
    <w:rsid w:val="00561378"/>
    <w:rsid w:val="00561437"/>
    <w:rsid w:val="005615A2"/>
    <w:rsid w:val="00561661"/>
    <w:rsid w:val="00561684"/>
    <w:rsid w:val="0056172A"/>
    <w:rsid w:val="005617B7"/>
    <w:rsid w:val="005617E7"/>
    <w:rsid w:val="00561962"/>
    <w:rsid w:val="00561B08"/>
    <w:rsid w:val="00561BB6"/>
    <w:rsid w:val="00561C2D"/>
    <w:rsid w:val="00561C3E"/>
    <w:rsid w:val="00561C44"/>
    <w:rsid w:val="00561CFE"/>
    <w:rsid w:val="00561DE3"/>
    <w:rsid w:val="0056200D"/>
    <w:rsid w:val="00562216"/>
    <w:rsid w:val="005622A4"/>
    <w:rsid w:val="005622EF"/>
    <w:rsid w:val="005622F0"/>
    <w:rsid w:val="00562301"/>
    <w:rsid w:val="0056230E"/>
    <w:rsid w:val="0056231A"/>
    <w:rsid w:val="005623DA"/>
    <w:rsid w:val="0056246C"/>
    <w:rsid w:val="005624AF"/>
    <w:rsid w:val="00562612"/>
    <w:rsid w:val="0056266A"/>
    <w:rsid w:val="0056268D"/>
    <w:rsid w:val="0056288F"/>
    <w:rsid w:val="0056289D"/>
    <w:rsid w:val="0056291B"/>
    <w:rsid w:val="005629D4"/>
    <w:rsid w:val="00562A35"/>
    <w:rsid w:val="00562AB1"/>
    <w:rsid w:val="00562B00"/>
    <w:rsid w:val="00562B6E"/>
    <w:rsid w:val="00562B9E"/>
    <w:rsid w:val="00562BA2"/>
    <w:rsid w:val="00562C56"/>
    <w:rsid w:val="00562C77"/>
    <w:rsid w:val="00562FE3"/>
    <w:rsid w:val="0056303E"/>
    <w:rsid w:val="005631AA"/>
    <w:rsid w:val="005631D9"/>
    <w:rsid w:val="00563279"/>
    <w:rsid w:val="0056327F"/>
    <w:rsid w:val="005632D9"/>
    <w:rsid w:val="005632E4"/>
    <w:rsid w:val="00563315"/>
    <w:rsid w:val="0056341D"/>
    <w:rsid w:val="00563491"/>
    <w:rsid w:val="00563545"/>
    <w:rsid w:val="00563749"/>
    <w:rsid w:val="00563894"/>
    <w:rsid w:val="00563A61"/>
    <w:rsid w:val="00563C09"/>
    <w:rsid w:val="00563CF6"/>
    <w:rsid w:val="00563F60"/>
    <w:rsid w:val="00563FB9"/>
    <w:rsid w:val="00563FC1"/>
    <w:rsid w:val="00564066"/>
    <w:rsid w:val="00564132"/>
    <w:rsid w:val="0056418B"/>
    <w:rsid w:val="005641C6"/>
    <w:rsid w:val="00564292"/>
    <w:rsid w:val="00564297"/>
    <w:rsid w:val="005642BE"/>
    <w:rsid w:val="005642DA"/>
    <w:rsid w:val="005642E9"/>
    <w:rsid w:val="00564312"/>
    <w:rsid w:val="0056445C"/>
    <w:rsid w:val="0056446C"/>
    <w:rsid w:val="00564525"/>
    <w:rsid w:val="005646F2"/>
    <w:rsid w:val="0056481D"/>
    <w:rsid w:val="005648B8"/>
    <w:rsid w:val="005649A6"/>
    <w:rsid w:val="00564A2A"/>
    <w:rsid w:val="00564BE7"/>
    <w:rsid w:val="00564C08"/>
    <w:rsid w:val="00564D41"/>
    <w:rsid w:val="00564D50"/>
    <w:rsid w:val="00564E0D"/>
    <w:rsid w:val="00564E30"/>
    <w:rsid w:val="00564E3B"/>
    <w:rsid w:val="00564EB3"/>
    <w:rsid w:val="00564F80"/>
    <w:rsid w:val="00564FDA"/>
    <w:rsid w:val="005650C1"/>
    <w:rsid w:val="00565117"/>
    <w:rsid w:val="005652A3"/>
    <w:rsid w:val="005652D6"/>
    <w:rsid w:val="0056530D"/>
    <w:rsid w:val="00565320"/>
    <w:rsid w:val="00565323"/>
    <w:rsid w:val="005653C0"/>
    <w:rsid w:val="005653E7"/>
    <w:rsid w:val="00565517"/>
    <w:rsid w:val="0056553A"/>
    <w:rsid w:val="00565666"/>
    <w:rsid w:val="005656FE"/>
    <w:rsid w:val="00565836"/>
    <w:rsid w:val="0056587E"/>
    <w:rsid w:val="0056593C"/>
    <w:rsid w:val="00565981"/>
    <w:rsid w:val="00565A9B"/>
    <w:rsid w:val="00565AA8"/>
    <w:rsid w:val="00565ACB"/>
    <w:rsid w:val="00565B00"/>
    <w:rsid w:val="00565B49"/>
    <w:rsid w:val="00565B5F"/>
    <w:rsid w:val="00565B67"/>
    <w:rsid w:val="00565B7E"/>
    <w:rsid w:val="00565C93"/>
    <w:rsid w:val="00565CE6"/>
    <w:rsid w:val="00565D49"/>
    <w:rsid w:val="00565F06"/>
    <w:rsid w:val="00565F37"/>
    <w:rsid w:val="00565F63"/>
    <w:rsid w:val="0056608E"/>
    <w:rsid w:val="0056617C"/>
    <w:rsid w:val="00566192"/>
    <w:rsid w:val="00566282"/>
    <w:rsid w:val="005662C9"/>
    <w:rsid w:val="005662D0"/>
    <w:rsid w:val="005662DB"/>
    <w:rsid w:val="0056643B"/>
    <w:rsid w:val="0056645A"/>
    <w:rsid w:val="00566710"/>
    <w:rsid w:val="00566754"/>
    <w:rsid w:val="005667AF"/>
    <w:rsid w:val="00566943"/>
    <w:rsid w:val="00566A22"/>
    <w:rsid w:val="00566C4F"/>
    <w:rsid w:val="00566CDC"/>
    <w:rsid w:val="00566D36"/>
    <w:rsid w:val="00566DA5"/>
    <w:rsid w:val="00566E9A"/>
    <w:rsid w:val="00566F41"/>
    <w:rsid w:val="00566FE3"/>
    <w:rsid w:val="00566FE4"/>
    <w:rsid w:val="00567048"/>
    <w:rsid w:val="00567134"/>
    <w:rsid w:val="00567190"/>
    <w:rsid w:val="00567262"/>
    <w:rsid w:val="0056737C"/>
    <w:rsid w:val="0056738F"/>
    <w:rsid w:val="00567410"/>
    <w:rsid w:val="00567444"/>
    <w:rsid w:val="00567631"/>
    <w:rsid w:val="00567670"/>
    <w:rsid w:val="005676DA"/>
    <w:rsid w:val="00567775"/>
    <w:rsid w:val="00567977"/>
    <w:rsid w:val="0056799C"/>
    <w:rsid w:val="0056799E"/>
    <w:rsid w:val="005679B8"/>
    <w:rsid w:val="005679EF"/>
    <w:rsid w:val="00567A69"/>
    <w:rsid w:val="00567BC0"/>
    <w:rsid w:val="00567CA3"/>
    <w:rsid w:val="00567D07"/>
    <w:rsid w:val="00567E46"/>
    <w:rsid w:val="00567E6A"/>
    <w:rsid w:val="00567F1D"/>
    <w:rsid w:val="00567F2C"/>
    <w:rsid w:val="0057016F"/>
    <w:rsid w:val="00570219"/>
    <w:rsid w:val="00570221"/>
    <w:rsid w:val="00570376"/>
    <w:rsid w:val="005703F0"/>
    <w:rsid w:val="005703F4"/>
    <w:rsid w:val="005704C7"/>
    <w:rsid w:val="005704CF"/>
    <w:rsid w:val="005704F7"/>
    <w:rsid w:val="00570695"/>
    <w:rsid w:val="005708F5"/>
    <w:rsid w:val="00570907"/>
    <w:rsid w:val="0057095B"/>
    <w:rsid w:val="00570BDC"/>
    <w:rsid w:val="00570C08"/>
    <w:rsid w:val="00570CA8"/>
    <w:rsid w:val="00570D2B"/>
    <w:rsid w:val="00570E17"/>
    <w:rsid w:val="00570E38"/>
    <w:rsid w:val="00570E8B"/>
    <w:rsid w:val="00570EAE"/>
    <w:rsid w:val="00570F3C"/>
    <w:rsid w:val="00570F44"/>
    <w:rsid w:val="00570FB1"/>
    <w:rsid w:val="0057105C"/>
    <w:rsid w:val="0057127C"/>
    <w:rsid w:val="005712DF"/>
    <w:rsid w:val="00571304"/>
    <w:rsid w:val="0057149F"/>
    <w:rsid w:val="005714C4"/>
    <w:rsid w:val="005714D6"/>
    <w:rsid w:val="005716EF"/>
    <w:rsid w:val="005717FD"/>
    <w:rsid w:val="00571817"/>
    <w:rsid w:val="0057181F"/>
    <w:rsid w:val="0057185E"/>
    <w:rsid w:val="005719BA"/>
    <w:rsid w:val="00571A38"/>
    <w:rsid w:val="00571A64"/>
    <w:rsid w:val="00571A98"/>
    <w:rsid w:val="00571AED"/>
    <w:rsid w:val="00571BA9"/>
    <w:rsid w:val="00571C30"/>
    <w:rsid w:val="00571DD7"/>
    <w:rsid w:val="00571EE3"/>
    <w:rsid w:val="00571F03"/>
    <w:rsid w:val="00571F9E"/>
    <w:rsid w:val="00572065"/>
    <w:rsid w:val="00572071"/>
    <w:rsid w:val="005720E4"/>
    <w:rsid w:val="00572113"/>
    <w:rsid w:val="00572130"/>
    <w:rsid w:val="005721B5"/>
    <w:rsid w:val="00572241"/>
    <w:rsid w:val="005722C2"/>
    <w:rsid w:val="005722F4"/>
    <w:rsid w:val="005723A2"/>
    <w:rsid w:val="005723F8"/>
    <w:rsid w:val="00572421"/>
    <w:rsid w:val="00572439"/>
    <w:rsid w:val="005724A5"/>
    <w:rsid w:val="005724F7"/>
    <w:rsid w:val="00572719"/>
    <w:rsid w:val="0057273F"/>
    <w:rsid w:val="00572751"/>
    <w:rsid w:val="00572761"/>
    <w:rsid w:val="00572828"/>
    <w:rsid w:val="005728C9"/>
    <w:rsid w:val="00572939"/>
    <w:rsid w:val="005729A1"/>
    <w:rsid w:val="00572A3C"/>
    <w:rsid w:val="00572A61"/>
    <w:rsid w:val="00572B42"/>
    <w:rsid w:val="00572B6E"/>
    <w:rsid w:val="00572C79"/>
    <w:rsid w:val="00572D12"/>
    <w:rsid w:val="00572DF7"/>
    <w:rsid w:val="00572F07"/>
    <w:rsid w:val="0057310A"/>
    <w:rsid w:val="0057312E"/>
    <w:rsid w:val="005731CC"/>
    <w:rsid w:val="00573225"/>
    <w:rsid w:val="005732AD"/>
    <w:rsid w:val="005732C9"/>
    <w:rsid w:val="005732FD"/>
    <w:rsid w:val="005733A0"/>
    <w:rsid w:val="00573439"/>
    <w:rsid w:val="00573533"/>
    <w:rsid w:val="00573692"/>
    <w:rsid w:val="00573751"/>
    <w:rsid w:val="0057377E"/>
    <w:rsid w:val="00573793"/>
    <w:rsid w:val="0057381F"/>
    <w:rsid w:val="00573833"/>
    <w:rsid w:val="00573849"/>
    <w:rsid w:val="00573875"/>
    <w:rsid w:val="0057388A"/>
    <w:rsid w:val="00573891"/>
    <w:rsid w:val="005738FB"/>
    <w:rsid w:val="00573946"/>
    <w:rsid w:val="0057397B"/>
    <w:rsid w:val="00573AB9"/>
    <w:rsid w:val="00573ACD"/>
    <w:rsid w:val="00573B66"/>
    <w:rsid w:val="00573BF5"/>
    <w:rsid w:val="00573C81"/>
    <w:rsid w:val="00573CA7"/>
    <w:rsid w:val="00573CB3"/>
    <w:rsid w:val="00573DA3"/>
    <w:rsid w:val="00573DBF"/>
    <w:rsid w:val="00573DF6"/>
    <w:rsid w:val="00573E19"/>
    <w:rsid w:val="00573E47"/>
    <w:rsid w:val="00573ED1"/>
    <w:rsid w:val="00573F16"/>
    <w:rsid w:val="00573F18"/>
    <w:rsid w:val="00573FA9"/>
    <w:rsid w:val="00573FF7"/>
    <w:rsid w:val="00574040"/>
    <w:rsid w:val="005741F4"/>
    <w:rsid w:val="005743BC"/>
    <w:rsid w:val="00574427"/>
    <w:rsid w:val="0057446B"/>
    <w:rsid w:val="00574504"/>
    <w:rsid w:val="00574518"/>
    <w:rsid w:val="00574521"/>
    <w:rsid w:val="0057457A"/>
    <w:rsid w:val="005745A1"/>
    <w:rsid w:val="005746DB"/>
    <w:rsid w:val="005746F0"/>
    <w:rsid w:val="005747A6"/>
    <w:rsid w:val="00574836"/>
    <w:rsid w:val="00574839"/>
    <w:rsid w:val="005748C2"/>
    <w:rsid w:val="00574912"/>
    <w:rsid w:val="00574935"/>
    <w:rsid w:val="0057495C"/>
    <w:rsid w:val="00574A08"/>
    <w:rsid w:val="00574A25"/>
    <w:rsid w:val="00574A2D"/>
    <w:rsid w:val="00574A4C"/>
    <w:rsid w:val="00574B1D"/>
    <w:rsid w:val="00574B64"/>
    <w:rsid w:val="00574B84"/>
    <w:rsid w:val="00574D35"/>
    <w:rsid w:val="00574DA0"/>
    <w:rsid w:val="00574DB0"/>
    <w:rsid w:val="00574DD0"/>
    <w:rsid w:val="00574E11"/>
    <w:rsid w:val="00574E5F"/>
    <w:rsid w:val="00574EDB"/>
    <w:rsid w:val="00574F9C"/>
    <w:rsid w:val="00575112"/>
    <w:rsid w:val="005751E7"/>
    <w:rsid w:val="005751FE"/>
    <w:rsid w:val="00575206"/>
    <w:rsid w:val="0057522F"/>
    <w:rsid w:val="00575300"/>
    <w:rsid w:val="005753AD"/>
    <w:rsid w:val="0057545A"/>
    <w:rsid w:val="00575495"/>
    <w:rsid w:val="00575768"/>
    <w:rsid w:val="00575770"/>
    <w:rsid w:val="00575971"/>
    <w:rsid w:val="00575989"/>
    <w:rsid w:val="005759C9"/>
    <w:rsid w:val="00575A5A"/>
    <w:rsid w:val="00575A98"/>
    <w:rsid w:val="00575B40"/>
    <w:rsid w:val="00575C8E"/>
    <w:rsid w:val="00575CAE"/>
    <w:rsid w:val="00575D65"/>
    <w:rsid w:val="00575E1B"/>
    <w:rsid w:val="00575E9D"/>
    <w:rsid w:val="0057602C"/>
    <w:rsid w:val="00576154"/>
    <w:rsid w:val="00576167"/>
    <w:rsid w:val="0057618A"/>
    <w:rsid w:val="0057619C"/>
    <w:rsid w:val="005761D8"/>
    <w:rsid w:val="005761EF"/>
    <w:rsid w:val="00576249"/>
    <w:rsid w:val="00576290"/>
    <w:rsid w:val="005766DB"/>
    <w:rsid w:val="00576709"/>
    <w:rsid w:val="00576876"/>
    <w:rsid w:val="00576886"/>
    <w:rsid w:val="005768E7"/>
    <w:rsid w:val="005768F3"/>
    <w:rsid w:val="0057698F"/>
    <w:rsid w:val="005769D2"/>
    <w:rsid w:val="00576A0D"/>
    <w:rsid w:val="00576A19"/>
    <w:rsid w:val="00576A3C"/>
    <w:rsid w:val="00576C4A"/>
    <w:rsid w:val="00576CA3"/>
    <w:rsid w:val="00576CAE"/>
    <w:rsid w:val="00576CC0"/>
    <w:rsid w:val="00576D11"/>
    <w:rsid w:val="00576D45"/>
    <w:rsid w:val="00576DB5"/>
    <w:rsid w:val="00576E40"/>
    <w:rsid w:val="00576E94"/>
    <w:rsid w:val="00576EA5"/>
    <w:rsid w:val="00576F07"/>
    <w:rsid w:val="00576F5B"/>
    <w:rsid w:val="0057704C"/>
    <w:rsid w:val="005770C2"/>
    <w:rsid w:val="00577193"/>
    <w:rsid w:val="005771E9"/>
    <w:rsid w:val="00577212"/>
    <w:rsid w:val="0057728C"/>
    <w:rsid w:val="0057728D"/>
    <w:rsid w:val="00577293"/>
    <w:rsid w:val="005772CE"/>
    <w:rsid w:val="005772F9"/>
    <w:rsid w:val="00577301"/>
    <w:rsid w:val="0057738B"/>
    <w:rsid w:val="00577461"/>
    <w:rsid w:val="0057747F"/>
    <w:rsid w:val="005775CD"/>
    <w:rsid w:val="00577618"/>
    <w:rsid w:val="00577623"/>
    <w:rsid w:val="0057763F"/>
    <w:rsid w:val="0057769A"/>
    <w:rsid w:val="005776EB"/>
    <w:rsid w:val="00577730"/>
    <w:rsid w:val="00577858"/>
    <w:rsid w:val="0057785D"/>
    <w:rsid w:val="00577919"/>
    <w:rsid w:val="0057799C"/>
    <w:rsid w:val="00577A80"/>
    <w:rsid w:val="00577B3F"/>
    <w:rsid w:val="00577BBE"/>
    <w:rsid w:val="00577C44"/>
    <w:rsid w:val="00577CF6"/>
    <w:rsid w:val="00577D97"/>
    <w:rsid w:val="00577DA1"/>
    <w:rsid w:val="00577E1F"/>
    <w:rsid w:val="00577E4F"/>
    <w:rsid w:val="00577F2C"/>
    <w:rsid w:val="00577F7C"/>
    <w:rsid w:val="005800B4"/>
    <w:rsid w:val="00580164"/>
    <w:rsid w:val="00580226"/>
    <w:rsid w:val="005802A8"/>
    <w:rsid w:val="00580368"/>
    <w:rsid w:val="005803B4"/>
    <w:rsid w:val="00580408"/>
    <w:rsid w:val="0058042A"/>
    <w:rsid w:val="005804F6"/>
    <w:rsid w:val="00580563"/>
    <w:rsid w:val="005805C2"/>
    <w:rsid w:val="00580615"/>
    <w:rsid w:val="005806A2"/>
    <w:rsid w:val="005806A5"/>
    <w:rsid w:val="00580953"/>
    <w:rsid w:val="00580992"/>
    <w:rsid w:val="00580A1F"/>
    <w:rsid w:val="00580A43"/>
    <w:rsid w:val="00580AD2"/>
    <w:rsid w:val="00580B49"/>
    <w:rsid w:val="00580B9B"/>
    <w:rsid w:val="00580CDE"/>
    <w:rsid w:val="00580D7F"/>
    <w:rsid w:val="00580EEA"/>
    <w:rsid w:val="005811C1"/>
    <w:rsid w:val="005811EF"/>
    <w:rsid w:val="00581225"/>
    <w:rsid w:val="0058139B"/>
    <w:rsid w:val="005814C4"/>
    <w:rsid w:val="005814E9"/>
    <w:rsid w:val="00581694"/>
    <w:rsid w:val="0058170A"/>
    <w:rsid w:val="005817E4"/>
    <w:rsid w:val="005817ED"/>
    <w:rsid w:val="005817FA"/>
    <w:rsid w:val="00581869"/>
    <w:rsid w:val="005819B9"/>
    <w:rsid w:val="005819D1"/>
    <w:rsid w:val="00581A78"/>
    <w:rsid w:val="00581A9F"/>
    <w:rsid w:val="00581ACE"/>
    <w:rsid w:val="00581B35"/>
    <w:rsid w:val="00581B46"/>
    <w:rsid w:val="00581B4D"/>
    <w:rsid w:val="00581C72"/>
    <w:rsid w:val="00581CFF"/>
    <w:rsid w:val="00581D38"/>
    <w:rsid w:val="00581DEF"/>
    <w:rsid w:val="00581EEA"/>
    <w:rsid w:val="005820BC"/>
    <w:rsid w:val="0058213A"/>
    <w:rsid w:val="0058219E"/>
    <w:rsid w:val="005824D1"/>
    <w:rsid w:val="005824EE"/>
    <w:rsid w:val="005825D4"/>
    <w:rsid w:val="005825DB"/>
    <w:rsid w:val="00582627"/>
    <w:rsid w:val="00582654"/>
    <w:rsid w:val="0058269D"/>
    <w:rsid w:val="005826D7"/>
    <w:rsid w:val="0058273B"/>
    <w:rsid w:val="00582773"/>
    <w:rsid w:val="00582805"/>
    <w:rsid w:val="005828CE"/>
    <w:rsid w:val="00582938"/>
    <w:rsid w:val="005829C4"/>
    <w:rsid w:val="005829F6"/>
    <w:rsid w:val="00582A15"/>
    <w:rsid w:val="00582ABD"/>
    <w:rsid w:val="00582B22"/>
    <w:rsid w:val="00582BA6"/>
    <w:rsid w:val="00582C08"/>
    <w:rsid w:val="00582C11"/>
    <w:rsid w:val="00582C25"/>
    <w:rsid w:val="00582C65"/>
    <w:rsid w:val="00582D1C"/>
    <w:rsid w:val="00582D41"/>
    <w:rsid w:val="00582E68"/>
    <w:rsid w:val="00583022"/>
    <w:rsid w:val="005830D0"/>
    <w:rsid w:val="0058314B"/>
    <w:rsid w:val="00583239"/>
    <w:rsid w:val="00583248"/>
    <w:rsid w:val="00583289"/>
    <w:rsid w:val="005832CC"/>
    <w:rsid w:val="00583372"/>
    <w:rsid w:val="0058340D"/>
    <w:rsid w:val="0058351E"/>
    <w:rsid w:val="00583531"/>
    <w:rsid w:val="00583554"/>
    <w:rsid w:val="00583665"/>
    <w:rsid w:val="00583758"/>
    <w:rsid w:val="005837DB"/>
    <w:rsid w:val="005837DC"/>
    <w:rsid w:val="00583807"/>
    <w:rsid w:val="00583862"/>
    <w:rsid w:val="005838AB"/>
    <w:rsid w:val="0058390D"/>
    <w:rsid w:val="005839A3"/>
    <w:rsid w:val="00583B69"/>
    <w:rsid w:val="00583DE5"/>
    <w:rsid w:val="00583E53"/>
    <w:rsid w:val="00583E9F"/>
    <w:rsid w:val="00583ED9"/>
    <w:rsid w:val="00584063"/>
    <w:rsid w:val="005840DC"/>
    <w:rsid w:val="005840E5"/>
    <w:rsid w:val="005840F8"/>
    <w:rsid w:val="00584156"/>
    <w:rsid w:val="005841CF"/>
    <w:rsid w:val="00584295"/>
    <w:rsid w:val="005842FB"/>
    <w:rsid w:val="0058439C"/>
    <w:rsid w:val="00584460"/>
    <w:rsid w:val="0058447A"/>
    <w:rsid w:val="0058449E"/>
    <w:rsid w:val="005844F9"/>
    <w:rsid w:val="00584514"/>
    <w:rsid w:val="00584583"/>
    <w:rsid w:val="00584618"/>
    <w:rsid w:val="005846E7"/>
    <w:rsid w:val="00584801"/>
    <w:rsid w:val="0058482A"/>
    <w:rsid w:val="005848FF"/>
    <w:rsid w:val="00584982"/>
    <w:rsid w:val="005849EA"/>
    <w:rsid w:val="00584B03"/>
    <w:rsid w:val="00584BE4"/>
    <w:rsid w:val="00584C49"/>
    <w:rsid w:val="00584CD4"/>
    <w:rsid w:val="00584D69"/>
    <w:rsid w:val="00584EF4"/>
    <w:rsid w:val="00585015"/>
    <w:rsid w:val="0058506E"/>
    <w:rsid w:val="005850D3"/>
    <w:rsid w:val="0058512F"/>
    <w:rsid w:val="00585149"/>
    <w:rsid w:val="0058523C"/>
    <w:rsid w:val="00585272"/>
    <w:rsid w:val="005852E9"/>
    <w:rsid w:val="00585355"/>
    <w:rsid w:val="0058535F"/>
    <w:rsid w:val="0058541B"/>
    <w:rsid w:val="005855A3"/>
    <w:rsid w:val="00585613"/>
    <w:rsid w:val="005856CC"/>
    <w:rsid w:val="005857BB"/>
    <w:rsid w:val="005857CF"/>
    <w:rsid w:val="00585A3A"/>
    <w:rsid w:val="00585AA9"/>
    <w:rsid w:val="00585BD6"/>
    <w:rsid w:val="00585BDE"/>
    <w:rsid w:val="00585BF4"/>
    <w:rsid w:val="00585C88"/>
    <w:rsid w:val="00585D1A"/>
    <w:rsid w:val="00585D74"/>
    <w:rsid w:val="00585E20"/>
    <w:rsid w:val="00585EF4"/>
    <w:rsid w:val="00585EFB"/>
    <w:rsid w:val="00585F1A"/>
    <w:rsid w:val="00585F2B"/>
    <w:rsid w:val="00585F2F"/>
    <w:rsid w:val="00585FCF"/>
    <w:rsid w:val="00585FF1"/>
    <w:rsid w:val="00586112"/>
    <w:rsid w:val="00586151"/>
    <w:rsid w:val="005861D0"/>
    <w:rsid w:val="005861E5"/>
    <w:rsid w:val="0058621B"/>
    <w:rsid w:val="005862DA"/>
    <w:rsid w:val="0058630B"/>
    <w:rsid w:val="0058645A"/>
    <w:rsid w:val="00586516"/>
    <w:rsid w:val="0058654A"/>
    <w:rsid w:val="00586598"/>
    <w:rsid w:val="0058665C"/>
    <w:rsid w:val="005866C3"/>
    <w:rsid w:val="005866DC"/>
    <w:rsid w:val="005867CF"/>
    <w:rsid w:val="00586953"/>
    <w:rsid w:val="005869C2"/>
    <w:rsid w:val="005869D6"/>
    <w:rsid w:val="00586B5F"/>
    <w:rsid w:val="00586BB2"/>
    <w:rsid w:val="00586C96"/>
    <w:rsid w:val="00586D07"/>
    <w:rsid w:val="00586D45"/>
    <w:rsid w:val="00586DB0"/>
    <w:rsid w:val="00586E25"/>
    <w:rsid w:val="00586F2E"/>
    <w:rsid w:val="00586FD1"/>
    <w:rsid w:val="0058703F"/>
    <w:rsid w:val="005870F8"/>
    <w:rsid w:val="005870FE"/>
    <w:rsid w:val="00587130"/>
    <w:rsid w:val="00587311"/>
    <w:rsid w:val="005874A5"/>
    <w:rsid w:val="005875B0"/>
    <w:rsid w:val="00587669"/>
    <w:rsid w:val="005876F4"/>
    <w:rsid w:val="00587742"/>
    <w:rsid w:val="005877AE"/>
    <w:rsid w:val="005877E8"/>
    <w:rsid w:val="00587955"/>
    <w:rsid w:val="005879F3"/>
    <w:rsid w:val="00587A1D"/>
    <w:rsid w:val="00587A21"/>
    <w:rsid w:val="00587A99"/>
    <w:rsid w:val="00587B81"/>
    <w:rsid w:val="00587BEA"/>
    <w:rsid w:val="00587C4C"/>
    <w:rsid w:val="00587C67"/>
    <w:rsid w:val="00587CD7"/>
    <w:rsid w:val="00587E6D"/>
    <w:rsid w:val="00587F24"/>
    <w:rsid w:val="00590065"/>
    <w:rsid w:val="005900CB"/>
    <w:rsid w:val="005901DE"/>
    <w:rsid w:val="005901FE"/>
    <w:rsid w:val="0059027C"/>
    <w:rsid w:val="00590320"/>
    <w:rsid w:val="005903C1"/>
    <w:rsid w:val="005904B9"/>
    <w:rsid w:val="00590501"/>
    <w:rsid w:val="00590586"/>
    <w:rsid w:val="0059058F"/>
    <w:rsid w:val="0059065D"/>
    <w:rsid w:val="00590661"/>
    <w:rsid w:val="005906B7"/>
    <w:rsid w:val="005906C4"/>
    <w:rsid w:val="00590743"/>
    <w:rsid w:val="00590765"/>
    <w:rsid w:val="00590782"/>
    <w:rsid w:val="005908B5"/>
    <w:rsid w:val="00590999"/>
    <w:rsid w:val="00590A84"/>
    <w:rsid w:val="00590C0B"/>
    <w:rsid w:val="00590C93"/>
    <w:rsid w:val="00590CA1"/>
    <w:rsid w:val="00590D1F"/>
    <w:rsid w:val="00590D5B"/>
    <w:rsid w:val="00590DD0"/>
    <w:rsid w:val="00590EC4"/>
    <w:rsid w:val="00590FD1"/>
    <w:rsid w:val="00591094"/>
    <w:rsid w:val="00591141"/>
    <w:rsid w:val="005912EB"/>
    <w:rsid w:val="00591381"/>
    <w:rsid w:val="005913F7"/>
    <w:rsid w:val="005914E2"/>
    <w:rsid w:val="0059152B"/>
    <w:rsid w:val="00591653"/>
    <w:rsid w:val="0059167D"/>
    <w:rsid w:val="00591707"/>
    <w:rsid w:val="00591730"/>
    <w:rsid w:val="00591760"/>
    <w:rsid w:val="0059176E"/>
    <w:rsid w:val="00591780"/>
    <w:rsid w:val="005917C2"/>
    <w:rsid w:val="00591827"/>
    <w:rsid w:val="00591874"/>
    <w:rsid w:val="005918F5"/>
    <w:rsid w:val="00591942"/>
    <w:rsid w:val="00591A4A"/>
    <w:rsid w:val="00591A8F"/>
    <w:rsid w:val="00591A91"/>
    <w:rsid w:val="00591AF0"/>
    <w:rsid w:val="00591AFF"/>
    <w:rsid w:val="00591B60"/>
    <w:rsid w:val="00591B66"/>
    <w:rsid w:val="00591B70"/>
    <w:rsid w:val="00591C61"/>
    <w:rsid w:val="00591C9A"/>
    <w:rsid w:val="00591CCF"/>
    <w:rsid w:val="00591D3E"/>
    <w:rsid w:val="00591D98"/>
    <w:rsid w:val="00591DE2"/>
    <w:rsid w:val="00591DF9"/>
    <w:rsid w:val="00591DFC"/>
    <w:rsid w:val="00591E1A"/>
    <w:rsid w:val="00591EF1"/>
    <w:rsid w:val="00591EFF"/>
    <w:rsid w:val="00591FE6"/>
    <w:rsid w:val="0059205D"/>
    <w:rsid w:val="00592092"/>
    <w:rsid w:val="0059217E"/>
    <w:rsid w:val="00592245"/>
    <w:rsid w:val="0059226E"/>
    <w:rsid w:val="005922FF"/>
    <w:rsid w:val="00592329"/>
    <w:rsid w:val="005923CF"/>
    <w:rsid w:val="00592537"/>
    <w:rsid w:val="00592889"/>
    <w:rsid w:val="005928F2"/>
    <w:rsid w:val="00592B2F"/>
    <w:rsid w:val="00592BC9"/>
    <w:rsid w:val="00592C58"/>
    <w:rsid w:val="00592C62"/>
    <w:rsid w:val="00592D1D"/>
    <w:rsid w:val="00592D3F"/>
    <w:rsid w:val="00592D90"/>
    <w:rsid w:val="00592E62"/>
    <w:rsid w:val="00592E95"/>
    <w:rsid w:val="00592F8E"/>
    <w:rsid w:val="00592FDF"/>
    <w:rsid w:val="00593045"/>
    <w:rsid w:val="005930EA"/>
    <w:rsid w:val="0059314F"/>
    <w:rsid w:val="00593158"/>
    <w:rsid w:val="0059317A"/>
    <w:rsid w:val="00593193"/>
    <w:rsid w:val="005932FC"/>
    <w:rsid w:val="0059339B"/>
    <w:rsid w:val="0059343D"/>
    <w:rsid w:val="00593448"/>
    <w:rsid w:val="00593478"/>
    <w:rsid w:val="005934B1"/>
    <w:rsid w:val="005934CA"/>
    <w:rsid w:val="00593583"/>
    <w:rsid w:val="0059358D"/>
    <w:rsid w:val="00593593"/>
    <w:rsid w:val="00593B12"/>
    <w:rsid w:val="00593C2C"/>
    <w:rsid w:val="00593C37"/>
    <w:rsid w:val="00593C40"/>
    <w:rsid w:val="00593C7C"/>
    <w:rsid w:val="00593D11"/>
    <w:rsid w:val="00593E56"/>
    <w:rsid w:val="00593F9C"/>
    <w:rsid w:val="00594003"/>
    <w:rsid w:val="00594059"/>
    <w:rsid w:val="005941EE"/>
    <w:rsid w:val="00594204"/>
    <w:rsid w:val="0059428D"/>
    <w:rsid w:val="00594397"/>
    <w:rsid w:val="005943FF"/>
    <w:rsid w:val="00594438"/>
    <w:rsid w:val="005946BB"/>
    <w:rsid w:val="00594732"/>
    <w:rsid w:val="005947E7"/>
    <w:rsid w:val="0059481D"/>
    <w:rsid w:val="0059482E"/>
    <w:rsid w:val="005949BC"/>
    <w:rsid w:val="00594A86"/>
    <w:rsid w:val="00594B96"/>
    <w:rsid w:val="00594B9D"/>
    <w:rsid w:val="00594D96"/>
    <w:rsid w:val="00594DAA"/>
    <w:rsid w:val="00594E07"/>
    <w:rsid w:val="00595094"/>
    <w:rsid w:val="0059509A"/>
    <w:rsid w:val="0059509F"/>
    <w:rsid w:val="00595195"/>
    <w:rsid w:val="0059519B"/>
    <w:rsid w:val="00595244"/>
    <w:rsid w:val="0059531D"/>
    <w:rsid w:val="005953D6"/>
    <w:rsid w:val="005953DE"/>
    <w:rsid w:val="0059541A"/>
    <w:rsid w:val="00595498"/>
    <w:rsid w:val="005954D5"/>
    <w:rsid w:val="005954FA"/>
    <w:rsid w:val="00595506"/>
    <w:rsid w:val="00595507"/>
    <w:rsid w:val="0059559D"/>
    <w:rsid w:val="005955BB"/>
    <w:rsid w:val="005956C4"/>
    <w:rsid w:val="00595711"/>
    <w:rsid w:val="00595893"/>
    <w:rsid w:val="00595935"/>
    <w:rsid w:val="00595AAD"/>
    <w:rsid w:val="00595B15"/>
    <w:rsid w:val="00595B55"/>
    <w:rsid w:val="00595B75"/>
    <w:rsid w:val="00595BC4"/>
    <w:rsid w:val="00595C11"/>
    <w:rsid w:val="00595C8C"/>
    <w:rsid w:val="00595D4E"/>
    <w:rsid w:val="00595D6C"/>
    <w:rsid w:val="00595D80"/>
    <w:rsid w:val="00595E30"/>
    <w:rsid w:val="00595E85"/>
    <w:rsid w:val="00595F00"/>
    <w:rsid w:val="00595F80"/>
    <w:rsid w:val="00595F8A"/>
    <w:rsid w:val="00596012"/>
    <w:rsid w:val="00596044"/>
    <w:rsid w:val="00596055"/>
    <w:rsid w:val="00596083"/>
    <w:rsid w:val="00596097"/>
    <w:rsid w:val="0059617E"/>
    <w:rsid w:val="0059618F"/>
    <w:rsid w:val="0059620A"/>
    <w:rsid w:val="0059625D"/>
    <w:rsid w:val="005962D3"/>
    <w:rsid w:val="00596337"/>
    <w:rsid w:val="005963CD"/>
    <w:rsid w:val="0059644F"/>
    <w:rsid w:val="00596452"/>
    <w:rsid w:val="005964F0"/>
    <w:rsid w:val="00596559"/>
    <w:rsid w:val="005965CE"/>
    <w:rsid w:val="005965ED"/>
    <w:rsid w:val="005966A0"/>
    <w:rsid w:val="0059694C"/>
    <w:rsid w:val="005969A4"/>
    <w:rsid w:val="005969AA"/>
    <w:rsid w:val="005969EF"/>
    <w:rsid w:val="00596AB5"/>
    <w:rsid w:val="00596B0F"/>
    <w:rsid w:val="00596B74"/>
    <w:rsid w:val="00596C03"/>
    <w:rsid w:val="00596C22"/>
    <w:rsid w:val="00596C36"/>
    <w:rsid w:val="00596CEF"/>
    <w:rsid w:val="00596D9B"/>
    <w:rsid w:val="00596E6F"/>
    <w:rsid w:val="00596F97"/>
    <w:rsid w:val="0059705A"/>
    <w:rsid w:val="005970EE"/>
    <w:rsid w:val="00597193"/>
    <w:rsid w:val="00597392"/>
    <w:rsid w:val="005973D8"/>
    <w:rsid w:val="00597451"/>
    <w:rsid w:val="005974F1"/>
    <w:rsid w:val="005974F9"/>
    <w:rsid w:val="0059754E"/>
    <w:rsid w:val="00597633"/>
    <w:rsid w:val="0059769B"/>
    <w:rsid w:val="0059773B"/>
    <w:rsid w:val="00597800"/>
    <w:rsid w:val="00597821"/>
    <w:rsid w:val="0059785F"/>
    <w:rsid w:val="00597861"/>
    <w:rsid w:val="00597867"/>
    <w:rsid w:val="005978AA"/>
    <w:rsid w:val="00597911"/>
    <w:rsid w:val="00597922"/>
    <w:rsid w:val="00597983"/>
    <w:rsid w:val="00597A22"/>
    <w:rsid w:val="00597ABA"/>
    <w:rsid w:val="00597C4E"/>
    <w:rsid w:val="00597E77"/>
    <w:rsid w:val="00597E95"/>
    <w:rsid w:val="00597ECD"/>
    <w:rsid w:val="005A0309"/>
    <w:rsid w:val="005A0318"/>
    <w:rsid w:val="005A037E"/>
    <w:rsid w:val="005A03FB"/>
    <w:rsid w:val="005A0446"/>
    <w:rsid w:val="005A045A"/>
    <w:rsid w:val="005A04E7"/>
    <w:rsid w:val="005A0506"/>
    <w:rsid w:val="005A0560"/>
    <w:rsid w:val="005A0568"/>
    <w:rsid w:val="005A063A"/>
    <w:rsid w:val="005A0669"/>
    <w:rsid w:val="005A091C"/>
    <w:rsid w:val="005A0A2D"/>
    <w:rsid w:val="005A0A34"/>
    <w:rsid w:val="005A0A7E"/>
    <w:rsid w:val="005A0AFE"/>
    <w:rsid w:val="005A0BED"/>
    <w:rsid w:val="005A0C06"/>
    <w:rsid w:val="005A0CAA"/>
    <w:rsid w:val="005A0CBE"/>
    <w:rsid w:val="005A0D4A"/>
    <w:rsid w:val="005A0D73"/>
    <w:rsid w:val="005A0DDE"/>
    <w:rsid w:val="005A0F8F"/>
    <w:rsid w:val="005A0F93"/>
    <w:rsid w:val="005A0FC6"/>
    <w:rsid w:val="005A100D"/>
    <w:rsid w:val="005A10FD"/>
    <w:rsid w:val="005A1174"/>
    <w:rsid w:val="005A11E4"/>
    <w:rsid w:val="005A12F8"/>
    <w:rsid w:val="005A13A1"/>
    <w:rsid w:val="005A13A7"/>
    <w:rsid w:val="005A144A"/>
    <w:rsid w:val="005A1452"/>
    <w:rsid w:val="005A1494"/>
    <w:rsid w:val="005A14BE"/>
    <w:rsid w:val="005A150F"/>
    <w:rsid w:val="005A15F8"/>
    <w:rsid w:val="005A17A7"/>
    <w:rsid w:val="005A182C"/>
    <w:rsid w:val="005A1856"/>
    <w:rsid w:val="005A18FE"/>
    <w:rsid w:val="005A1904"/>
    <w:rsid w:val="005A1A1A"/>
    <w:rsid w:val="005A1A63"/>
    <w:rsid w:val="005A1B00"/>
    <w:rsid w:val="005A1B03"/>
    <w:rsid w:val="005A1C7D"/>
    <w:rsid w:val="005A1CCC"/>
    <w:rsid w:val="005A1D1B"/>
    <w:rsid w:val="005A1D54"/>
    <w:rsid w:val="005A1E07"/>
    <w:rsid w:val="005A1FE7"/>
    <w:rsid w:val="005A1FF5"/>
    <w:rsid w:val="005A218C"/>
    <w:rsid w:val="005A219A"/>
    <w:rsid w:val="005A2336"/>
    <w:rsid w:val="005A2356"/>
    <w:rsid w:val="005A23BE"/>
    <w:rsid w:val="005A23CE"/>
    <w:rsid w:val="005A24E2"/>
    <w:rsid w:val="005A269C"/>
    <w:rsid w:val="005A2799"/>
    <w:rsid w:val="005A2817"/>
    <w:rsid w:val="005A2870"/>
    <w:rsid w:val="005A2899"/>
    <w:rsid w:val="005A28AF"/>
    <w:rsid w:val="005A2998"/>
    <w:rsid w:val="005A299A"/>
    <w:rsid w:val="005A29A6"/>
    <w:rsid w:val="005A2A65"/>
    <w:rsid w:val="005A2AD7"/>
    <w:rsid w:val="005A2B08"/>
    <w:rsid w:val="005A2B0E"/>
    <w:rsid w:val="005A2BA2"/>
    <w:rsid w:val="005A2BB8"/>
    <w:rsid w:val="005A2BF4"/>
    <w:rsid w:val="005A2CB3"/>
    <w:rsid w:val="005A2FF7"/>
    <w:rsid w:val="005A3004"/>
    <w:rsid w:val="005A3028"/>
    <w:rsid w:val="005A3071"/>
    <w:rsid w:val="005A3080"/>
    <w:rsid w:val="005A32DB"/>
    <w:rsid w:val="005A3327"/>
    <w:rsid w:val="005A3359"/>
    <w:rsid w:val="005A33E4"/>
    <w:rsid w:val="005A340F"/>
    <w:rsid w:val="005A3414"/>
    <w:rsid w:val="005A34BD"/>
    <w:rsid w:val="005A3565"/>
    <w:rsid w:val="005A3567"/>
    <w:rsid w:val="005A3635"/>
    <w:rsid w:val="005A369F"/>
    <w:rsid w:val="005A372D"/>
    <w:rsid w:val="005A3760"/>
    <w:rsid w:val="005A3786"/>
    <w:rsid w:val="005A37D3"/>
    <w:rsid w:val="005A38E1"/>
    <w:rsid w:val="005A3921"/>
    <w:rsid w:val="005A39B3"/>
    <w:rsid w:val="005A3AD2"/>
    <w:rsid w:val="005A3B01"/>
    <w:rsid w:val="005A3B77"/>
    <w:rsid w:val="005A3C35"/>
    <w:rsid w:val="005A3CBB"/>
    <w:rsid w:val="005A3CEB"/>
    <w:rsid w:val="005A3D3F"/>
    <w:rsid w:val="005A3D58"/>
    <w:rsid w:val="005A3E4B"/>
    <w:rsid w:val="005A3ED9"/>
    <w:rsid w:val="005A3F1C"/>
    <w:rsid w:val="005A3FA9"/>
    <w:rsid w:val="005A4037"/>
    <w:rsid w:val="005A40A8"/>
    <w:rsid w:val="005A40AC"/>
    <w:rsid w:val="005A4174"/>
    <w:rsid w:val="005A4182"/>
    <w:rsid w:val="005A430C"/>
    <w:rsid w:val="005A4316"/>
    <w:rsid w:val="005A437D"/>
    <w:rsid w:val="005A43D2"/>
    <w:rsid w:val="005A443B"/>
    <w:rsid w:val="005A448B"/>
    <w:rsid w:val="005A44CC"/>
    <w:rsid w:val="005A455D"/>
    <w:rsid w:val="005A471E"/>
    <w:rsid w:val="005A47C7"/>
    <w:rsid w:val="005A47E1"/>
    <w:rsid w:val="005A4804"/>
    <w:rsid w:val="005A4898"/>
    <w:rsid w:val="005A48CE"/>
    <w:rsid w:val="005A4A43"/>
    <w:rsid w:val="005A4A81"/>
    <w:rsid w:val="005A4ACF"/>
    <w:rsid w:val="005A4BE1"/>
    <w:rsid w:val="005A4C23"/>
    <w:rsid w:val="005A4CAC"/>
    <w:rsid w:val="005A4CF2"/>
    <w:rsid w:val="005A4D26"/>
    <w:rsid w:val="005A4DB5"/>
    <w:rsid w:val="005A4DE1"/>
    <w:rsid w:val="005A4E97"/>
    <w:rsid w:val="005A4F44"/>
    <w:rsid w:val="005A4FCB"/>
    <w:rsid w:val="005A503E"/>
    <w:rsid w:val="005A50E8"/>
    <w:rsid w:val="005A516C"/>
    <w:rsid w:val="005A517E"/>
    <w:rsid w:val="005A5226"/>
    <w:rsid w:val="005A52AE"/>
    <w:rsid w:val="005A5300"/>
    <w:rsid w:val="005A532D"/>
    <w:rsid w:val="005A539D"/>
    <w:rsid w:val="005A544E"/>
    <w:rsid w:val="005A54F7"/>
    <w:rsid w:val="005A5501"/>
    <w:rsid w:val="005A556F"/>
    <w:rsid w:val="005A55C7"/>
    <w:rsid w:val="005A56DA"/>
    <w:rsid w:val="005A58B4"/>
    <w:rsid w:val="005A58FF"/>
    <w:rsid w:val="005A599B"/>
    <w:rsid w:val="005A5A1D"/>
    <w:rsid w:val="005A5A64"/>
    <w:rsid w:val="005A5A6A"/>
    <w:rsid w:val="005A5B5A"/>
    <w:rsid w:val="005A5BC2"/>
    <w:rsid w:val="005A5D1D"/>
    <w:rsid w:val="005A5D5F"/>
    <w:rsid w:val="005A5DF3"/>
    <w:rsid w:val="005A5DF9"/>
    <w:rsid w:val="005A5E16"/>
    <w:rsid w:val="005A5EF6"/>
    <w:rsid w:val="005A600E"/>
    <w:rsid w:val="005A60D7"/>
    <w:rsid w:val="005A60EA"/>
    <w:rsid w:val="005A6214"/>
    <w:rsid w:val="005A6447"/>
    <w:rsid w:val="005A648E"/>
    <w:rsid w:val="005A6527"/>
    <w:rsid w:val="005A6607"/>
    <w:rsid w:val="005A667D"/>
    <w:rsid w:val="005A6691"/>
    <w:rsid w:val="005A66F8"/>
    <w:rsid w:val="005A6715"/>
    <w:rsid w:val="005A674C"/>
    <w:rsid w:val="005A67A8"/>
    <w:rsid w:val="005A67BF"/>
    <w:rsid w:val="005A67F9"/>
    <w:rsid w:val="005A6853"/>
    <w:rsid w:val="005A68BE"/>
    <w:rsid w:val="005A6968"/>
    <w:rsid w:val="005A69FD"/>
    <w:rsid w:val="005A6A8A"/>
    <w:rsid w:val="005A6B22"/>
    <w:rsid w:val="005A6D4E"/>
    <w:rsid w:val="005A6D92"/>
    <w:rsid w:val="005A6DC2"/>
    <w:rsid w:val="005A6E7B"/>
    <w:rsid w:val="005A6E82"/>
    <w:rsid w:val="005A6E94"/>
    <w:rsid w:val="005A6F09"/>
    <w:rsid w:val="005A6FD1"/>
    <w:rsid w:val="005A7042"/>
    <w:rsid w:val="005A704F"/>
    <w:rsid w:val="005A70CB"/>
    <w:rsid w:val="005A70EC"/>
    <w:rsid w:val="005A71D4"/>
    <w:rsid w:val="005A71EA"/>
    <w:rsid w:val="005A72CD"/>
    <w:rsid w:val="005A7371"/>
    <w:rsid w:val="005A7386"/>
    <w:rsid w:val="005A73E1"/>
    <w:rsid w:val="005A745F"/>
    <w:rsid w:val="005A746E"/>
    <w:rsid w:val="005A750A"/>
    <w:rsid w:val="005A756B"/>
    <w:rsid w:val="005A75A3"/>
    <w:rsid w:val="005A76E2"/>
    <w:rsid w:val="005A78B7"/>
    <w:rsid w:val="005A7A05"/>
    <w:rsid w:val="005A7B02"/>
    <w:rsid w:val="005A7B8C"/>
    <w:rsid w:val="005A7BD7"/>
    <w:rsid w:val="005A7C3E"/>
    <w:rsid w:val="005A7D03"/>
    <w:rsid w:val="005A7E0B"/>
    <w:rsid w:val="005A7EA5"/>
    <w:rsid w:val="005A7EF1"/>
    <w:rsid w:val="005A7F04"/>
    <w:rsid w:val="005A7F3E"/>
    <w:rsid w:val="005A7FF9"/>
    <w:rsid w:val="005B00F3"/>
    <w:rsid w:val="005B00F6"/>
    <w:rsid w:val="005B0167"/>
    <w:rsid w:val="005B0182"/>
    <w:rsid w:val="005B01F3"/>
    <w:rsid w:val="005B02A0"/>
    <w:rsid w:val="005B02F6"/>
    <w:rsid w:val="005B0421"/>
    <w:rsid w:val="005B0461"/>
    <w:rsid w:val="005B048F"/>
    <w:rsid w:val="005B04D8"/>
    <w:rsid w:val="005B05A9"/>
    <w:rsid w:val="005B05BC"/>
    <w:rsid w:val="005B06B2"/>
    <w:rsid w:val="005B083F"/>
    <w:rsid w:val="005B0883"/>
    <w:rsid w:val="005B08EE"/>
    <w:rsid w:val="005B08FA"/>
    <w:rsid w:val="005B0915"/>
    <w:rsid w:val="005B0986"/>
    <w:rsid w:val="005B09CF"/>
    <w:rsid w:val="005B0AE6"/>
    <w:rsid w:val="005B0AE9"/>
    <w:rsid w:val="005B0BA9"/>
    <w:rsid w:val="005B0BDE"/>
    <w:rsid w:val="005B0C8D"/>
    <w:rsid w:val="005B0C93"/>
    <w:rsid w:val="005B0CB3"/>
    <w:rsid w:val="005B0D36"/>
    <w:rsid w:val="005B0DC1"/>
    <w:rsid w:val="005B0DD0"/>
    <w:rsid w:val="005B0E6F"/>
    <w:rsid w:val="005B0EBB"/>
    <w:rsid w:val="005B0F1C"/>
    <w:rsid w:val="005B0F29"/>
    <w:rsid w:val="005B0FFF"/>
    <w:rsid w:val="005B1008"/>
    <w:rsid w:val="005B11B4"/>
    <w:rsid w:val="005B1253"/>
    <w:rsid w:val="005B13BB"/>
    <w:rsid w:val="005B1436"/>
    <w:rsid w:val="005B147D"/>
    <w:rsid w:val="005B1497"/>
    <w:rsid w:val="005B1530"/>
    <w:rsid w:val="005B1545"/>
    <w:rsid w:val="005B158F"/>
    <w:rsid w:val="005B1661"/>
    <w:rsid w:val="005B175D"/>
    <w:rsid w:val="005B178C"/>
    <w:rsid w:val="005B17CD"/>
    <w:rsid w:val="005B18C2"/>
    <w:rsid w:val="005B1A2A"/>
    <w:rsid w:val="005B1A7B"/>
    <w:rsid w:val="005B1B14"/>
    <w:rsid w:val="005B1B9E"/>
    <w:rsid w:val="005B1BF1"/>
    <w:rsid w:val="005B1C42"/>
    <w:rsid w:val="005B1C4D"/>
    <w:rsid w:val="005B1C5F"/>
    <w:rsid w:val="005B1CA2"/>
    <w:rsid w:val="005B1CC7"/>
    <w:rsid w:val="005B1CD2"/>
    <w:rsid w:val="005B1CFA"/>
    <w:rsid w:val="005B1D03"/>
    <w:rsid w:val="005B1D08"/>
    <w:rsid w:val="005B1EA6"/>
    <w:rsid w:val="005B1EEF"/>
    <w:rsid w:val="005B1F6F"/>
    <w:rsid w:val="005B1FFF"/>
    <w:rsid w:val="005B2067"/>
    <w:rsid w:val="005B20B4"/>
    <w:rsid w:val="005B22FC"/>
    <w:rsid w:val="005B2523"/>
    <w:rsid w:val="005B25BA"/>
    <w:rsid w:val="005B260D"/>
    <w:rsid w:val="005B2619"/>
    <w:rsid w:val="005B2664"/>
    <w:rsid w:val="005B266C"/>
    <w:rsid w:val="005B273D"/>
    <w:rsid w:val="005B29A4"/>
    <w:rsid w:val="005B29CF"/>
    <w:rsid w:val="005B2A85"/>
    <w:rsid w:val="005B2B4D"/>
    <w:rsid w:val="005B2BC4"/>
    <w:rsid w:val="005B2C0B"/>
    <w:rsid w:val="005B2C37"/>
    <w:rsid w:val="005B2C39"/>
    <w:rsid w:val="005B2C60"/>
    <w:rsid w:val="005B2CC4"/>
    <w:rsid w:val="005B2CD5"/>
    <w:rsid w:val="005B2D54"/>
    <w:rsid w:val="005B2DD7"/>
    <w:rsid w:val="005B2F5B"/>
    <w:rsid w:val="005B2F7B"/>
    <w:rsid w:val="005B3039"/>
    <w:rsid w:val="005B308F"/>
    <w:rsid w:val="005B31D1"/>
    <w:rsid w:val="005B3231"/>
    <w:rsid w:val="005B323F"/>
    <w:rsid w:val="005B3280"/>
    <w:rsid w:val="005B32AC"/>
    <w:rsid w:val="005B3324"/>
    <w:rsid w:val="005B3477"/>
    <w:rsid w:val="005B34A8"/>
    <w:rsid w:val="005B34E3"/>
    <w:rsid w:val="005B3502"/>
    <w:rsid w:val="005B35C4"/>
    <w:rsid w:val="005B3636"/>
    <w:rsid w:val="005B363D"/>
    <w:rsid w:val="005B368C"/>
    <w:rsid w:val="005B3A0A"/>
    <w:rsid w:val="005B3B2C"/>
    <w:rsid w:val="005B3C1B"/>
    <w:rsid w:val="005B3C26"/>
    <w:rsid w:val="005B3C28"/>
    <w:rsid w:val="005B3D71"/>
    <w:rsid w:val="005B4020"/>
    <w:rsid w:val="005B4280"/>
    <w:rsid w:val="005B42B7"/>
    <w:rsid w:val="005B42BC"/>
    <w:rsid w:val="005B4368"/>
    <w:rsid w:val="005B44A7"/>
    <w:rsid w:val="005B4548"/>
    <w:rsid w:val="005B4588"/>
    <w:rsid w:val="005B45AE"/>
    <w:rsid w:val="005B46EC"/>
    <w:rsid w:val="005B4750"/>
    <w:rsid w:val="005B49EC"/>
    <w:rsid w:val="005B4AF7"/>
    <w:rsid w:val="005B4B22"/>
    <w:rsid w:val="005B4BC1"/>
    <w:rsid w:val="005B4BCD"/>
    <w:rsid w:val="005B4C31"/>
    <w:rsid w:val="005B4DE2"/>
    <w:rsid w:val="005B4DF3"/>
    <w:rsid w:val="005B4E66"/>
    <w:rsid w:val="005B4FBE"/>
    <w:rsid w:val="005B521A"/>
    <w:rsid w:val="005B52FD"/>
    <w:rsid w:val="005B5303"/>
    <w:rsid w:val="005B531B"/>
    <w:rsid w:val="005B5486"/>
    <w:rsid w:val="005B5498"/>
    <w:rsid w:val="005B54B5"/>
    <w:rsid w:val="005B54D2"/>
    <w:rsid w:val="005B560F"/>
    <w:rsid w:val="005B57D0"/>
    <w:rsid w:val="005B5830"/>
    <w:rsid w:val="005B584F"/>
    <w:rsid w:val="005B591F"/>
    <w:rsid w:val="005B5928"/>
    <w:rsid w:val="005B5960"/>
    <w:rsid w:val="005B59C7"/>
    <w:rsid w:val="005B5AF7"/>
    <w:rsid w:val="005B5B25"/>
    <w:rsid w:val="005B5BEC"/>
    <w:rsid w:val="005B5CEF"/>
    <w:rsid w:val="005B5CF4"/>
    <w:rsid w:val="005B5ED4"/>
    <w:rsid w:val="005B5EF1"/>
    <w:rsid w:val="005B5F82"/>
    <w:rsid w:val="005B5FC3"/>
    <w:rsid w:val="005B5FDC"/>
    <w:rsid w:val="005B6035"/>
    <w:rsid w:val="005B6048"/>
    <w:rsid w:val="005B620A"/>
    <w:rsid w:val="005B6264"/>
    <w:rsid w:val="005B626E"/>
    <w:rsid w:val="005B6328"/>
    <w:rsid w:val="005B6374"/>
    <w:rsid w:val="005B63FE"/>
    <w:rsid w:val="005B64B9"/>
    <w:rsid w:val="005B651B"/>
    <w:rsid w:val="005B65E4"/>
    <w:rsid w:val="005B666F"/>
    <w:rsid w:val="005B66F3"/>
    <w:rsid w:val="005B681E"/>
    <w:rsid w:val="005B68B8"/>
    <w:rsid w:val="005B698D"/>
    <w:rsid w:val="005B69AE"/>
    <w:rsid w:val="005B69C5"/>
    <w:rsid w:val="005B6B97"/>
    <w:rsid w:val="005B6DE3"/>
    <w:rsid w:val="005B6E5E"/>
    <w:rsid w:val="005B6F5D"/>
    <w:rsid w:val="005B6FCF"/>
    <w:rsid w:val="005B6FDD"/>
    <w:rsid w:val="005B701D"/>
    <w:rsid w:val="005B709C"/>
    <w:rsid w:val="005B70B7"/>
    <w:rsid w:val="005B70F5"/>
    <w:rsid w:val="005B7122"/>
    <w:rsid w:val="005B71C3"/>
    <w:rsid w:val="005B7202"/>
    <w:rsid w:val="005B7252"/>
    <w:rsid w:val="005B739D"/>
    <w:rsid w:val="005B7442"/>
    <w:rsid w:val="005B747B"/>
    <w:rsid w:val="005B747D"/>
    <w:rsid w:val="005B7506"/>
    <w:rsid w:val="005B75E2"/>
    <w:rsid w:val="005B773D"/>
    <w:rsid w:val="005B7752"/>
    <w:rsid w:val="005B77B2"/>
    <w:rsid w:val="005B77FC"/>
    <w:rsid w:val="005B78A2"/>
    <w:rsid w:val="005B791A"/>
    <w:rsid w:val="005B791D"/>
    <w:rsid w:val="005B7A1A"/>
    <w:rsid w:val="005B7A68"/>
    <w:rsid w:val="005B7AFF"/>
    <w:rsid w:val="005B7B09"/>
    <w:rsid w:val="005B7C8A"/>
    <w:rsid w:val="005B7CC2"/>
    <w:rsid w:val="005B7CE6"/>
    <w:rsid w:val="005B7D7A"/>
    <w:rsid w:val="005B7DDD"/>
    <w:rsid w:val="005B7E06"/>
    <w:rsid w:val="005B7E9E"/>
    <w:rsid w:val="005B7F02"/>
    <w:rsid w:val="005C0029"/>
    <w:rsid w:val="005C0181"/>
    <w:rsid w:val="005C01EE"/>
    <w:rsid w:val="005C02D6"/>
    <w:rsid w:val="005C0308"/>
    <w:rsid w:val="005C0415"/>
    <w:rsid w:val="005C04C2"/>
    <w:rsid w:val="005C0702"/>
    <w:rsid w:val="005C0727"/>
    <w:rsid w:val="005C079A"/>
    <w:rsid w:val="005C07D6"/>
    <w:rsid w:val="005C07DE"/>
    <w:rsid w:val="005C085C"/>
    <w:rsid w:val="005C09AC"/>
    <w:rsid w:val="005C09AF"/>
    <w:rsid w:val="005C0A82"/>
    <w:rsid w:val="005C0AD2"/>
    <w:rsid w:val="005C0AFD"/>
    <w:rsid w:val="005C0B30"/>
    <w:rsid w:val="005C0C5F"/>
    <w:rsid w:val="005C0C99"/>
    <w:rsid w:val="005C0CA3"/>
    <w:rsid w:val="005C0D7D"/>
    <w:rsid w:val="005C0E90"/>
    <w:rsid w:val="005C0F31"/>
    <w:rsid w:val="005C1010"/>
    <w:rsid w:val="005C108F"/>
    <w:rsid w:val="005C10B0"/>
    <w:rsid w:val="005C1132"/>
    <w:rsid w:val="005C113D"/>
    <w:rsid w:val="005C116D"/>
    <w:rsid w:val="005C11FD"/>
    <w:rsid w:val="005C12EE"/>
    <w:rsid w:val="005C1300"/>
    <w:rsid w:val="005C1338"/>
    <w:rsid w:val="005C1360"/>
    <w:rsid w:val="005C13F1"/>
    <w:rsid w:val="005C1416"/>
    <w:rsid w:val="005C14BD"/>
    <w:rsid w:val="005C156D"/>
    <w:rsid w:val="005C15BB"/>
    <w:rsid w:val="005C163C"/>
    <w:rsid w:val="005C1687"/>
    <w:rsid w:val="005C16D5"/>
    <w:rsid w:val="005C16E3"/>
    <w:rsid w:val="005C16F3"/>
    <w:rsid w:val="005C1711"/>
    <w:rsid w:val="005C171F"/>
    <w:rsid w:val="005C17BE"/>
    <w:rsid w:val="005C17EA"/>
    <w:rsid w:val="005C181C"/>
    <w:rsid w:val="005C18B8"/>
    <w:rsid w:val="005C19F1"/>
    <w:rsid w:val="005C1AD3"/>
    <w:rsid w:val="005C1B71"/>
    <w:rsid w:val="005C1BDC"/>
    <w:rsid w:val="005C1C20"/>
    <w:rsid w:val="005C1CE5"/>
    <w:rsid w:val="005C1CF1"/>
    <w:rsid w:val="005C1D47"/>
    <w:rsid w:val="005C1D7C"/>
    <w:rsid w:val="005C1DCA"/>
    <w:rsid w:val="005C1E0A"/>
    <w:rsid w:val="005C1ED7"/>
    <w:rsid w:val="005C1EDD"/>
    <w:rsid w:val="005C1F14"/>
    <w:rsid w:val="005C1F2F"/>
    <w:rsid w:val="005C1F6C"/>
    <w:rsid w:val="005C2023"/>
    <w:rsid w:val="005C20B7"/>
    <w:rsid w:val="005C20C5"/>
    <w:rsid w:val="005C2331"/>
    <w:rsid w:val="005C2386"/>
    <w:rsid w:val="005C23C6"/>
    <w:rsid w:val="005C23EB"/>
    <w:rsid w:val="005C2436"/>
    <w:rsid w:val="005C244D"/>
    <w:rsid w:val="005C2513"/>
    <w:rsid w:val="005C252B"/>
    <w:rsid w:val="005C259E"/>
    <w:rsid w:val="005C25A7"/>
    <w:rsid w:val="005C25B4"/>
    <w:rsid w:val="005C25D9"/>
    <w:rsid w:val="005C260C"/>
    <w:rsid w:val="005C2699"/>
    <w:rsid w:val="005C2712"/>
    <w:rsid w:val="005C282C"/>
    <w:rsid w:val="005C28F6"/>
    <w:rsid w:val="005C299D"/>
    <w:rsid w:val="005C2AB3"/>
    <w:rsid w:val="005C2AC5"/>
    <w:rsid w:val="005C2B4B"/>
    <w:rsid w:val="005C2B67"/>
    <w:rsid w:val="005C2C74"/>
    <w:rsid w:val="005C2CBC"/>
    <w:rsid w:val="005C2D6D"/>
    <w:rsid w:val="005C2DCC"/>
    <w:rsid w:val="005C2E07"/>
    <w:rsid w:val="005C2FA1"/>
    <w:rsid w:val="005C3027"/>
    <w:rsid w:val="005C30D2"/>
    <w:rsid w:val="005C30DA"/>
    <w:rsid w:val="005C3147"/>
    <w:rsid w:val="005C31CA"/>
    <w:rsid w:val="005C32D0"/>
    <w:rsid w:val="005C3370"/>
    <w:rsid w:val="005C34B9"/>
    <w:rsid w:val="005C34D6"/>
    <w:rsid w:val="005C3534"/>
    <w:rsid w:val="005C362D"/>
    <w:rsid w:val="005C3733"/>
    <w:rsid w:val="005C381C"/>
    <w:rsid w:val="005C3874"/>
    <w:rsid w:val="005C38C2"/>
    <w:rsid w:val="005C38CF"/>
    <w:rsid w:val="005C391D"/>
    <w:rsid w:val="005C3924"/>
    <w:rsid w:val="005C39B7"/>
    <w:rsid w:val="005C3AA9"/>
    <w:rsid w:val="005C3AE8"/>
    <w:rsid w:val="005C3B3F"/>
    <w:rsid w:val="005C3B99"/>
    <w:rsid w:val="005C3BF0"/>
    <w:rsid w:val="005C3C84"/>
    <w:rsid w:val="005C3CB1"/>
    <w:rsid w:val="005C3D0A"/>
    <w:rsid w:val="005C3F30"/>
    <w:rsid w:val="005C3F9F"/>
    <w:rsid w:val="005C3FF8"/>
    <w:rsid w:val="005C3FFA"/>
    <w:rsid w:val="005C4037"/>
    <w:rsid w:val="005C4092"/>
    <w:rsid w:val="005C40E4"/>
    <w:rsid w:val="005C41B9"/>
    <w:rsid w:val="005C420D"/>
    <w:rsid w:val="005C42C3"/>
    <w:rsid w:val="005C43A6"/>
    <w:rsid w:val="005C445F"/>
    <w:rsid w:val="005C4496"/>
    <w:rsid w:val="005C458D"/>
    <w:rsid w:val="005C45E1"/>
    <w:rsid w:val="005C4672"/>
    <w:rsid w:val="005C47DF"/>
    <w:rsid w:val="005C47F8"/>
    <w:rsid w:val="005C482D"/>
    <w:rsid w:val="005C488C"/>
    <w:rsid w:val="005C49B9"/>
    <w:rsid w:val="005C4A62"/>
    <w:rsid w:val="005C4AB2"/>
    <w:rsid w:val="005C4ACE"/>
    <w:rsid w:val="005C4B69"/>
    <w:rsid w:val="005C4CCF"/>
    <w:rsid w:val="005C4CFE"/>
    <w:rsid w:val="005C4D2E"/>
    <w:rsid w:val="005C4DF4"/>
    <w:rsid w:val="005C4E60"/>
    <w:rsid w:val="005C4EEB"/>
    <w:rsid w:val="005C4F10"/>
    <w:rsid w:val="005C50ED"/>
    <w:rsid w:val="005C5123"/>
    <w:rsid w:val="005C520B"/>
    <w:rsid w:val="005C5247"/>
    <w:rsid w:val="005C52D9"/>
    <w:rsid w:val="005C533C"/>
    <w:rsid w:val="005C534E"/>
    <w:rsid w:val="005C53CA"/>
    <w:rsid w:val="005C53EB"/>
    <w:rsid w:val="005C5585"/>
    <w:rsid w:val="005C55A8"/>
    <w:rsid w:val="005C55A9"/>
    <w:rsid w:val="005C55B6"/>
    <w:rsid w:val="005C56F4"/>
    <w:rsid w:val="005C5709"/>
    <w:rsid w:val="005C57E4"/>
    <w:rsid w:val="005C592E"/>
    <w:rsid w:val="005C5A28"/>
    <w:rsid w:val="005C5AD3"/>
    <w:rsid w:val="005C5B27"/>
    <w:rsid w:val="005C5BA8"/>
    <w:rsid w:val="005C5C82"/>
    <w:rsid w:val="005C5E09"/>
    <w:rsid w:val="005C5E46"/>
    <w:rsid w:val="005C5EB6"/>
    <w:rsid w:val="005C6004"/>
    <w:rsid w:val="005C60BA"/>
    <w:rsid w:val="005C61F0"/>
    <w:rsid w:val="005C61F7"/>
    <w:rsid w:val="005C633F"/>
    <w:rsid w:val="005C64B4"/>
    <w:rsid w:val="005C6561"/>
    <w:rsid w:val="005C667B"/>
    <w:rsid w:val="005C6779"/>
    <w:rsid w:val="005C6852"/>
    <w:rsid w:val="005C68BD"/>
    <w:rsid w:val="005C69C7"/>
    <w:rsid w:val="005C6C45"/>
    <w:rsid w:val="005C6C8F"/>
    <w:rsid w:val="005C6CE0"/>
    <w:rsid w:val="005C6D11"/>
    <w:rsid w:val="005C6DEF"/>
    <w:rsid w:val="005C6F08"/>
    <w:rsid w:val="005C6F1B"/>
    <w:rsid w:val="005C7083"/>
    <w:rsid w:val="005C711E"/>
    <w:rsid w:val="005C72DE"/>
    <w:rsid w:val="005C7315"/>
    <w:rsid w:val="005C73F0"/>
    <w:rsid w:val="005C74D9"/>
    <w:rsid w:val="005C74FB"/>
    <w:rsid w:val="005C7586"/>
    <w:rsid w:val="005C762F"/>
    <w:rsid w:val="005C764B"/>
    <w:rsid w:val="005C7663"/>
    <w:rsid w:val="005C778F"/>
    <w:rsid w:val="005C77EE"/>
    <w:rsid w:val="005C785F"/>
    <w:rsid w:val="005C7864"/>
    <w:rsid w:val="005C788B"/>
    <w:rsid w:val="005C7897"/>
    <w:rsid w:val="005C78A7"/>
    <w:rsid w:val="005C78EF"/>
    <w:rsid w:val="005C7A74"/>
    <w:rsid w:val="005C7A78"/>
    <w:rsid w:val="005C7AA9"/>
    <w:rsid w:val="005C7ACD"/>
    <w:rsid w:val="005C7B34"/>
    <w:rsid w:val="005C7B5A"/>
    <w:rsid w:val="005C7C1C"/>
    <w:rsid w:val="005C7C37"/>
    <w:rsid w:val="005C7D0D"/>
    <w:rsid w:val="005C7D37"/>
    <w:rsid w:val="005C7EC3"/>
    <w:rsid w:val="005C7EC8"/>
    <w:rsid w:val="005D0076"/>
    <w:rsid w:val="005D0123"/>
    <w:rsid w:val="005D01AD"/>
    <w:rsid w:val="005D021C"/>
    <w:rsid w:val="005D0239"/>
    <w:rsid w:val="005D02AF"/>
    <w:rsid w:val="005D03B5"/>
    <w:rsid w:val="005D0488"/>
    <w:rsid w:val="005D051C"/>
    <w:rsid w:val="005D055F"/>
    <w:rsid w:val="005D064C"/>
    <w:rsid w:val="005D0652"/>
    <w:rsid w:val="005D06A0"/>
    <w:rsid w:val="005D06AC"/>
    <w:rsid w:val="005D0770"/>
    <w:rsid w:val="005D0775"/>
    <w:rsid w:val="005D08A6"/>
    <w:rsid w:val="005D0942"/>
    <w:rsid w:val="005D0AFF"/>
    <w:rsid w:val="005D0B93"/>
    <w:rsid w:val="005D0D30"/>
    <w:rsid w:val="005D0E4F"/>
    <w:rsid w:val="005D0E8A"/>
    <w:rsid w:val="005D0F66"/>
    <w:rsid w:val="005D0FE3"/>
    <w:rsid w:val="005D1000"/>
    <w:rsid w:val="005D1038"/>
    <w:rsid w:val="005D106F"/>
    <w:rsid w:val="005D111B"/>
    <w:rsid w:val="005D1132"/>
    <w:rsid w:val="005D11FA"/>
    <w:rsid w:val="005D123A"/>
    <w:rsid w:val="005D1263"/>
    <w:rsid w:val="005D132D"/>
    <w:rsid w:val="005D1399"/>
    <w:rsid w:val="005D139F"/>
    <w:rsid w:val="005D1433"/>
    <w:rsid w:val="005D1480"/>
    <w:rsid w:val="005D160E"/>
    <w:rsid w:val="005D16AD"/>
    <w:rsid w:val="005D17B1"/>
    <w:rsid w:val="005D19E7"/>
    <w:rsid w:val="005D1B10"/>
    <w:rsid w:val="005D1B46"/>
    <w:rsid w:val="005D1B67"/>
    <w:rsid w:val="005D1B8B"/>
    <w:rsid w:val="005D1D3D"/>
    <w:rsid w:val="005D1E5E"/>
    <w:rsid w:val="005D1E75"/>
    <w:rsid w:val="005D1EED"/>
    <w:rsid w:val="005D1EF6"/>
    <w:rsid w:val="005D1F9A"/>
    <w:rsid w:val="005D216D"/>
    <w:rsid w:val="005D21BB"/>
    <w:rsid w:val="005D220F"/>
    <w:rsid w:val="005D22F9"/>
    <w:rsid w:val="005D253C"/>
    <w:rsid w:val="005D25F5"/>
    <w:rsid w:val="005D25FB"/>
    <w:rsid w:val="005D27BA"/>
    <w:rsid w:val="005D27EB"/>
    <w:rsid w:val="005D2823"/>
    <w:rsid w:val="005D2836"/>
    <w:rsid w:val="005D289F"/>
    <w:rsid w:val="005D29E3"/>
    <w:rsid w:val="005D2B50"/>
    <w:rsid w:val="005D2B98"/>
    <w:rsid w:val="005D2BBB"/>
    <w:rsid w:val="005D2CAA"/>
    <w:rsid w:val="005D2CCE"/>
    <w:rsid w:val="005D2F3B"/>
    <w:rsid w:val="005D314C"/>
    <w:rsid w:val="005D317B"/>
    <w:rsid w:val="005D32C3"/>
    <w:rsid w:val="005D33A3"/>
    <w:rsid w:val="005D33E3"/>
    <w:rsid w:val="005D340B"/>
    <w:rsid w:val="005D3490"/>
    <w:rsid w:val="005D3522"/>
    <w:rsid w:val="005D356A"/>
    <w:rsid w:val="005D3571"/>
    <w:rsid w:val="005D35BB"/>
    <w:rsid w:val="005D35E6"/>
    <w:rsid w:val="005D3620"/>
    <w:rsid w:val="005D36B2"/>
    <w:rsid w:val="005D3707"/>
    <w:rsid w:val="005D375E"/>
    <w:rsid w:val="005D383A"/>
    <w:rsid w:val="005D3884"/>
    <w:rsid w:val="005D38A5"/>
    <w:rsid w:val="005D3906"/>
    <w:rsid w:val="005D395E"/>
    <w:rsid w:val="005D39A9"/>
    <w:rsid w:val="005D39C5"/>
    <w:rsid w:val="005D3A50"/>
    <w:rsid w:val="005D3B06"/>
    <w:rsid w:val="005D3D50"/>
    <w:rsid w:val="005D3D98"/>
    <w:rsid w:val="005D3DFE"/>
    <w:rsid w:val="005D3EB5"/>
    <w:rsid w:val="005D3EFA"/>
    <w:rsid w:val="005D3F6B"/>
    <w:rsid w:val="005D41FA"/>
    <w:rsid w:val="005D43E6"/>
    <w:rsid w:val="005D443E"/>
    <w:rsid w:val="005D4514"/>
    <w:rsid w:val="005D4582"/>
    <w:rsid w:val="005D45EE"/>
    <w:rsid w:val="005D462A"/>
    <w:rsid w:val="005D4639"/>
    <w:rsid w:val="005D46AE"/>
    <w:rsid w:val="005D46C8"/>
    <w:rsid w:val="005D47A2"/>
    <w:rsid w:val="005D47BF"/>
    <w:rsid w:val="005D482F"/>
    <w:rsid w:val="005D4850"/>
    <w:rsid w:val="005D489C"/>
    <w:rsid w:val="005D4979"/>
    <w:rsid w:val="005D4A70"/>
    <w:rsid w:val="005D4D15"/>
    <w:rsid w:val="005D4D49"/>
    <w:rsid w:val="005D4D70"/>
    <w:rsid w:val="005D4D86"/>
    <w:rsid w:val="005D4DF6"/>
    <w:rsid w:val="005D4F4E"/>
    <w:rsid w:val="005D4F68"/>
    <w:rsid w:val="005D4F82"/>
    <w:rsid w:val="005D4FF9"/>
    <w:rsid w:val="005D5015"/>
    <w:rsid w:val="005D5026"/>
    <w:rsid w:val="005D5107"/>
    <w:rsid w:val="005D5175"/>
    <w:rsid w:val="005D5254"/>
    <w:rsid w:val="005D5407"/>
    <w:rsid w:val="005D5491"/>
    <w:rsid w:val="005D5515"/>
    <w:rsid w:val="005D5568"/>
    <w:rsid w:val="005D5592"/>
    <w:rsid w:val="005D55AD"/>
    <w:rsid w:val="005D56AD"/>
    <w:rsid w:val="005D56C8"/>
    <w:rsid w:val="005D56DD"/>
    <w:rsid w:val="005D5772"/>
    <w:rsid w:val="005D580D"/>
    <w:rsid w:val="005D5861"/>
    <w:rsid w:val="005D5933"/>
    <w:rsid w:val="005D59F4"/>
    <w:rsid w:val="005D5B53"/>
    <w:rsid w:val="005D5BCA"/>
    <w:rsid w:val="005D5C10"/>
    <w:rsid w:val="005D5C78"/>
    <w:rsid w:val="005D5DA8"/>
    <w:rsid w:val="005D5EE7"/>
    <w:rsid w:val="005D5F09"/>
    <w:rsid w:val="005D6078"/>
    <w:rsid w:val="005D60A7"/>
    <w:rsid w:val="005D60EA"/>
    <w:rsid w:val="005D6114"/>
    <w:rsid w:val="005D6170"/>
    <w:rsid w:val="005D6199"/>
    <w:rsid w:val="005D61E2"/>
    <w:rsid w:val="005D6217"/>
    <w:rsid w:val="005D6228"/>
    <w:rsid w:val="005D633D"/>
    <w:rsid w:val="005D63BB"/>
    <w:rsid w:val="005D670E"/>
    <w:rsid w:val="005D67AF"/>
    <w:rsid w:val="005D6868"/>
    <w:rsid w:val="005D6888"/>
    <w:rsid w:val="005D690A"/>
    <w:rsid w:val="005D6941"/>
    <w:rsid w:val="005D6AF0"/>
    <w:rsid w:val="005D6B23"/>
    <w:rsid w:val="005D6B4A"/>
    <w:rsid w:val="005D6B91"/>
    <w:rsid w:val="005D6BA1"/>
    <w:rsid w:val="005D6C0F"/>
    <w:rsid w:val="005D6D0E"/>
    <w:rsid w:val="005D6D85"/>
    <w:rsid w:val="005D6DC1"/>
    <w:rsid w:val="005D6E96"/>
    <w:rsid w:val="005D6F05"/>
    <w:rsid w:val="005D6F24"/>
    <w:rsid w:val="005D6FFF"/>
    <w:rsid w:val="005D7023"/>
    <w:rsid w:val="005D708D"/>
    <w:rsid w:val="005D70D7"/>
    <w:rsid w:val="005D725D"/>
    <w:rsid w:val="005D7282"/>
    <w:rsid w:val="005D73DD"/>
    <w:rsid w:val="005D7451"/>
    <w:rsid w:val="005D75C0"/>
    <w:rsid w:val="005D766B"/>
    <w:rsid w:val="005D7685"/>
    <w:rsid w:val="005D779C"/>
    <w:rsid w:val="005D789D"/>
    <w:rsid w:val="005D7903"/>
    <w:rsid w:val="005D7991"/>
    <w:rsid w:val="005D79DE"/>
    <w:rsid w:val="005D7A28"/>
    <w:rsid w:val="005D7AA2"/>
    <w:rsid w:val="005D7B65"/>
    <w:rsid w:val="005D7BB1"/>
    <w:rsid w:val="005D7ED6"/>
    <w:rsid w:val="005D7F1D"/>
    <w:rsid w:val="005D7FDB"/>
    <w:rsid w:val="005E018F"/>
    <w:rsid w:val="005E0243"/>
    <w:rsid w:val="005E029B"/>
    <w:rsid w:val="005E02F8"/>
    <w:rsid w:val="005E0414"/>
    <w:rsid w:val="005E043C"/>
    <w:rsid w:val="005E0442"/>
    <w:rsid w:val="005E0588"/>
    <w:rsid w:val="005E069B"/>
    <w:rsid w:val="005E06A4"/>
    <w:rsid w:val="005E073E"/>
    <w:rsid w:val="005E0858"/>
    <w:rsid w:val="005E0883"/>
    <w:rsid w:val="005E0921"/>
    <w:rsid w:val="005E098A"/>
    <w:rsid w:val="005E09DD"/>
    <w:rsid w:val="005E0B38"/>
    <w:rsid w:val="005E0D81"/>
    <w:rsid w:val="005E0E58"/>
    <w:rsid w:val="005E0EC3"/>
    <w:rsid w:val="005E0F43"/>
    <w:rsid w:val="005E0F74"/>
    <w:rsid w:val="005E0FF5"/>
    <w:rsid w:val="005E0FFB"/>
    <w:rsid w:val="005E103A"/>
    <w:rsid w:val="005E10F4"/>
    <w:rsid w:val="005E11DF"/>
    <w:rsid w:val="005E1417"/>
    <w:rsid w:val="005E143E"/>
    <w:rsid w:val="005E1728"/>
    <w:rsid w:val="005E184A"/>
    <w:rsid w:val="005E1894"/>
    <w:rsid w:val="005E18CC"/>
    <w:rsid w:val="005E197B"/>
    <w:rsid w:val="005E19F2"/>
    <w:rsid w:val="005E19FF"/>
    <w:rsid w:val="005E1AD0"/>
    <w:rsid w:val="005E1B97"/>
    <w:rsid w:val="005E1BA8"/>
    <w:rsid w:val="005E1CD4"/>
    <w:rsid w:val="005E1CFF"/>
    <w:rsid w:val="005E1D8B"/>
    <w:rsid w:val="005E1E8A"/>
    <w:rsid w:val="005E2076"/>
    <w:rsid w:val="005E20C7"/>
    <w:rsid w:val="005E211C"/>
    <w:rsid w:val="005E2189"/>
    <w:rsid w:val="005E21D6"/>
    <w:rsid w:val="005E2203"/>
    <w:rsid w:val="005E2298"/>
    <w:rsid w:val="005E22D2"/>
    <w:rsid w:val="005E23BF"/>
    <w:rsid w:val="005E247E"/>
    <w:rsid w:val="005E25F4"/>
    <w:rsid w:val="005E2667"/>
    <w:rsid w:val="005E26E2"/>
    <w:rsid w:val="005E26F1"/>
    <w:rsid w:val="005E2902"/>
    <w:rsid w:val="005E2B70"/>
    <w:rsid w:val="005E2BE8"/>
    <w:rsid w:val="005E2C57"/>
    <w:rsid w:val="005E2C6C"/>
    <w:rsid w:val="005E2D86"/>
    <w:rsid w:val="005E3071"/>
    <w:rsid w:val="005E30C3"/>
    <w:rsid w:val="005E30DB"/>
    <w:rsid w:val="005E3313"/>
    <w:rsid w:val="005E334D"/>
    <w:rsid w:val="005E337F"/>
    <w:rsid w:val="005E34E2"/>
    <w:rsid w:val="005E3532"/>
    <w:rsid w:val="005E3652"/>
    <w:rsid w:val="005E36CA"/>
    <w:rsid w:val="005E37A3"/>
    <w:rsid w:val="005E3831"/>
    <w:rsid w:val="005E38BB"/>
    <w:rsid w:val="005E38DD"/>
    <w:rsid w:val="005E3973"/>
    <w:rsid w:val="005E3A38"/>
    <w:rsid w:val="005E3A50"/>
    <w:rsid w:val="005E3A7D"/>
    <w:rsid w:val="005E3B9C"/>
    <w:rsid w:val="005E3BA9"/>
    <w:rsid w:val="005E3BAF"/>
    <w:rsid w:val="005E3D75"/>
    <w:rsid w:val="005E3F66"/>
    <w:rsid w:val="005E3FB0"/>
    <w:rsid w:val="005E3FE1"/>
    <w:rsid w:val="005E405B"/>
    <w:rsid w:val="005E408A"/>
    <w:rsid w:val="005E40AB"/>
    <w:rsid w:val="005E40B1"/>
    <w:rsid w:val="005E4103"/>
    <w:rsid w:val="005E4143"/>
    <w:rsid w:val="005E41E0"/>
    <w:rsid w:val="005E44A5"/>
    <w:rsid w:val="005E475C"/>
    <w:rsid w:val="005E478D"/>
    <w:rsid w:val="005E47F7"/>
    <w:rsid w:val="005E4881"/>
    <w:rsid w:val="005E497E"/>
    <w:rsid w:val="005E49D0"/>
    <w:rsid w:val="005E4A5C"/>
    <w:rsid w:val="005E4B49"/>
    <w:rsid w:val="005E4B52"/>
    <w:rsid w:val="005E4CBD"/>
    <w:rsid w:val="005E4D64"/>
    <w:rsid w:val="005E4D6E"/>
    <w:rsid w:val="005E4DB0"/>
    <w:rsid w:val="005E4DF0"/>
    <w:rsid w:val="005E4F2F"/>
    <w:rsid w:val="005E4FF5"/>
    <w:rsid w:val="005E501C"/>
    <w:rsid w:val="005E5095"/>
    <w:rsid w:val="005E5227"/>
    <w:rsid w:val="005E53E3"/>
    <w:rsid w:val="005E540A"/>
    <w:rsid w:val="005E55E4"/>
    <w:rsid w:val="005E5619"/>
    <w:rsid w:val="005E564E"/>
    <w:rsid w:val="005E5781"/>
    <w:rsid w:val="005E57A1"/>
    <w:rsid w:val="005E57E3"/>
    <w:rsid w:val="005E59F5"/>
    <w:rsid w:val="005E5DEA"/>
    <w:rsid w:val="005E5E25"/>
    <w:rsid w:val="005E5EE4"/>
    <w:rsid w:val="005E6010"/>
    <w:rsid w:val="005E6233"/>
    <w:rsid w:val="005E6343"/>
    <w:rsid w:val="005E6411"/>
    <w:rsid w:val="005E6619"/>
    <w:rsid w:val="005E6735"/>
    <w:rsid w:val="005E684A"/>
    <w:rsid w:val="005E68E2"/>
    <w:rsid w:val="005E6937"/>
    <w:rsid w:val="005E69F3"/>
    <w:rsid w:val="005E6A0E"/>
    <w:rsid w:val="005E6ACB"/>
    <w:rsid w:val="005E6B64"/>
    <w:rsid w:val="005E6CA6"/>
    <w:rsid w:val="005E6E18"/>
    <w:rsid w:val="005E6E6D"/>
    <w:rsid w:val="005E6F34"/>
    <w:rsid w:val="005E6FE0"/>
    <w:rsid w:val="005E7040"/>
    <w:rsid w:val="005E70FD"/>
    <w:rsid w:val="005E7198"/>
    <w:rsid w:val="005E725D"/>
    <w:rsid w:val="005E726F"/>
    <w:rsid w:val="005E728E"/>
    <w:rsid w:val="005E735A"/>
    <w:rsid w:val="005E73F6"/>
    <w:rsid w:val="005E74EB"/>
    <w:rsid w:val="005E74ED"/>
    <w:rsid w:val="005E75D2"/>
    <w:rsid w:val="005E76D9"/>
    <w:rsid w:val="005E77BD"/>
    <w:rsid w:val="005E77D8"/>
    <w:rsid w:val="005E77E8"/>
    <w:rsid w:val="005E77F3"/>
    <w:rsid w:val="005E783C"/>
    <w:rsid w:val="005E7A3D"/>
    <w:rsid w:val="005E7B43"/>
    <w:rsid w:val="005E7B4A"/>
    <w:rsid w:val="005E7BD0"/>
    <w:rsid w:val="005E7C2B"/>
    <w:rsid w:val="005E7C76"/>
    <w:rsid w:val="005E7C8D"/>
    <w:rsid w:val="005E7CEA"/>
    <w:rsid w:val="005E7DAC"/>
    <w:rsid w:val="005E7DC6"/>
    <w:rsid w:val="005E7DD0"/>
    <w:rsid w:val="005E7EAE"/>
    <w:rsid w:val="005E7F9C"/>
    <w:rsid w:val="005E7FEA"/>
    <w:rsid w:val="005E7FFB"/>
    <w:rsid w:val="005F00DF"/>
    <w:rsid w:val="005F01F4"/>
    <w:rsid w:val="005F023E"/>
    <w:rsid w:val="005F0287"/>
    <w:rsid w:val="005F0359"/>
    <w:rsid w:val="005F0395"/>
    <w:rsid w:val="005F0433"/>
    <w:rsid w:val="005F04A2"/>
    <w:rsid w:val="005F060F"/>
    <w:rsid w:val="005F07EF"/>
    <w:rsid w:val="005F0890"/>
    <w:rsid w:val="005F0896"/>
    <w:rsid w:val="005F08AB"/>
    <w:rsid w:val="005F08AD"/>
    <w:rsid w:val="005F090B"/>
    <w:rsid w:val="005F090C"/>
    <w:rsid w:val="005F0A22"/>
    <w:rsid w:val="005F0CB5"/>
    <w:rsid w:val="005F0CCB"/>
    <w:rsid w:val="005F0D33"/>
    <w:rsid w:val="005F0D42"/>
    <w:rsid w:val="005F0E45"/>
    <w:rsid w:val="005F0EA4"/>
    <w:rsid w:val="005F0EEC"/>
    <w:rsid w:val="005F107C"/>
    <w:rsid w:val="005F1179"/>
    <w:rsid w:val="005F1213"/>
    <w:rsid w:val="005F1390"/>
    <w:rsid w:val="005F145B"/>
    <w:rsid w:val="005F1464"/>
    <w:rsid w:val="005F14C6"/>
    <w:rsid w:val="005F14EB"/>
    <w:rsid w:val="005F14FD"/>
    <w:rsid w:val="005F1733"/>
    <w:rsid w:val="005F188D"/>
    <w:rsid w:val="005F1916"/>
    <w:rsid w:val="005F1A1F"/>
    <w:rsid w:val="005F1A2A"/>
    <w:rsid w:val="005F1A3F"/>
    <w:rsid w:val="005F1A7E"/>
    <w:rsid w:val="005F1AE1"/>
    <w:rsid w:val="005F1AE3"/>
    <w:rsid w:val="005F1B32"/>
    <w:rsid w:val="005F1B3C"/>
    <w:rsid w:val="005F1C5E"/>
    <w:rsid w:val="005F1C70"/>
    <w:rsid w:val="005F1C77"/>
    <w:rsid w:val="005F1DDC"/>
    <w:rsid w:val="005F1EB7"/>
    <w:rsid w:val="005F1FB6"/>
    <w:rsid w:val="005F203F"/>
    <w:rsid w:val="005F22E0"/>
    <w:rsid w:val="005F2535"/>
    <w:rsid w:val="005F2549"/>
    <w:rsid w:val="005F25CD"/>
    <w:rsid w:val="005F2648"/>
    <w:rsid w:val="005F273A"/>
    <w:rsid w:val="005F2757"/>
    <w:rsid w:val="005F27CC"/>
    <w:rsid w:val="005F28F0"/>
    <w:rsid w:val="005F293E"/>
    <w:rsid w:val="005F29E2"/>
    <w:rsid w:val="005F29EA"/>
    <w:rsid w:val="005F2B0B"/>
    <w:rsid w:val="005F2B61"/>
    <w:rsid w:val="005F2D1F"/>
    <w:rsid w:val="005F2E9A"/>
    <w:rsid w:val="005F2EE7"/>
    <w:rsid w:val="005F2FC4"/>
    <w:rsid w:val="005F30FE"/>
    <w:rsid w:val="005F3187"/>
    <w:rsid w:val="005F3429"/>
    <w:rsid w:val="005F346D"/>
    <w:rsid w:val="005F3537"/>
    <w:rsid w:val="005F3598"/>
    <w:rsid w:val="005F365B"/>
    <w:rsid w:val="005F371D"/>
    <w:rsid w:val="005F3779"/>
    <w:rsid w:val="005F37DF"/>
    <w:rsid w:val="005F3830"/>
    <w:rsid w:val="005F385C"/>
    <w:rsid w:val="005F39BB"/>
    <w:rsid w:val="005F39DD"/>
    <w:rsid w:val="005F3ADF"/>
    <w:rsid w:val="005F3BEC"/>
    <w:rsid w:val="005F3C1A"/>
    <w:rsid w:val="005F3C3C"/>
    <w:rsid w:val="005F3D34"/>
    <w:rsid w:val="005F3DC9"/>
    <w:rsid w:val="005F3E0B"/>
    <w:rsid w:val="005F4160"/>
    <w:rsid w:val="005F43C7"/>
    <w:rsid w:val="005F4454"/>
    <w:rsid w:val="005F448A"/>
    <w:rsid w:val="005F44F7"/>
    <w:rsid w:val="005F45A1"/>
    <w:rsid w:val="005F45D8"/>
    <w:rsid w:val="005F4659"/>
    <w:rsid w:val="005F4663"/>
    <w:rsid w:val="005F467F"/>
    <w:rsid w:val="005F476A"/>
    <w:rsid w:val="005F47A9"/>
    <w:rsid w:val="005F47AA"/>
    <w:rsid w:val="005F485B"/>
    <w:rsid w:val="005F48A7"/>
    <w:rsid w:val="005F4900"/>
    <w:rsid w:val="005F4A9D"/>
    <w:rsid w:val="005F4AD3"/>
    <w:rsid w:val="005F4C3B"/>
    <w:rsid w:val="005F4E84"/>
    <w:rsid w:val="005F4F49"/>
    <w:rsid w:val="005F4FED"/>
    <w:rsid w:val="005F5003"/>
    <w:rsid w:val="005F507B"/>
    <w:rsid w:val="005F5170"/>
    <w:rsid w:val="005F51E8"/>
    <w:rsid w:val="005F525F"/>
    <w:rsid w:val="005F542E"/>
    <w:rsid w:val="005F5465"/>
    <w:rsid w:val="005F5483"/>
    <w:rsid w:val="005F5490"/>
    <w:rsid w:val="005F5561"/>
    <w:rsid w:val="005F5582"/>
    <w:rsid w:val="005F5761"/>
    <w:rsid w:val="005F5861"/>
    <w:rsid w:val="005F58A3"/>
    <w:rsid w:val="005F590C"/>
    <w:rsid w:val="005F5929"/>
    <w:rsid w:val="005F5970"/>
    <w:rsid w:val="005F5B28"/>
    <w:rsid w:val="005F5B6C"/>
    <w:rsid w:val="005F5B8E"/>
    <w:rsid w:val="005F5D7D"/>
    <w:rsid w:val="005F5D8D"/>
    <w:rsid w:val="005F5DA2"/>
    <w:rsid w:val="005F5EB2"/>
    <w:rsid w:val="005F6086"/>
    <w:rsid w:val="005F60B7"/>
    <w:rsid w:val="005F6106"/>
    <w:rsid w:val="005F6379"/>
    <w:rsid w:val="005F63DF"/>
    <w:rsid w:val="005F6404"/>
    <w:rsid w:val="005F6512"/>
    <w:rsid w:val="005F6581"/>
    <w:rsid w:val="005F6690"/>
    <w:rsid w:val="005F672A"/>
    <w:rsid w:val="005F6792"/>
    <w:rsid w:val="005F6881"/>
    <w:rsid w:val="005F68D0"/>
    <w:rsid w:val="005F6902"/>
    <w:rsid w:val="005F6937"/>
    <w:rsid w:val="005F693C"/>
    <w:rsid w:val="005F695D"/>
    <w:rsid w:val="005F6973"/>
    <w:rsid w:val="005F69D8"/>
    <w:rsid w:val="005F69DC"/>
    <w:rsid w:val="005F6ABC"/>
    <w:rsid w:val="005F6B19"/>
    <w:rsid w:val="005F6B9E"/>
    <w:rsid w:val="005F6C85"/>
    <w:rsid w:val="005F6D60"/>
    <w:rsid w:val="005F6D95"/>
    <w:rsid w:val="005F6F47"/>
    <w:rsid w:val="005F6FB8"/>
    <w:rsid w:val="005F706D"/>
    <w:rsid w:val="005F70AE"/>
    <w:rsid w:val="005F71A1"/>
    <w:rsid w:val="005F727A"/>
    <w:rsid w:val="005F72E8"/>
    <w:rsid w:val="005F743D"/>
    <w:rsid w:val="005F7441"/>
    <w:rsid w:val="005F747D"/>
    <w:rsid w:val="005F752D"/>
    <w:rsid w:val="005F7554"/>
    <w:rsid w:val="005F7593"/>
    <w:rsid w:val="005F7707"/>
    <w:rsid w:val="005F786F"/>
    <w:rsid w:val="005F7907"/>
    <w:rsid w:val="005F796D"/>
    <w:rsid w:val="005F7AC7"/>
    <w:rsid w:val="005F7C64"/>
    <w:rsid w:val="005F7D65"/>
    <w:rsid w:val="005F7D92"/>
    <w:rsid w:val="005F7EA5"/>
    <w:rsid w:val="005F7F16"/>
    <w:rsid w:val="005F7F25"/>
    <w:rsid w:val="005F7F46"/>
    <w:rsid w:val="005F7F7C"/>
    <w:rsid w:val="005F7FB7"/>
    <w:rsid w:val="00600023"/>
    <w:rsid w:val="00600061"/>
    <w:rsid w:val="00600122"/>
    <w:rsid w:val="0060012F"/>
    <w:rsid w:val="0060019C"/>
    <w:rsid w:val="006001EC"/>
    <w:rsid w:val="006002A2"/>
    <w:rsid w:val="0060036F"/>
    <w:rsid w:val="006003CA"/>
    <w:rsid w:val="006003D6"/>
    <w:rsid w:val="006003ED"/>
    <w:rsid w:val="00600457"/>
    <w:rsid w:val="00600472"/>
    <w:rsid w:val="00600646"/>
    <w:rsid w:val="0060068A"/>
    <w:rsid w:val="00600725"/>
    <w:rsid w:val="00600819"/>
    <w:rsid w:val="00600844"/>
    <w:rsid w:val="0060086F"/>
    <w:rsid w:val="00600A8A"/>
    <w:rsid w:val="00600B2C"/>
    <w:rsid w:val="00600B4A"/>
    <w:rsid w:val="00600BC7"/>
    <w:rsid w:val="00600BF5"/>
    <w:rsid w:val="00600DCC"/>
    <w:rsid w:val="00600E40"/>
    <w:rsid w:val="00600EC3"/>
    <w:rsid w:val="00600F25"/>
    <w:rsid w:val="00600F29"/>
    <w:rsid w:val="00600F64"/>
    <w:rsid w:val="00600FCD"/>
    <w:rsid w:val="00601107"/>
    <w:rsid w:val="00601152"/>
    <w:rsid w:val="00601228"/>
    <w:rsid w:val="006012F6"/>
    <w:rsid w:val="00601389"/>
    <w:rsid w:val="006013B0"/>
    <w:rsid w:val="00601402"/>
    <w:rsid w:val="0060148B"/>
    <w:rsid w:val="006015D5"/>
    <w:rsid w:val="006015D7"/>
    <w:rsid w:val="00601728"/>
    <w:rsid w:val="0060184C"/>
    <w:rsid w:val="00601917"/>
    <w:rsid w:val="00601981"/>
    <w:rsid w:val="0060199D"/>
    <w:rsid w:val="006019CB"/>
    <w:rsid w:val="006019CE"/>
    <w:rsid w:val="006019E0"/>
    <w:rsid w:val="00601AF2"/>
    <w:rsid w:val="00601B0A"/>
    <w:rsid w:val="00601B41"/>
    <w:rsid w:val="00601C1D"/>
    <w:rsid w:val="00601C25"/>
    <w:rsid w:val="00601CD5"/>
    <w:rsid w:val="00601D61"/>
    <w:rsid w:val="00601E08"/>
    <w:rsid w:val="00601E46"/>
    <w:rsid w:val="00601ED9"/>
    <w:rsid w:val="00602018"/>
    <w:rsid w:val="0060202A"/>
    <w:rsid w:val="00602049"/>
    <w:rsid w:val="0060204B"/>
    <w:rsid w:val="00602064"/>
    <w:rsid w:val="00602199"/>
    <w:rsid w:val="0060221D"/>
    <w:rsid w:val="0060228F"/>
    <w:rsid w:val="0060232D"/>
    <w:rsid w:val="00602411"/>
    <w:rsid w:val="006024EE"/>
    <w:rsid w:val="006025F9"/>
    <w:rsid w:val="006026E7"/>
    <w:rsid w:val="0060277B"/>
    <w:rsid w:val="00602900"/>
    <w:rsid w:val="00602919"/>
    <w:rsid w:val="006029C5"/>
    <w:rsid w:val="00602AAE"/>
    <w:rsid w:val="00602B71"/>
    <w:rsid w:val="00602D39"/>
    <w:rsid w:val="00602DC3"/>
    <w:rsid w:val="00602F32"/>
    <w:rsid w:val="00602F3F"/>
    <w:rsid w:val="00602F40"/>
    <w:rsid w:val="00602FD4"/>
    <w:rsid w:val="00602FD9"/>
    <w:rsid w:val="0060318C"/>
    <w:rsid w:val="00603216"/>
    <w:rsid w:val="00603264"/>
    <w:rsid w:val="006032A1"/>
    <w:rsid w:val="006032E2"/>
    <w:rsid w:val="006032F6"/>
    <w:rsid w:val="00603310"/>
    <w:rsid w:val="00603325"/>
    <w:rsid w:val="00603391"/>
    <w:rsid w:val="00603397"/>
    <w:rsid w:val="006033A9"/>
    <w:rsid w:val="006033E6"/>
    <w:rsid w:val="00603454"/>
    <w:rsid w:val="006035A2"/>
    <w:rsid w:val="006035F8"/>
    <w:rsid w:val="00603645"/>
    <w:rsid w:val="00603647"/>
    <w:rsid w:val="0060365C"/>
    <w:rsid w:val="00603756"/>
    <w:rsid w:val="0060377E"/>
    <w:rsid w:val="006037E4"/>
    <w:rsid w:val="006038D5"/>
    <w:rsid w:val="00603906"/>
    <w:rsid w:val="0060397C"/>
    <w:rsid w:val="006039F0"/>
    <w:rsid w:val="00603A64"/>
    <w:rsid w:val="00603A75"/>
    <w:rsid w:val="00603AB0"/>
    <w:rsid w:val="00603B00"/>
    <w:rsid w:val="00603BD3"/>
    <w:rsid w:val="00603C1A"/>
    <w:rsid w:val="00603C4C"/>
    <w:rsid w:val="00603D29"/>
    <w:rsid w:val="00604065"/>
    <w:rsid w:val="00604177"/>
    <w:rsid w:val="00604186"/>
    <w:rsid w:val="006042ED"/>
    <w:rsid w:val="0060438E"/>
    <w:rsid w:val="006043C2"/>
    <w:rsid w:val="006044D5"/>
    <w:rsid w:val="0060459A"/>
    <w:rsid w:val="00604665"/>
    <w:rsid w:val="006046F7"/>
    <w:rsid w:val="006046FF"/>
    <w:rsid w:val="00604743"/>
    <w:rsid w:val="00604748"/>
    <w:rsid w:val="00604809"/>
    <w:rsid w:val="0060488E"/>
    <w:rsid w:val="0060489C"/>
    <w:rsid w:val="0060491E"/>
    <w:rsid w:val="006049BA"/>
    <w:rsid w:val="00604A18"/>
    <w:rsid w:val="00604A21"/>
    <w:rsid w:val="00604AB8"/>
    <w:rsid w:val="00604AFC"/>
    <w:rsid w:val="00604B89"/>
    <w:rsid w:val="00604C1B"/>
    <w:rsid w:val="00604C45"/>
    <w:rsid w:val="00604CC6"/>
    <w:rsid w:val="00604CFA"/>
    <w:rsid w:val="00604D24"/>
    <w:rsid w:val="00604E31"/>
    <w:rsid w:val="00604EE3"/>
    <w:rsid w:val="00604F46"/>
    <w:rsid w:val="00605107"/>
    <w:rsid w:val="00605166"/>
    <w:rsid w:val="006051D0"/>
    <w:rsid w:val="006051DC"/>
    <w:rsid w:val="006051E5"/>
    <w:rsid w:val="006052AF"/>
    <w:rsid w:val="006052E0"/>
    <w:rsid w:val="006052F4"/>
    <w:rsid w:val="006053E6"/>
    <w:rsid w:val="00605482"/>
    <w:rsid w:val="006054D1"/>
    <w:rsid w:val="0060551D"/>
    <w:rsid w:val="0060561B"/>
    <w:rsid w:val="00605634"/>
    <w:rsid w:val="006056EC"/>
    <w:rsid w:val="00605749"/>
    <w:rsid w:val="0060579B"/>
    <w:rsid w:val="006057C1"/>
    <w:rsid w:val="0060587C"/>
    <w:rsid w:val="00605B71"/>
    <w:rsid w:val="00605C56"/>
    <w:rsid w:val="00605E27"/>
    <w:rsid w:val="00605F39"/>
    <w:rsid w:val="00605F76"/>
    <w:rsid w:val="00605FF0"/>
    <w:rsid w:val="00606040"/>
    <w:rsid w:val="00606131"/>
    <w:rsid w:val="00606214"/>
    <w:rsid w:val="0060622E"/>
    <w:rsid w:val="00606245"/>
    <w:rsid w:val="00606262"/>
    <w:rsid w:val="00606272"/>
    <w:rsid w:val="006062C4"/>
    <w:rsid w:val="00606348"/>
    <w:rsid w:val="0060635B"/>
    <w:rsid w:val="00606380"/>
    <w:rsid w:val="006063CA"/>
    <w:rsid w:val="0060643F"/>
    <w:rsid w:val="00606466"/>
    <w:rsid w:val="006065B6"/>
    <w:rsid w:val="0060660F"/>
    <w:rsid w:val="00606610"/>
    <w:rsid w:val="00606611"/>
    <w:rsid w:val="006066B8"/>
    <w:rsid w:val="0060672C"/>
    <w:rsid w:val="006067D0"/>
    <w:rsid w:val="006067E1"/>
    <w:rsid w:val="00606808"/>
    <w:rsid w:val="00606841"/>
    <w:rsid w:val="00606853"/>
    <w:rsid w:val="00606864"/>
    <w:rsid w:val="0060693B"/>
    <w:rsid w:val="006069BA"/>
    <w:rsid w:val="00606A1E"/>
    <w:rsid w:val="00606A75"/>
    <w:rsid w:val="00606B69"/>
    <w:rsid w:val="00606B72"/>
    <w:rsid w:val="00606C4E"/>
    <w:rsid w:val="00606D14"/>
    <w:rsid w:val="00606DE1"/>
    <w:rsid w:val="00606DEC"/>
    <w:rsid w:val="00606E6F"/>
    <w:rsid w:val="00606ED2"/>
    <w:rsid w:val="00606ED3"/>
    <w:rsid w:val="00606EF3"/>
    <w:rsid w:val="00606F34"/>
    <w:rsid w:val="00607006"/>
    <w:rsid w:val="00607068"/>
    <w:rsid w:val="006070AB"/>
    <w:rsid w:val="00607117"/>
    <w:rsid w:val="00607242"/>
    <w:rsid w:val="006072C7"/>
    <w:rsid w:val="006072FE"/>
    <w:rsid w:val="00607362"/>
    <w:rsid w:val="0060741C"/>
    <w:rsid w:val="00607431"/>
    <w:rsid w:val="00607484"/>
    <w:rsid w:val="006074FF"/>
    <w:rsid w:val="00607532"/>
    <w:rsid w:val="0060756B"/>
    <w:rsid w:val="006075D4"/>
    <w:rsid w:val="00607606"/>
    <w:rsid w:val="00607633"/>
    <w:rsid w:val="006076A2"/>
    <w:rsid w:val="006076FC"/>
    <w:rsid w:val="0060774D"/>
    <w:rsid w:val="00607767"/>
    <w:rsid w:val="0060779A"/>
    <w:rsid w:val="00607846"/>
    <w:rsid w:val="00607874"/>
    <w:rsid w:val="006078FA"/>
    <w:rsid w:val="006079F8"/>
    <w:rsid w:val="00607A05"/>
    <w:rsid w:val="00607A8C"/>
    <w:rsid w:val="00607ABB"/>
    <w:rsid w:val="00607AE9"/>
    <w:rsid w:val="00607BDD"/>
    <w:rsid w:val="00607BF5"/>
    <w:rsid w:val="00607CD0"/>
    <w:rsid w:val="00607D8D"/>
    <w:rsid w:val="00607DF3"/>
    <w:rsid w:val="00607E15"/>
    <w:rsid w:val="00607E50"/>
    <w:rsid w:val="00607EA7"/>
    <w:rsid w:val="00607EEB"/>
    <w:rsid w:val="00607F6A"/>
    <w:rsid w:val="0061009F"/>
    <w:rsid w:val="006100CF"/>
    <w:rsid w:val="006101B5"/>
    <w:rsid w:val="006101C6"/>
    <w:rsid w:val="00610211"/>
    <w:rsid w:val="00610270"/>
    <w:rsid w:val="00610295"/>
    <w:rsid w:val="006103B0"/>
    <w:rsid w:val="006103BD"/>
    <w:rsid w:val="006104CC"/>
    <w:rsid w:val="006104D3"/>
    <w:rsid w:val="00610654"/>
    <w:rsid w:val="00610688"/>
    <w:rsid w:val="0061070C"/>
    <w:rsid w:val="00610753"/>
    <w:rsid w:val="006107B2"/>
    <w:rsid w:val="00610869"/>
    <w:rsid w:val="006108A7"/>
    <w:rsid w:val="006108B5"/>
    <w:rsid w:val="006108D5"/>
    <w:rsid w:val="00610908"/>
    <w:rsid w:val="00610913"/>
    <w:rsid w:val="0061092C"/>
    <w:rsid w:val="0061098D"/>
    <w:rsid w:val="006109C3"/>
    <w:rsid w:val="006109F9"/>
    <w:rsid w:val="00610B62"/>
    <w:rsid w:val="00610B8E"/>
    <w:rsid w:val="00610C23"/>
    <w:rsid w:val="00610C4A"/>
    <w:rsid w:val="00610C67"/>
    <w:rsid w:val="00610D79"/>
    <w:rsid w:val="00610E5C"/>
    <w:rsid w:val="00610F17"/>
    <w:rsid w:val="00610F54"/>
    <w:rsid w:val="00610F80"/>
    <w:rsid w:val="00610FA5"/>
    <w:rsid w:val="0061109A"/>
    <w:rsid w:val="006110E2"/>
    <w:rsid w:val="00611105"/>
    <w:rsid w:val="0061116E"/>
    <w:rsid w:val="0061117B"/>
    <w:rsid w:val="00611221"/>
    <w:rsid w:val="006112F4"/>
    <w:rsid w:val="00611309"/>
    <w:rsid w:val="0061132F"/>
    <w:rsid w:val="00611332"/>
    <w:rsid w:val="0061135C"/>
    <w:rsid w:val="00611366"/>
    <w:rsid w:val="006113DA"/>
    <w:rsid w:val="006113F2"/>
    <w:rsid w:val="00611457"/>
    <w:rsid w:val="0061146F"/>
    <w:rsid w:val="006115A5"/>
    <w:rsid w:val="0061163F"/>
    <w:rsid w:val="0061164C"/>
    <w:rsid w:val="00611657"/>
    <w:rsid w:val="0061168D"/>
    <w:rsid w:val="006118AE"/>
    <w:rsid w:val="006118CE"/>
    <w:rsid w:val="006118EC"/>
    <w:rsid w:val="0061196B"/>
    <w:rsid w:val="00611A25"/>
    <w:rsid w:val="00611A52"/>
    <w:rsid w:val="00611A62"/>
    <w:rsid w:val="00611A72"/>
    <w:rsid w:val="00611AA3"/>
    <w:rsid w:val="00611AAB"/>
    <w:rsid w:val="00611AD5"/>
    <w:rsid w:val="00611ADE"/>
    <w:rsid w:val="00611B78"/>
    <w:rsid w:val="00611BC2"/>
    <w:rsid w:val="00611C42"/>
    <w:rsid w:val="00611C54"/>
    <w:rsid w:val="00611DD8"/>
    <w:rsid w:val="00611DFC"/>
    <w:rsid w:val="00611E61"/>
    <w:rsid w:val="00611F13"/>
    <w:rsid w:val="00611FA3"/>
    <w:rsid w:val="00611FA6"/>
    <w:rsid w:val="0061200E"/>
    <w:rsid w:val="00612078"/>
    <w:rsid w:val="00612101"/>
    <w:rsid w:val="00612136"/>
    <w:rsid w:val="00612293"/>
    <w:rsid w:val="00612323"/>
    <w:rsid w:val="00612358"/>
    <w:rsid w:val="0061237B"/>
    <w:rsid w:val="006123A7"/>
    <w:rsid w:val="006123C3"/>
    <w:rsid w:val="006125A2"/>
    <w:rsid w:val="006125BE"/>
    <w:rsid w:val="006125E5"/>
    <w:rsid w:val="00612621"/>
    <w:rsid w:val="0061262B"/>
    <w:rsid w:val="00612681"/>
    <w:rsid w:val="006126D4"/>
    <w:rsid w:val="00612782"/>
    <w:rsid w:val="00612792"/>
    <w:rsid w:val="006127FA"/>
    <w:rsid w:val="00612834"/>
    <w:rsid w:val="00612961"/>
    <w:rsid w:val="0061299A"/>
    <w:rsid w:val="00612A7D"/>
    <w:rsid w:val="00612B25"/>
    <w:rsid w:val="00612BD3"/>
    <w:rsid w:val="00612C94"/>
    <w:rsid w:val="00612D17"/>
    <w:rsid w:val="00612D68"/>
    <w:rsid w:val="00612D99"/>
    <w:rsid w:val="00612E81"/>
    <w:rsid w:val="00612F2C"/>
    <w:rsid w:val="00612F3F"/>
    <w:rsid w:val="00612F83"/>
    <w:rsid w:val="00612F97"/>
    <w:rsid w:val="0061301A"/>
    <w:rsid w:val="0061315F"/>
    <w:rsid w:val="006131A4"/>
    <w:rsid w:val="0061320A"/>
    <w:rsid w:val="0061327D"/>
    <w:rsid w:val="006132C4"/>
    <w:rsid w:val="00613325"/>
    <w:rsid w:val="00613398"/>
    <w:rsid w:val="00613461"/>
    <w:rsid w:val="0061357B"/>
    <w:rsid w:val="006136ED"/>
    <w:rsid w:val="00613773"/>
    <w:rsid w:val="00613779"/>
    <w:rsid w:val="0061385D"/>
    <w:rsid w:val="006138CF"/>
    <w:rsid w:val="0061393C"/>
    <w:rsid w:val="00613943"/>
    <w:rsid w:val="00613965"/>
    <w:rsid w:val="00613969"/>
    <w:rsid w:val="00613BA6"/>
    <w:rsid w:val="00613BD4"/>
    <w:rsid w:val="00613C4E"/>
    <w:rsid w:val="00613C74"/>
    <w:rsid w:val="00613CB5"/>
    <w:rsid w:val="00613CED"/>
    <w:rsid w:val="00613D99"/>
    <w:rsid w:val="00613E10"/>
    <w:rsid w:val="00613E3D"/>
    <w:rsid w:val="00613E59"/>
    <w:rsid w:val="00613EF7"/>
    <w:rsid w:val="00613FDC"/>
    <w:rsid w:val="0061401B"/>
    <w:rsid w:val="00614160"/>
    <w:rsid w:val="006141B5"/>
    <w:rsid w:val="006142FC"/>
    <w:rsid w:val="00614338"/>
    <w:rsid w:val="00614340"/>
    <w:rsid w:val="0061442C"/>
    <w:rsid w:val="0061442F"/>
    <w:rsid w:val="00614449"/>
    <w:rsid w:val="00614475"/>
    <w:rsid w:val="00614488"/>
    <w:rsid w:val="006144BA"/>
    <w:rsid w:val="006144C1"/>
    <w:rsid w:val="00614521"/>
    <w:rsid w:val="00614613"/>
    <w:rsid w:val="00614670"/>
    <w:rsid w:val="00614671"/>
    <w:rsid w:val="00614706"/>
    <w:rsid w:val="00614758"/>
    <w:rsid w:val="00614868"/>
    <w:rsid w:val="00614896"/>
    <w:rsid w:val="006148F9"/>
    <w:rsid w:val="0061497B"/>
    <w:rsid w:val="006149A5"/>
    <w:rsid w:val="00614A46"/>
    <w:rsid w:val="00614A54"/>
    <w:rsid w:val="00614C83"/>
    <w:rsid w:val="00614C9A"/>
    <w:rsid w:val="00614CFE"/>
    <w:rsid w:val="00614D0F"/>
    <w:rsid w:val="00614E79"/>
    <w:rsid w:val="00614F61"/>
    <w:rsid w:val="00614FFD"/>
    <w:rsid w:val="006150B6"/>
    <w:rsid w:val="00615348"/>
    <w:rsid w:val="0061538B"/>
    <w:rsid w:val="0061538F"/>
    <w:rsid w:val="00615488"/>
    <w:rsid w:val="00615497"/>
    <w:rsid w:val="00615510"/>
    <w:rsid w:val="0061553D"/>
    <w:rsid w:val="0061560D"/>
    <w:rsid w:val="0061564A"/>
    <w:rsid w:val="00615675"/>
    <w:rsid w:val="0061568A"/>
    <w:rsid w:val="0061572F"/>
    <w:rsid w:val="006157D2"/>
    <w:rsid w:val="006157D5"/>
    <w:rsid w:val="00615935"/>
    <w:rsid w:val="00615962"/>
    <w:rsid w:val="00615ADB"/>
    <w:rsid w:val="00615B7C"/>
    <w:rsid w:val="00615BF2"/>
    <w:rsid w:val="00615C42"/>
    <w:rsid w:val="00615C5F"/>
    <w:rsid w:val="00615C6D"/>
    <w:rsid w:val="00615D3D"/>
    <w:rsid w:val="00615DC9"/>
    <w:rsid w:val="00615E32"/>
    <w:rsid w:val="00615E55"/>
    <w:rsid w:val="00615E6D"/>
    <w:rsid w:val="00615E70"/>
    <w:rsid w:val="00615E91"/>
    <w:rsid w:val="00615EE9"/>
    <w:rsid w:val="00615F42"/>
    <w:rsid w:val="006161C1"/>
    <w:rsid w:val="006162E7"/>
    <w:rsid w:val="006162FF"/>
    <w:rsid w:val="0061636D"/>
    <w:rsid w:val="006163BE"/>
    <w:rsid w:val="00616400"/>
    <w:rsid w:val="00616445"/>
    <w:rsid w:val="00616496"/>
    <w:rsid w:val="0061655B"/>
    <w:rsid w:val="00616593"/>
    <w:rsid w:val="006165A1"/>
    <w:rsid w:val="00616604"/>
    <w:rsid w:val="006166A8"/>
    <w:rsid w:val="006166C7"/>
    <w:rsid w:val="006166CB"/>
    <w:rsid w:val="006166E9"/>
    <w:rsid w:val="0061677B"/>
    <w:rsid w:val="0061677D"/>
    <w:rsid w:val="00616838"/>
    <w:rsid w:val="00616A05"/>
    <w:rsid w:val="00616AD9"/>
    <w:rsid w:val="00616B3A"/>
    <w:rsid w:val="00616C01"/>
    <w:rsid w:val="00616C6A"/>
    <w:rsid w:val="00616C6E"/>
    <w:rsid w:val="00616C7E"/>
    <w:rsid w:val="00616CD0"/>
    <w:rsid w:val="00616F4E"/>
    <w:rsid w:val="00616F84"/>
    <w:rsid w:val="00616F90"/>
    <w:rsid w:val="00617203"/>
    <w:rsid w:val="0061726B"/>
    <w:rsid w:val="0061727F"/>
    <w:rsid w:val="00617285"/>
    <w:rsid w:val="006172E2"/>
    <w:rsid w:val="0061749B"/>
    <w:rsid w:val="006176F0"/>
    <w:rsid w:val="00617770"/>
    <w:rsid w:val="0061789D"/>
    <w:rsid w:val="006178C5"/>
    <w:rsid w:val="00617926"/>
    <w:rsid w:val="00617971"/>
    <w:rsid w:val="00617A2B"/>
    <w:rsid w:val="00617AE1"/>
    <w:rsid w:val="00617C42"/>
    <w:rsid w:val="00617CF0"/>
    <w:rsid w:val="00617D33"/>
    <w:rsid w:val="00617E76"/>
    <w:rsid w:val="00617EC2"/>
    <w:rsid w:val="00617F15"/>
    <w:rsid w:val="006200AD"/>
    <w:rsid w:val="006200C8"/>
    <w:rsid w:val="006201C8"/>
    <w:rsid w:val="006201CB"/>
    <w:rsid w:val="0062024F"/>
    <w:rsid w:val="0062046A"/>
    <w:rsid w:val="00620493"/>
    <w:rsid w:val="00620507"/>
    <w:rsid w:val="00620587"/>
    <w:rsid w:val="00620654"/>
    <w:rsid w:val="00620686"/>
    <w:rsid w:val="00620691"/>
    <w:rsid w:val="006207AF"/>
    <w:rsid w:val="00620953"/>
    <w:rsid w:val="006209F9"/>
    <w:rsid w:val="00620A14"/>
    <w:rsid w:val="00620AF3"/>
    <w:rsid w:val="00620B3A"/>
    <w:rsid w:val="00620BFC"/>
    <w:rsid w:val="00620C4D"/>
    <w:rsid w:val="00620C85"/>
    <w:rsid w:val="00620CFE"/>
    <w:rsid w:val="00620E1C"/>
    <w:rsid w:val="00620E48"/>
    <w:rsid w:val="00620F66"/>
    <w:rsid w:val="00620F71"/>
    <w:rsid w:val="00621174"/>
    <w:rsid w:val="006211AF"/>
    <w:rsid w:val="0062128D"/>
    <w:rsid w:val="0062129B"/>
    <w:rsid w:val="00621318"/>
    <w:rsid w:val="00621320"/>
    <w:rsid w:val="0062150C"/>
    <w:rsid w:val="00621549"/>
    <w:rsid w:val="006215FF"/>
    <w:rsid w:val="00621651"/>
    <w:rsid w:val="0062168E"/>
    <w:rsid w:val="0062173D"/>
    <w:rsid w:val="006217B1"/>
    <w:rsid w:val="006217EE"/>
    <w:rsid w:val="00621854"/>
    <w:rsid w:val="00621940"/>
    <w:rsid w:val="00621A11"/>
    <w:rsid w:val="00621A47"/>
    <w:rsid w:val="00621B1A"/>
    <w:rsid w:val="00621B3F"/>
    <w:rsid w:val="00621B91"/>
    <w:rsid w:val="00621C60"/>
    <w:rsid w:val="00621CC1"/>
    <w:rsid w:val="00621D4F"/>
    <w:rsid w:val="00621DBB"/>
    <w:rsid w:val="00621E07"/>
    <w:rsid w:val="00621E22"/>
    <w:rsid w:val="00621EEC"/>
    <w:rsid w:val="00621F2D"/>
    <w:rsid w:val="0062219E"/>
    <w:rsid w:val="006222B9"/>
    <w:rsid w:val="006222DC"/>
    <w:rsid w:val="00622400"/>
    <w:rsid w:val="00622491"/>
    <w:rsid w:val="006224CB"/>
    <w:rsid w:val="006224F6"/>
    <w:rsid w:val="00622639"/>
    <w:rsid w:val="0062268F"/>
    <w:rsid w:val="006226DC"/>
    <w:rsid w:val="00622733"/>
    <w:rsid w:val="00622920"/>
    <w:rsid w:val="00622A69"/>
    <w:rsid w:val="00622AAC"/>
    <w:rsid w:val="00622AF3"/>
    <w:rsid w:val="00622B82"/>
    <w:rsid w:val="00622DE8"/>
    <w:rsid w:val="00622E95"/>
    <w:rsid w:val="00622F2F"/>
    <w:rsid w:val="00622F3C"/>
    <w:rsid w:val="00622F5F"/>
    <w:rsid w:val="00622FE6"/>
    <w:rsid w:val="00623084"/>
    <w:rsid w:val="006230FB"/>
    <w:rsid w:val="00623165"/>
    <w:rsid w:val="00623178"/>
    <w:rsid w:val="00623186"/>
    <w:rsid w:val="0062327E"/>
    <w:rsid w:val="00623399"/>
    <w:rsid w:val="006233B8"/>
    <w:rsid w:val="0062364D"/>
    <w:rsid w:val="00623683"/>
    <w:rsid w:val="0062368E"/>
    <w:rsid w:val="006236A0"/>
    <w:rsid w:val="006236D9"/>
    <w:rsid w:val="00623792"/>
    <w:rsid w:val="006238A2"/>
    <w:rsid w:val="00623988"/>
    <w:rsid w:val="00623997"/>
    <w:rsid w:val="006239F6"/>
    <w:rsid w:val="00623A2C"/>
    <w:rsid w:val="00623ADF"/>
    <w:rsid w:val="00623B8E"/>
    <w:rsid w:val="00623BB0"/>
    <w:rsid w:val="00623DAF"/>
    <w:rsid w:val="00623E13"/>
    <w:rsid w:val="00623F97"/>
    <w:rsid w:val="0062402C"/>
    <w:rsid w:val="00624047"/>
    <w:rsid w:val="0062409C"/>
    <w:rsid w:val="006241AD"/>
    <w:rsid w:val="00624248"/>
    <w:rsid w:val="00624311"/>
    <w:rsid w:val="00624402"/>
    <w:rsid w:val="00624465"/>
    <w:rsid w:val="00624551"/>
    <w:rsid w:val="00624603"/>
    <w:rsid w:val="00624694"/>
    <w:rsid w:val="0062485B"/>
    <w:rsid w:val="00624A25"/>
    <w:rsid w:val="00624A9E"/>
    <w:rsid w:val="00624C2C"/>
    <w:rsid w:val="00624CBD"/>
    <w:rsid w:val="00624CED"/>
    <w:rsid w:val="00624D23"/>
    <w:rsid w:val="00624DF0"/>
    <w:rsid w:val="00624E64"/>
    <w:rsid w:val="00625032"/>
    <w:rsid w:val="00625082"/>
    <w:rsid w:val="006250C4"/>
    <w:rsid w:val="006250DB"/>
    <w:rsid w:val="006250EE"/>
    <w:rsid w:val="00625234"/>
    <w:rsid w:val="0062534D"/>
    <w:rsid w:val="006254FD"/>
    <w:rsid w:val="00625503"/>
    <w:rsid w:val="0062556D"/>
    <w:rsid w:val="00625597"/>
    <w:rsid w:val="006255C0"/>
    <w:rsid w:val="0062561B"/>
    <w:rsid w:val="006256BE"/>
    <w:rsid w:val="006256E8"/>
    <w:rsid w:val="00625726"/>
    <w:rsid w:val="006257A9"/>
    <w:rsid w:val="006257C4"/>
    <w:rsid w:val="00625844"/>
    <w:rsid w:val="006258EE"/>
    <w:rsid w:val="00625915"/>
    <w:rsid w:val="00625967"/>
    <w:rsid w:val="006259BC"/>
    <w:rsid w:val="00625A13"/>
    <w:rsid w:val="00625ADD"/>
    <w:rsid w:val="00625B80"/>
    <w:rsid w:val="00625BDE"/>
    <w:rsid w:val="00625C07"/>
    <w:rsid w:val="00625C32"/>
    <w:rsid w:val="00625DC4"/>
    <w:rsid w:val="00626065"/>
    <w:rsid w:val="006260F5"/>
    <w:rsid w:val="006261BC"/>
    <w:rsid w:val="006261F6"/>
    <w:rsid w:val="006261F9"/>
    <w:rsid w:val="00626319"/>
    <w:rsid w:val="006263C9"/>
    <w:rsid w:val="00626462"/>
    <w:rsid w:val="00626635"/>
    <w:rsid w:val="0062668A"/>
    <w:rsid w:val="006266EF"/>
    <w:rsid w:val="00626718"/>
    <w:rsid w:val="00626784"/>
    <w:rsid w:val="00626A8E"/>
    <w:rsid w:val="00626AC6"/>
    <w:rsid w:val="00626B7F"/>
    <w:rsid w:val="00626C17"/>
    <w:rsid w:val="00626C1B"/>
    <w:rsid w:val="00626CC1"/>
    <w:rsid w:val="00626DC3"/>
    <w:rsid w:val="00626DCD"/>
    <w:rsid w:val="00626EEF"/>
    <w:rsid w:val="00626F00"/>
    <w:rsid w:val="00626F28"/>
    <w:rsid w:val="00626FBF"/>
    <w:rsid w:val="00626FD9"/>
    <w:rsid w:val="00627012"/>
    <w:rsid w:val="006271B3"/>
    <w:rsid w:val="0062723D"/>
    <w:rsid w:val="00627261"/>
    <w:rsid w:val="00627274"/>
    <w:rsid w:val="006272E5"/>
    <w:rsid w:val="00627328"/>
    <w:rsid w:val="0062736E"/>
    <w:rsid w:val="00627407"/>
    <w:rsid w:val="00627473"/>
    <w:rsid w:val="006274E0"/>
    <w:rsid w:val="00627530"/>
    <w:rsid w:val="0062759A"/>
    <w:rsid w:val="006277B6"/>
    <w:rsid w:val="0062780A"/>
    <w:rsid w:val="0062784F"/>
    <w:rsid w:val="00627905"/>
    <w:rsid w:val="00627907"/>
    <w:rsid w:val="00627917"/>
    <w:rsid w:val="00627B45"/>
    <w:rsid w:val="00627CA5"/>
    <w:rsid w:val="00627CE3"/>
    <w:rsid w:val="00627CE4"/>
    <w:rsid w:val="00627D03"/>
    <w:rsid w:val="00627D6F"/>
    <w:rsid w:val="00627EA3"/>
    <w:rsid w:val="00627EFD"/>
    <w:rsid w:val="00627F0F"/>
    <w:rsid w:val="00627F18"/>
    <w:rsid w:val="0063000F"/>
    <w:rsid w:val="00630054"/>
    <w:rsid w:val="0063005F"/>
    <w:rsid w:val="0063012E"/>
    <w:rsid w:val="0063013E"/>
    <w:rsid w:val="006301F2"/>
    <w:rsid w:val="006301F5"/>
    <w:rsid w:val="00630283"/>
    <w:rsid w:val="00630293"/>
    <w:rsid w:val="006302AB"/>
    <w:rsid w:val="006302CD"/>
    <w:rsid w:val="00630337"/>
    <w:rsid w:val="006303A4"/>
    <w:rsid w:val="006303DE"/>
    <w:rsid w:val="00630404"/>
    <w:rsid w:val="00630442"/>
    <w:rsid w:val="00630490"/>
    <w:rsid w:val="00630505"/>
    <w:rsid w:val="00630579"/>
    <w:rsid w:val="006305FA"/>
    <w:rsid w:val="006305FE"/>
    <w:rsid w:val="0063068E"/>
    <w:rsid w:val="00630690"/>
    <w:rsid w:val="006306E4"/>
    <w:rsid w:val="00630745"/>
    <w:rsid w:val="006307DE"/>
    <w:rsid w:val="0063082D"/>
    <w:rsid w:val="00630942"/>
    <w:rsid w:val="00630A1C"/>
    <w:rsid w:val="00630ACE"/>
    <w:rsid w:val="00630C17"/>
    <w:rsid w:val="00630DA1"/>
    <w:rsid w:val="00630DC3"/>
    <w:rsid w:val="00630EFE"/>
    <w:rsid w:val="00630F09"/>
    <w:rsid w:val="00630F0F"/>
    <w:rsid w:val="00630F8D"/>
    <w:rsid w:val="00630F92"/>
    <w:rsid w:val="00631190"/>
    <w:rsid w:val="00631196"/>
    <w:rsid w:val="00631266"/>
    <w:rsid w:val="006312BE"/>
    <w:rsid w:val="006313AD"/>
    <w:rsid w:val="006313CD"/>
    <w:rsid w:val="00631402"/>
    <w:rsid w:val="00631723"/>
    <w:rsid w:val="0063172F"/>
    <w:rsid w:val="00631794"/>
    <w:rsid w:val="00631A1F"/>
    <w:rsid w:val="00631A8F"/>
    <w:rsid w:val="00631BA7"/>
    <w:rsid w:val="00631BD7"/>
    <w:rsid w:val="00631C17"/>
    <w:rsid w:val="00631E4B"/>
    <w:rsid w:val="00631EB0"/>
    <w:rsid w:val="00631F05"/>
    <w:rsid w:val="00631F72"/>
    <w:rsid w:val="00631FC1"/>
    <w:rsid w:val="00631FD5"/>
    <w:rsid w:val="00632049"/>
    <w:rsid w:val="006320A5"/>
    <w:rsid w:val="006320FA"/>
    <w:rsid w:val="00632227"/>
    <w:rsid w:val="006322BB"/>
    <w:rsid w:val="006322DC"/>
    <w:rsid w:val="00632405"/>
    <w:rsid w:val="00632433"/>
    <w:rsid w:val="00632435"/>
    <w:rsid w:val="00632529"/>
    <w:rsid w:val="00632551"/>
    <w:rsid w:val="0063272E"/>
    <w:rsid w:val="00632739"/>
    <w:rsid w:val="0063275C"/>
    <w:rsid w:val="00632882"/>
    <w:rsid w:val="006329D1"/>
    <w:rsid w:val="006329D8"/>
    <w:rsid w:val="00632AF2"/>
    <w:rsid w:val="00632B60"/>
    <w:rsid w:val="00632B6A"/>
    <w:rsid w:val="00632BF9"/>
    <w:rsid w:val="00632D12"/>
    <w:rsid w:val="00632D71"/>
    <w:rsid w:val="00632F36"/>
    <w:rsid w:val="00633027"/>
    <w:rsid w:val="006330FB"/>
    <w:rsid w:val="006331A1"/>
    <w:rsid w:val="0063323F"/>
    <w:rsid w:val="006332CC"/>
    <w:rsid w:val="00633371"/>
    <w:rsid w:val="006333B4"/>
    <w:rsid w:val="00633443"/>
    <w:rsid w:val="006334E7"/>
    <w:rsid w:val="006335A1"/>
    <w:rsid w:val="006335D6"/>
    <w:rsid w:val="00633623"/>
    <w:rsid w:val="00633641"/>
    <w:rsid w:val="00633991"/>
    <w:rsid w:val="00633A5C"/>
    <w:rsid w:val="00633AF0"/>
    <w:rsid w:val="00633B46"/>
    <w:rsid w:val="00633B84"/>
    <w:rsid w:val="00633B93"/>
    <w:rsid w:val="00633B95"/>
    <w:rsid w:val="00633BCF"/>
    <w:rsid w:val="00633CB4"/>
    <w:rsid w:val="00633CB9"/>
    <w:rsid w:val="00633CD7"/>
    <w:rsid w:val="00633CE0"/>
    <w:rsid w:val="00633D70"/>
    <w:rsid w:val="00633F5C"/>
    <w:rsid w:val="00633FF9"/>
    <w:rsid w:val="00634027"/>
    <w:rsid w:val="00634103"/>
    <w:rsid w:val="00634120"/>
    <w:rsid w:val="0063414E"/>
    <w:rsid w:val="00634203"/>
    <w:rsid w:val="0063421F"/>
    <w:rsid w:val="006342E2"/>
    <w:rsid w:val="006342E3"/>
    <w:rsid w:val="00634348"/>
    <w:rsid w:val="0063452F"/>
    <w:rsid w:val="006345C4"/>
    <w:rsid w:val="00634616"/>
    <w:rsid w:val="00634631"/>
    <w:rsid w:val="00634667"/>
    <w:rsid w:val="006346F2"/>
    <w:rsid w:val="00634704"/>
    <w:rsid w:val="006347D7"/>
    <w:rsid w:val="00634924"/>
    <w:rsid w:val="00634956"/>
    <w:rsid w:val="006349F0"/>
    <w:rsid w:val="00634A12"/>
    <w:rsid w:val="00634A5E"/>
    <w:rsid w:val="00634AAF"/>
    <w:rsid w:val="00634ADD"/>
    <w:rsid w:val="00634BBE"/>
    <w:rsid w:val="00634C11"/>
    <w:rsid w:val="00634C37"/>
    <w:rsid w:val="00634CCB"/>
    <w:rsid w:val="00634CFD"/>
    <w:rsid w:val="00634D4F"/>
    <w:rsid w:val="00634D62"/>
    <w:rsid w:val="00634D8D"/>
    <w:rsid w:val="00634DB2"/>
    <w:rsid w:val="00634DFB"/>
    <w:rsid w:val="00634EF6"/>
    <w:rsid w:val="00634F5E"/>
    <w:rsid w:val="00634F99"/>
    <w:rsid w:val="00635026"/>
    <w:rsid w:val="00635057"/>
    <w:rsid w:val="0063513D"/>
    <w:rsid w:val="00635143"/>
    <w:rsid w:val="0063514F"/>
    <w:rsid w:val="00635199"/>
    <w:rsid w:val="0063528E"/>
    <w:rsid w:val="00635291"/>
    <w:rsid w:val="00635319"/>
    <w:rsid w:val="0063539A"/>
    <w:rsid w:val="0063541B"/>
    <w:rsid w:val="00635459"/>
    <w:rsid w:val="00635471"/>
    <w:rsid w:val="006354C0"/>
    <w:rsid w:val="0063550E"/>
    <w:rsid w:val="00635663"/>
    <w:rsid w:val="00635669"/>
    <w:rsid w:val="006356C8"/>
    <w:rsid w:val="0063582D"/>
    <w:rsid w:val="0063588D"/>
    <w:rsid w:val="00635915"/>
    <w:rsid w:val="006359B5"/>
    <w:rsid w:val="00635A37"/>
    <w:rsid w:val="00635A8E"/>
    <w:rsid w:val="00635ACC"/>
    <w:rsid w:val="00635B18"/>
    <w:rsid w:val="00635B74"/>
    <w:rsid w:val="00635BBD"/>
    <w:rsid w:val="00635C06"/>
    <w:rsid w:val="00635DE1"/>
    <w:rsid w:val="00635E01"/>
    <w:rsid w:val="00635F83"/>
    <w:rsid w:val="00635FBD"/>
    <w:rsid w:val="00636094"/>
    <w:rsid w:val="006360EF"/>
    <w:rsid w:val="006360F1"/>
    <w:rsid w:val="00636219"/>
    <w:rsid w:val="006362E2"/>
    <w:rsid w:val="0063643F"/>
    <w:rsid w:val="00636500"/>
    <w:rsid w:val="00636591"/>
    <w:rsid w:val="0063659C"/>
    <w:rsid w:val="006365F2"/>
    <w:rsid w:val="00636602"/>
    <w:rsid w:val="00636626"/>
    <w:rsid w:val="0063669F"/>
    <w:rsid w:val="0063682D"/>
    <w:rsid w:val="00636907"/>
    <w:rsid w:val="00636A3C"/>
    <w:rsid w:val="00636C0A"/>
    <w:rsid w:val="00636EC0"/>
    <w:rsid w:val="00636F63"/>
    <w:rsid w:val="00636F9C"/>
    <w:rsid w:val="00637005"/>
    <w:rsid w:val="00637153"/>
    <w:rsid w:val="0063721C"/>
    <w:rsid w:val="006372DC"/>
    <w:rsid w:val="00637321"/>
    <w:rsid w:val="00637390"/>
    <w:rsid w:val="006373C3"/>
    <w:rsid w:val="0063740B"/>
    <w:rsid w:val="0063744E"/>
    <w:rsid w:val="006374AF"/>
    <w:rsid w:val="006375C1"/>
    <w:rsid w:val="0063762D"/>
    <w:rsid w:val="00637746"/>
    <w:rsid w:val="00637747"/>
    <w:rsid w:val="006377B1"/>
    <w:rsid w:val="0063784E"/>
    <w:rsid w:val="0063787B"/>
    <w:rsid w:val="0063796F"/>
    <w:rsid w:val="00637A04"/>
    <w:rsid w:val="00637A25"/>
    <w:rsid w:val="00637A8D"/>
    <w:rsid w:val="00637BCD"/>
    <w:rsid w:val="00637C19"/>
    <w:rsid w:val="00637C4F"/>
    <w:rsid w:val="00637CF7"/>
    <w:rsid w:val="00637F23"/>
    <w:rsid w:val="00637F43"/>
    <w:rsid w:val="00637FA5"/>
    <w:rsid w:val="0064001B"/>
    <w:rsid w:val="00640047"/>
    <w:rsid w:val="0064011E"/>
    <w:rsid w:val="0064014F"/>
    <w:rsid w:val="00640577"/>
    <w:rsid w:val="0064058B"/>
    <w:rsid w:val="006405FC"/>
    <w:rsid w:val="00640684"/>
    <w:rsid w:val="0064077F"/>
    <w:rsid w:val="006407C6"/>
    <w:rsid w:val="0064096A"/>
    <w:rsid w:val="0064098D"/>
    <w:rsid w:val="00640BB7"/>
    <w:rsid w:val="00640CC8"/>
    <w:rsid w:val="00640D93"/>
    <w:rsid w:val="00640E5F"/>
    <w:rsid w:val="00641022"/>
    <w:rsid w:val="006410B4"/>
    <w:rsid w:val="006411B2"/>
    <w:rsid w:val="006411B5"/>
    <w:rsid w:val="006411D1"/>
    <w:rsid w:val="0064124C"/>
    <w:rsid w:val="00641274"/>
    <w:rsid w:val="006412D8"/>
    <w:rsid w:val="00641365"/>
    <w:rsid w:val="00641499"/>
    <w:rsid w:val="006414BA"/>
    <w:rsid w:val="006414C4"/>
    <w:rsid w:val="00641573"/>
    <w:rsid w:val="00641590"/>
    <w:rsid w:val="006416F7"/>
    <w:rsid w:val="006416FA"/>
    <w:rsid w:val="006417F3"/>
    <w:rsid w:val="00641887"/>
    <w:rsid w:val="0064188C"/>
    <w:rsid w:val="00641928"/>
    <w:rsid w:val="00641948"/>
    <w:rsid w:val="00641998"/>
    <w:rsid w:val="00641ABB"/>
    <w:rsid w:val="00641B4B"/>
    <w:rsid w:val="00641CCC"/>
    <w:rsid w:val="00641CF4"/>
    <w:rsid w:val="00641D06"/>
    <w:rsid w:val="00641D0F"/>
    <w:rsid w:val="00641D8B"/>
    <w:rsid w:val="00641DF3"/>
    <w:rsid w:val="00641E9D"/>
    <w:rsid w:val="00641F34"/>
    <w:rsid w:val="00641FFE"/>
    <w:rsid w:val="0064200C"/>
    <w:rsid w:val="00642020"/>
    <w:rsid w:val="0064206F"/>
    <w:rsid w:val="00642099"/>
    <w:rsid w:val="006420D9"/>
    <w:rsid w:val="006421C8"/>
    <w:rsid w:val="006422BC"/>
    <w:rsid w:val="00642405"/>
    <w:rsid w:val="0064244A"/>
    <w:rsid w:val="00642621"/>
    <w:rsid w:val="0064264B"/>
    <w:rsid w:val="00642692"/>
    <w:rsid w:val="006426C6"/>
    <w:rsid w:val="006427D9"/>
    <w:rsid w:val="00642886"/>
    <w:rsid w:val="00642887"/>
    <w:rsid w:val="006428B2"/>
    <w:rsid w:val="006428BA"/>
    <w:rsid w:val="006428E4"/>
    <w:rsid w:val="00642935"/>
    <w:rsid w:val="00642940"/>
    <w:rsid w:val="00642944"/>
    <w:rsid w:val="00642AE6"/>
    <w:rsid w:val="00642BB9"/>
    <w:rsid w:val="00642BD7"/>
    <w:rsid w:val="00642BF9"/>
    <w:rsid w:val="00642C59"/>
    <w:rsid w:val="00642C67"/>
    <w:rsid w:val="00642C82"/>
    <w:rsid w:val="00642D2D"/>
    <w:rsid w:val="00642DA3"/>
    <w:rsid w:val="00642E7F"/>
    <w:rsid w:val="00642F24"/>
    <w:rsid w:val="006431BC"/>
    <w:rsid w:val="006432A1"/>
    <w:rsid w:val="006432DB"/>
    <w:rsid w:val="006432EB"/>
    <w:rsid w:val="006433BD"/>
    <w:rsid w:val="00643447"/>
    <w:rsid w:val="006434AE"/>
    <w:rsid w:val="0064362B"/>
    <w:rsid w:val="00643646"/>
    <w:rsid w:val="0064370E"/>
    <w:rsid w:val="00643727"/>
    <w:rsid w:val="006437DB"/>
    <w:rsid w:val="0064397D"/>
    <w:rsid w:val="0064399E"/>
    <w:rsid w:val="00643A13"/>
    <w:rsid w:val="00643B0A"/>
    <w:rsid w:val="00643B39"/>
    <w:rsid w:val="00643BE7"/>
    <w:rsid w:val="00643C14"/>
    <w:rsid w:val="00643CAA"/>
    <w:rsid w:val="00643CCF"/>
    <w:rsid w:val="00643D43"/>
    <w:rsid w:val="00643D7D"/>
    <w:rsid w:val="00643ECF"/>
    <w:rsid w:val="00643F3F"/>
    <w:rsid w:val="00643F86"/>
    <w:rsid w:val="00643FCB"/>
    <w:rsid w:val="0064401F"/>
    <w:rsid w:val="006441AC"/>
    <w:rsid w:val="006441C3"/>
    <w:rsid w:val="006441E4"/>
    <w:rsid w:val="006441F6"/>
    <w:rsid w:val="00644281"/>
    <w:rsid w:val="00644407"/>
    <w:rsid w:val="00644516"/>
    <w:rsid w:val="00644523"/>
    <w:rsid w:val="00644696"/>
    <w:rsid w:val="006446F4"/>
    <w:rsid w:val="00644797"/>
    <w:rsid w:val="006447CA"/>
    <w:rsid w:val="00644869"/>
    <w:rsid w:val="006449BB"/>
    <w:rsid w:val="006449D4"/>
    <w:rsid w:val="00644A72"/>
    <w:rsid w:val="00644A89"/>
    <w:rsid w:val="00644ACD"/>
    <w:rsid w:val="00644AF8"/>
    <w:rsid w:val="00644C53"/>
    <w:rsid w:val="00644C67"/>
    <w:rsid w:val="00644C6E"/>
    <w:rsid w:val="00644C89"/>
    <w:rsid w:val="00644C8C"/>
    <w:rsid w:val="00644CF6"/>
    <w:rsid w:val="00644E92"/>
    <w:rsid w:val="00644EF9"/>
    <w:rsid w:val="00645087"/>
    <w:rsid w:val="0064519E"/>
    <w:rsid w:val="00645225"/>
    <w:rsid w:val="0064522C"/>
    <w:rsid w:val="006452DF"/>
    <w:rsid w:val="00645345"/>
    <w:rsid w:val="006453FB"/>
    <w:rsid w:val="00645452"/>
    <w:rsid w:val="00645485"/>
    <w:rsid w:val="006454EE"/>
    <w:rsid w:val="00645555"/>
    <w:rsid w:val="00645557"/>
    <w:rsid w:val="00645687"/>
    <w:rsid w:val="00645688"/>
    <w:rsid w:val="00645706"/>
    <w:rsid w:val="00645751"/>
    <w:rsid w:val="006458C3"/>
    <w:rsid w:val="006458C9"/>
    <w:rsid w:val="0064597B"/>
    <w:rsid w:val="0064599B"/>
    <w:rsid w:val="00645AB9"/>
    <w:rsid w:val="00645B13"/>
    <w:rsid w:val="00645B58"/>
    <w:rsid w:val="00645E94"/>
    <w:rsid w:val="00645EA0"/>
    <w:rsid w:val="00645F10"/>
    <w:rsid w:val="00645F5E"/>
    <w:rsid w:val="00645FA5"/>
    <w:rsid w:val="00646028"/>
    <w:rsid w:val="006460E9"/>
    <w:rsid w:val="0064614C"/>
    <w:rsid w:val="006461C6"/>
    <w:rsid w:val="006461D9"/>
    <w:rsid w:val="0064620F"/>
    <w:rsid w:val="00646214"/>
    <w:rsid w:val="0064629F"/>
    <w:rsid w:val="00646369"/>
    <w:rsid w:val="006465CD"/>
    <w:rsid w:val="00646663"/>
    <w:rsid w:val="0064677B"/>
    <w:rsid w:val="006467C7"/>
    <w:rsid w:val="006467E5"/>
    <w:rsid w:val="006468AD"/>
    <w:rsid w:val="0064690A"/>
    <w:rsid w:val="0064698A"/>
    <w:rsid w:val="006469C0"/>
    <w:rsid w:val="00646A4E"/>
    <w:rsid w:val="00646B7B"/>
    <w:rsid w:val="00646BD2"/>
    <w:rsid w:val="00646CCC"/>
    <w:rsid w:val="00646E22"/>
    <w:rsid w:val="00646E33"/>
    <w:rsid w:val="006470F9"/>
    <w:rsid w:val="0064712B"/>
    <w:rsid w:val="00647176"/>
    <w:rsid w:val="0064726C"/>
    <w:rsid w:val="0064744E"/>
    <w:rsid w:val="00647485"/>
    <w:rsid w:val="006474B0"/>
    <w:rsid w:val="00647657"/>
    <w:rsid w:val="006476EC"/>
    <w:rsid w:val="0064776B"/>
    <w:rsid w:val="00647850"/>
    <w:rsid w:val="006478CF"/>
    <w:rsid w:val="00647931"/>
    <w:rsid w:val="00647992"/>
    <w:rsid w:val="00647A53"/>
    <w:rsid w:val="00647AE5"/>
    <w:rsid w:val="00647C22"/>
    <w:rsid w:val="00647C31"/>
    <w:rsid w:val="00647CE4"/>
    <w:rsid w:val="00647CFA"/>
    <w:rsid w:val="00647E28"/>
    <w:rsid w:val="00647E2D"/>
    <w:rsid w:val="00647EEF"/>
    <w:rsid w:val="00647FA0"/>
    <w:rsid w:val="00650032"/>
    <w:rsid w:val="00650059"/>
    <w:rsid w:val="006500EF"/>
    <w:rsid w:val="00650156"/>
    <w:rsid w:val="00650159"/>
    <w:rsid w:val="0065020C"/>
    <w:rsid w:val="0065024C"/>
    <w:rsid w:val="00650348"/>
    <w:rsid w:val="006503E7"/>
    <w:rsid w:val="006503FB"/>
    <w:rsid w:val="0065045D"/>
    <w:rsid w:val="006504EB"/>
    <w:rsid w:val="00650644"/>
    <w:rsid w:val="00650702"/>
    <w:rsid w:val="00650716"/>
    <w:rsid w:val="00650725"/>
    <w:rsid w:val="00650837"/>
    <w:rsid w:val="0065090F"/>
    <w:rsid w:val="00650911"/>
    <w:rsid w:val="0065092D"/>
    <w:rsid w:val="00650B2F"/>
    <w:rsid w:val="00650C19"/>
    <w:rsid w:val="00650CC1"/>
    <w:rsid w:val="00650CEC"/>
    <w:rsid w:val="00650DC7"/>
    <w:rsid w:val="00650EA9"/>
    <w:rsid w:val="00650FCB"/>
    <w:rsid w:val="00651014"/>
    <w:rsid w:val="0065106C"/>
    <w:rsid w:val="00651094"/>
    <w:rsid w:val="00651097"/>
    <w:rsid w:val="006510D9"/>
    <w:rsid w:val="00651154"/>
    <w:rsid w:val="00651167"/>
    <w:rsid w:val="006511E9"/>
    <w:rsid w:val="00651310"/>
    <w:rsid w:val="006513E9"/>
    <w:rsid w:val="006513EC"/>
    <w:rsid w:val="00651525"/>
    <w:rsid w:val="00651535"/>
    <w:rsid w:val="006515B0"/>
    <w:rsid w:val="00651601"/>
    <w:rsid w:val="006516A7"/>
    <w:rsid w:val="006516C4"/>
    <w:rsid w:val="00651708"/>
    <w:rsid w:val="0065176C"/>
    <w:rsid w:val="006517C2"/>
    <w:rsid w:val="0065183F"/>
    <w:rsid w:val="006518A3"/>
    <w:rsid w:val="00651956"/>
    <w:rsid w:val="00651981"/>
    <w:rsid w:val="0065199D"/>
    <w:rsid w:val="006519F3"/>
    <w:rsid w:val="00651A8B"/>
    <w:rsid w:val="00651E89"/>
    <w:rsid w:val="00651EF8"/>
    <w:rsid w:val="00652183"/>
    <w:rsid w:val="006521E8"/>
    <w:rsid w:val="0065223E"/>
    <w:rsid w:val="00652265"/>
    <w:rsid w:val="00652414"/>
    <w:rsid w:val="006524C5"/>
    <w:rsid w:val="00652526"/>
    <w:rsid w:val="006525E4"/>
    <w:rsid w:val="006525F3"/>
    <w:rsid w:val="00652618"/>
    <w:rsid w:val="006526EF"/>
    <w:rsid w:val="00652702"/>
    <w:rsid w:val="006527A1"/>
    <w:rsid w:val="00652B50"/>
    <w:rsid w:val="00652B8D"/>
    <w:rsid w:val="00652D10"/>
    <w:rsid w:val="00652D70"/>
    <w:rsid w:val="00652E1F"/>
    <w:rsid w:val="00652EB5"/>
    <w:rsid w:val="0065309A"/>
    <w:rsid w:val="00653105"/>
    <w:rsid w:val="00653120"/>
    <w:rsid w:val="0065322F"/>
    <w:rsid w:val="006532B0"/>
    <w:rsid w:val="00653352"/>
    <w:rsid w:val="0065337E"/>
    <w:rsid w:val="00653458"/>
    <w:rsid w:val="006534C4"/>
    <w:rsid w:val="0065352D"/>
    <w:rsid w:val="006536E5"/>
    <w:rsid w:val="0065373F"/>
    <w:rsid w:val="00653761"/>
    <w:rsid w:val="0065378D"/>
    <w:rsid w:val="00653A62"/>
    <w:rsid w:val="00653A6E"/>
    <w:rsid w:val="00653A9C"/>
    <w:rsid w:val="00653AC8"/>
    <w:rsid w:val="00653BDE"/>
    <w:rsid w:val="00653BFA"/>
    <w:rsid w:val="00653CC9"/>
    <w:rsid w:val="00653CCC"/>
    <w:rsid w:val="00653D33"/>
    <w:rsid w:val="00653DDF"/>
    <w:rsid w:val="00653DFD"/>
    <w:rsid w:val="00653E75"/>
    <w:rsid w:val="00653F05"/>
    <w:rsid w:val="006541B7"/>
    <w:rsid w:val="006541B8"/>
    <w:rsid w:val="006541F0"/>
    <w:rsid w:val="00654229"/>
    <w:rsid w:val="00654293"/>
    <w:rsid w:val="006542A0"/>
    <w:rsid w:val="006542BE"/>
    <w:rsid w:val="0065438A"/>
    <w:rsid w:val="006546FE"/>
    <w:rsid w:val="006547B3"/>
    <w:rsid w:val="006548DB"/>
    <w:rsid w:val="0065490C"/>
    <w:rsid w:val="00654988"/>
    <w:rsid w:val="006549BA"/>
    <w:rsid w:val="006549DD"/>
    <w:rsid w:val="00654A66"/>
    <w:rsid w:val="00654C5F"/>
    <w:rsid w:val="00654CDF"/>
    <w:rsid w:val="00654D45"/>
    <w:rsid w:val="00654D92"/>
    <w:rsid w:val="00654D97"/>
    <w:rsid w:val="00654ED7"/>
    <w:rsid w:val="006550C3"/>
    <w:rsid w:val="00655114"/>
    <w:rsid w:val="00655193"/>
    <w:rsid w:val="006551DE"/>
    <w:rsid w:val="00655263"/>
    <w:rsid w:val="00655497"/>
    <w:rsid w:val="00655502"/>
    <w:rsid w:val="0065553B"/>
    <w:rsid w:val="00655557"/>
    <w:rsid w:val="006556B0"/>
    <w:rsid w:val="00655716"/>
    <w:rsid w:val="00655756"/>
    <w:rsid w:val="006557DE"/>
    <w:rsid w:val="006558C5"/>
    <w:rsid w:val="00655927"/>
    <w:rsid w:val="00655945"/>
    <w:rsid w:val="006559F6"/>
    <w:rsid w:val="00655A02"/>
    <w:rsid w:val="00655CC2"/>
    <w:rsid w:val="00655CE5"/>
    <w:rsid w:val="00655D6E"/>
    <w:rsid w:val="00655E36"/>
    <w:rsid w:val="00655E8C"/>
    <w:rsid w:val="00655F82"/>
    <w:rsid w:val="00655FD0"/>
    <w:rsid w:val="00656015"/>
    <w:rsid w:val="00656057"/>
    <w:rsid w:val="00656155"/>
    <w:rsid w:val="00656222"/>
    <w:rsid w:val="00656248"/>
    <w:rsid w:val="006562BF"/>
    <w:rsid w:val="006563AC"/>
    <w:rsid w:val="006563B9"/>
    <w:rsid w:val="00656467"/>
    <w:rsid w:val="006564BB"/>
    <w:rsid w:val="0065652E"/>
    <w:rsid w:val="006566BA"/>
    <w:rsid w:val="006566EC"/>
    <w:rsid w:val="0065674A"/>
    <w:rsid w:val="006567B5"/>
    <w:rsid w:val="006568E5"/>
    <w:rsid w:val="0065691D"/>
    <w:rsid w:val="0065697A"/>
    <w:rsid w:val="00656B0E"/>
    <w:rsid w:val="00656B32"/>
    <w:rsid w:val="00656B79"/>
    <w:rsid w:val="00656B9E"/>
    <w:rsid w:val="00656BD9"/>
    <w:rsid w:val="00656CE6"/>
    <w:rsid w:val="00656DD7"/>
    <w:rsid w:val="00656DE6"/>
    <w:rsid w:val="00656F51"/>
    <w:rsid w:val="00657037"/>
    <w:rsid w:val="0065705A"/>
    <w:rsid w:val="0065723D"/>
    <w:rsid w:val="006572BA"/>
    <w:rsid w:val="006572BC"/>
    <w:rsid w:val="006572CC"/>
    <w:rsid w:val="006574D1"/>
    <w:rsid w:val="0065750B"/>
    <w:rsid w:val="00657566"/>
    <w:rsid w:val="00657696"/>
    <w:rsid w:val="00657797"/>
    <w:rsid w:val="00657822"/>
    <w:rsid w:val="006578AE"/>
    <w:rsid w:val="006578EB"/>
    <w:rsid w:val="006579A9"/>
    <w:rsid w:val="006579BF"/>
    <w:rsid w:val="00657A00"/>
    <w:rsid w:val="00657ABE"/>
    <w:rsid w:val="00657BEE"/>
    <w:rsid w:val="00657CB5"/>
    <w:rsid w:val="00657D51"/>
    <w:rsid w:val="00657D55"/>
    <w:rsid w:val="00657E0A"/>
    <w:rsid w:val="00657E94"/>
    <w:rsid w:val="00657EF6"/>
    <w:rsid w:val="00660183"/>
    <w:rsid w:val="00660207"/>
    <w:rsid w:val="0066024F"/>
    <w:rsid w:val="00660278"/>
    <w:rsid w:val="00660395"/>
    <w:rsid w:val="006604B8"/>
    <w:rsid w:val="00660536"/>
    <w:rsid w:val="00660637"/>
    <w:rsid w:val="006606CF"/>
    <w:rsid w:val="006606DF"/>
    <w:rsid w:val="0066077C"/>
    <w:rsid w:val="0066081B"/>
    <w:rsid w:val="0066083D"/>
    <w:rsid w:val="0066084C"/>
    <w:rsid w:val="00660941"/>
    <w:rsid w:val="006609C9"/>
    <w:rsid w:val="006609E4"/>
    <w:rsid w:val="00660A98"/>
    <w:rsid w:val="00660AA0"/>
    <w:rsid w:val="00660C8B"/>
    <w:rsid w:val="00660CEB"/>
    <w:rsid w:val="00660D04"/>
    <w:rsid w:val="00660D12"/>
    <w:rsid w:val="00660D6C"/>
    <w:rsid w:val="00660DF9"/>
    <w:rsid w:val="00660DFE"/>
    <w:rsid w:val="00660E0D"/>
    <w:rsid w:val="00660F6E"/>
    <w:rsid w:val="00660F7F"/>
    <w:rsid w:val="006611A3"/>
    <w:rsid w:val="006611BC"/>
    <w:rsid w:val="006612CF"/>
    <w:rsid w:val="00661389"/>
    <w:rsid w:val="00661423"/>
    <w:rsid w:val="0066144A"/>
    <w:rsid w:val="0066145B"/>
    <w:rsid w:val="006614E0"/>
    <w:rsid w:val="006615AD"/>
    <w:rsid w:val="006615BD"/>
    <w:rsid w:val="0066163C"/>
    <w:rsid w:val="006616BD"/>
    <w:rsid w:val="00661770"/>
    <w:rsid w:val="00661815"/>
    <w:rsid w:val="0066188A"/>
    <w:rsid w:val="006618F8"/>
    <w:rsid w:val="00661945"/>
    <w:rsid w:val="00661A1B"/>
    <w:rsid w:val="00661B5A"/>
    <w:rsid w:val="00661BE7"/>
    <w:rsid w:val="00661C5D"/>
    <w:rsid w:val="00661D07"/>
    <w:rsid w:val="00661D35"/>
    <w:rsid w:val="00661D78"/>
    <w:rsid w:val="00661D93"/>
    <w:rsid w:val="00661E42"/>
    <w:rsid w:val="00661F78"/>
    <w:rsid w:val="00661F81"/>
    <w:rsid w:val="00661FCB"/>
    <w:rsid w:val="00661FD9"/>
    <w:rsid w:val="00661FF7"/>
    <w:rsid w:val="0066208E"/>
    <w:rsid w:val="006620FE"/>
    <w:rsid w:val="0066210E"/>
    <w:rsid w:val="00662176"/>
    <w:rsid w:val="0066225C"/>
    <w:rsid w:val="00662384"/>
    <w:rsid w:val="006623BF"/>
    <w:rsid w:val="00662429"/>
    <w:rsid w:val="00662539"/>
    <w:rsid w:val="00662685"/>
    <w:rsid w:val="006626FB"/>
    <w:rsid w:val="0066272A"/>
    <w:rsid w:val="0066280B"/>
    <w:rsid w:val="00662826"/>
    <w:rsid w:val="0066291E"/>
    <w:rsid w:val="00662A00"/>
    <w:rsid w:val="00662A1A"/>
    <w:rsid w:val="00662AED"/>
    <w:rsid w:val="00662B85"/>
    <w:rsid w:val="00662BF9"/>
    <w:rsid w:val="00662C4B"/>
    <w:rsid w:val="00662DD6"/>
    <w:rsid w:val="00662DFB"/>
    <w:rsid w:val="00662EC6"/>
    <w:rsid w:val="00662F4F"/>
    <w:rsid w:val="00662F87"/>
    <w:rsid w:val="00663024"/>
    <w:rsid w:val="006630AE"/>
    <w:rsid w:val="00663133"/>
    <w:rsid w:val="006632E2"/>
    <w:rsid w:val="00663388"/>
    <w:rsid w:val="00663465"/>
    <w:rsid w:val="006634A6"/>
    <w:rsid w:val="006634AD"/>
    <w:rsid w:val="00663567"/>
    <w:rsid w:val="006635A3"/>
    <w:rsid w:val="00663632"/>
    <w:rsid w:val="006637BD"/>
    <w:rsid w:val="00663855"/>
    <w:rsid w:val="0066385A"/>
    <w:rsid w:val="0066396D"/>
    <w:rsid w:val="00663AEE"/>
    <w:rsid w:val="00663B2C"/>
    <w:rsid w:val="00663B4A"/>
    <w:rsid w:val="00663C47"/>
    <w:rsid w:val="00663D7F"/>
    <w:rsid w:val="00663DA4"/>
    <w:rsid w:val="00663DDB"/>
    <w:rsid w:val="00663DE3"/>
    <w:rsid w:val="00663E62"/>
    <w:rsid w:val="00663EF4"/>
    <w:rsid w:val="00663F61"/>
    <w:rsid w:val="0066402A"/>
    <w:rsid w:val="006641FD"/>
    <w:rsid w:val="006642F2"/>
    <w:rsid w:val="006642F8"/>
    <w:rsid w:val="00664311"/>
    <w:rsid w:val="00664376"/>
    <w:rsid w:val="006645C6"/>
    <w:rsid w:val="00664630"/>
    <w:rsid w:val="0066473A"/>
    <w:rsid w:val="006647C5"/>
    <w:rsid w:val="00664842"/>
    <w:rsid w:val="0066493F"/>
    <w:rsid w:val="00664AED"/>
    <w:rsid w:val="00664AF2"/>
    <w:rsid w:val="00664BF7"/>
    <w:rsid w:val="00664D53"/>
    <w:rsid w:val="00664D97"/>
    <w:rsid w:val="00664F58"/>
    <w:rsid w:val="00664F96"/>
    <w:rsid w:val="00664FB7"/>
    <w:rsid w:val="00665039"/>
    <w:rsid w:val="006650F2"/>
    <w:rsid w:val="006651E1"/>
    <w:rsid w:val="00665215"/>
    <w:rsid w:val="00665216"/>
    <w:rsid w:val="00665299"/>
    <w:rsid w:val="006652CE"/>
    <w:rsid w:val="00665353"/>
    <w:rsid w:val="00665459"/>
    <w:rsid w:val="00665499"/>
    <w:rsid w:val="00665562"/>
    <w:rsid w:val="00665617"/>
    <w:rsid w:val="00665641"/>
    <w:rsid w:val="0066572A"/>
    <w:rsid w:val="006657B2"/>
    <w:rsid w:val="0066588E"/>
    <w:rsid w:val="006658D8"/>
    <w:rsid w:val="006658EC"/>
    <w:rsid w:val="00665949"/>
    <w:rsid w:val="006659AB"/>
    <w:rsid w:val="006659AE"/>
    <w:rsid w:val="00665A40"/>
    <w:rsid w:val="00665A63"/>
    <w:rsid w:val="00665A82"/>
    <w:rsid w:val="00665A87"/>
    <w:rsid w:val="00665AA1"/>
    <w:rsid w:val="00665B9E"/>
    <w:rsid w:val="00665BED"/>
    <w:rsid w:val="00665D6E"/>
    <w:rsid w:val="00665D97"/>
    <w:rsid w:val="00665EB1"/>
    <w:rsid w:val="00665F65"/>
    <w:rsid w:val="00665F75"/>
    <w:rsid w:val="00666034"/>
    <w:rsid w:val="006661A7"/>
    <w:rsid w:val="006661E9"/>
    <w:rsid w:val="00666213"/>
    <w:rsid w:val="0066623B"/>
    <w:rsid w:val="00666296"/>
    <w:rsid w:val="00666315"/>
    <w:rsid w:val="006663C1"/>
    <w:rsid w:val="006664C8"/>
    <w:rsid w:val="006664FA"/>
    <w:rsid w:val="0066661D"/>
    <w:rsid w:val="00666678"/>
    <w:rsid w:val="0066689A"/>
    <w:rsid w:val="0066693E"/>
    <w:rsid w:val="00666982"/>
    <w:rsid w:val="00666A94"/>
    <w:rsid w:val="00666AD1"/>
    <w:rsid w:val="00666ADE"/>
    <w:rsid w:val="00666E32"/>
    <w:rsid w:val="00666F3C"/>
    <w:rsid w:val="00666F78"/>
    <w:rsid w:val="00666FCF"/>
    <w:rsid w:val="006670CF"/>
    <w:rsid w:val="006671C9"/>
    <w:rsid w:val="00667210"/>
    <w:rsid w:val="00667212"/>
    <w:rsid w:val="0066728B"/>
    <w:rsid w:val="00667351"/>
    <w:rsid w:val="0066735D"/>
    <w:rsid w:val="006673EE"/>
    <w:rsid w:val="0066743C"/>
    <w:rsid w:val="00667452"/>
    <w:rsid w:val="00667464"/>
    <w:rsid w:val="0066748B"/>
    <w:rsid w:val="006675C3"/>
    <w:rsid w:val="00667655"/>
    <w:rsid w:val="006676BC"/>
    <w:rsid w:val="006676C4"/>
    <w:rsid w:val="006676D8"/>
    <w:rsid w:val="0066774C"/>
    <w:rsid w:val="00667788"/>
    <w:rsid w:val="006677FB"/>
    <w:rsid w:val="00667A5F"/>
    <w:rsid w:val="00667ACA"/>
    <w:rsid w:val="00667B4C"/>
    <w:rsid w:val="00667C2F"/>
    <w:rsid w:val="00667C46"/>
    <w:rsid w:val="00667CF1"/>
    <w:rsid w:val="00667CF2"/>
    <w:rsid w:val="00667DE9"/>
    <w:rsid w:val="00667EBC"/>
    <w:rsid w:val="00667F0B"/>
    <w:rsid w:val="00670001"/>
    <w:rsid w:val="0067005E"/>
    <w:rsid w:val="0067009D"/>
    <w:rsid w:val="0067016A"/>
    <w:rsid w:val="0067019D"/>
    <w:rsid w:val="006701D0"/>
    <w:rsid w:val="00670225"/>
    <w:rsid w:val="00670319"/>
    <w:rsid w:val="00670386"/>
    <w:rsid w:val="006705B1"/>
    <w:rsid w:val="006705D8"/>
    <w:rsid w:val="00670671"/>
    <w:rsid w:val="006706FE"/>
    <w:rsid w:val="00670833"/>
    <w:rsid w:val="00670927"/>
    <w:rsid w:val="00670936"/>
    <w:rsid w:val="0067095C"/>
    <w:rsid w:val="00670984"/>
    <w:rsid w:val="00670A9B"/>
    <w:rsid w:val="00670B52"/>
    <w:rsid w:val="00670B9E"/>
    <w:rsid w:val="00670BDA"/>
    <w:rsid w:val="00670C01"/>
    <w:rsid w:val="00670D6F"/>
    <w:rsid w:val="00670DA8"/>
    <w:rsid w:val="00670E93"/>
    <w:rsid w:val="00670F6C"/>
    <w:rsid w:val="006710D9"/>
    <w:rsid w:val="006710F7"/>
    <w:rsid w:val="00671186"/>
    <w:rsid w:val="00671234"/>
    <w:rsid w:val="006712C7"/>
    <w:rsid w:val="006712CD"/>
    <w:rsid w:val="006713D1"/>
    <w:rsid w:val="00671467"/>
    <w:rsid w:val="006714C2"/>
    <w:rsid w:val="00671689"/>
    <w:rsid w:val="0067177F"/>
    <w:rsid w:val="00671782"/>
    <w:rsid w:val="006717AB"/>
    <w:rsid w:val="006717FF"/>
    <w:rsid w:val="00671804"/>
    <w:rsid w:val="00671877"/>
    <w:rsid w:val="006718A8"/>
    <w:rsid w:val="0067198A"/>
    <w:rsid w:val="00671A02"/>
    <w:rsid w:val="00671A32"/>
    <w:rsid w:val="00671B09"/>
    <w:rsid w:val="00671B55"/>
    <w:rsid w:val="00671CD9"/>
    <w:rsid w:val="00671D40"/>
    <w:rsid w:val="00671DD7"/>
    <w:rsid w:val="00671DDD"/>
    <w:rsid w:val="00671F2F"/>
    <w:rsid w:val="00671F5C"/>
    <w:rsid w:val="0067203C"/>
    <w:rsid w:val="006720F8"/>
    <w:rsid w:val="0067219B"/>
    <w:rsid w:val="0067239B"/>
    <w:rsid w:val="0067239D"/>
    <w:rsid w:val="0067245D"/>
    <w:rsid w:val="006725AC"/>
    <w:rsid w:val="006725B0"/>
    <w:rsid w:val="006725BA"/>
    <w:rsid w:val="006725C2"/>
    <w:rsid w:val="00672604"/>
    <w:rsid w:val="0067265D"/>
    <w:rsid w:val="00672670"/>
    <w:rsid w:val="0067275F"/>
    <w:rsid w:val="0067279C"/>
    <w:rsid w:val="006727E5"/>
    <w:rsid w:val="0067290B"/>
    <w:rsid w:val="00672AB7"/>
    <w:rsid w:val="00672B54"/>
    <w:rsid w:val="00672BF7"/>
    <w:rsid w:val="00672C18"/>
    <w:rsid w:val="00672D73"/>
    <w:rsid w:val="00672DBD"/>
    <w:rsid w:val="00672E38"/>
    <w:rsid w:val="00672ED9"/>
    <w:rsid w:val="00672F26"/>
    <w:rsid w:val="00672F2B"/>
    <w:rsid w:val="00672F9F"/>
    <w:rsid w:val="00673105"/>
    <w:rsid w:val="00673144"/>
    <w:rsid w:val="00673272"/>
    <w:rsid w:val="00673421"/>
    <w:rsid w:val="00673517"/>
    <w:rsid w:val="00673665"/>
    <w:rsid w:val="006737E9"/>
    <w:rsid w:val="006738A8"/>
    <w:rsid w:val="00673970"/>
    <w:rsid w:val="006739AD"/>
    <w:rsid w:val="00673A89"/>
    <w:rsid w:val="00673AD8"/>
    <w:rsid w:val="00673AF4"/>
    <w:rsid w:val="00673AFB"/>
    <w:rsid w:val="00673C6B"/>
    <w:rsid w:val="00673C82"/>
    <w:rsid w:val="00673C9F"/>
    <w:rsid w:val="00673CBD"/>
    <w:rsid w:val="00673CE9"/>
    <w:rsid w:val="00673F54"/>
    <w:rsid w:val="0067400E"/>
    <w:rsid w:val="006742A2"/>
    <w:rsid w:val="006742EC"/>
    <w:rsid w:val="00674332"/>
    <w:rsid w:val="00674406"/>
    <w:rsid w:val="00674512"/>
    <w:rsid w:val="00674522"/>
    <w:rsid w:val="006745B6"/>
    <w:rsid w:val="0067465A"/>
    <w:rsid w:val="00674769"/>
    <w:rsid w:val="0067478A"/>
    <w:rsid w:val="0067479C"/>
    <w:rsid w:val="006748AE"/>
    <w:rsid w:val="0067495C"/>
    <w:rsid w:val="0067499E"/>
    <w:rsid w:val="006749D9"/>
    <w:rsid w:val="006749DB"/>
    <w:rsid w:val="00674A3B"/>
    <w:rsid w:val="00674A7B"/>
    <w:rsid w:val="00674A8B"/>
    <w:rsid w:val="00674ACE"/>
    <w:rsid w:val="00674B56"/>
    <w:rsid w:val="00674BC2"/>
    <w:rsid w:val="00674BEB"/>
    <w:rsid w:val="00674C92"/>
    <w:rsid w:val="00674CC4"/>
    <w:rsid w:val="00674CFE"/>
    <w:rsid w:val="00674D10"/>
    <w:rsid w:val="00674D17"/>
    <w:rsid w:val="00674D93"/>
    <w:rsid w:val="00674E85"/>
    <w:rsid w:val="00674F7A"/>
    <w:rsid w:val="00674F7B"/>
    <w:rsid w:val="00674F95"/>
    <w:rsid w:val="0067504F"/>
    <w:rsid w:val="0067505E"/>
    <w:rsid w:val="00675137"/>
    <w:rsid w:val="00675182"/>
    <w:rsid w:val="006751CF"/>
    <w:rsid w:val="0067521F"/>
    <w:rsid w:val="0067536C"/>
    <w:rsid w:val="006753FE"/>
    <w:rsid w:val="00675495"/>
    <w:rsid w:val="00675649"/>
    <w:rsid w:val="00675804"/>
    <w:rsid w:val="00675827"/>
    <w:rsid w:val="00675861"/>
    <w:rsid w:val="006758CD"/>
    <w:rsid w:val="006759D6"/>
    <w:rsid w:val="006759E5"/>
    <w:rsid w:val="006759F2"/>
    <w:rsid w:val="00675AD4"/>
    <w:rsid w:val="00675AE2"/>
    <w:rsid w:val="00675AF5"/>
    <w:rsid w:val="00675C20"/>
    <w:rsid w:val="00675C5C"/>
    <w:rsid w:val="00675CC8"/>
    <w:rsid w:val="00675D05"/>
    <w:rsid w:val="00675D3D"/>
    <w:rsid w:val="00675D52"/>
    <w:rsid w:val="00675E30"/>
    <w:rsid w:val="00675F37"/>
    <w:rsid w:val="006760F8"/>
    <w:rsid w:val="00676163"/>
    <w:rsid w:val="006763FE"/>
    <w:rsid w:val="00676471"/>
    <w:rsid w:val="00676484"/>
    <w:rsid w:val="006764F9"/>
    <w:rsid w:val="00676514"/>
    <w:rsid w:val="00676592"/>
    <w:rsid w:val="0067668E"/>
    <w:rsid w:val="00676842"/>
    <w:rsid w:val="00676933"/>
    <w:rsid w:val="006769AD"/>
    <w:rsid w:val="006769E9"/>
    <w:rsid w:val="00676AD2"/>
    <w:rsid w:val="00676AFA"/>
    <w:rsid w:val="00676B07"/>
    <w:rsid w:val="00676B69"/>
    <w:rsid w:val="00676B78"/>
    <w:rsid w:val="00676C12"/>
    <w:rsid w:val="00676C3E"/>
    <w:rsid w:val="00676CC3"/>
    <w:rsid w:val="00676D30"/>
    <w:rsid w:val="00676D38"/>
    <w:rsid w:val="00676DB9"/>
    <w:rsid w:val="00676E69"/>
    <w:rsid w:val="00676F19"/>
    <w:rsid w:val="00676F44"/>
    <w:rsid w:val="006770BD"/>
    <w:rsid w:val="00677139"/>
    <w:rsid w:val="006771B1"/>
    <w:rsid w:val="0067725A"/>
    <w:rsid w:val="00677293"/>
    <w:rsid w:val="006772AB"/>
    <w:rsid w:val="006772DB"/>
    <w:rsid w:val="00677339"/>
    <w:rsid w:val="0067737F"/>
    <w:rsid w:val="006775CB"/>
    <w:rsid w:val="006775FC"/>
    <w:rsid w:val="0067763F"/>
    <w:rsid w:val="00677705"/>
    <w:rsid w:val="00677714"/>
    <w:rsid w:val="006777E6"/>
    <w:rsid w:val="00677852"/>
    <w:rsid w:val="0067788D"/>
    <w:rsid w:val="006778F2"/>
    <w:rsid w:val="0067796C"/>
    <w:rsid w:val="0067799C"/>
    <w:rsid w:val="00677A58"/>
    <w:rsid w:val="00677BD6"/>
    <w:rsid w:val="00677C1F"/>
    <w:rsid w:val="00677C2B"/>
    <w:rsid w:val="00677DA0"/>
    <w:rsid w:val="00677DAB"/>
    <w:rsid w:val="00677E0F"/>
    <w:rsid w:val="00677F8A"/>
    <w:rsid w:val="006800A5"/>
    <w:rsid w:val="0068014F"/>
    <w:rsid w:val="006802ED"/>
    <w:rsid w:val="00680357"/>
    <w:rsid w:val="006803C4"/>
    <w:rsid w:val="00680400"/>
    <w:rsid w:val="0068040B"/>
    <w:rsid w:val="00680426"/>
    <w:rsid w:val="00680473"/>
    <w:rsid w:val="006804B9"/>
    <w:rsid w:val="00680554"/>
    <w:rsid w:val="0068061B"/>
    <w:rsid w:val="00680677"/>
    <w:rsid w:val="006806BA"/>
    <w:rsid w:val="00680702"/>
    <w:rsid w:val="0068071A"/>
    <w:rsid w:val="006808A9"/>
    <w:rsid w:val="006808DC"/>
    <w:rsid w:val="006808E8"/>
    <w:rsid w:val="0068094A"/>
    <w:rsid w:val="00680ACA"/>
    <w:rsid w:val="00680B22"/>
    <w:rsid w:val="00680B2A"/>
    <w:rsid w:val="00680B9E"/>
    <w:rsid w:val="00680BDE"/>
    <w:rsid w:val="00680CC9"/>
    <w:rsid w:val="00680D08"/>
    <w:rsid w:val="00680D56"/>
    <w:rsid w:val="00680D89"/>
    <w:rsid w:val="00680DFF"/>
    <w:rsid w:val="00681025"/>
    <w:rsid w:val="00681053"/>
    <w:rsid w:val="006811DE"/>
    <w:rsid w:val="00681222"/>
    <w:rsid w:val="006812E1"/>
    <w:rsid w:val="0068133B"/>
    <w:rsid w:val="00681665"/>
    <w:rsid w:val="0068177A"/>
    <w:rsid w:val="006817D8"/>
    <w:rsid w:val="00681B17"/>
    <w:rsid w:val="00681B68"/>
    <w:rsid w:val="00681B8D"/>
    <w:rsid w:val="00681BFC"/>
    <w:rsid w:val="00681C0F"/>
    <w:rsid w:val="00681DAE"/>
    <w:rsid w:val="00681E09"/>
    <w:rsid w:val="00681EB6"/>
    <w:rsid w:val="00681F71"/>
    <w:rsid w:val="00681F78"/>
    <w:rsid w:val="00682027"/>
    <w:rsid w:val="00682060"/>
    <w:rsid w:val="00682104"/>
    <w:rsid w:val="00682132"/>
    <w:rsid w:val="006821DA"/>
    <w:rsid w:val="00682257"/>
    <w:rsid w:val="00682291"/>
    <w:rsid w:val="00682357"/>
    <w:rsid w:val="00682395"/>
    <w:rsid w:val="006823E2"/>
    <w:rsid w:val="006824FF"/>
    <w:rsid w:val="00682574"/>
    <w:rsid w:val="00682575"/>
    <w:rsid w:val="0068260C"/>
    <w:rsid w:val="006826D4"/>
    <w:rsid w:val="006827B4"/>
    <w:rsid w:val="006828D0"/>
    <w:rsid w:val="00682908"/>
    <w:rsid w:val="00682953"/>
    <w:rsid w:val="00682977"/>
    <w:rsid w:val="006829D1"/>
    <w:rsid w:val="00682A43"/>
    <w:rsid w:val="00682BB0"/>
    <w:rsid w:val="00682C23"/>
    <w:rsid w:val="00682C3D"/>
    <w:rsid w:val="00682CD9"/>
    <w:rsid w:val="00682D25"/>
    <w:rsid w:val="00682D36"/>
    <w:rsid w:val="00682D39"/>
    <w:rsid w:val="00682DBE"/>
    <w:rsid w:val="00682E1F"/>
    <w:rsid w:val="00682F25"/>
    <w:rsid w:val="00682F4F"/>
    <w:rsid w:val="00682F86"/>
    <w:rsid w:val="00683024"/>
    <w:rsid w:val="0068304C"/>
    <w:rsid w:val="0068305F"/>
    <w:rsid w:val="0068317C"/>
    <w:rsid w:val="00683234"/>
    <w:rsid w:val="0068330E"/>
    <w:rsid w:val="00683327"/>
    <w:rsid w:val="006833D4"/>
    <w:rsid w:val="00683432"/>
    <w:rsid w:val="006835A9"/>
    <w:rsid w:val="006836B4"/>
    <w:rsid w:val="00683741"/>
    <w:rsid w:val="00683764"/>
    <w:rsid w:val="00683776"/>
    <w:rsid w:val="006838D9"/>
    <w:rsid w:val="0068393F"/>
    <w:rsid w:val="00683951"/>
    <w:rsid w:val="00683B12"/>
    <w:rsid w:val="00683BC1"/>
    <w:rsid w:val="00683BE6"/>
    <w:rsid w:val="00683C05"/>
    <w:rsid w:val="00683D2A"/>
    <w:rsid w:val="00683D40"/>
    <w:rsid w:val="00683D53"/>
    <w:rsid w:val="00683DCD"/>
    <w:rsid w:val="00683E11"/>
    <w:rsid w:val="00683E8E"/>
    <w:rsid w:val="00683E96"/>
    <w:rsid w:val="00683F8B"/>
    <w:rsid w:val="00684024"/>
    <w:rsid w:val="0068408F"/>
    <w:rsid w:val="006840B1"/>
    <w:rsid w:val="0068415A"/>
    <w:rsid w:val="0068428B"/>
    <w:rsid w:val="00684293"/>
    <w:rsid w:val="006842A0"/>
    <w:rsid w:val="006842E9"/>
    <w:rsid w:val="00684308"/>
    <w:rsid w:val="00684364"/>
    <w:rsid w:val="006843BB"/>
    <w:rsid w:val="00684451"/>
    <w:rsid w:val="00684562"/>
    <w:rsid w:val="00684603"/>
    <w:rsid w:val="00684616"/>
    <w:rsid w:val="0068461C"/>
    <w:rsid w:val="006846B0"/>
    <w:rsid w:val="006846DF"/>
    <w:rsid w:val="00684972"/>
    <w:rsid w:val="0068499A"/>
    <w:rsid w:val="00684A95"/>
    <w:rsid w:val="00684AE8"/>
    <w:rsid w:val="00684C8C"/>
    <w:rsid w:val="00684CA6"/>
    <w:rsid w:val="00684D3F"/>
    <w:rsid w:val="00684E03"/>
    <w:rsid w:val="00684EA2"/>
    <w:rsid w:val="006850B8"/>
    <w:rsid w:val="0068512A"/>
    <w:rsid w:val="00685178"/>
    <w:rsid w:val="006851B1"/>
    <w:rsid w:val="006851E5"/>
    <w:rsid w:val="0068523F"/>
    <w:rsid w:val="006852A9"/>
    <w:rsid w:val="006852E1"/>
    <w:rsid w:val="00685345"/>
    <w:rsid w:val="0068535B"/>
    <w:rsid w:val="00685387"/>
    <w:rsid w:val="00685468"/>
    <w:rsid w:val="00685570"/>
    <w:rsid w:val="006855C5"/>
    <w:rsid w:val="006856D0"/>
    <w:rsid w:val="006857FA"/>
    <w:rsid w:val="00685966"/>
    <w:rsid w:val="00685D04"/>
    <w:rsid w:val="00685D09"/>
    <w:rsid w:val="00685D17"/>
    <w:rsid w:val="00685D98"/>
    <w:rsid w:val="00685F22"/>
    <w:rsid w:val="00685F38"/>
    <w:rsid w:val="00685F6A"/>
    <w:rsid w:val="00686001"/>
    <w:rsid w:val="00686069"/>
    <w:rsid w:val="006860CD"/>
    <w:rsid w:val="00686191"/>
    <w:rsid w:val="006861A5"/>
    <w:rsid w:val="006861E5"/>
    <w:rsid w:val="00686256"/>
    <w:rsid w:val="00686265"/>
    <w:rsid w:val="00686269"/>
    <w:rsid w:val="006864AB"/>
    <w:rsid w:val="006864B0"/>
    <w:rsid w:val="00686524"/>
    <w:rsid w:val="0068655D"/>
    <w:rsid w:val="006865B6"/>
    <w:rsid w:val="00686636"/>
    <w:rsid w:val="00686676"/>
    <w:rsid w:val="006866A8"/>
    <w:rsid w:val="006867A4"/>
    <w:rsid w:val="006867D4"/>
    <w:rsid w:val="006867D7"/>
    <w:rsid w:val="006867EC"/>
    <w:rsid w:val="0068684A"/>
    <w:rsid w:val="00686E21"/>
    <w:rsid w:val="00686F4C"/>
    <w:rsid w:val="00686F77"/>
    <w:rsid w:val="00686FAA"/>
    <w:rsid w:val="00687223"/>
    <w:rsid w:val="0068722C"/>
    <w:rsid w:val="00687313"/>
    <w:rsid w:val="00687324"/>
    <w:rsid w:val="00687371"/>
    <w:rsid w:val="0068737E"/>
    <w:rsid w:val="00687421"/>
    <w:rsid w:val="0068742A"/>
    <w:rsid w:val="00687453"/>
    <w:rsid w:val="0068760B"/>
    <w:rsid w:val="0068771A"/>
    <w:rsid w:val="0068773C"/>
    <w:rsid w:val="006877F8"/>
    <w:rsid w:val="00687818"/>
    <w:rsid w:val="0068783B"/>
    <w:rsid w:val="0068783D"/>
    <w:rsid w:val="00687993"/>
    <w:rsid w:val="006879CC"/>
    <w:rsid w:val="00687A82"/>
    <w:rsid w:val="00687B9D"/>
    <w:rsid w:val="00687BC2"/>
    <w:rsid w:val="00687D53"/>
    <w:rsid w:val="00687D7A"/>
    <w:rsid w:val="00687FA0"/>
    <w:rsid w:val="00690141"/>
    <w:rsid w:val="0069016A"/>
    <w:rsid w:val="0069017B"/>
    <w:rsid w:val="00690181"/>
    <w:rsid w:val="00690325"/>
    <w:rsid w:val="00690387"/>
    <w:rsid w:val="00690388"/>
    <w:rsid w:val="006903EE"/>
    <w:rsid w:val="0069049C"/>
    <w:rsid w:val="006904EC"/>
    <w:rsid w:val="00690589"/>
    <w:rsid w:val="006905A0"/>
    <w:rsid w:val="0069074A"/>
    <w:rsid w:val="00690893"/>
    <w:rsid w:val="006908C7"/>
    <w:rsid w:val="006908D9"/>
    <w:rsid w:val="006908E0"/>
    <w:rsid w:val="006908F0"/>
    <w:rsid w:val="00690940"/>
    <w:rsid w:val="00690A85"/>
    <w:rsid w:val="00690BC0"/>
    <w:rsid w:val="00690C00"/>
    <w:rsid w:val="00690D37"/>
    <w:rsid w:val="00690E0D"/>
    <w:rsid w:val="00690FC1"/>
    <w:rsid w:val="00691001"/>
    <w:rsid w:val="00691005"/>
    <w:rsid w:val="00691008"/>
    <w:rsid w:val="00691046"/>
    <w:rsid w:val="0069104D"/>
    <w:rsid w:val="0069113C"/>
    <w:rsid w:val="00691170"/>
    <w:rsid w:val="006911BE"/>
    <w:rsid w:val="006913F0"/>
    <w:rsid w:val="0069149C"/>
    <w:rsid w:val="0069154F"/>
    <w:rsid w:val="00691571"/>
    <w:rsid w:val="0069159C"/>
    <w:rsid w:val="006915A8"/>
    <w:rsid w:val="006915C9"/>
    <w:rsid w:val="006915CD"/>
    <w:rsid w:val="006915F5"/>
    <w:rsid w:val="00691688"/>
    <w:rsid w:val="006917EA"/>
    <w:rsid w:val="0069190D"/>
    <w:rsid w:val="00691950"/>
    <w:rsid w:val="006919B2"/>
    <w:rsid w:val="006919EE"/>
    <w:rsid w:val="00691A67"/>
    <w:rsid w:val="00691ACB"/>
    <w:rsid w:val="00691B4B"/>
    <w:rsid w:val="00691B5C"/>
    <w:rsid w:val="00691B6F"/>
    <w:rsid w:val="00691C0D"/>
    <w:rsid w:val="00691C55"/>
    <w:rsid w:val="00691D69"/>
    <w:rsid w:val="00691D93"/>
    <w:rsid w:val="00691DD5"/>
    <w:rsid w:val="00691EE2"/>
    <w:rsid w:val="00691F8F"/>
    <w:rsid w:val="00692047"/>
    <w:rsid w:val="00692077"/>
    <w:rsid w:val="006920B2"/>
    <w:rsid w:val="006921B2"/>
    <w:rsid w:val="0069220A"/>
    <w:rsid w:val="006922B5"/>
    <w:rsid w:val="00692303"/>
    <w:rsid w:val="00692351"/>
    <w:rsid w:val="0069243A"/>
    <w:rsid w:val="00692448"/>
    <w:rsid w:val="00692501"/>
    <w:rsid w:val="00692567"/>
    <w:rsid w:val="006925A8"/>
    <w:rsid w:val="006925C6"/>
    <w:rsid w:val="006926E2"/>
    <w:rsid w:val="006927EF"/>
    <w:rsid w:val="006928E2"/>
    <w:rsid w:val="00692942"/>
    <w:rsid w:val="00692A06"/>
    <w:rsid w:val="00692A73"/>
    <w:rsid w:val="00692A93"/>
    <w:rsid w:val="00692AD1"/>
    <w:rsid w:val="00692B58"/>
    <w:rsid w:val="00692B63"/>
    <w:rsid w:val="00692C29"/>
    <w:rsid w:val="00692C53"/>
    <w:rsid w:val="00692C56"/>
    <w:rsid w:val="00692C59"/>
    <w:rsid w:val="00692C71"/>
    <w:rsid w:val="00692E99"/>
    <w:rsid w:val="006930A6"/>
    <w:rsid w:val="00693101"/>
    <w:rsid w:val="0069311D"/>
    <w:rsid w:val="00693152"/>
    <w:rsid w:val="006931DF"/>
    <w:rsid w:val="0069322D"/>
    <w:rsid w:val="00693239"/>
    <w:rsid w:val="0069323A"/>
    <w:rsid w:val="006932C8"/>
    <w:rsid w:val="00693335"/>
    <w:rsid w:val="006933D0"/>
    <w:rsid w:val="00693435"/>
    <w:rsid w:val="00693469"/>
    <w:rsid w:val="006934E7"/>
    <w:rsid w:val="00693503"/>
    <w:rsid w:val="0069358E"/>
    <w:rsid w:val="0069363C"/>
    <w:rsid w:val="0069368B"/>
    <w:rsid w:val="00693969"/>
    <w:rsid w:val="0069397F"/>
    <w:rsid w:val="0069398F"/>
    <w:rsid w:val="006939F9"/>
    <w:rsid w:val="00693A42"/>
    <w:rsid w:val="00693A57"/>
    <w:rsid w:val="00693C16"/>
    <w:rsid w:val="00693C30"/>
    <w:rsid w:val="00693D91"/>
    <w:rsid w:val="00693E74"/>
    <w:rsid w:val="00693EB8"/>
    <w:rsid w:val="00693EF2"/>
    <w:rsid w:val="00693FD6"/>
    <w:rsid w:val="0069406A"/>
    <w:rsid w:val="00694215"/>
    <w:rsid w:val="006942AD"/>
    <w:rsid w:val="006942E1"/>
    <w:rsid w:val="00694361"/>
    <w:rsid w:val="00694418"/>
    <w:rsid w:val="006944A6"/>
    <w:rsid w:val="006944B4"/>
    <w:rsid w:val="006944F7"/>
    <w:rsid w:val="006945DC"/>
    <w:rsid w:val="006945E7"/>
    <w:rsid w:val="006946B3"/>
    <w:rsid w:val="00694834"/>
    <w:rsid w:val="00694843"/>
    <w:rsid w:val="00694932"/>
    <w:rsid w:val="0069493D"/>
    <w:rsid w:val="00694943"/>
    <w:rsid w:val="00694949"/>
    <w:rsid w:val="0069494F"/>
    <w:rsid w:val="006949C4"/>
    <w:rsid w:val="00694A86"/>
    <w:rsid w:val="00694B32"/>
    <w:rsid w:val="00694B3E"/>
    <w:rsid w:val="00694B66"/>
    <w:rsid w:val="00694B88"/>
    <w:rsid w:val="00694CE8"/>
    <w:rsid w:val="00694D07"/>
    <w:rsid w:val="00694DB6"/>
    <w:rsid w:val="00694DBD"/>
    <w:rsid w:val="00694DED"/>
    <w:rsid w:val="00694FD0"/>
    <w:rsid w:val="00694FDD"/>
    <w:rsid w:val="00694FF0"/>
    <w:rsid w:val="00695282"/>
    <w:rsid w:val="006953AE"/>
    <w:rsid w:val="006953B8"/>
    <w:rsid w:val="006954D6"/>
    <w:rsid w:val="00695504"/>
    <w:rsid w:val="00695660"/>
    <w:rsid w:val="006956AA"/>
    <w:rsid w:val="006956BB"/>
    <w:rsid w:val="006956FE"/>
    <w:rsid w:val="00695715"/>
    <w:rsid w:val="00695897"/>
    <w:rsid w:val="006958F5"/>
    <w:rsid w:val="00695986"/>
    <w:rsid w:val="006959B7"/>
    <w:rsid w:val="00695A31"/>
    <w:rsid w:val="00695A5F"/>
    <w:rsid w:val="00695AA0"/>
    <w:rsid w:val="00695BCA"/>
    <w:rsid w:val="00695C4A"/>
    <w:rsid w:val="00695CC0"/>
    <w:rsid w:val="00695CEE"/>
    <w:rsid w:val="00695E48"/>
    <w:rsid w:val="00695E75"/>
    <w:rsid w:val="00695F12"/>
    <w:rsid w:val="00695F1A"/>
    <w:rsid w:val="00695F25"/>
    <w:rsid w:val="00696249"/>
    <w:rsid w:val="00696269"/>
    <w:rsid w:val="0069627A"/>
    <w:rsid w:val="00696287"/>
    <w:rsid w:val="006962EE"/>
    <w:rsid w:val="00696354"/>
    <w:rsid w:val="006963EE"/>
    <w:rsid w:val="0069640A"/>
    <w:rsid w:val="0069663A"/>
    <w:rsid w:val="006966A9"/>
    <w:rsid w:val="00696722"/>
    <w:rsid w:val="0069675A"/>
    <w:rsid w:val="006967B0"/>
    <w:rsid w:val="006967D6"/>
    <w:rsid w:val="006968A4"/>
    <w:rsid w:val="006968F2"/>
    <w:rsid w:val="00696953"/>
    <w:rsid w:val="00696B79"/>
    <w:rsid w:val="00696BDD"/>
    <w:rsid w:val="00696C38"/>
    <w:rsid w:val="00696CAA"/>
    <w:rsid w:val="00696EA3"/>
    <w:rsid w:val="00696F79"/>
    <w:rsid w:val="0069703D"/>
    <w:rsid w:val="00697043"/>
    <w:rsid w:val="00697058"/>
    <w:rsid w:val="00697175"/>
    <w:rsid w:val="006971DC"/>
    <w:rsid w:val="00697284"/>
    <w:rsid w:val="006972E5"/>
    <w:rsid w:val="006972E6"/>
    <w:rsid w:val="006972FA"/>
    <w:rsid w:val="00697485"/>
    <w:rsid w:val="0069756F"/>
    <w:rsid w:val="006975A1"/>
    <w:rsid w:val="00697671"/>
    <w:rsid w:val="006977E3"/>
    <w:rsid w:val="00697829"/>
    <w:rsid w:val="0069788C"/>
    <w:rsid w:val="00697925"/>
    <w:rsid w:val="00697930"/>
    <w:rsid w:val="00697994"/>
    <w:rsid w:val="00697BBC"/>
    <w:rsid w:val="00697C0F"/>
    <w:rsid w:val="00697D70"/>
    <w:rsid w:val="00697E10"/>
    <w:rsid w:val="00697E41"/>
    <w:rsid w:val="00697EA4"/>
    <w:rsid w:val="00697F00"/>
    <w:rsid w:val="00697F07"/>
    <w:rsid w:val="00697F64"/>
    <w:rsid w:val="00697F7E"/>
    <w:rsid w:val="006A007F"/>
    <w:rsid w:val="006A0110"/>
    <w:rsid w:val="006A019C"/>
    <w:rsid w:val="006A01AB"/>
    <w:rsid w:val="006A01D0"/>
    <w:rsid w:val="006A03A9"/>
    <w:rsid w:val="006A03AB"/>
    <w:rsid w:val="006A0481"/>
    <w:rsid w:val="006A051D"/>
    <w:rsid w:val="006A058B"/>
    <w:rsid w:val="006A0729"/>
    <w:rsid w:val="006A076D"/>
    <w:rsid w:val="006A07AB"/>
    <w:rsid w:val="006A07C3"/>
    <w:rsid w:val="006A07ED"/>
    <w:rsid w:val="006A0980"/>
    <w:rsid w:val="006A0A67"/>
    <w:rsid w:val="006A0BCB"/>
    <w:rsid w:val="006A0BD0"/>
    <w:rsid w:val="006A0BE9"/>
    <w:rsid w:val="006A0D41"/>
    <w:rsid w:val="006A0D92"/>
    <w:rsid w:val="006A0DC3"/>
    <w:rsid w:val="006A0E2E"/>
    <w:rsid w:val="006A0E3F"/>
    <w:rsid w:val="006A0E68"/>
    <w:rsid w:val="006A0F53"/>
    <w:rsid w:val="006A1068"/>
    <w:rsid w:val="006A10A4"/>
    <w:rsid w:val="006A111D"/>
    <w:rsid w:val="006A123A"/>
    <w:rsid w:val="006A12EE"/>
    <w:rsid w:val="006A1311"/>
    <w:rsid w:val="006A1347"/>
    <w:rsid w:val="006A1356"/>
    <w:rsid w:val="006A13BE"/>
    <w:rsid w:val="006A13D0"/>
    <w:rsid w:val="006A14F4"/>
    <w:rsid w:val="006A160B"/>
    <w:rsid w:val="006A1623"/>
    <w:rsid w:val="006A1633"/>
    <w:rsid w:val="006A164D"/>
    <w:rsid w:val="006A1705"/>
    <w:rsid w:val="006A17E2"/>
    <w:rsid w:val="006A184C"/>
    <w:rsid w:val="006A1872"/>
    <w:rsid w:val="006A18FD"/>
    <w:rsid w:val="006A1988"/>
    <w:rsid w:val="006A1A2B"/>
    <w:rsid w:val="006A1BB4"/>
    <w:rsid w:val="006A1CDE"/>
    <w:rsid w:val="006A1CF8"/>
    <w:rsid w:val="006A1D2D"/>
    <w:rsid w:val="006A1E0B"/>
    <w:rsid w:val="006A1E55"/>
    <w:rsid w:val="006A1E93"/>
    <w:rsid w:val="006A1F81"/>
    <w:rsid w:val="006A1F94"/>
    <w:rsid w:val="006A2105"/>
    <w:rsid w:val="006A219D"/>
    <w:rsid w:val="006A2214"/>
    <w:rsid w:val="006A2276"/>
    <w:rsid w:val="006A227C"/>
    <w:rsid w:val="006A2296"/>
    <w:rsid w:val="006A22E6"/>
    <w:rsid w:val="006A22FA"/>
    <w:rsid w:val="006A231A"/>
    <w:rsid w:val="006A234E"/>
    <w:rsid w:val="006A23D0"/>
    <w:rsid w:val="006A2542"/>
    <w:rsid w:val="006A27C6"/>
    <w:rsid w:val="006A27EE"/>
    <w:rsid w:val="006A282C"/>
    <w:rsid w:val="006A2863"/>
    <w:rsid w:val="006A28E6"/>
    <w:rsid w:val="006A29C3"/>
    <w:rsid w:val="006A2A56"/>
    <w:rsid w:val="006A2DDA"/>
    <w:rsid w:val="006A2DE9"/>
    <w:rsid w:val="006A2E03"/>
    <w:rsid w:val="006A2E2B"/>
    <w:rsid w:val="006A2EA8"/>
    <w:rsid w:val="006A2EF8"/>
    <w:rsid w:val="006A2F12"/>
    <w:rsid w:val="006A3023"/>
    <w:rsid w:val="006A3070"/>
    <w:rsid w:val="006A31AD"/>
    <w:rsid w:val="006A3215"/>
    <w:rsid w:val="006A323F"/>
    <w:rsid w:val="006A324E"/>
    <w:rsid w:val="006A32C4"/>
    <w:rsid w:val="006A3358"/>
    <w:rsid w:val="006A3480"/>
    <w:rsid w:val="006A34AD"/>
    <w:rsid w:val="006A3615"/>
    <w:rsid w:val="006A369A"/>
    <w:rsid w:val="006A36A9"/>
    <w:rsid w:val="006A374D"/>
    <w:rsid w:val="006A375A"/>
    <w:rsid w:val="006A37BB"/>
    <w:rsid w:val="006A384D"/>
    <w:rsid w:val="006A3884"/>
    <w:rsid w:val="006A38DE"/>
    <w:rsid w:val="006A39A2"/>
    <w:rsid w:val="006A3AF0"/>
    <w:rsid w:val="006A3B3A"/>
    <w:rsid w:val="006A3BA0"/>
    <w:rsid w:val="006A3C2D"/>
    <w:rsid w:val="006A3C64"/>
    <w:rsid w:val="006A3C6A"/>
    <w:rsid w:val="006A3C8E"/>
    <w:rsid w:val="006A3D16"/>
    <w:rsid w:val="006A3D8A"/>
    <w:rsid w:val="006A3DDC"/>
    <w:rsid w:val="006A3E3E"/>
    <w:rsid w:val="006A3EBD"/>
    <w:rsid w:val="006A3F40"/>
    <w:rsid w:val="006A3F8F"/>
    <w:rsid w:val="006A4022"/>
    <w:rsid w:val="006A409F"/>
    <w:rsid w:val="006A40B7"/>
    <w:rsid w:val="006A4296"/>
    <w:rsid w:val="006A42FB"/>
    <w:rsid w:val="006A430C"/>
    <w:rsid w:val="006A4323"/>
    <w:rsid w:val="006A4386"/>
    <w:rsid w:val="006A43C6"/>
    <w:rsid w:val="006A461A"/>
    <w:rsid w:val="006A46EF"/>
    <w:rsid w:val="006A4713"/>
    <w:rsid w:val="006A489F"/>
    <w:rsid w:val="006A48FC"/>
    <w:rsid w:val="006A4B0C"/>
    <w:rsid w:val="006A4B1C"/>
    <w:rsid w:val="006A4B24"/>
    <w:rsid w:val="006A4BC6"/>
    <w:rsid w:val="006A4C40"/>
    <w:rsid w:val="006A4C47"/>
    <w:rsid w:val="006A4CA0"/>
    <w:rsid w:val="006A4D3B"/>
    <w:rsid w:val="006A4F25"/>
    <w:rsid w:val="006A4F97"/>
    <w:rsid w:val="006A508B"/>
    <w:rsid w:val="006A5095"/>
    <w:rsid w:val="006A5100"/>
    <w:rsid w:val="006A512E"/>
    <w:rsid w:val="006A5134"/>
    <w:rsid w:val="006A51DF"/>
    <w:rsid w:val="006A5225"/>
    <w:rsid w:val="006A52AF"/>
    <w:rsid w:val="006A534B"/>
    <w:rsid w:val="006A5369"/>
    <w:rsid w:val="006A53A5"/>
    <w:rsid w:val="006A541F"/>
    <w:rsid w:val="006A5437"/>
    <w:rsid w:val="006A54A9"/>
    <w:rsid w:val="006A5513"/>
    <w:rsid w:val="006A56A4"/>
    <w:rsid w:val="006A56F5"/>
    <w:rsid w:val="006A574E"/>
    <w:rsid w:val="006A578A"/>
    <w:rsid w:val="006A57D9"/>
    <w:rsid w:val="006A5AAA"/>
    <w:rsid w:val="006A5B84"/>
    <w:rsid w:val="006A5CCB"/>
    <w:rsid w:val="006A5DA5"/>
    <w:rsid w:val="006A5DD2"/>
    <w:rsid w:val="006A5DE4"/>
    <w:rsid w:val="006A5E2C"/>
    <w:rsid w:val="006A5F0E"/>
    <w:rsid w:val="006A6066"/>
    <w:rsid w:val="006A6095"/>
    <w:rsid w:val="006A61EB"/>
    <w:rsid w:val="006A6274"/>
    <w:rsid w:val="006A62D2"/>
    <w:rsid w:val="006A630B"/>
    <w:rsid w:val="006A634B"/>
    <w:rsid w:val="006A635F"/>
    <w:rsid w:val="006A63A6"/>
    <w:rsid w:val="006A6446"/>
    <w:rsid w:val="006A64F7"/>
    <w:rsid w:val="006A65A4"/>
    <w:rsid w:val="006A65FC"/>
    <w:rsid w:val="006A6682"/>
    <w:rsid w:val="006A66A8"/>
    <w:rsid w:val="006A66DC"/>
    <w:rsid w:val="006A6741"/>
    <w:rsid w:val="006A67AF"/>
    <w:rsid w:val="006A6882"/>
    <w:rsid w:val="006A695A"/>
    <w:rsid w:val="006A69E4"/>
    <w:rsid w:val="006A6A0A"/>
    <w:rsid w:val="006A6A76"/>
    <w:rsid w:val="006A6BA5"/>
    <w:rsid w:val="006A6C1A"/>
    <w:rsid w:val="006A6D23"/>
    <w:rsid w:val="006A6D54"/>
    <w:rsid w:val="006A6DAD"/>
    <w:rsid w:val="006A6EB3"/>
    <w:rsid w:val="006A6F06"/>
    <w:rsid w:val="006A7110"/>
    <w:rsid w:val="006A7124"/>
    <w:rsid w:val="006A716A"/>
    <w:rsid w:val="006A71CD"/>
    <w:rsid w:val="006A72AB"/>
    <w:rsid w:val="006A72BC"/>
    <w:rsid w:val="006A75CC"/>
    <w:rsid w:val="006A7774"/>
    <w:rsid w:val="006A7863"/>
    <w:rsid w:val="006A7879"/>
    <w:rsid w:val="006A78B2"/>
    <w:rsid w:val="006A7924"/>
    <w:rsid w:val="006A7947"/>
    <w:rsid w:val="006A796C"/>
    <w:rsid w:val="006A79E3"/>
    <w:rsid w:val="006A7A1F"/>
    <w:rsid w:val="006A7A20"/>
    <w:rsid w:val="006A7AF3"/>
    <w:rsid w:val="006A7B8C"/>
    <w:rsid w:val="006A7BFA"/>
    <w:rsid w:val="006A7CA9"/>
    <w:rsid w:val="006A7D11"/>
    <w:rsid w:val="006A7D2A"/>
    <w:rsid w:val="006A7E53"/>
    <w:rsid w:val="006A7EF5"/>
    <w:rsid w:val="006A7F3E"/>
    <w:rsid w:val="006A7F46"/>
    <w:rsid w:val="006B00F4"/>
    <w:rsid w:val="006B0206"/>
    <w:rsid w:val="006B0254"/>
    <w:rsid w:val="006B037A"/>
    <w:rsid w:val="006B0502"/>
    <w:rsid w:val="006B052E"/>
    <w:rsid w:val="006B05BD"/>
    <w:rsid w:val="006B061A"/>
    <w:rsid w:val="006B0638"/>
    <w:rsid w:val="006B0651"/>
    <w:rsid w:val="006B065D"/>
    <w:rsid w:val="006B068E"/>
    <w:rsid w:val="006B078D"/>
    <w:rsid w:val="006B07C8"/>
    <w:rsid w:val="006B07ED"/>
    <w:rsid w:val="006B082F"/>
    <w:rsid w:val="006B0851"/>
    <w:rsid w:val="006B085E"/>
    <w:rsid w:val="006B0873"/>
    <w:rsid w:val="006B0876"/>
    <w:rsid w:val="006B0953"/>
    <w:rsid w:val="006B0A11"/>
    <w:rsid w:val="006B0B56"/>
    <w:rsid w:val="006B0C1D"/>
    <w:rsid w:val="006B0C2E"/>
    <w:rsid w:val="006B0DAA"/>
    <w:rsid w:val="006B0DF3"/>
    <w:rsid w:val="006B0E0C"/>
    <w:rsid w:val="006B0F77"/>
    <w:rsid w:val="006B0F7E"/>
    <w:rsid w:val="006B0FAC"/>
    <w:rsid w:val="006B10A4"/>
    <w:rsid w:val="006B10BF"/>
    <w:rsid w:val="006B10ED"/>
    <w:rsid w:val="006B112B"/>
    <w:rsid w:val="006B1131"/>
    <w:rsid w:val="006B1158"/>
    <w:rsid w:val="006B11C9"/>
    <w:rsid w:val="006B11CE"/>
    <w:rsid w:val="006B1308"/>
    <w:rsid w:val="006B1336"/>
    <w:rsid w:val="006B1423"/>
    <w:rsid w:val="006B149F"/>
    <w:rsid w:val="006B1508"/>
    <w:rsid w:val="006B161C"/>
    <w:rsid w:val="006B1673"/>
    <w:rsid w:val="006B167F"/>
    <w:rsid w:val="006B1687"/>
    <w:rsid w:val="006B1690"/>
    <w:rsid w:val="006B1733"/>
    <w:rsid w:val="006B176D"/>
    <w:rsid w:val="006B17A4"/>
    <w:rsid w:val="006B18EE"/>
    <w:rsid w:val="006B193C"/>
    <w:rsid w:val="006B19CA"/>
    <w:rsid w:val="006B19DC"/>
    <w:rsid w:val="006B1A5D"/>
    <w:rsid w:val="006B1A7F"/>
    <w:rsid w:val="006B1BA9"/>
    <w:rsid w:val="006B1BCF"/>
    <w:rsid w:val="006B1C53"/>
    <w:rsid w:val="006B1C92"/>
    <w:rsid w:val="006B1C9A"/>
    <w:rsid w:val="006B1CDA"/>
    <w:rsid w:val="006B1CEF"/>
    <w:rsid w:val="006B1D82"/>
    <w:rsid w:val="006B1D87"/>
    <w:rsid w:val="006B1E64"/>
    <w:rsid w:val="006B1E96"/>
    <w:rsid w:val="006B1EC2"/>
    <w:rsid w:val="006B1ED1"/>
    <w:rsid w:val="006B205C"/>
    <w:rsid w:val="006B208E"/>
    <w:rsid w:val="006B2130"/>
    <w:rsid w:val="006B21D4"/>
    <w:rsid w:val="006B21E6"/>
    <w:rsid w:val="006B2202"/>
    <w:rsid w:val="006B2267"/>
    <w:rsid w:val="006B22D2"/>
    <w:rsid w:val="006B2430"/>
    <w:rsid w:val="006B25DF"/>
    <w:rsid w:val="006B2655"/>
    <w:rsid w:val="006B265C"/>
    <w:rsid w:val="006B2703"/>
    <w:rsid w:val="006B2710"/>
    <w:rsid w:val="006B2737"/>
    <w:rsid w:val="006B27B1"/>
    <w:rsid w:val="006B27BC"/>
    <w:rsid w:val="006B27EB"/>
    <w:rsid w:val="006B2871"/>
    <w:rsid w:val="006B2889"/>
    <w:rsid w:val="006B28DB"/>
    <w:rsid w:val="006B2932"/>
    <w:rsid w:val="006B2978"/>
    <w:rsid w:val="006B2A61"/>
    <w:rsid w:val="006B2ACB"/>
    <w:rsid w:val="006B2AF9"/>
    <w:rsid w:val="006B2B29"/>
    <w:rsid w:val="006B2BCC"/>
    <w:rsid w:val="006B2C12"/>
    <w:rsid w:val="006B2C67"/>
    <w:rsid w:val="006B2C94"/>
    <w:rsid w:val="006B2C9F"/>
    <w:rsid w:val="006B2D34"/>
    <w:rsid w:val="006B2D92"/>
    <w:rsid w:val="006B2E05"/>
    <w:rsid w:val="006B2E2C"/>
    <w:rsid w:val="006B2FB2"/>
    <w:rsid w:val="006B30D3"/>
    <w:rsid w:val="006B321C"/>
    <w:rsid w:val="006B32CE"/>
    <w:rsid w:val="006B32ED"/>
    <w:rsid w:val="006B32EF"/>
    <w:rsid w:val="006B334E"/>
    <w:rsid w:val="006B33B3"/>
    <w:rsid w:val="006B33D5"/>
    <w:rsid w:val="006B3409"/>
    <w:rsid w:val="006B3439"/>
    <w:rsid w:val="006B34A8"/>
    <w:rsid w:val="006B34E5"/>
    <w:rsid w:val="006B34FA"/>
    <w:rsid w:val="006B35E7"/>
    <w:rsid w:val="006B3641"/>
    <w:rsid w:val="006B36B0"/>
    <w:rsid w:val="006B3705"/>
    <w:rsid w:val="006B3709"/>
    <w:rsid w:val="006B37E7"/>
    <w:rsid w:val="006B3843"/>
    <w:rsid w:val="006B3917"/>
    <w:rsid w:val="006B393E"/>
    <w:rsid w:val="006B3958"/>
    <w:rsid w:val="006B397F"/>
    <w:rsid w:val="006B39F4"/>
    <w:rsid w:val="006B39F8"/>
    <w:rsid w:val="006B3B17"/>
    <w:rsid w:val="006B3C14"/>
    <w:rsid w:val="006B3C22"/>
    <w:rsid w:val="006B3C50"/>
    <w:rsid w:val="006B3D28"/>
    <w:rsid w:val="006B3DAA"/>
    <w:rsid w:val="006B3E22"/>
    <w:rsid w:val="006B4038"/>
    <w:rsid w:val="006B4052"/>
    <w:rsid w:val="006B4083"/>
    <w:rsid w:val="006B4085"/>
    <w:rsid w:val="006B4175"/>
    <w:rsid w:val="006B418F"/>
    <w:rsid w:val="006B41B7"/>
    <w:rsid w:val="006B41E9"/>
    <w:rsid w:val="006B4206"/>
    <w:rsid w:val="006B430E"/>
    <w:rsid w:val="006B4550"/>
    <w:rsid w:val="006B45A8"/>
    <w:rsid w:val="006B45E0"/>
    <w:rsid w:val="006B45F8"/>
    <w:rsid w:val="006B46E7"/>
    <w:rsid w:val="006B4707"/>
    <w:rsid w:val="006B47B0"/>
    <w:rsid w:val="006B48B3"/>
    <w:rsid w:val="006B4A3C"/>
    <w:rsid w:val="006B4AD2"/>
    <w:rsid w:val="006B4B35"/>
    <w:rsid w:val="006B4B6B"/>
    <w:rsid w:val="006B4B79"/>
    <w:rsid w:val="006B4BFD"/>
    <w:rsid w:val="006B4CAA"/>
    <w:rsid w:val="006B4CD8"/>
    <w:rsid w:val="006B4CE4"/>
    <w:rsid w:val="006B5032"/>
    <w:rsid w:val="006B5339"/>
    <w:rsid w:val="006B537C"/>
    <w:rsid w:val="006B53C9"/>
    <w:rsid w:val="006B53EA"/>
    <w:rsid w:val="006B54EE"/>
    <w:rsid w:val="006B553D"/>
    <w:rsid w:val="006B560F"/>
    <w:rsid w:val="006B56B6"/>
    <w:rsid w:val="006B5733"/>
    <w:rsid w:val="006B576C"/>
    <w:rsid w:val="006B57FB"/>
    <w:rsid w:val="006B5823"/>
    <w:rsid w:val="006B5870"/>
    <w:rsid w:val="006B5A39"/>
    <w:rsid w:val="006B5A3E"/>
    <w:rsid w:val="006B5A6C"/>
    <w:rsid w:val="006B5B2C"/>
    <w:rsid w:val="006B5B70"/>
    <w:rsid w:val="006B5B9E"/>
    <w:rsid w:val="006B5C4E"/>
    <w:rsid w:val="006B5D06"/>
    <w:rsid w:val="006B5EA2"/>
    <w:rsid w:val="006B5EDB"/>
    <w:rsid w:val="006B5FA1"/>
    <w:rsid w:val="006B6011"/>
    <w:rsid w:val="006B6060"/>
    <w:rsid w:val="006B6222"/>
    <w:rsid w:val="006B6235"/>
    <w:rsid w:val="006B6350"/>
    <w:rsid w:val="006B63DD"/>
    <w:rsid w:val="006B6458"/>
    <w:rsid w:val="006B6541"/>
    <w:rsid w:val="006B65CD"/>
    <w:rsid w:val="006B6649"/>
    <w:rsid w:val="006B664E"/>
    <w:rsid w:val="006B6855"/>
    <w:rsid w:val="006B6975"/>
    <w:rsid w:val="006B6994"/>
    <w:rsid w:val="006B6AED"/>
    <w:rsid w:val="006B6BE4"/>
    <w:rsid w:val="006B6BF5"/>
    <w:rsid w:val="006B6C24"/>
    <w:rsid w:val="006B6D04"/>
    <w:rsid w:val="006B6DB5"/>
    <w:rsid w:val="006B6E44"/>
    <w:rsid w:val="006B6E51"/>
    <w:rsid w:val="006B6E68"/>
    <w:rsid w:val="006B6F01"/>
    <w:rsid w:val="006B6F24"/>
    <w:rsid w:val="006B6FB7"/>
    <w:rsid w:val="006B7078"/>
    <w:rsid w:val="006B70B4"/>
    <w:rsid w:val="006B718D"/>
    <w:rsid w:val="006B71ED"/>
    <w:rsid w:val="006B720A"/>
    <w:rsid w:val="006B737E"/>
    <w:rsid w:val="006B7437"/>
    <w:rsid w:val="006B747D"/>
    <w:rsid w:val="006B7492"/>
    <w:rsid w:val="006B7515"/>
    <w:rsid w:val="006B7586"/>
    <w:rsid w:val="006B759B"/>
    <w:rsid w:val="006B7663"/>
    <w:rsid w:val="006B7876"/>
    <w:rsid w:val="006B7964"/>
    <w:rsid w:val="006B7A58"/>
    <w:rsid w:val="006B7A65"/>
    <w:rsid w:val="006B7BDE"/>
    <w:rsid w:val="006B7C3D"/>
    <w:rsid w:val="006B7CBF"/>
    <w:rsid w:val="006B7CD0"/>
    <w:rsid w:val="006B7EDF"/>
    <w:rsid w:val="006B7F49"/>
    <w:rsid w:val="006C0009"/>
    <w:rsid w:val="006C0143"/>
    <w:rsid w:val="006C01DD"/>
    <w:rsid w:val="006C02EB"/>
    <w:rsid w:val="006C02F7"/>
    <w:rsid w:val="006C0361"/>
    <w:rsid w:val="006C03E9"/>
    <w:rsid w:val="006C0475"/>
    <w:rsid w:val="006C051D"/>
    <w:rsid w:val="006C065A"/>
    <w:rsid w:val="006C0667"/>
    <w:rsid w:val="006C0679"/>
    <w:rsid w:val="006C0699"/>
    <w:rsid w:val="006C06D1"/>
    <w:rsid w:val="006C06D5"/>
    <w:rsid w:val="006C074A"/>
    <w:rsid w:val="006C078A"/>
    <w:rsid w:val="006C07FC"/>
    <w:rsid w:val="006C08AE"/>
    <w:rsid w:val="006C09A3"/>
    <w:rsid w:val="006C09B4"/>
    <w:rsid w:val="006C0C74"/>
    <w:rsid w:val="006C0CC4"/>
    <w:rsid w:val="006C0D0B"/>
    <w:rsid w:val="006C0D8D"/>
    <w:rsid w:val="006C0D8E"/>
    <w:rsid w:val="006C0E6E"/>
    <w:rsid w:val="006C0ECC"/>
    <w:rsid w:val="006C0F57"/>
    <w:rsid w:val="006C0FA8"/>
    <w:rsid w:val="006C1080"/>
    <w:rsid w:val="006C10F4"/>
    <w:rsid w:val="006C11C4"/>
    <w:rsid w:val="006C12C3"/>
    <w:rsid w:val="006C12CC"/>
    <w:rsid w:val="006C138A"/>
    <w:rsid w:val="006C1397"/>
    <w:rsid w:val="006C13B9"/>
    <w:rsid w:val="006C13C8"/>
    <w:rsid w:val="006C1408"/>
    <w:rsid w:val="006C1438"/>
    <w:rsid w:val="006C1457"/>
    <w:rsid w:val="006C1482"/>
    <w:rsid w:val="006C150F"/>
    <w:rsid w:val="006C1543"/>
    <w:rsid w:val="006C1869"/>
    <w:rsid w:val="006C199B"/>
    <w:rsid w:val="006C1A08"/>
    <w:rsid w:val="006C1A84"/>
    <w:rsid w:val="006C1ADE"/>
    <w:rsid w:val="006C1B28"/>
    <w:rsid w:val="006C1B29"/>
    <w:rsid w:val="006C1CE9"/>
    <w:rsid w:val="006C1DC3"/>
    <w:rsid w:val="006C1DC9"/>
    <w:rsid w:val="006C1E8F"/>
    <w:rsid w:val="006C1EF1"/>
    <w:rsid w:val="006C1EF4"/>
    <w:rsid w:val="006C1F0F"/>
    <w:rsid w:val="006C1F4F"/>
    <w:rsid w:val="006C1FF3"/>
    <w:rsid w:val="006C204F"/>
    <w:rsid w:val="006C2066"/>
    <w:rsid w:val="006C220D"/>
    <w:rsid w:val="006C2478"/>
    <w:rsid w:val="006C24CC"/>
    <w:rsid w:val="006C255A"/>
    <w:rsid w:val="006C2596"/>
    <w:rsid w:val="006C2645"/>
    <w:rsid w:val="006C26F1"/>
    <w:rsid w:val="006C27B4"/>
    <w:rsid w:val="006C27FB"/>
    <w:rsid w:val="006C29A9"/>
    <w:rsid w:val="006C2A59"/>
    <w:rsid w:val="006C2A61"/>
    <w:rsid w:val="006C2A77"/>
    <w:rsid w:val="006C2A8C"/>
    <w:rsid w:val="006C2ACA"/>
    <w:rsid w:val="006C2BB9"/>
    <w:rsid w:val="006C2C71"/>
    <w:rsid w:val="006C2CCD"/>
    <w:rsid w:val="006C2D5B"/>
    <w:rsid w:val="006C2E6B"/>
    <w:rsid w:val="006C2ECD"/>
    <w:rsid w:val="006C2F50"/>
    <w:rsid w:val="006C2F6E"/>
    <w:rsid w:val="006C2FD4"/>
    <w:rsid w:val="006C3019"/>
    <w:rsid w:val="006C3188"/>
    <w:rsid w:val="006C320A"/>
    <w:rsid w:val="006C329F"/>
    <w:rsid w:val="006C32AF"/>
    <w:rsid w:val="006C3343"/>
    <w:rsid w:val="006C3551"/>
    <w:rsid w:val="006C356B"/>
    <w:rsid w:val="006C362B"/>
    <w:rsid w:val="006C37D0"/>
    <w:rsid w:val="006C3850"/>
    <w:rsid w:val="006C3A7C"/>
    <w:rsid w:val="006C3A93"/>
    <w:rsid w:val="006C3AF1"/>
    <w:rsid w:val="006C3B81"/>
    <w:rsid w:val="006C3CB8"/>
    <w:rsid w:val="006C3D2E"/>
    <w:rsid w:val="006C3D5D"/>
    <w:rsid w:val="006C3D70"/>
    <w:rsid w:val="006C3DA1"/>
    <w:rsid w:val="006C3DDD"/>
    <w:rsid w:val="006C3ED3"/>
    <w:rsid w:val="006C3ED5"/>
    <w:rsid w:val="006C3F3B"/>
    <w:rsid w:val="006C3F4D"/>
    <w:rsid w:val="006C3F52"/>
    <w:rsid w:val="006C3FB1"/>
    <w:rsid w:val="006C3FEC"/>
    <w:rsid w:val="006C409D"/>
    <w:rsid w:val="006C4122"/>
    <w:rsid w:val="006C41D8"/>
    <w:rsid w:val="006C4200"/>
    <w:rsid w:val="006C4234"/>
    <w:rsid w:val="006C4267"/>
    <w:rsid w:val="006C439D"/>
    <w:rsid w:val="006C4438"/>
    <w:rsid w:val="006C44EC"/>
    <w:rsid w:val="006C4520"/>
    <w:rsid w:val="006C45A2"/>
    <w:rsid w:val="006C45BB"/>
    <w:rsid w:val="006C468E"/>
    <w:rsid w:val="006C4779"/>
    <w:rsid w:val="006C47D5"/>
    <w:rsid w:val="006C483E"/>
    <w:rsid w:val="006C4872"/>
    <w:rsid w:val="006C48E7"/>
    <w:rsid w:val="006C4A39"/>
    <w:rsid w:val="006C4A96"/>
    <w:rsid w:val="006C4AB9"/>
    <w:rsid w:val="006C4BF2"/>
    <w:rsid w:val="006C4C4D"/>
    <w:rsid w:val="006C4C4F"/>
    <w:rsid w:val="006C4D14"/>
    <w:rsid w:val="006C4D59"/>
    <w:rsid w:val="006C4D62"/>
    <w:rsid w:val="006C4DAE"/>
    <w:rsid w:val="006C4DF2"/>
    <w:rsid w:val="006C4EBD"/>
    <w:rsid w:val="006C4F53"/>
    <w:rsid w:val="006C4F7E"/>
    <w:rsid w:val="006C5107"/>
    <w:rsid w:val="006C5136"/>
    <w:rsid w:val="006C526B"/>
    <w:rsid w:val="006C5284"/>
    <w:rsid w:val="006C5292"/>
    <w:rsid w:val="006C52DC"/>
    <w:rsid w:val="006C53A4"/>
    <w:rsid w:val="006C541A"/>
    <w:rsid w:val="006C542E"/>
    <w:rsid w:val="006C543A"/>
    <w:rsid w:val="006C54A1"/>
    <w:rsid w:val="006C54D8"/>
    <w:rsid w:val="006C55E3"/>
    <w:rsid w:val="006C561B"/>
    <w:rsid w:val="006C5675"/>
    <w:rsid w:val="006C56EC"/>
    <w:rsid w:val="006C56FE"/>
    <w:rsid w:val="006C5995"/>
    <w:rsid w:val="006C59D7"/>
    <w:rsid w:val="006C5A3D"/>
    <w:rsid w:val="006C5ADE"/>
    <w:rsid w:val="006C5B00"/>
    <w:rsid w:val="006C5B3C"/>
    <w:rsid w:val="006C5B69"/>
    <w:rsid w:val="006C5C1E"/>
    <w:rsid w:val="006C5D34"/>
    <w:rsid w:val="006C5DE9"/>
    <w:rsid w:val="006C60C3"/>
    <w:rsid w:val="006C60DA"/>
    <w:rsid w:val="006C611D"/>
    <w:rsid w:val="006C6129"/>
    <w:rsid w:val="006C6199"/>
    <w:rsid w:val="006C61B6"/>
    <w:rsid w:val="006C6290"/>
    <w:rsid w:val="006C62E8"/>
    <w:rsid w:val="006C63A1"/>
    <w:rsid w:val="006C63E2"/>
    <w:rsid w:val="006C65F8"/>
    <w:rsid w:val="006C66D3"/>
    <w:rsid w:val="006C6705"/>
    <w:rsid w:val="006C672A"/>
    <w:rsid w:val="006C6763"/>
    <w:rsid w:val="006C6796"/>
    <w:rsid w:val="006C681E"/>
    <w:rsid w:val="006C68EB"/>
    <w:rsid w:val="006C69BC"/>
    <w:rsid w:val="006C69D0"/>
    <w:rsid w:val="006C6ADD"/>
    <w:rsid w:val="006C6B5D"/>
    <w:rsid w:val="006C6B82"/>
    <w:rsid w:val="006C6C4B"/>
    <w:rsid w:val="006C6C8C"/>
    <w:rsid w:val="006C6CBE"/>
    <w:rsid w:val="006C6CCD"/>
    <w:rsid w:val="006C6D25"/>
    <w:rsid w:val="006C6D5F"/>
    <w:rsid w:val="006C6DD3"/>
    <w:rsid w:val="006C6E0D"/>
    <w:rsid w:val="006C6E51"/>
    <w:rsid w:val="006C6E9B"/>
    <w:rsid w:val="006C6F65"/>
    <w:rsid w:val="006C7051"/>
    <w:rsid w:val="006C714C"/>
    <w:rsid w:val="006C71BF"/>
    <w:rsid w:val="006C7223"/>
    <w:rsid w:val="006C72C0"/>
    <w:rsid w:val="006C72E5"/>
    <w:rsid w:val="006C73C3"/>
    <w:rsid w:val="006C7436"/>
    <w:rsid w:val="006C7450"/>
    <w:rsid w:val="006C7472"/>
    <w:rsid w:val="006C74B0"/>
    <w:rsid w:val="006C74DB"/>
    <w:rsid w:val="006C758F"/>
    <w:rsid w:val="006C76CD"/>
    <w:rsid w:val="006C773D"/>
    <w:rsid w:val="006C781F"/>
    <w:rsid w:val="006C7882"/>
    <w:rsid w:val="006C7892"/>
    <w:rsid w:val="006C7AA4"/>
    <w:rsid w:val="006C7B1F"/>
    <w:rsid w:val="006C7C43"/>
    <w:rsid w:val="006C7C6B"/>
    <w:rsid w:val="006C7CD8"/>
    <w:rsid w:val="006C7CEB"/>
    <w:rsid w:val="006C7DA3"/>
    <w:rsid w:val="006C7E96"/>
    <w:rsid w:val="006C7F01"/>
    <w:rsid w:val="006C7F63"/>
    <w:rsid w:val="006C7F92"/>
    <w:rsid w:val="006D003F"/>
    <w:rsid w:val="006D00CB"/>
    <w:rsid w:val="006D01B9"/>
    <w:rsid w:val="006D01F9"/>
    <w:rsid w:val="006D02E3"/>
    <w:rsid w:val="006D0306"/>
    <w:rsid w:val="006D035F"/>
    <w:rsid w:val="006D0377"/>
    <w:rsid w:val="006D03C4"/>
    <w:rsid w:val="006D03EA"/>
    <w:rsid w:val="006D0429"/>
    <w:rsid w:val="006D04AF"/>
    <w:rsid w:val="006D062A"/>
    <w:rsid w:val="006D0678"/>
    <w:rsid w:val="006D069E"/>
    <w:rsid w:val="006D07C4"/>
    <w:rsid w:val="006D07F5"/>
    <w:rsid w:val="006D0884"/>
    <w:rsid w:val="006D08EE"/>
    <w:rsid w:val="006D0912"/>
    <w:rsid w:val="006D098E"/>
    <w:rsid w:val="006D0A48"/>
    <w:rsid w:val="006D0A99"/>
    <w:rsid w:val="006D0B47"/>
    <w:rsid w:val="006D0C82"/>
    <w:rsid w:val="006D0C8A"/>
    <w:rsid w:val="006D0D49"/>
    <w:rsid w:val="006D0DD0"/>
    <w:rsid w:val="006D0EB5"/>
    <w:rsid w:val="006D0F17"/>
    <w:rsid w:val="006D1036"/>
    <w:rsid w:val="006D1130"/>
    <w:rsid w:val="006D1270"/>
    <w:rsid w:val="006D12EF"/>
    <w:rsid w:val="006D1380"/>
    <w:rsid w:val="006D140A"/>
    <w:rsid w:val="006D1450"/>
    <w:rsid w:val="006D1581"/>
    <w:rsid w:val="006D1621"/>
    <w:rsid w:val="006D1648"/>
    <w:rsid w:val="006D164E"/>
    <w:rsid w:val="006D1732"/>
    <w:rsid w:val="006D174E"/>
    <w:rsid w:val="006D17DD"/>
    <w:rsid w:val="006D19AB"/>
    <w:rsid w:val="006D1A25"/>
    <w:rsid w:val="006D1A6A"/>
    <w:rsid w:val="006D1A7E"/>
    <w:rsid w:val="006D1A8C"/>
    <w:rsid w:val="006D1BED"/>
    <w:rsid w:val="006D1BFC"/>
    <w:rsid w:val="006D1C6C"/>
    <w:rsid w:val="006D1D9A"/>
    <w:rsid w:val="006D1DF6"/>
    <w:rsid w:val="006D1E29"/>
    <w:rsid w:val="006D1ED9"/>
    <w:rsid w:val="006D1F89"/>
    <w:rsid w:val="006D204C"/>
    <w:rsid w:val="006D20B4"/>
    <w:rsid w:val="006D21C8"/>
    <w:rsid w:val="006D2235"/>
    <w:rsid w:val="006D246E"/>
    <w:rsid w:val="006D24B4"/>
    <w:rsid w:val="006D254A"/>
    <w:rsid w:val="006D26F8"/>
    <w:rsid w:val="006D2708"/>
    <w:rsid w:val="006D2809"/>
    <w:rsid w:val="006D281F"/>
    <w:rsid w:val="006D28AB"/>
    <w:rsid w:val="006D28BD"/>
    <w:rsid w:val="006D2974"/>
    <w:rsid w:val="006D2A03"/>
    <w:rsid w:val="006D2BA8"/>
    <w:rsid w:val="006D2BEC"/>
    <w:rsid w:val="006D2C77"/>
    <w:rsid w:val="006D2D3F"/>
    <w:rsid w:val="006D2EB8"/>
    <w:rsid w:val="006D2FAE"/>
    <w:rsid w:val="006D2FCE"/>
    <w:rsid w:val="006D2FD7"/>
    <w:rsid w:val="006D303C"/>
    <w:rsid w:val="006D30E3"/>
    <w:rsid w:val="006D3119"/>
    <w:rsid w:val="006D315D"/>
    <w:rsid w:val="006D3168"/>
    <w:rsid w:val="006D31C5"/>
    <w:rsid w:val="006D31EC"/>
    <w:rsid w:val="006D326D"/>
    <w:rsid w:val="006D3273"/>
    <w:rsid w:val="006D32B0"/>
    <w:rsid w:val="006D32DD"/>
    <w:rsid w:val="006D361F"/>
    <w:rsid w:val="006D362A"/>
    <w:rsid w:val="006D36E6"/>
    <w:rsid w:val="006D370D"/>
    <w:rsid w:val="006D3799"/>
    <w:rsid w:val="006D38FA"/>
    <w:rsid w:val="006D3988"/>
    <w:rsid w:val="006D39E0"/>
    <w:rsid w:val="006D3A9B"/>
    <w:rsid w:val="006D3ACB"/>
    <w:rsid w:val="006D3B0B"/>
    <w:rsid w:val="006D3B1D"/>
    <w:rsid w:val="006D3C0D"/>
    <w:rsid w:val="006D3C47"/>
    <w:rsid w:val="006D3C8D"/>
    <w:rsid w:val="006D3D47"/>
    <w:rsid w:val="006D3D4A"/>
    <w:rsid w:val="006D3F0F"/>
    <w:rsid w:val="006D3F1B"/>
    <w:rsid w:val="006D4057"/>
    <w:rsid w:val="006D4091"/>
    <w:rsid w:val="006D40BC"/>
    <w:rsid w:val="006D418B"/>
    <w:rsid w:val="006D4294"/>
    <w:rsid w:val="006D4332"/>
    <w:rsid w:val="006D437D"/>
    <w:rsid w:val="006D4447"/>
    <w:rsid w:val="006D449F"/>
    <w:rsid w:val="006D44E6"/>
    <w:rsid w:val="006D4619"/>
    <w:rsid w:val="006D4631"/>
    <w:rsid w:val="006D472F"/>
    <w:rsid w:val="006D47CA"/>
    <w:rsid w:val="006D4827"/>
    <w:rsid w:val="006D4830"/>
    <w:rsid w:val="006D48AC"/>
    <w:rsid w:val="006D48BB"/>
    <w:rsid w:val="006D48F5"/>
    <w:rsid w:val="006D4945"/>
    <w:rsid w:val="006D495D"/>
    <w:rsid w:val="006D4A8F"/>
    <w:rsid w:val="006D4B1A"/>
    <w:rsid w:val="006D4BBA"/>
    <w:rsid w:val="006D4BBE"/>
    <w:rsid w:val="006D4C05"/>
    <w:rsid w:val="006D4C49"/>
    <w:rsid w:val="006D4C67"/>
    <w:rsid w:val="006D4D37"/>
    <w:rsid w:val="006D4E06"/>
    <w:rsid w:val="006D4E59"/>
    <w:rsid w:val="006D4FD6"/>
    <w:rsid w:val="006D5191"/>
    <w:rsid w:val="006D52B4"/>
    <w:rsid w:val="006D52D3"/>
    <w:rsid w:val="006D5329"/>
    <w:rsid w:val="006D53DE"/>
    <w:rsid w:val="006D5477"/>
    <w:rsid w:val="006D54C4"/>
    <w:rsid w:val="006D554C"/>
    <w:rsid w:val="006D564C"/>
    <w:rsid w:val="006D5756"/>
    <w:rsid w:val="006D5761"/>
    <w:rsid w:val="006D57FA"/>
    <w:rsid w:val="006D58F3"/>
    <w:rsid w:val="006D598F"/>
    <w:rsid w:val="006D59AC"/>
    <w:rsid w:val="006D59B2"/>
    <w:rsid w:val="006D5A70"/>
    <w:rsid w:val="006D5B51"/>
    <w:rsid w:val="006D5C14"/>
    <w:rsid w:val="006D5C17"/>
    <w:rsid w:val="006D5CDD"/>
    <w:rsid w:val="006D5D0F"/>
    <w:rsid w:val="006D5D47"/>
    <w:rsid w:val="006D5DA7"/>
    <w:rsid w:val="006D5DAA"/>
    <w:rsid w:val="006D5F14"/>
    <w:rsid w:val="006D5F91"/>
    <w:rsid w:val="006D5FCE"/>
    <w:rsid w:val="006D6112"/>
    <w:rsid w:val="006D615C"/>
    <w:rsid w:val="006D6206"/>
    <w:rsid w:val="006D6241"/>
    <w:rsid w:val="006D625A"/>
    <w:rsid w:val="006D6296"/>
    <w:rsid w:val="006D63EF"/>
    <w:rsid w:val="006D64FD"/>
    <w:rsid w:val="006D652D"/>
    <w:rsid w:val="006D65A5"/>
    <w:rsid w:val="006D677E"/>
    <w:rsid w:val="006D682A"/>
    <w:rsid w:val="006D696F"/>
    <w:rsid w:val="006D6A0B"/>
    <w:rsid w:val="006D6A3F"/>
    <w:rsid w:val="006D6A8B"/>
    <w:rsid w:val="006D6ADF"/>
    <w:rsid w:val="006D6B21"/>
    <w:rsid w:val="006D6B6D"/>
    <w:rsid w:val="006D6CB9"/>
    <w:rsid w:val="006D6CE0"/>
    <w:rsid w:val="006D6CE1"/>
    <w:rsid w:val="006D6D46"/>
    <w:rsid w:val="006D700C"/>
    <w:rsid w:val="006D7052"/>
    <w:rsid w:val="006D705D"/>
    <w:rsid w:val="006D710F"/>
    <w:rsid w:val="006D7111"/>
    <w:rsid w:val="006D71BF"/>
    <w:rsid w:val="006D71F1"/>
    <w:rsid w:val="006D7273"/>
    <w:rsid w:val="006D72FA"/>
    <w:rsid w:val="006D7345"/>
    <w:rsid w:val="006D738B"/>
    <w:rsid w:val="006D743F"/>
    <w:rsid w:val="006D7478"/>
    <w:rsid w:val="006D74BD"/>
    <w:rsid w:val="006D74C4"/>
    <w:rsid w:val="006D754E"/>
    <w:rsid w:val="006D756C"/>
    <w:rsid w:val="006D76BE"/>
    <w:rsid w:val="006D7706"/>
    <w:rsid w:val="006D7791"/>
    <w:rsid w:val="006D77ED"/>
    <w:rsid w:val="006D77FE"/>
    <w:rsid w:val="006D782C"/>
    <w:rsid w:val="006D78AA"/>
    <w:rsid w:val="006D7921"/>
    <w:rsid w:val="006D792E"/>
    <w:rsid w:val="006D79FC"/>
    <w:rsid w:val="006D7B92"/>
    <w:rsid w:val="006D7BE2"/>
    <w:rsid w:val="006D7C8A"/>
    <w:rsid w:val="006D7D5A"/>
    <w:rsid w:val="006D7DF3"/>
    <w:rsid w:val="006D7E76"/>
    <w:rsid w:val="006D7EB2"/>
    <w:rsid w:val="006D7FB3"/>
    <w:rsid w:val="006E0089"/>
    <w:rsid w:val="006E00BA"/>
    <w:rsid w:val="006E0147"/>
    <w:rsid w:val="006E03B0"/>
    <w:rsid w:val="006E0463"/>
    <w:rsid w:val="006E0609"/>
    <w:rsid w:val="006E06B6"/>
    <w:rsid w:val="006E0840"/>
    <w:rsid w:val="006E0871"/>
    <w:rsid w:val="006E0B5B"/>
    <w:rsid w:val="006E0C76"/>
    <w:rsid w:val="006E0CAA"/>
    <w:rsid w:val="006E0D05"/>
    <w:rsid w:val="006E0D8F"/>
    <w:rsid w:val="006E0E11"/>
    <w:rsid w:val="006E0E78"/>
    <w:rsid w:val="006E0E8E"/>
    <w:rsid w:val="006E0F14"/>
    <w:rsid w:val="006E0F98"/>
    <w:rsid w:val="006E103C"/>
    <w:rsid w:val="006E10FC"/>
    <w:rsid w:val="006E12CE"/>
    <w:rsid w:val="006E12FF"/>
    <w:rsid w:val="006E130C"/>
    <w:rsid w:val="006E13B1"/>
    <w:rsid w:val="006E14BC"/>
    <w:rsid w:val="006E1589"/>
    <w:rsid w:val="006E168A"/>
    <w:rsid w:val="006E16CD"/>
    <w:rsid w:val="006E17AC"/>
    <w:rsid w:val="006E1860"/>
    <w:rsid w:val="006E18B0"/>
    <w:rsid w:val="006E18C8"/>
    <w:rsid w:val="006E18EE"/>
    <w:rsid w:val="006E191C"/>
    <w:rsid w:val="006E1921"/>
    <w:rsid w:val="006E1952"/>
    <w:rsid w:val="006E19B2"/>
    <w:rsid w:val="006E1A43"/>
    <w:rsid w:val="006E1A80"/>
    <w:rsid w:val="006E1AC1"/>
    <w:rsid w:val="006E1B37"/>
    <w:rsid w:val="006E1B5F"/>
    <w:rsid w:val="006E1D4F"/>
    <w:rsid w:val="006E1D5A"/>
    <w:rsid w:val="006E1E4C"/>
    <w:rsid w:val="006E1F29"/>
    <w:rsid w:val="006E2085"/>
    <w:rsid w:val="006E2109"/>
    <w:rsid w:val="006E2142"/>
    <w:rsid w:val="006E22AF"/>
    <w:rsid w:val="006E23EF"/>
    <w:rsid w:val="006E25FA"/>
    <w:rsid w:val="006E2695"/>
    <w:rsid w:val="006E271C"/>
    <w:rsid w:val="006E2991"/>
    <w:rsid w:val="006E29C8"/>
    <w:rsid w:val="006E2A1E"/>
    <w:rsid w:val="006E2A2D"/>
    <w:rsid w:val="006E2AE7"/>
    <w:rsid w:val="006E2B0D"/>
    <w:rsid w:val="006E2B4A"/>
    <w:rsid w:val="006E2B96"/>
    <w:rsid w:val="006E2C71"/>
    <w:rsid w:val="006E2D67"/>
    <w:rsid w:val="006E2D6A"/>
    <w:rsid w:val="006E2EDC"/>
    <w:rsid w:val="006E2F8B"/>
    <w:rsid w:val="006E2FD1"/>
    <w:rsid w:val="006E2FE8"/>
    <w:rsid w:val="006E310E"/>
    <w:rsid w:val="006E3113"/>
    <w:rsid w:val="006E3208"/>
    <w:rsid w:val="006E32E3"/>
    <w:rsid w:val="006E32F0"/>
    <w:rsid w:val="006E3300"/>
    <w:rsid w:val="006E3329"/>
    <w:rsid w:val="006E33D3"/>
    <w:rsid w:val="006E33FA"/>
    <w:rsid w:val="006E3445"/>
    <w:rsid w:val="006E34D3"/>
    <w:rsid w:val="006E3669"/>
    <w:rsid w:val="006E36DC"/>
    <w:rsid w:val="006E375E"/>
    <w:rsid w:val="006E38A0"/>
    <w:rsid w:val="006E38A1"/>
    <w:rsid w:val="006E38E5"/>
    <w:rsid w:val="006E3974"/>
    <w:rsid w:val="006E39AE"/>
    <w:rsid w:val="006E3A79"/>
    <w:rsid w:val="006E3A8D"/>
    <w:rsid w:val="006E3BBF"/>
    <w:rsid w:val="006E3C6B"/>
    <w:rsid w:val="006E3D48"/>
    <w:rsid w:val="006E3D98"/>
    <w:rsid w:val="006E3DA9"/>
    <w:rsid w:val="006E3DF3"/>
    <w:rsid w:val="006E3DFB"/>
    <w:rsid w:val="006E3E78"/>
    <w:rsid w:val="006E3F6B"/>
    <w:rsid w:val="006E3F73"/>
    <w:rsid w:val="006E4111"/>
    <w:rsid w:val="006E4116"/>
    <w:rsid w:val="006E412C"/>
    <w:rsid w:val="006E420C"/>
    <w:rsid w:val="006E4309"/>
    <w:rsid w:val="006E4349"/>
    <w:rsid w:val="006E43E3"/>
    <w:rsid w:val="006E4415"/>
    <w:rsid w:val="006E44A3"/>
    <w:rsid w:val="006E44DE"/>
    <w:rsid w:val="006E4676"/>
    <w:rsid w:val="006E4694"/>
    <w:rsid w:val="006E4700"/>
    <w:rsid w:val="006E4745"/>
    <w:rsid w:val="006E4770"/>
    <w:rsid w:val="006E478F"/>
    <w:rsid w:val="006E4837"/>
    <w:rsid w:val="006E48EF"/>
    <w:rsid w:val="006E492C"/>
    <w:rsid w:val="006E494E"/>
    <w:rsid w:val="006E49E0"/>
    <w:rsid w:val="006E4AD8"/>
    <w:rsid w:val="006E4B96"/>
    <w:rsid w:val="006E4CD1"/>
    <w:rsid w:val="006E4D0F"/>
    <w:rsid w:val="006E4E11"/>
    <w:rsid w:val="006E4E22"/>
    <w:rsid w:val="006E4EB0"/>
    <w:rsid w:val="006E4FB9"/>
    <w:rsid w:val="006E4FDB"/>
    <w:rsid w:val="006E4FE0"/>
    <w:rsid w:val="006E50C2"/>
    <w:rsid w:val="006E50F2"/>
    <w:rsid w:val="006E5263"/>
    <w:rsid w:val="006E527F"/>
    <w:rsid w:val="006E52DA"/>
    <w:rsid w:val="006E5377"/>
    <w:rsid w:val="006E539F"/>
    <w:rsid w:val="006E53A7"/>
    <w:rsid w:val="006E53CC"/>
    <w:rsid w:val="006E5408"/>
    <w:rsid w:val="006E5473"/>
    <w:rsid w:val="006E54A3"/>
    <w:rsid w:val="006E54D6"/>
    <w:rsid w:val="006E558D"/>
    <w:rsid w:val="006E55FD"/>
    <w:rsid w:val="006E56F6"/>
    <w:rsid w:val="006E5715"/>
    <w:rsid w:val="006E5827"/>
    <w:rsid w:val="006E5834"/>
    <w:rsid w:val="006E58ED"/>
    <w:rsid w:val="006E5A80"/>
    <w:rsid w:val="006E5AE3"/>
    <w:rsid w:val="006E5C4E"/>
    <w:rsid w:val="006E5D49"/>
    <w:rsid w:val="006E5E36"/>
    <w:rsid w:val="006E5F10"/>
    <w:rsid w:val="006E617B"/>
    <w:rsid w:val="006E6198"/>
    <w:rsid w:val="006E61FD"/>
    <w:rsid w:val="006E628D"/>
    <w:rsid w:val="006E62C0"/>
    <w:rsid w:val="006E6331"/>
    <w:rsid w:val="006E63F0"/>
    <w:rsid w:val="006E63F6"/>
    <w:rsid w:val="006E6413"/>
    <w:rsid w:val="006E641F"/>
    <w:rsid w:val="006E6498"/>
    <w:rsid w:val="006E65BA"/>
    <w:rsid w:val="006E661F"/>
    <w:rsid w:val="006E6652"/>
    <w:rsid w:val="006E690B"/>
    <w:rsid w:val="006E690F"/>
    <w:rsid w:val="006E6A13"/>
    <w:rsid w:val="006E6AB2"/>
    <w:rsid w:val="006E6B94"/>
    <w:rsid w:val="006E6C08"/>
    <w:rsid w:val="006E6C49"/>
    <w:rsid w:val="006E6C6B"/>
    <w:rsid w:val="006E6C6C"/>
    <w:rsid w:val="006E6CBC"/>
    <w:rsid w:val="006E6CDF"/>
    <w:rsid w:val="006E6E28"/>
    <w:rsid w:val="006E6E2C"/>
    <w:rsid w:val="006E6EB6"/>
    <w:rsid w:val="006E6F74"/>
    <w:rsid w:val="006E707F"/>
    <w:rsid w:val="006E717A"/>
    <w:rsid w:val="006E71C0"/>
    <w:rsid w:val="006E7248"/>
    <w:rsid w:val="006E7252"/>
    <w:rsid w:val="006E7268"/>
    <w:rsid w:val="006E72B3"/>
    <w:rsid w:val="006E739B"/>
    <w:rsid w:val="006E74D2"/>
    <w:rsid w:val="006E76A2"/>
    <w:rsid w:val="006E774A"/>
    <w:rsid w:val="006E7829"/>
    <w:rsid w:val="006E787E"/>
    <w:rsid w:val="006E78E1"/>
    <w:rsid w:val="006E7949"/>
    <w:rsid w:val="006E7950"/>
    <w:rsid w:val="006E7998"/>
    <w:rsid w:val="006E7B45"/>
    <w:rsid w:val="006E7B99"/>
    <w:rsid w:val="006E7C34"/>
    <w:rsid w:val="006E7EC1"/>
    <w:rsid w:val="006E7F01"/>
    <w:rsid w:val="006E7F0F"/>
    <w:rsid w:val="006E7F4B"/>
    <w:rsid w:val="006F0078"/>
    <w:rsid w:val="006F0331"/>
    <w:rsid w:val="006F0337"/>
    <w:rsid w:val="006F035F"/>
    <w:rsid w:val="006F038C"/>
    <w:rsid w:val="006F03E3"/>
    <w:rsid w:val="006F043F"/>
    <w:rsid w:val="006F0481"/>
    <w:rsid w:val="006F0502"/>
    <w:rsid w:val="006F0515"/>
    <w:rsid w:val="006F053B"/>
    <w:rsid w:val="006F053D"/>
    <w:rsid w:val="006F0552"/>
    <w:rsid w:val="006F0585"/>
    <w:rsid w:val="006F0653"/>
    <w:rsid w:val="006F0783"/>
    <w:rsid w:val="006F0890"/>
    <w:rsid w:val="006F09DC"/>
    <w:rsid w:val="006F09E1"/>
    <w:rsid w:val="006F0B4C"/>
    <w:rsid w:val="006F0C13"/>
    <w:rsid w:val="006F0C19"/>
    <w:rsid w:val="006F0C44"/>
    <w:rsid w:val="006F0C7C"/>
    <w:rsid w:val="006F0D70"/>
    <w:rsid w:val="006F0D7B"/>
    <w:rsid w:val="006F0DE7"/>
    <w:rsid w:val="006F0ED2"/>
    <w:rsid w:val="006F0EFB"/>
    <w:rsid w:val="006F0F2C"/>
    <w:rsid w:val="006F11C7"/>
    <w:rsid w:val="006F149B"/>
    <w:rsid w:val="006F1590"/>
    <w:rsid w:val="006F15A5"/>
    <w:rsid w:val="006F1621"/>
    <w:rsid w:val="006F169C"/>
    <w:rsid w:val="006F16A0"/>
    <w:rsid w:val="006F178C"/>
    <w:rsid w:val="006F17AF"/>
    <w:rsid w:val="006F182B"/>
    <w:rsid w:val="006F1838"/>
    <w:rsid w:val="006F190B"/>
    <w:rsid w:val="006F194A"/>
    <w:rsid w:val="006F19F1"/>
    <w:rsid w:val="006F1A54"/>
    <w:rsid w:val="006F1A73"/>
    <w:rsid w:val="006F1AF7"/>
    <w:rsid w:val="006F1B00"/>
    <w:rsid w:val="006F1B76"/>
    <w:rsid w:val="006F1BB7"/>
    <w:rsid w:val="006F1BFD"/>
    <w:rsid w:val="006F1C20"/>
    <w:rsid w:val="006F1C75"/>
    <w:rsid w:val="006F1CBC"/>
    <w:rsid w:val="006F1D5B"/>
    <w:rsid w:val="006F1EC2"/>
    <w:rsid w:val="006F1F40"/>
    <w:rsid w:val="006F2012"/>
    <w:rsid w:val="006F2051"/>
    <w:rsid w:val="006F21B6"/>
    <w:rsid w:val="006F2246"/>
    <w:rsid w:val="006F22A2"/>
    <w:rsid w:val="006F231A"/>
    <w:rsid w:val="006F2322"/>
    <w:rsid w:val="006F238C"/>
    <w:rsid w:val="006F2501"/>
    <w:rsid w:val="006F252A"/>
    <w:rsid w:val="006F2588"/>
    <w:rsid w:val="006F258A"/>
    <w:rsid w:val="006F259E"/>
    <w:rsid w:val="006F25CA"/>
    <w:rsid w:val="006F2622"/>
    <w:rsid w:val="006F26A8"/>
    <w:rsid w:val="006F2726"/>
    <w:rsid w:val="006F2801"/>
    <w:rsid w:val="006F28C2"/>
    <w:rsid w:val="006F29C7"/>
    <w:rsid w:val="006F29D2"/>
    <w:rsid w:val="006F2AB1"/>
    <w:rsid w:val="006F2AE1"/>
    <w:rsid w:val="006F2B71"/>
    <w:rsid w:val="006F2C81"/>
    <w:rsid w:val="006F2D4C"/>
    <w:rsid w:val="006F2D5E"/>
    <w:rsid w:val="006F2D64"/>
    <w:rsid w:val="006F2D87"/>
    <w:rsid w:val="006F2D93"/>
    <w:rsid w:val="006F2DF0"/>
    <w:rsid w:val="006F2E03"/>
    <w:rsid w:val="006F2F8F"/>
    <w:rsid w:val="006F3092"/>
    <w:rsid w:val="006F309F"/>
    <w:rsid w:val="006F31D0"/>
    <w:rsid w:val="006F324D"/>
    <w:rsid w:val="006F32D9"/>
    <w:rsid w:val="006F3404"/>
    <w:rsid w:val="006F3487"/>
    <w:rsid w:val="006F355C"/>
    <w:rsid w:val="006F36CB"/>
    <w:rsid w:val="006F374F"/>
    <w:rsid w:val="006F38E9"/>
    <w:rsid w:val="006F394C"/>
    <w:rsid w:val="006F399E"/>
    <w:rsid w:val="006F3B04"/>
    <w:rsid w:val="006F3B45"/>
    <w:rsid w:val="006F3BFC"/>
    <w:rsid w:val="006F3C0B"/>
    <w:rsid w:val="006F3C8E"/>
    <w:rsid w:val="006F3CB4"/>
    <w:rsid w:val="006F3CE6"/>
    <w:rsid w:val="006F3CE7"/>
    <w:rsid w:val="006F3D13"/>
    <w:rsid w:val="006F3D2C"/>
    <w:rsid w:val="006F3D2D"/>
    <w:rsid w:val="006F3D5D"/>
    <w:rsid w:val="006F3D86"/>
    <w:rsid w:val="006F3DD3"/>
    <w:rsid w:val="006F3E8C"/>
    <w:rsid w:val="006F3F9E"/>
    <w:rsid w:val="006F4021"/>
    <w:rsid w:val="006F4023"/>
    <w:rsid w:val="006F404C"/>
    <w:rsid w:val="006F40FD"/>
    <w:rsid w:val="006F4176"/>
    <w:rsid w:val="006F4194"/>
    <w:rsid w:val="006F419E"/>
    <w:rsid w:val="006F41C1"/>
    <w:rsid w:val="006F41D3"/>
    <w:rsid w:val="006F4375"/>
    <w:rsid w:val="006F43B1"/>
    <w:rsid w:val="006F43FF"/>
    <w:rsid w:val="006F44A3"/>
    <w:rsid w:val="006F4588"/>
    <w:rsid w:val="006F459B"/>
    <w:rsid w:val="006F4724"/>
    <w:rsid w:val="006F4762"/>
    <w:rsid w:val="006F478E"/>
    <w:rsid w:val="006F4836"/>
    <w:rsid w:val="006F48A9"/>
    <w:rsid w:val="006F4A73"/>
    <w:rsid w:val="006F4BD9"/>
    <w:rsid w:val="006F4C10"/>
    <w:rsid w:val="006F4E2D"/>
    <w:rsid w:val="006F4EA0"/>
    <w:rsid w:val="006F4F62"/>
    <w:rsid w:val="006F5089"/>
    <w:rsid w:val="006F5101"/>
    <w:rsid w:val="006F51B3"/>
    <w:rsid w:val="006F5227"/>
    <w:rsid w:val="006F5240"/>
    <w:rsid w:val="006F52B5"/>
    <w:rsid w:val="006F531E"/>
    <w:rsid w:val="006F5387"/>
    <w:rsid w:val="006F557F"/>
    <w:rsid w:val="006F55EC"/>
    <w:rsid w:val="006F5617"/>
    <w:rsid w:val="006F56B7"/>
    <w:rsid w:val="006F56D5"/>
    <w:rsid w:val="006F5789"/>
    <w:rsid w:val="006F583B"/>
    <w:rsid w:val="006F587B"/>
    <w:rsid w:val="006F5A6F"/>
    <w:rsid w:val="006F5AEE"/>
    <w:rsid w:val="006F5BF4"/>
    <w:rsid w:val="006F5C82"/>
    <w:rsid w:val="006F5CDF"/>
    <w:rsid w:val="006F5D38"/>
    <w:rsid w:val="006F5D92"/>
    <w:rsid w:val="006F5DDB"/>
    <w:rsid w:val="006F5E16"/>
    <w:rsid w:val="006F5F05"/>
    <w:rsid w:val="006F5F20"/>
    <w:rsid w:val="006F5F73"/>
    <w:rsid w:val="006F5FAD"/>
    <w:rsid w:val="006F5FBA"/>
    <w:rsid w:val="006F5FD5"/>
    <w:rsid w:val="006F60B4"/>
    <w:rsid w:val="006F6131"/>
    <w:rsid w:val="006F61CA"/>
    <w:rsid w:val="006F6229"/>
    <w:rsid w:val="006F6278"/>
    <w:rsid w:val="006F6288"/>
    <w:rsid w:val="006F6289"/>
    <w:rsid w:val="006F62DF"/>
    <w:rsid w:val="006F640F"/>
    <w:rsid w:val="006F647B"/>
    <w:rsid w:val="006F64E7"/>
    <w:rsid w:val="006F64EF"/>
    <w:rsid w:val="006F6648"/>
    <w:rsid w:val="006F6671"/>
    <w:rsid w:val="006F66A8"/>
    <w:rsid w:val="006F671D"/>
    <w:rsid w:val="006F6791"/>
    <w:rsid w:val="006F6956"/>
    <w:rsid w:val="006F698D"/>
    <w:rsid w:val="006F69E7"/>
    <w:rsid w:val="006F6A0B"/>
    <w:rsid w:val="006F6A55"/>
    <w:rsid w:val="006F6B5C"/>
    <w:rsid w:val="006F6CC4"/>
    <w:rsid w:val="006F6D4E"/>
    <w:rsid w:val="006F6E0F"/>
    <w:rsid w:val="006F6E15"/>
    <w:rsid w:val="006F6E47"/>
    <w:rsid w:val="006F6E8F"/>
    <w:rsid w:val="006F6FED"/>
    <w:rsid w:val="006F6FF5"/>
    <w:rsid w:val="006F7067"/>
    <w:rsid w:val="006F709A"/>
    <w:rsid w:val="006F7147"/>
    <w:rsid w:val="006F7178"/>
    <w:rsid w:val="006F7394"/>
    <w:rsid w:val="006F74BA"/>
    <w:rsid w:val="006F75C1"/>
    <w:rsid w:val="006F75D0"/>
    <w:rsid w:val="006F7608"/>
    <w:rsid w:val="006F7647"/>
    <w:rsid w:val="006F76C6"/>
    <w:rsid w:val="006F77FE"/>
    <w:rsid w:val="006F79A2"/>
    <w:rsid w:val="006F7A4A"/>
    <w:rsid w:val="006F7A7F"/>
    <w:rsid w:val="006F7AA5"/>
    <w:rsid w:val="006F7B1C"/>
    <w:rsid w:val="006F7B57"/>
    <w:rsid w:val="006F7C26"/>
    <w:rsid w:val="006F7C75"/>
    <w:rsid w:val="006F7C77"/>
    <w:rsid w:val="006F7CE3"/>
    <w:rsid w:val="006F7DE6"/>
    <w:rsid w:val="006F7E24"/>
    <w:rsid w:val="006F7E44"/>
    <w:rsid w:val="006F7F53"/>
    <w:rsid w:val="00700095"/>
    <w:rsid w:val="00700162"/>
    <w:rsid w:val="00700275"/>
    <w:rsid w:val="00700284"/>
    <w:rsid w:val="007002D5"/>
    <w:rsid w:val="00700479"/>
    <w:rsid w:val="007004C4"/>
    <w:rsid w:val="00700540"/>
    <w:rsid w:val="0070058D"/>
    <w:rsid w:val="00700593"/>
    <w:rsid w:val="007005C4"/>
    <w:rsid w:val="00700792"/>
    <w:rsid w:val="007007D2"/>
    <w:rsid w:val="0070087F"/>
    <w:rsid w:val="007008E0"/>
    <w:rsid w:val="00700921"/>
    <w:rsid w:val="007009EF"/>
    <w:rsid w:val="00700B13"/>
    <w:rsid w:val="00700B1E"/>
    <w:rsid w:val="00700BDF"/>
    <w:rsid w:val="00700C8B"/>
    <w:rsid w:val="00700ED0"/>
    <w:rsid w:val="00700EF6"/>
    <w:rsid w:val="00700FCD"/>
    <w:rsid w:val="00701013"/>
    <w:rsid w:val="00701158"/>
    <w:rsid w:val="00701201"/>
    <w:rsid w:val="00701209"/>
    <w:rsid w:val="007012D8"/>
    <w:rsid w:val="00701359"/>
    <w:rsid w:val="00701471"/>
    <w:rsid w:val="007015A1"/>
    <w:rsid w:val="007015FE"/>
    <w:rsid w:val="00701615"/>
    <w:rsid w:val="0070166A"/>
    <w:rsid w:val="007016A7"/>
    <w:rsid w:val="00701700"/>
    <w:rsid w:val="007017CC"/>
    <w:rsid w:val="0070189E"/>
    <w:rsid w:val="007018A6"/>
    <w:rsid w:val="007018B8"/>
    <w:rsid w:val="007018F7"/>
    <w:rsid w:val="0070198D"/>
    <w:rsid w:val="007019B4"/>
    <w:rsid w:val="007019D6"/>
    <w:rsid w:val="00701A71"/>
    <w:rsid w:val="00701ACA"/>
    <w:rsid w:val="00701C0A"/>
    <w:rsid w:val="00701C40"/>
    <w:rsid w:val="00701C7C"/>
    <w:rsid w:val="00701EE1"/>
    <w:rsid w:val="00701F8D"/>
    <w:rsid w:val="0070208E"/>
    <w:rsid w:val="007020E9"/>
    <w:rsid w:val="00702128"/>
    <w:rsid w:val="00702151"/>
    <w:rsid w:val="00702320"/>
    <w:rsid w:val="00702640"/>
    <w:rsid w:val="00702657"/>
    <w:rsid w:val="00702661"/>
    <w:rsid w:val="007026CE"/>
    <w:rsid w:val="00702702"/>
    <w:rsid w:val="007027BC"/>
    <w:rsid w:val="007027C5"/>
    <w:rsid w:val="0070280A"/>
    <w:rsid w:val="00702841"/>
    <w:rsid w:val="00702899"/>
    <w:rsid w:val="00702A08"/>
    <w:rsid w:val="00702B2A"/>
    <w:rsid w:val="00702B47"/>
    <w:rsid w:val="00702B99"/>
    <w:rsid w:val="00702BD5"/>
    <w:rsid w:val="00702BDB"/>
    <w:rsid w:val="00702C39"/>
    <w:rsid w:val="00702CA7"/>
    <w:rsid w:val="00702CD1"/>
    <w:rsid w:val="00702D6E"/>
    <w:rsid w:val="00702DCF"/>
    <w:rsid w:val="00702DF2"/>
    <w:rsid w:val="00702E00"/>
    <w:rsid w:val="00702EDA"/>
    <w:rsid w:val="00702EE3"/>
    <w:rsid w:val="00702F0A"/>
    <w:rsid w:val="00702F4E"/>
    <w:rsid w:val="00702FF6"/>
    <w:rsid w:val="00703066"/>
    <w:rsid w:val="007030AD"/>
    <w:rsid w:val="00703113"/>
    <w:rsid w:val="0070314C"/>
    <w:rsid w:val="0070323E"/>
    <w:rsid w:val="00703274"/>
    <w:rsid w:val="007032C9"/>
    <w:rsid w:val="007033C1"/>
    <w:rsid w:val="0070341A"/>
    <w:rsid w:val="00703476"/>
    <w:rsid w:val="007034E9"/>
    <w:rsid w:val="0070359A"/>
    <w:rsid w:val="007035D0"/>
    <w:rsid w:val="007035F5"/>
    <w:rsid w:val="00703688"/>
    <w:rsid w:val="007036D2"/>
    <w:rsid w:val="007036DB"/>
    <w:rsid w:val="0070370E"/>
    <w:rsid w:val="00703744"/>
    <w:rsid w:val="00703754"/>
    <w:rsid w:val="0070375B"/>
    <w:rsid w:val="0070378B"/>
    <w:rsid w:val="007038FB"/>
    <w:rsid w:val="0070394A"/>
    <w:rsid w:val="00703959"/>
    <w:rsid w:val="007039A2"/>
    <w:rsid w:val="007039AD"/>
    <w:rsid w:val="007039B6"/>
    <w:rsid w:val="00703A90"/>
    <w:rsid w:val="00703ABA"/>
    <w:rsid w:val="00703AFC"/>
    <w:rsid w:val="00703B5A"/>
    <w:rsid w:val="00703B7A"/>
    <w:rsid w:val="00703B8B"/>
    <w:rsid w:val="00703B9F"/>
    <w:rsid w:val="00703BAF"/>
    <w:rsid w:val="00703BB6"/>
    <w:rsid w:val="00703C8F"/>
    <w:rsid w:val="00703CC8"/>
    <w:rsid w:val="00703D11"/>
    <w:rsid w:val="00703DE9"/>
    <w:rsid w:val="00703E7B"/>
    <w:rsid w:val="00703E84"/>
    <w:rsid w:val="00703F60"/>
    <w:rsid w:val="0070400D"/>
    <w:rsid w:val="00704086"/>
    <w:rsid w:val="0070427D"/>
    <w:rsid w:val="00704402"/>
    <w:rsid w:val="00704477"/>
    <w:rsid w:val="007044C5"/>
    <w:rsid w:val="00704511"/>
    <w:rsid w:val="0070452A"/>
    <w:rsid w:val="00704619"/>
    <w:rsid w:val="0070468F"/>
    <w:rsid w:val="007047DA"/>
    <w:rsid w:val="00704845"/>
    <w:rsid w:val="00704898"/>
    <w:rsid w:val="007048B3"/>
    <w:rsid w:val="00704913"/>
    <w:rsid w:val="0070494A"/>
    <w:rsid w:val="0070494B"/>
    <w:rsid w:val="0070494F"/>
    <w:rsid w:val="00704A7B"/>
    <w:rsid w:val="00704AF2"/>
    <w:rsid w:val="00704C0E"/>
    <w:rsid w:val="00704C10"/>
    <w:rsid w:val="00704C83"/>
    <w:rsid w:val="00704D59"/>
    <w:rsid w:val="00704D60"/>
    <w:rsid w:val="00704DAB"/>
    <w:rsid w:val="00704DD3"/>
    <w:rsid w:val="00704E67"/>
    <w:rsid w:val="00704EB7"/>
    <w:rsid w:val="00704ED4"/>
    <w:rsid w:val="00704ED5"/>
    <w:rsid w:val="0070511D"/>
    <w:rsid w:val="0070518D"/>
    <w:rsid w:val="00705248"/>
    <w:rsid w:val="007052A0"/>
    <w:rsid w:val="007052EB"/>
    <w:rsid w:val="00705322"/>
    <w:rsid w:val="00705390"/>
    <w:rsid w:val="007053FF"/>
    <w:rsid w:val="00705469"/>
    <w:rsid w:val="007054C1"/>
    <w:rsid w:val="0070561D"/>
    <w:rsid w:val="00705684"/>
    <w:rsid w:val="00705727"/>
    <w:rsid w:val="007057B2"/>
    <w:rsid w:val="007057D4"/>
    <w:rsid w:val="007058D8"/>
    <w:rsid w:val="0070596D"/>
    <w:rsid w:val="00705A33"/>
    <w:rsid w:val="00705A8D"/>
    <w:rsid w:val="00705C2F"/>
    <w:rsid w:val="00705C78"/>
    <w:rsid w:val="00705C8B"/>
    <w:rsid w:val="00705D38"/>
    <w:rsid w:val="00705E74"/>
    <w:rsid w:val="0070601D"/>
    <w:rsid w:val="0070605D"/>
    <w:rsid w:val="0070606A"/>
    <w:rsid w:val="00706072"/>
    <w:rsid w:val="0070608C"/>
    <w:rsid w:val="007061AB"/>
    <w:rsid w:val="00706211"/>
    <w:rsid w:val="0070623F"/>
    <w:rsid w:val="00706404"/>
    <w:rsid w:val="0070641A"/>
    <w:rsid w:val="007064BF"/>
    <w:rsid w:val="0070655B"/>
    <w:rsid w:val="0070667D"/>
    <w:rsid w:val="007066AE"/>
    <w:rsid w:val="007066E6"/>
    <w:rsid w:val="00706794"/>
    <w:rsid w:val="00706820"/>
    <w:rsid w:val="00706899"/>
    <w:rsid w:val="007068DF"/>
    <w:rsid w:val="00706908"/>
    <w:rsid w:val="00706968"/>
    <w:rsid w:val="00706A15"/>
    <w:rsid w:val="00706A33"/>
    <w:rsid w:val="00706A51"/>
    <w:rsid w:val="00706B3D"/>
    <w:rsid w:val="00706B80"/>
    <w:rsid w:val="00706BE9"/>
    <w:rsid w:val="00706C22"/>
    <w:rsid w:val="00706C72"/>
    <w:rsid w:val="00706D2C"/>
    <w:rsid w:val="00706D9A"/>
    <w:rsid w:val="00706EE4"/>
    <w:rsid w:val="00707027"/>
    <w:rsid w:val="00707200"/>
    <w:rsid w:val="00707240"/>
    <w:rsid w:val="00707271"/>
    <w:rsid w:val="0070727B"/>
    <w:rsid w:val="0070733B"/>
    <w:rsid w:val="00707353"/>
    <w:rsid w:val="00707366"/>
    <w:rsid w:val="00707395"/>
    <w:rsid w:val="00707556"/>
    <w:rsid w:val="00707651"/>
    <w:rsid w:val="007076A9"/>
    <w:rsid w:val="007076D0"/>
    <w:rsid w:val="00707728"/>
    <w:rsid w:val="007077A0"/>
    <w:rsid w:val="007078B5"/>
    <w:rsid w:val="007079A0"/>
    <w:rsid w:val="00707AF9"/>
    <w:rsid w:val="00707B92"/>
    <w:rsid w:val="00707B95"/>
    <w:rsid w:val="00707BF9"/>
    <w:rsid w:val="00707C96"/>
    <w:rsid w:val="00707CEF"/>
    <w:rsid w:val="00707D37"/>
    <w:rsid w:val="00707D67"/>
    <w:rsid w:val="00707D8E"/>
    <w:rsid w:val="00707F31"/>
    <w:rsid w:val="00710044"/>
    <w:rsid w:val="0071010B"/>
    <w:rsid w:val="00710146"/>
    <w:rsid w:val="007102A9"/>
    <w:rsid w:val="007103A1"/>
    <w:rsid w:val="00710427"/>
    <w:rsid w:val="0071045E"/>
    <w:rsid w:val="00710569"/>
    <w:rsid w:val="007105D2"/>
    <w:rsid w:val="0071064C"/>
    <w:rsid w:val="00710783"/>
    <w:rsid w:val="0071079D"/>
    <w:rsid w:val="007109AA"/>
    <w:rsid w:val="00710BE4"/>
    <w:rsid w:val="00710C20"/>
    <w:rsid w:val="00710D4D"/>
    <w:rsid w:val="00710DB2"/>
    <w:rsid w:val="00710E22"/>
    <w:rsid w:val="00711024"/>
    <w:rsid w:val="0071103C"/>
    <w:rsid w:val="0071114C"/>
    <w:rsid w:val="00711172"/>
    <w:rsid w:val="007112C8"/>
    <w:rsid w:val="0071132A"/>
    <w:rsid w:val="0071148F"/>
    <w:rsid w:val="007114B2"/>
    <w:rsid w:val="007114F2"/>
    <w:rsid w:val="0071154F"/>
    <w:rsid w:val="0071159D"/>
    <w:rsid w:val="007116BE"/>
    <w:rsid w:val="0071185C"/>
    <w:rsid w:val="0071187E"/>
    <w:rsid w:val="00711892"/>
    <w:rsid w:val="0071189F"/>
    <w:rsid w:val="007119CF"/>
    <w:rsid w:val="00711A17"/>
    <w:rsid w:val="00711A1A"/>
    <w:rsid w:val="00711A78"/>
    <w:rsid w:val="00711AFE"/>
    <w:rsid w:val="00711C08"/>
    <w:rsid w:val="00711C78"/>
    <w:rsid w:val="00711C89"/>
    <w:rsid w:val="00711CDA"/>
    <w:rsid w:val="00711CEC"/>
    <w:rsid w:val="00711D07"/>
    <w:rsid w:val="00711E09"/>
    <w:rsid w:val="00711EF9"/>
    <w:rsid w:val="0071204F"/>
    <w:rsid w:val="0071211F"/>
    <w:rsid w:val="0071219E"/>
    <w:rsid w:val="00712292"/>
    <w:rsid w:val="00712389"/>
    <w:rsid w:val="007123C3"/>
    <w:rsid w:val="0071241E"/>
    <w:rsid w:val="0071265D"/>
    <w:rsid w:val="00712718"/>
    <w:rsid w:val="007128A8"/>
    <w:rsid w:val="007128D9"/>
    <w:rsid w:val="0071296B"/>
    <w:rsid w:val="007129DC"/>
    <w:rsid w:val="00712AC4"/>
    <w:rsid w:val="00712AF4"/>
    <w:rsid w:val="00712C90"/>
    <w:rsid w:val="00712DBE"/>
    <w:rsid w:val="00712EC5"/>
    <w:rsid w:val="00712EDB"/>
    <w:rsid w:val="00712F5F"/>
    <w:rsid w:val="00712F8C"/>
    <w:rsid w:val="00712FB5"/>
    <w:rsid w:val="00712FE1"/>
    <w:rsid w:val="007130BE"/>
    <w:rsid w:val="007131C5"/>
    <w:rsid w:val="00713251"/>
    <w:rsid w:val="007132B4"/>
    <w:rsid w:val="0071344C"/>
    <w:rsid w:val="00713535"/>
    <w:rsid w:val="00713543"/>
    <w:rsid w:val="00713567"/>
    <w:rsid w:val="007135FF"/>
    <w:rsid w:val="007137A2"/>
    <w:rsid w:val="007137B5"/>
    <w:rsid w:val="0071382E"/>
    <w:rsid w:val="007138D6"/>
    <w:rsid w:val="00713920"/>
    <w:rsid w:val="00713B33"/>
    <w:rsid w:val="00713B52"/>
    <w:rsid w:val="00713BCD"/>
    <w:rsid w:val="00713BF5"/>
    <w:rsid w:val="00713C24"/>
    <w:rsid w:val="00713CC5"/>
    <w:rsid w:val="00713D0A"/>
    <w:rsid w:val="00713D9D"/>
    <w:rsid w:val="00713DE4"/>
    <w:rsid w:val="00713DE5"/>
    <w:rsid w:val="00713EA3"/>
    <w:rsid w:val="00713F8D"/>
    <w:rsid w:val="00713FDB"/>
    <w:rsid w:val="0071406B"/>
    <w:rsid w:val="00714073"/>
    <w:rsid w:val="0071416E"/>
    <w:rsid w:val="00714188"/>
    <w:rsid w:val="007141C1"/>
    <w:rsid w:val="007141D0"/>
    <w:rsid w:val="007141D3"/>
    <w:rsid w:val="007142ED"/>
    <w:rsid w:val="0071439A"/>
    <w:rsid w:val="00714438"/>
    <w:rsid w:val="0071445C"/>
    <w:rsid w:val="0071451D"/>
    <w:rsid w:val="007145F2"/>
    <w:rsid w:val="007146B6"/>
    <w:rsid w:val="007146D2"/>
    <w:rsid w:val="00714740"/>
    <w:rsid w:val="0071474B"/>
    <w:rsid w:val="00714841"/>
    <w:rsid w:val="0071491A"/>
    <w:rsid w:val="007149B3"/>
    <w:rsid w:val="007149B5"/>
    <w:rsid w:val="00714A38"/>
    <w:rsid w:val="00714A64"/>
    <w:rsid w:val="00714BA4"/>
    <w:rsid w:val="00714C7A"/>
    <w:rsid w:val="00714C89"/>
    <w:rsid w:val="00714E91"/>
    <w:rsid w:val="00714ED3"/>
    <w:rsid w:val="00714F7E"/>
    <w:rsid w:val="00714F7F"/>
    <w:rsid w:val="00714FA2"/>
    <w:rsid w:val="00714FC5"/>
    <w:rsid w:val="00714FF5"/>
    <w:rsid w:val="00715040"/>
    <w:rsid w:val="0071504B"/>
    <w:rsid w:val="007150CF"/>
    <w:rsid w:val="00715135"/>
    <w:rsid w:val="007154B5"/>
    <w:rsid w:val="0071550E"/>
    <w:rsid w:val="00715549"/>
    <w:rsid w:val="0071555A"/>
    <w:rsid w:val="007155E3"/>
    <w:rsid w:val="0071565D"/>
    <w:rsid w:val="007156C1"/>
    <w:rsid w:val="00715834"/>
    <w:rsid w:val="00715AB8"/>
    <w:rsid w:val="00715C52"/>
    <w:rsid w:val="00715EF4"/>
    <w:rsid w:val="00715FC6"/>
    <w:rsid w:val="0071604D"/>
    <w:rsid w:val="0071604F"/>
    <w:rsid w:val="00716088"/>
    <w:rsid w:val="007160CD"/>
    <w:rsid w:val="007161D9"/>
    <w:rsid w:val="00716231"/>
    <w:rsid w:val="00716251"/>
    <w:rsid w:val="0071627A"/>
    <w:rsid w:val="00716389"/>
    <w:rsid w:val="007163CF"/>
    <w:rsid w:val="00716425"/>
    <w:rsid w:val="0071647B"/>
    <w:rsid w:val="00716506"/>
    <w:rsid w:val="00716587"/>
    <w:rsid w:val="0071665A"/>
    <w:rsid w:val="007167A5"/>
    <w:rsid w:val="007167C2"/>
    <w:rsid w:val="007168A4"/>
    <w:rsid w:val="00716935"/>
    <w:rsid w:val="00716967"/>
    <w:rsid w:val="00716999"/>
    <w:rsid w:val="007169BF"/>
    <w:rsid w:val="00716A82"/>
    <w:rsid w:val="00716AD8"/>
    <w:rsid w:val="00716AE2"/>
    <w:rsid w:val="00716B66"/>
    <w:rsid w:val="00716BAA"/>
    <w:rsid w:val="00716C7F"/>
    <w:rsid w:val="00716C89"/>
    <w:rsid w:val="00716D0A"/>
    <w:rsid w:val="00716D7D"/>
    <w:rsid w:val="00716FF2"/>
    <w:rsid w:val="00717034"/>
    <w:rsid w:val="007170C5"/>
    <w:rsid w:val="0071713C"/>
    <w:rsid w:val="007172C8"/>
    <w:rsid w:val="007172DB"/>
    <w:rsid w:val="00717448"/>
    <w:rsid w:val="007174F8"/>
    <w:rsid w:val="00717551"/>
    <w:rsid w:val="007176A3"/>
    <w:rsid w:val="007176B6"/>
    <w:rsid w:val="007177F5"/>
    <w:rsid w:val="0071784A"/>
    <w:rsid w:val="007178A6"/>
    <w:rsid w:val="00717952"/>
    <w:rsid w:val="007179AF"/>
    <w:rsid w:val="00717AF8"/>
    <w:rsid w:val="00717B43"/>
    <w:rsid w:val="00717B48"/>
    <w:rsid w:val="00717B99"/>
    <w:rsid w:val="00717BF1"/>
    <w:rsid w:val="00717C7B"/>
    <w:rsid w:val="00717D46"/>
    <w:rsid w:val="00717D5B"/>
    <w:rsid w:val="00717DA6"/>
    <w:rsid w:val="00717DB7"/>
    <w:rsid w:val="00717DC8"/>
    <w:rsid w:val="00717F41"/>
    <w:rsid w:val="00720078"/>
    <w:rsid w:val="0072007B"/>
    <w:rsid w:val="00720161"/>
    <w:rsid w:val="00720183"/>
    <w:rsid w:val="007202A2"/>
    <w:rsid w:val="007202D7"/>
    <w:rsid w:val="0072039D"/>
    <w:rsid w:val="007203A5"/>
    <w:rsid w:val="00720489"/>
    <w:rsid w:val="00720506"/>
    <w:rsid w:val="00720768"/>
    <w:rsid w:val="0072083B"/>
    <w:rsid w:val="00720910"/>
    <w:rsid w:val="007209B5"/>
    <w:rsid w:val="007209F5"/>
    <w:rsid w:val="00720A58"/>
    <w:rsid w:val="00720A75"/>
    <w:rsid w:val="00720A92"/>
    <w:rsid w:val="00720B09"/>
    <w:rsid w:val="00720BD3"/>
    <w:rsid w:val="00720C71"/>
    <w:rsid w:val="00720CF5"/>
    <w:rsid w:val="00720D4F"/>
    <w:rsid w:val="00720DB6"/>
    <w:rsid w:val="00720DCF"/>
    <w:rsid w:val="00720DF7"/>
    <w:rsid w:val="00720ED9"/>
    <w:rsid w:val="00720EE0"/>
    <w:rsid w:val="007210CE"/>
    <w:rsid w:val="00721138"/>
    <w:rsid w:val="00721164"/>
    <w:rsid w:val="0072117A"/>
    <w:rsid w:val="00721200"/>
    <w:rsid w:val="00721289"/>
    <w:rsid w:val="007212B0"/>
    <w:rsid w:val="007212E2"/>
    <w:rsid w:val="007213FB"/>
    <w:rsid w:val="00721440"/>
    <w:rsid w:val="007214DE"/>
    <w:rsid w:val="00721515"/>
    <w:rsid w:val="00721577"/>
    <w:rsid w:val="007215D8"/>
    <w:rsid w:val="00721739"/>
    <w:rsid w:val="0072185C"/>
    <w:rsid w:val="007218A1"/>
    <w:rsid w:val="00721946"/>
    <w:rsid w:val="00721978"/>
    <w:rsid w:val="007219A5"/>
    <w:rsid w:val="007219F9"/>
    <w:rsid w:val="00721BF3"/>
    <w:rsid w:val="00721CA3"/>
    <w:rsid w:val="00721CEF"/>
    <w:rsid w:val="00721D51"/>
    <w:rsid w:val="00721E7D"/>
    <w:rsid w:val="00721ED2"/>
    <w:rsid w:val="00721FBD"/>
    <w:rsid w:val="007220D7"/>
    <w:rsid w:val="00722115"/>
    <w:rsid w:val="00722143"/>
    <w:rsid w:val="00722291"/>
    <w:rsid w:val="0072230A"/>
    <w:rsid w:val="0072237E"/>
    <w:rsid w:val="007223B6"/>
    <w:rsid w:val="007223F3"/>
    <w:rsid w:val="0072246B"/>
    <w:rsid w:val="0072246F"/>
    <w:rsid w:val="0072266B"/>
    <w:rsid w:val="007227A8"/>
    <w:rsid w:val="0072286C"/>
    <w:rsid w:val="007228CB"/>
    <w:rsid w:val="00722942"/>
    <w:rsid w:val="0072296E"/>
    <w:rsid w:val="007229DD"/>
    <w:rsid w:val="00722A7E"/>
    <w:rsid w:val="00722B01"/>
    <w:rsid w:val="00722B4B"/>
    <w:rsid w:val="00722BAB"/>
    <w:rsid w:val="00722CD4"/>
    <w:rsid w:val="00722DA1"/>
    <w:rsid w:val="00722F15"/>
    <w:rsid w:val="00722FFD"/>
    <w:rsid w:val="00723038"/>
    <w:rsid w:val="00723320"/>
    <w:rsid w:val="0072333F"/>
    <w:rsid w:val="00723409"/>
    <w:rsid w:val="00723429"/>
    <w:rsid w:val="00723567"/>
    <w:rsid w:val="00723575"/>
    <w:rsid w:val="007235BF"/>
    <w:rsid w:val="007236BB"/>
    <w:rsid w:val="007236DF"/>
    <w:rsid w:val="0072372A"/>
    <w:rsid w:val="007237F2"/>
    <w:rsid w:val="00723845"/>
    <w:rsid w:val="00723852"/>
    <w:rsid w:val="0072386F"/>
    <w:rsid w:val="00723912"/>
    <w:rsid w:val="0072393E"/>
    <w:rsid w:val="00723AA2"/>
    <w:rsid w:val="00723C8C"/>
    <w:rsid w:val="00723D1F"/>
    <w:rsid w:val="00724022"/>
    <w:rsid w:val="0072405E"/>
    <w:rsid w:val="00724089"/>
    <w:rsid w:val="0072415D"/>
    <w:rsid w:val="00724247"/>
    <w:rsid w:val="0072430B"/>
    <w:rsid w:val="00724318"/>
    <w:rsid w:val="0072431D"/>
    <w:rsid w:val="007243F1"/>
    <w:rsid w:val="007245F7"/>
    <w:rsid w:val="00724663"/>
    <w:rsid w:val="00724671"/>
    <w:rsid w:val="007246EC"/>
    <w:rsid w:val="00724773"/>
    <w:rsid w:val="0072482B"/>
    <w:rsid w:val="007248B1"/>
    <w:rsid w:val="007248BF"/>
    <w:rsid w:val="00724933"/>
    <w:rsid w:val="0072497C"/>
    <w:rsid w:val="007249A6"/>
    <w:rsid w:val="007249D3"/>
    <w:rsid w:val="00724A97"/>
    <w:rsid w:val="00724B28"/>
    <w:rsid w:val="00724BEC"/>
    <w:rsid w:val="00724C0C"/>
    <w:rsid w:val="00724C10"/>
    <w:rsid w:val="00724C19"/>
    <w:rsid w:val="00724D6D"/>
    <w:rsid w:val="00724D83"/>
    <w:rsid w:val="00724DB9"/>
    <w:rsid w:val="00724DC8"/>
    <w:rsid w:val="00724DE8"/>
    <w:rsid w:val="00724EC1"/>
    <w:rsid w:val="00724EE8"/>
    <w:rsid w:val="00724FEE"/>
    <w:rsid w:val="00725016"/>
    <w:rsid w:val="007250CD"/>
    <w:rsid w:val="0072512F"/>
    <w:rsid w:val="00725427"/>
    <w:rsid w:val="00725492"/>
    <w:rsid w:val="00725493"/>
    <w:rsid w:val="007254CD"/>
    <w:rsid w:val="007255DE"/>
    <w:rsid w:val="0072563B"/>
    <w:rsid w:val="00725667"/>
    <w:rsid w:val="007257CF"/>
    <w:rsid w:val="00725A87"/>
    <w:rsid w:val="00725B83"/>
    <w:rsid w:val="00725BCF"/>
    <w:rsid w:val="00725D74"/>
    <w:rsid w:val="00725D86"/>
    <w:rsid w:val="00725D96"/>
    <w:rsid w:val="00725E3D"/>
    <w:rsid w:val="00726046"/>
    <w:rsid w:val="00726100"/>
    <w:rsid w:val="00726126"/>
    <w:rsid w:val="00726211"/>
    <w:rsid w:val="0072640E"/>
    <w:rsid w:val="0072648C"/>
    <w:rsid w:val="007264BE"/>
    <w:rsid w:val="007267FC"/>
    <w:rsid w:val="0072685B"/>
    <w:rsid w:val="0072686C"/>
    <w:rsid w:val="0072694A"/>
    <w:rsid w:val="00726958"/>
    <w:rsid w:val="007269EF"/>
    <w:rsid w:val="00726A38"/>
    <w:rsid w:val="00726A57"/>
    <w:rsid w:val="00726AA7"/>
    <w:rsid w:val="00726AD0"/>
    <w:rsid w:val="00726AED"/>
    <w:rsid w:val="00726B89"/>
    <w:rsid w:val="00726C57"/>
    <w:rsid w:val="00726D03"/>
    <w:rsid w:val="00726D0B"/>
    <w:rsid w:val="00726DCA"/>
    <w:rsid w:val="00726E5C"/>
    <w:rsid w:val="00726FE8"/>
    <w:rsid w:val="00727155"/>
    <w:rsid w:val="007273D5"/>
    <w:rsid w:val="00727454"/>
    <w:rsid w:val="00727468"/>
    <w:rsid w:val="007274E5"/>
    <w:rsid w:val="007274F0"/>
    <w:rsid w:val="007275B7"/>
    <w:rsid w:val="00727600"/>
    <w:rsid w:val="007276BC"/>
    <w:rsid w:val="007276DC"/>
    <w:rsid w:val="00727781"/>
    <w:rsid w:val="007277D5"/>
    <w:rsid w:val="0072781D"/>
    <w:rsid w:val="00727880"/>
    <w:rsid w:val="00727888"/>
    <w:rsid w:val="007278B3"/>
    <w:rsid w:val="007279D8"/>
    <w:rsid w:val="007279F2"/>
    <w:rsid w:val="00727AC0"/>
    <w:rsid w:val="00727B3E"/>
    <w:rsid w:val="00727BC0"/>
    <w:rsid w:val="00727E96"/>
    <w:rsid w:val="00727F50"/>
    <w:rsid w:val="00727FBB"/>
    <w:rsid w:val="0073006D"/>
    <w:rsid w:val="00730128"/>
    <w:rsid w:val="00730175"/>
    <w:rsid w:val="0073026D"/>
    <w:rsid w:val="007302D0"/>
    <w:rsid w:val="00730352"/>
    <w:rsid w:val="0073037B"/>
    <w:rsid w:val="00730384"/>
    <w:rsid w:val="00730437"/>
    <w:rsid w:val="00730527"/>
    <w:rsid w:val="00730653"/>
    <w:rsid w:val="00730677"/>
    <w:rsid w:val="00730782"/>
    <w:rsid w:val="007307C9"/>
    <w:rsid w:val="00730A11"/>
    <w:rsid w:val="00730B6A"/>
    <w:rsid w:val="00730B9C"/>
    <w:rsid w:val="00730C60"/>
    <w:rsid w:val="00730C7F"/>
    <w:rsid w:val="00730CD3"/>
    <w:rsid w:val="00730E0A"/>
    <w:rsid w:val="00730E51"/>
    <w:rsid w:val="00730E9E"/>
    <w:rsid w:val="00730ED2"/>
    <w:rsid w:val="00730F5E"/>
    <w:rsid w:val="00731059"/>
    <w:rsid w:val="00731085"/>
    <w:rsid w:val="00731167"/>
    <w:rsid w:val="007311E6"/>
    <w:rsid w:val="007311EF"/>
    <w:rsid w:val="007312CA"/>
    <w:rsid w:val="0073130B"/>
    <w:rsid w:val="0073136F"/>
    <w:rsid w:val="0073140B"/>
    <w:rsid w:val="0073161D"/>
    <w:rsid w:val="00731649"/>
    <w:rsid w:val="007316B0"/>
    <w:rsid w:val="00731779"/>
    <w:rsid w:val="0073182F"/>
    <w:rsid w:val="0073184C"/>
    <w:rsid w:val="007319B7"/>
    <w:rsid w:val="007319CC"/>
    <w:rsid w:val="00731B10"/>
    <w:rsid w:val="00731B2E"/>
    <w:rsid w:val="00731B6F"/>
    <w:rsid w:val="00731B91"/>
    <w:rsid w:val="00731D20"/>
    <w:rsid w:val="00731D8F"/>
    <w:rsid w:val="00731ED0"/>
    <w:rsid w:val="00731FC1"/>
    <w:rsid w:val="0073201F"/>
    <w:rsid w:val="00732075"/>
    <w:rsid w:val="007321F6"/>
    <w:rsid w:val="0073229C"/>
    <w:rsid w:val="0073234A"/>
    <w:rsid w:val="007323C7"/>
    <w:rsid w:val="0073242C"/>
    <w:rsid w:val="00732438"/>
    <w:rsid w:val="00732440"/>
    <w:rsid w:val="00732473"/>
    <w:rsid w:val="00732551"/>
    <w:rsid w:val="00732587"/>
    <w:rsid w:val="0073267E"/>
    <w:rsid w:val="007326B9"/>
    <w:rsid w:val="0073273F"/>
    <w:rsid w:val="007327E8"/>
    <w:rsid w:val="0073287C"/>
    <w:rsid w:val="007328D6"/>
    <w:rsid w:val="0073293E"/>
    <w:rsid w:val="00732961"/>
    <w:rsid w:val="00732A90"/>
    <w:rsid w:val="00732AF1"/>
    <w:rsid w:val="00732B8A"/>
    <w:rsid w:val="00732B9A"/>
    <w:rsid w:val="00732C7A"/>
    <w:rsid w:val="00732D3A"/>
    <w:rsid w:val="00732DBA"/>
    <w:rsid w:val="00732E17"/>
    <w:rsid w:val="00732F60"/>
    <w:rsid w:val="007330BB"/>
    <w:rsid w:val="007330CE"/>
    <w:rsid w:val="007331A0"/>
    <w:rsid w:val="0073326C"/>
    <w:rsid w:val="00733282"/>
    <w:rsid w:val="007332F9"/>
    <w:rsid w:val="00733300"/>
    <w:rsid w:val="00733382"/>
    <w:rsid w:val="007334DA"/>
    <w:rsid w:val="00733618"/>
    <w:rsid w:val="007336DC"/>
    <w:rsid w:val="007337A6"/>
    <w:rsid w:val="0073382B"/>
    <w:rsid w:val="00733947"/>
    <w:rsid w:val="00733AA8"/>
    <w:rsid w:val="00733CC6"/>
    <w:rsid w:val="00733CF0"/>
    <w:rsid w:val="00733F00"/>
    <w:rsid w:val="00734036"/>
    <w:rsid w:val="007340FB"/>
    <w:rsid w:val="00734160"/>
    <w:rsid w:val="0073426A"/>
    <w:rsid w:val="00734315"/>
    <w:rsid w:val="0073442D"/>
    <w:rsid w:val="007344D2"/>
    <w:rsid w:val="00734603"/>
    <w:rsid w:val="0073460C"/>
    <w:rsid w:val="00734618"/>
    <w:rsid w:val="00734694"/>
    <w:rsid w:val="0073469D"/>
    <w:rsid w:val="0073472E"/>
    <w:rsid w:val="007349A0"/>
    <w:rsid w:val="00734B36"/>
    <w:rsid w:val="00734C73"/>
    <w:rsid w:val="00734D96"/>
    <w:rsid w:val="00734E9C"/>
    <w:rsid w:val="00734F29"/>
    <w:rsid w:val="00734F4A"/>
    <w:rsid w:val="00734F6C"/>
    <w:rsid w:val="00735016"/>
    <w:rsid w:val="00735051"/>
    <w:rsid w:val="00735130"/>
    <w:rsid w:val="0073521B"/>
    <w:rsid w:val="0073525D"/>
    <w:rsid w:val="00735359"/>
    <w:rsid w:val="0073543C"/>
    <w:rsid w:val="0073544D"/>
    <w:rsid w:val="00735457"/>
    <w:rsid w:val="00735527"/>
    <w:rsid w:val="007357CA"/>
    <w:rsid w:val="007357F5"/>
    <w:rsid w:val="00735817"/>
    <w:rsid w:val="00735838"/>
    <w:rsid w:val="00735861"/>
    <w:rsid w:val="0073594F"/>
    <w:rsid w:val="00735A21"/>
    <w:rsid w:val="00735AD3"/>
    <w:rsid w:val="00735B66"/>
    <w:rsid w:val="00735BF2"/>
    <w:rsid w:val="00735C9C"/>
    <w:rsid w:val="00735F9C"/>
    <w:rsid w:val="00735FDA"/>
    <w:rsid w:val="00736009"/>
    <w:rsid w:val="0073600E"/>
    <w:rsid w:val="00736055"/>
    <w:rsid w:val="0073606B"/>
    <w:rsid w:val="007360FA"/>
    <w:rsid w:val="007361DA"/>
    <w:rsid w:val="007362A8"/>
    <w:rsid w:val="007363B3"/>
    <w:rsid w:val="007364A8"/>
    <w:rsid w:val="007364CC"/>
    <w:rsid w:val="007364E6"/>
    <w:rsid w:val="00736593"/>
    <w:rsid w:val="00736594"/>
    <w:rsid w:val="0073667E"/>
    <w:rsid w:val="007366C0"/>
    <w:rsid w:val="0073674F"/>
    <w:rsid w:val="007367CA"/>
    <w:rsid w:val="0073687F"/>
    <w:rsid w:val="0073692E"/>
    <w:rsid w:val="00736ACD"/>
    <w:rsid w:val="00736B86"/>
    <w:rsid w:val="00736C57"/>
    <w:rsid w:val="00736D0F"/>
    <w:rsid w:val="00736E54"/>
    <w:rsid w:val="00736E84"/>
    <w:rsid w:val="00736FB1"/>
    <w:rsid w:val="00737007"/>
    <w:rsid w:val="00737027"/>
    <w:rsid w:val="00737137"/>
    <w:rsid w:val="0073720B"/>
    <w:rsid w:val="007372FF"/>
    <w:rsid w:val="0073736A"/>
    <w:rsid w:val="00737384"/>
    <w:rsid w:val="0073748A"/>
    <w:rsid w:val="00737491"/>
    <w:rsid w:val="0073758E"/>
    <w:rsid w:val="007375BB"/>
    <w:rsid w:val="007375C0"/>
    <w:rsid w:val="007375D9"/>
    <w:rsid w:val="00737624"/>
    <w:rsid w:val="007376A4"/>
    <w:rsid w:val="00737730"/>
    <w:rsid w:val="00737811"/>
    <w:rsid w:val="00737816"/>
    <w:rsid w:val="00737851"/>
    <w:rsid w:val="0073787B"/>
    <w:rsid w:val="00737952"/>
    <w:rsid w:val="0073799A"/>
    <w:rsid w:val="0073799D"/>
    <w:rsid w:val="00737A03"/>
    <w:rsid w:val="00737A7A"/>
    <w:rsid w:val="00737ABF"/>
    <w:rsid w:val="00737C3D"/>
    <w:rsid w:val="00737CC8"/>
    <w:rsid w:val="00737CED"/>
    <w:rsid w:val="00737D57"/>
    <w:rsid w:val="00737E58"/>
    <w:rsid w:val="00737F15"/>
    <w:rsid w:val="00737F30"/>
    <w:rsid w:val="0074007E"/>
    <w:rsid w:val="0074010F"/>
    <w:rsid w:val="00740160"/>
    <w:rsid w:val="00740279"/>
    <w:rsid w:val="007402CD"/>
    <w:rsid w:val="00740362"/>
    <w:rsid w:val="007403E5"/>
    <w:rsid w:val="007404A7"/>
    <w:rsid w:val="00740815"/>
    <w:rsid w:val="00740890"/>
    <w:rsid w:val="007408B4"/>
    <w:rsid w:val="00740994"/>
    <w:rsid w:val="00740A54"/>
    <w:rsid w:val="00740A68"/>
    <w:rsid w:val="00740A79"/>
    <w:rsid w:val="00740B7F"/>
    <w:rsid w:val="00740BE6"/>
    <w:rsid w:val="00740C0F"/>
    <w:rsid w:val="00740C1D"/>
    <w:rsid w:val="00740C90"/>
    <w:rsid w:val="00740D77"/>
    <w:rsid w:val="00740E03"/>
    <w:rsid w:val="00740E5B"/>
    <w:rsid w:val="00740EAF"/>
    <w:rsid w:val="00740F1F"/>
    <w:rsid w:val="00740F52"/>
    <w:rsid w:val="00741032"/>
    <w:rsid w:val="00741199"/>
    <w:rsid w:val="0074120D"/>
    <w:rsid w:val="007412F4"/>
    <w:rsid w:val="00741388"/>
    <w:rsid w:val="00741477"/>
    <w:rsid w:val="00741670"/>
    <w:rsid w:val="007416C4"/>
    <w:rsid w:val="007416CE"/>
    <w:rsid w:val="00741785"/>
    <w:rsid w:val="007417A4"/>
    <w:rsid w:val="007418A4"/>
    <w:rsid w:val="007418A7"/>
    <w:rsid w:val="00741971"/>
    <w:rsid w:val="00741A53"/>
    <w:rsid w:val="00741C8B"/>
    <w:rsid w:val="00741DE3"/>
    <w:rsid w:val="00741E94"/>
    <w:rsid w:val="00741E9F"/>
    <w:rsid w:val="00741EC5"/>
    <w:rsid w:val="00741F21"/>
    <w:rsid w:val="00741F38"/>
    <w:rsid w:val="00741F4B"/>
    <w:rsid w:val="00741F6E"/>
    <w:rsid w:val="00741F9E"/>
    <w:rsid w:val="0074200B"/>
    <w:rsid w:val="00742031"/>
    <w:rsid w:val="00742184"/>
    <w:rsid w:val="007422BF"/>
    <w:rsid w:val="0074232E"/>
    <w:rsid w:val="007423B7"/>
    <w:rsid w:val="007423CF"/>
    <w:rsid w:val="00742419"/>
    <w:rsid w:val="007424AD"/>
    <w:rsid w:val="007424E2"/>
    <w:rsid w:val="007424FC"/>
    <w:rsid w:val="00742566"/>
    <w:rsid w:val="00742625"/>
    <w:rsid w:val="007428E5"/>
    <w:rsid w:val="007428F1"/>
    <w:rsid w:val="00742968"/>
    <w:rsid w:val="007429F9"/>
    <w:rsid w:val="00742A3A"/>
    <w:rsid w:val="00742A50"/>
    <w:rsid w:val="00742AF0"/>
    <w:rsid w:val="00742B5F"/>
    <w:rsid w:val="00742B87"/>
    <w:rsid w:val="00742BE0"/>
    <w:rsid w:val="00742CC8"/>
    <w:rsid w:val="00742D06"/>
    <w:rsid w:val="00742D0C"/>
    <w:rsid w:val="00742DA6"/>
    <w:rsid w:val="00742F35"/>
    <w:rsid w:val="0074309D"/>
    <w:rsid w:val="0074318A"/>
    <w:rsid w:val="00743343"/>
    <w:rsid w:val="00743360"/>
    <w:rsid w:val="00743461"/>
    <w:rsid w:val="007435F0"/>
    <w:rsid w:val="00743670"/>
    <w:rsid w:val="00743695"/>
    <w:rsid w:val="00743745"/>
    <w:rsid w:val="0074387A"/>
    <w:rsid w:val="00743894"/>
    <w:rsid w:val="00743896"/>
    <w:rsid w:val="007438C3"/>
    <w:rsid w:val="0074392F"/>
    <w:rsid w:val="00743973"/>
    <w:rsid w:val="00743A55"/>
    <w:rsid w:val="00743AF6"/>
    <w:rsid w:val="00743B0E"/>
    <w:rsid w:val="00743BA1"/>
    <w:rsid w:val="00743BA8"/>
    <w:rsid w:val="00743BF3"/>
    <w:rsid w:val="00743C03"/>
    <w:rsid w:val="00743C40"/>
    <w:rsid w:val="00743C5D"/>
    <w:rsid w:val="00743C89"/>
    <w:rsid w:val="00743CC2"/>
    <w:rsid w:val="00743CD4"/>
    <w:rsid w:val="00743D6D"/>
    <w:rsid w:val="00743E91"/>
    <w:rsid w:val="00743EEF"/>
    <w:rsid w:val="00743F33"/>
    <w:rsid w:val="00743F7C"/>
    <w:rsid w:val="00743F88"/>
    <w:rsid w:val="00744065"/>
    <w:rsid w:val="00744067"/>
    <w:rsid w:val="007441C7"/>
    <w:rsid w:val="007443BF"/>
    <w:rsid w:val="007444BB"/>
    <w:rsid w:val="007444E8"/>
    <w:rsid w:val="007445B1"/>
    <w:rsid w:val="00744617"/>
    <w:rsid w:val="00744625"/>
    <w:rsid w:val="007447CD"/>
    <w:rsid w:val="007447D6"/>
    <w:rsid w:val="00744806"/>
    <w:rsid w:val="0074485A"/>
    <w:rsid w:val="00744885"/>
    <w:rsid w:val="007448F8"/>
    <w:rsid w:val="00744970"/>
    <w:rsid w:val="00744982"/>
    <w:rsid w:val="00744B4E"/>
    <w:rsid w:val="00744C24"/>
    <w:rsid w:val="00744DC5"/>
    <w:rsid w:val="00744E1C"/>
    <w:rsid w:val="00744EA9"/>
    <w:rsid w:val="00745007"/>
    <w:rsid w:val="00745054"/>
    <w:rsid w:val="00745136"/>
    <w:rsid w:val="007451C4"/>
    <w:rsid w:val="00745289"/>
    <w:rsid w:val="007452F1"/>
    <w:rsid w:val="00745318"/>
    <w:rsid w:val="0074540D"/>
    <w:rsid w:val="0074543C"/>
    <w:rsid w:val="007455A3"/>
    <w:rsid w:val="007455CB"/>
    <w:rsid w:val="0074570E"/>
    <w:rsid w:val="00745747"/>
    <w:rsid w:val="0074579E"/>
    <w:rsid w:val="007458B6"/>
    <w:rsid w:val="007458EE"/>
    <w:rsid w:val="00745935"/>
    <w:rsid w:val="0074598B"/>
    <w:rsid w:val="00745A9E"/>
    <w:rsid w:val="00745C66"/>
    <w:rsid w:val="00745D06"/>
    <w:rsid w:val="00745D8E"/>
    <w:rsid w:val="00745E1D"/>
    <w:rsid w:val="00745E25"/>
    <w:rsid w:val="00745E31"/>
    <w:rsid w:val="00745E7D"/>
    <w:rsid w:val="00745E8E"/>
    <w:rsid w:val="00745EE9"/>
    <w:rsid w:val="00746193"/>
    <w:rsid w:val="00746297"/>
    <w:rsid w:val="00746312"/>
    <w:rsid w:val="007463B1"/>
    <w:rsid w:val="00746485"/>
    <w:rsid w:val="007464E9"/>
    <w:rsid w:val="0074657B"/>
    <w:rsid w:val="007465F7"/>
    <w:rsid w:val="00746710"/>
    <w:rsid w:val="00746927"/>
    <w:rsid w:val="0074693C"/>
    <w:rsid w:val="00746A1C"/>
    <w:rsid w:val="00746A88"/>
    <w:rsid w:val="00746ABC"/>
    <w:rsid w:val="00746D45"/>
    <w:rsid w:val="00746DAF"/>
    <w:rsid w:val="00746DBB"/>
    <w:rsid w:val="00746E18"/>
    <w:rsid w:val="00746E6F"/>
    <w:rsid w:val="00746E9C"/>
    <w:rsid w:val="00746EB7"/>
    <w:rsid w:val="00746F7E"/>
    <w:rsid w:val="00746FD3"/>
    <w:rsid w:val="00747052"/>
    <w:rsid w:val="00747239"/>
    <w:rsid w:val="0074745B"/>
    <w:rsid w:val="007474A6"/>
    <w:rsid w:val="007474F4"/>
    <w:rsid w:val="007475B2"/>
    <w:rsid w:val="007476BA"/>
    <w:rsid w:val="007477BE"/>
    <w:rsid w:val="0074782D"/>
    <w:rsid w:val="007478B4"/>
    <w:rsid w:val="007478C1"/>
    <w:rsid w:val="00747929"/>
    <w:rsid w:val="007479E9"/>
    <w:rsid w:val="00747AA2"/>
    <w:rsid w:val="00747AC2"/>
    <w:rsid w:val="00747ACE"/>
    <w:rsid w:val="00747B56"/>
    <w:rsid w:val="00747BEC"/>
    <w:rsid w:val="00747D6C"/>
    <w:rsid w:val="00747D76"/>
    <w:rsid w:val="00747EEC"/>
    <w:rsid w:val="00747F4E"/>
    <w:rsid w:val="00747F95"/>
    <w:rsid w:val="00747FD5"/>
    <w:rsid w:val="00750086"/>
    <w:rsid w:val="007500DE"/>
    <w:rsid w:val="007500F7"/>
    <w:rsid w:val="00750186"/>
    <w:rsid w:val="007501B0"/>
    <w:rsid w:val="00750555"/>
    <w:rsid w:val="007505F4"/>
    <w:rsid w:val="007506CA"/>
    <w:rsid w:val="007506CC"/>
    <w:rsid w:val="00750755"/>
    <w:rsid w:val="0075081A"/>
    <w:rsid w:val="0075087B"/>
    <w:rsid w:val="0075088F"/>
    <w:rsid w:val="007508D6"/>
    <w:rsid w:val="0075090F"/>
    <w:rsid w:val="00750924"/>
    <w:rsid w:val="00750B6C"/>
    <w:rsid w:val="00750B7F"/>
    <w:rsid w:val="00750CF5"/>
    <w:rsid w:val="00750D18"/>
    <w:rsid w:val="00750DAC"/>
    <w:rsid w:val="00750E24"/>
    <w:rsid w:val="00750EC4"/>
    <w:rsid w:val="00750FC5"/>
    <w:rsid w:val="00750FC7"/>
    <w:rsid w:val="00750FCB"/>
    <w:rsid w:val="007510AF"/>
    <w:rsid w:val="007511D1"/>
    <w:rsid w:val="0075127B"/>
    <w:rsid w:val="00751353"/>
    <w:rsid w:val="007513CF"/>
    <w:rsid w:val="00751659"/>
    <w:rsid w:val="0075168F"/>
    <w:rsid w:val="00751760"/>
    <w:rsid w:val="00751787"/>
    <w:rsid w:val="00751792"/>
    <w:rsid w:val="0075184E"/>
    <w:rsid w:val="0075192A"/>
    <w:rsid w:val="00751969"/>
    <w:rsid w:val="007519DA"/>
    <w:rsid w:val="00751A5E"/>
    <w:rsid w:val="00751A80"/>
    <w:rsid w:val="00751A8B"/>
    <w:rsid w:val="00751BC3"/>
    <w:rsid w:val="00751D39"/>
    <w:rsid w:val="00751DA4"/>
    <w:rsid w:val="00751DD5"/>
    <w:rsid w:val="00751DF9"/>
    <w:rsid w:val="00751EAB"/>
    <w:rsid w:val="00751EB6"/>
    <w:rsid w:val="00751FD6"/>
    <w:rsid w:val="00752042"/>
    <w:rsid w:val="007520E7"/>
    <w:rsid w:val="0075223E"/>
    <w:rsid w:val="007522B1"/>
    <w:rsid w:val="007523B8"/>
    <w:rsid w:val="0075240C"/>
    <w:rsid w:val="00752422"/>
    <w:rsid w:val="00752452"/>
    <w:rsid w:val="00752469"/>
    <w:rsid w:val="00752491"/>
    <w:rsid w:val="0075270E"/>
    <w:rsid w:val="0075272A"/>
    <w:rsid w:val="0075272F"/>
    <w:rsid w:val="007527FA"/>
    <w:rsid w:val="0075280E"/>
    <w:rsid w:val="0075290A"/>
    <w:rsid w:val="0075298D"/>
    <w:rsid w:val="00752A36"/>
    <w:rsid w:val="00752BD8"/>
    <w:rsid w:val="00752C69"/>
    <w:rsid w:val="00752C77"/>
    <w:rsid w:val="00752C94"/>
    <w:rsid w:val="00752D21"/>
    <w:rsid w:val="00752E1F"/>
    <w:rsid w:val="00752E9D"/>
    <w:rsid w:val="00752F2E"/>
    <w:rsid w:val="00752F42"/>
    <w:rsid w:val="00752FB5"/>
    <w:rsid w:val="00752FE9"/>
    <w:rsid w:val="007531EF"/>
    <w:rsid w:val="00753206"/>
    <w:rsid w:val="0075324C"/>
    <w:rsid w:val="00753253"/>
    <w:rsid w:val="007532B6"/>
    <w:rsid w:val="00753321"/>
    <w:rsid w:val="00753374"/>
    <w:rsid w:val="007533A1"/>
    <w:rsid w:val="00753431"/>
    <w:rsid w:val="0075344A"/>
    <w:rsid w:val="007534BA"/>
    <w:rsid w:val="0075359E"/>
    <w:rsid w:val="007535B0"/>
    <w:rsid w:val="007535DC"/>
    <w:rsid w:val="0075360C"/>
    <w:rsid w:val="007536EB"/>
    <w:rsid w:val="00753703"/>
    <w:rsid w:val="007537AF"/>
    <w:rsid w:val="007537B0"/>
    <w:rsid w:val="0075381B"/>
    <w:rsid w:val="0075384E"/>
    <w:rsid w:val="00753A51"/>
    <w:rsid w:val="00753A58"/>
    <w:rsid w:val="00753B13"/>
    <w:rsid w:val="00753B72"/>
    <w:rsid w:val="00753BC5"/>
    <w:rsid w:val="00753BEB"/>
    <w:rsid w:val="00753C83"/>
    <w:rsid w:val="00753CE2"/>
    <w:rsid w:val="00753DBF"/>
    <w:rsid w:val="00753DDA"/>
    <w:rsid w:val="00753E5E"/>
    <w:rsid w:val="00753F1A"/>
    <w:rsid w:val="00753F85"/>
    <w:rsid w:val="00753FDB"/>
    <w:rsid w:val="00753FFD"/>
    <w:rsid w:val="00754054"/>
    <w:rsid w:val="007540B1"/>
    <w:rsid w:val="00754210"/>
    <w:rsid w:val="00754283"/>
    <w:rsid w:val="007542FB"/>
    <w:rsid w:val="007544EE"/>
    <w:rsid w:val="0075455C"/>
    <w:rsid w:val="007545D7"/>
    <w:rsid w:val="00754649"/>
    <w:rsid w:val="0075464C"/>
    <w:rsid w:val="00754768"/>
    <w:rsid w:val="0075489A"/>
    <w:rsid w:val="007548C2"/>
    <w:rsid w:val="007549FD"/>
    <w:rsid w:val="00754A7A"/>
    <w:rsid w:val="00754A8F"/>
    <w:rsid w:val="00754ACA"/>
    <w:rsid w:val="00754C34"/>
    <w:rsid w:val="00754CA6"/>
    <w:rsid w:val="00754D16"/>
    <w:rsid w:val="00754E61"/>
    <w:rsid w:val="00755140"/>
    <w:rsid w:val="0075519C"/>
    <w:rsid w:val="007551C1"/>
    <w:rsid w:val="00755237"/>
    <w:rsid w:val="0075534A"/>
    <w:rsid w:val="00755400"/>
    <w:rsid w:val="007554CC"/>
    <w:rsid w:val="007554F9"/>
    <w:rsid w:val="00755880"/>
    <w:rsid w:val="00755ADC"/>
    <w:rsid w:val="00755B45"/>
    <w:rsid w:val="00755B6B"/>
    <w:rsid w:val="00755B7A"/>
    <w:rsid w:val="00755B95"/>
    <w:rsid w:val="00755BBE"/>
    <w:rsid w:val="00755C6A"/>
    <w:rsid w:val="00755C86"/>
    <w:rsid w:val="00755D02"/>
    <w:rsid w:val="00755D4D"/>
    <w:rsid w:val="00755DA9"/>
    <w:rsid w:val="00755FDF"/>
    <w:rsid w:val="00756016"/>
    <w:rsid w:val="00756434"/>
    <w:rsid w:val="0075644A"/>
    <w:rsid w:val="00756485"/>
    <w:rsid w:val="007565DD"/>
    <w:rsid w:val="00756632"/>
    <w:rsid w:val="00756672"/>
    <w:rsid w:val="00756714"/>
    <w:rsid w:val="0075682C"/>
    <w:rsid w:val="00756835"/>
    <w:rsid w:val="007568C9"/>
    <w:rsid w:val="00756967"/>
    <w:rsid w:val="007569E6"/>
    <w:rsid w:val="007569E9"/>
    <w:rsid w:val="00756B3F"/>
    <w:rsid w:val="00756B4B"/>
    <w:rsid w:val="00756B85"/>
    <w:rsid w:val="00756BBE"/>
    <w:rsid w:val="00756C3D"/>
    <w:rsid w:val="00756CBC"/>
    <w:rsid w:val="00756D12"/>
    <w:rsid w:val="00756DF5"/>
    <w:rsid w:val="00756E0E"/>
    <w:rsid w:val="00756E68"/>
    <w:rsid w:val="00756E74"/>
    <w:rsid w:val="00756E86"/>
    <w:rsid w:val="00756E96"/>
    <w:rsid w:val="00756E9D"/>
    <w:rsid w:val="00756F29"/>
    <w:rsid w:val="00756F35"/>
    <w:rsid w:val="00756F92"/>
    <w:rsid w:val="00757008"/>
    <w:rsid w:val="007570AB"/>
    <w:rsid w:val="007570F2"/>
    <w:rsid w:val="00757101"/>
    <w:rsid w:val="00757278"/>
    <w:rsid w:val="007574AB"/>
    <w:rsid w:val="007574C8"/>
    <w:rsid w:val="007574EA"/>
    <w:rsid w:val="00757511"/>
    <w:rsid w:val="0075758C"/>
    <w:rsid w:val="0075761D"/>
    <w:rsid w:val="007576BD"/>
    <w:rsid w:val="00757701"/>
    <w:rsid w:val="0075776B"/>
    <w:rsid w:val="00757841"/>
    <w:rsid w:val="0075785B"/>
    <w:rsid w:val="00757974"/>
    <w:rsid w:val="007579FE"/>
    <w:rsid w:val="00757B22"/>
    <w:rsid w:val="00757BF5"/>
    <w:rsid w:val="00757BFA"/>
    <w:rsid w:val="00757CB7"/>
    <w:rsid w:val="00757D2D"/>
    <w:rsid w:val="00757DA5"/>
    <w:rsid w:val="00757E30"/>
    <w:rsid w:val="00757EE6"/>
    <w:rsid w:val="0076002E"/>
    <w:rsid w:val="0076003E"/>
    <w:rsid w:val="0076006F"/>
    <w:rsid w:val="007600F3"/>
    <w:rsid w:val="007601E2"/>
    <w:rsid w:val="0076039E"/>
    <w:rsid w:val="00760472"/>
    <w:rsid w:val="0076049F"/>
    <w:rsid w:val="007604CF"/>
    <w:rsid w:val="007604D4"/>
    <w:rsid w:val="007605FB"/>
    <w:rsid w:val="00760706"/>
    <w:rsid w:val="00760870"/>
    <w:rsid w:val="007608F9"/>
    <w:rsid w:val="00760AD7"/>
    <w:rsid w:val="00760B65"/>
    <w:rsid w:val="00760B7F"/>
    <w:rsid w:val="00760BC5"/>
    <w:rsid w:val="00760BCA"/>
    <w:rsid w:val="00760C04"/>
    <w:rsid w:val="00760C90"/>
    <w:rsid w:val="00760D20"/>
    <w:rsid w:val="00760EA9"/>
    <w:rsid w:val="00760ECD"/>
    <w:rsid w:val="00760FB2"/>
    <w:rsid w:val="00761043"/>
    <w:rsid w:val="0076114E"/>
    <w:rsid w:val="00761174"/>
    <w:rsid w:val="00761275"/>
    <w:rsid w:val="00761282"/>
    <w:rsid w:val="00761336"/>
    <w:rsid w:val="007613CA"/>
    <w:rsid w:val="0076155E"/>
    <w:rsid w:val="00761576"/>
    <w:rsid w:val="007615B0"/>
    <w:rsid w:val="00761636"/>
    <w:rsid w:val="00761679"/>
    <w:rsid w:val="007616A5"/>
    <w:rsid w:val="007616FE"/>
    <w:rsid w:val="007617A2"/>
    <w:rsid w:val="007617D8"/>
    <w:rsid w:val="0076183D"/>
    <w:rsid w:val="00761946"/>
    <w:rsid w:val="00761953"/>
    <w:rsid w:val="00761A69"/>
    <w:rsid w:val="00761ADE"/>
    <w:rsid w:val="00761B34"/>
    <w:rsid w:val="00761BA4"/>
    <w:rsid w:val="00761BEC"/>
    <w:rsid w:val="00761CBD"/>
    <w:rsid w:val="00761CDA"/>
    <w:rsid w:val="00761CE3"/>
    <w:rsid w:val="00761D52"/>
    <w:rsid w:val="00761DFB"/>
    <w:rsid w:val="00761E4E"/>
    <w:rsid w:val="00761F77"/>
    <w:rsid w:val="00761F95"/>
    <w:rsid w:val="00762044"/>
    <w:rsid w:val="007621A1"/>
    <w:rsid w:val="007622E0"/>
    <w:rsid w:val="0076235A"/>
    <w:rsid w:val="0076236C"/>
    <w:rsid w:val="0076248B"/>
    <w:rsid w:val="007624F0"/>
    <w:rsid w:val="00762537"/>
    <w:rsid w:val="00762574"/>
    <w:rsid w:val="0076281E"/>
    <w:rsid w:val="00762A4A"/>
    <w:rsid w:val="00762B16"/>
    <w:rsid w:val="00762BA9"/>
    <w:rsid w:val="00762BB6"/>
    <w:rsid w:val="00762C26"/>
    <w:rsid w:val="00762C45"/>
    <w:rsid w:val="00762C8F"/>
    <w:rsid w:val="00762D1B"/>
    <w:rsid w:val="00762E84"/>
    <w:rsid w:val="00762E8F"/>
    <w:rsid w:val="00762EE6"/>
    <w:rsid w:val="00762F23"/>
    <w:rsid w:val="00762F9D"/>
    <w:rsid w:val="00762FD8"/>
    <w:rsid w:val="00762FE8"/>
    <w:rsid w:val="00763005"/>
    <w:rsid w:val="00763093"/>
    <w:rsid w:val="00763104"/>
    <w:rsid w:val="00763220"/>
    <w:rsid w:val="007632B4"/>
    <w:rsid w:val="0076338C"/>
    <w:rsid w:val="0076338D"/>
    <w:rsid w:val="007633CE"/>
    <w:rsid w:val="00763553"/>
    <w:rsid w:val="0076362E"/>
    <w:rsid w:val="00763650"/>
    <w:rsid w:val="0076369D"/>
    <w:rsid w:val="0076373F"/>
    <w:rsid w:val="0076375A"/>
    <w:rsid w:val="007637B7"/>
    <w:rsid w:val="0076388C"/>
    <w:rsid w:val="007638DC"/>
    <w:rsid w:val="007638ED"/>
    <w:rsid w:val="00763926"/>
    <w:rsid w:val="007639F3"/>
    <w:rsid w:val="00763A2D"/>
    <w:rsid w:val="00763D51"/>
    <w:rsid w:val="00763E06"/>
    <w:rsid w:val="0076405D"/>
    <w:rsid w:val="00764129"/>
    <w:rsid w:val="007641B1"/>
    <w:rsid w:val="007642A4"/>
    <w:rsid w:val="007642AC"/>
    <w:rsid w:val="00764370"/>
    <w:rsid w:val="007643B3"/>
    <w:rsid w:val="0076461F"/>
    <w:rsid w:val="00764672"/>
    <w:rsid w:val="007646AC"/>
    <w:rsid w:val="007646F6"/>
    <w:rsid w:val="00764738"/>
    <w:rsid w:val="0076478B"/>
    <w:rsid w:val="00764794"/>
    <w:rsid w:val="007649FD"/>
    <w:rsid w:val="00764A2D"/>
    <w:rsid w:val="00764B7F"/>
    <w:rsid w:val="00764B95"/>
    <w:rsid w:val="00764BAA"/>
    <w:rsid w:val="00764C78"/>
    <w:rsid w:val="00764CBE"/>
    <w:rsid w:val="00764CCA"/>
    <w:rsid w:val="00764DDF"/>
    <w:rsid w:val="00764EA5"/>
    <w:rsid w:val="00764EDD"/>
    <w:rsid w:val="00764FBC"/>
    <w:rsid w:val="00764FF0"/>
    <w:rsid w:val="0076502A"/>
    <w:rsid w:val="0076510B"/>
    <w:rsid w:val="007651DD"/>
    <w:rsid w:val="00765215"/>
    <w:rsid w:val="0076525F"/>
    <w:rsid w:val="007654E8"/>
    <w:rsid w:val="00765580"/>
    <w:rsid w:val="007655AC"/>
    <w:rsid w:val="007655EE"/>
    <w:rsid w:val="00765603"/>
    <w:rsid w:val="007657A6"/>
    <w:rsid w:val="00765888"/>
    <w:rsid w:val="007658C0"/>
    <w:rsid w:val="00765A47"/>
    <w:rsid w:val="00765BB1"/>
    <w:rsid w:val="00765C87"/>
    <w:rsid w:val="00765D29"/>
    <w:rsid w:val="00765D57"/>
    <w:rsid w:val="00765DA8"/>
    <w:rsid w:val="00765DCC"/>
    <w:rsid w:val="00765DCD"/>
    <w:rsid w:val="00765EB8"/>
    <w:rsid w:val="00766022"/>
    <w:rsid w:val="007660AF"/>
    <w:rsid w:val="007660C7"/>
    <w:rsid w:val="00766210"/>
    <w:rsid w:val="00766218"/>
    <w:rsid w:val="00766293"/>
    <w:rsid w:val="007662ED"/>
    <w:rsid w:val="00766330"/>
    <w:rsid w:val="00766366"/>
    <w:rsid w:val="007663C3"/>
    <w:rsid w:val="00766402"/>
    <w:rsid w:val="00766404"/>
    <w:rsid w:val="00766457"/>
    <w:rsid w:val="00766621"/>
    <w:rsid w:val="00766637"/>
    <w:rsid w:val="00766792"/>
    <w:rsid w:val="007668AE"/>
    <w:rsid w:val="007668ED"/>
    <w:rsid w:val="007669E5"/>
    <w:rsid w:val="00766B23"/>
    <w:rsid w:val="00766BE4"/>
    <w:rsid w:val="00766C15"/>
    <w:rsid w:val="00766C61"/>
    <w:rsid w:val="00766CC9"/>
    <w:rsid w:val="00766DFA"/>
    <w:rsid w:val="00767045"/>
    <w:rsid w:val="00767103"/>
    <w:rsid w:val="007671D9"/>
    <w:rsid w:val="0076720B"/>
    <w:rsid w:val="00767321"/>
    <w:rsid w:val="0076749C"/>
    <w:rsid w:val="00767513"/>
    <w:rsid w:val="0076754B"/>
    <w:rsid w:val="00767550"/>
    <w:rsid w:val="007675FF"/>
    <w:rsid w:val="00767666"/>
    <w:rsid w:val="007676A8"/>
    <w:rsid w:val="0076773B"/>
    <w:rsid w:val="0076787A"/>
    <w:rsid w:val="0076788E"/>
    <w:rsid w:val="0076793D"/>
    <w:rsid w:val="00767977"/>
    <w:rsid w:val="00767987"/>
    <w:rsid w:val="00767A95"/>
    <w:rsid w:val="00767AF2"/>
    <w:rsid w:val="00767B42"/>
    <w:rsid w:val="00767BB5"/>
    <w:rsid w:val="00767C1C"/>
    <w:rsid w:val="00767C32"/>
    <w:rsid w:val="00767C5B"/>
    <w:rsid w:val="00767CEF"/>
    <w:rsid w:val="00767D3B"/>
    <w:rsid w:val="00767D7C"/>
    <w:rsid w:val="00767E96"/>
    <w:rsid w:val="00767EC5"/>
    <w:rsid w:val="00767F00"/>
    <w:rsid w:val="00767FCC"/>
    <w:rsid w:val="00767FF4"/>
    <w:rsid w:val="0077005A"/>
    <w:rsid w:val="00770108"/>
    <w:rsid w:val="00770114"/>
    <w:rsid w:val="00770172"/>
    <w:rsid w:val="007701C7"/>
    <w:rsid w:val="007703D1"/>
    <w:rsid w:val="007703F0"/>
    <w:rsid w:val="0077047C"/>
    <w:rsid w:val="007704DA"/>
    <w:rsid w:val="007705C5"/>
    <w:rsid w:val="007705F3"/>
    <w:rsid w:val="00770802"/>
    <w:rsid w:val="0077080F"/>
    <w:rsid w:val="00770863"/>
    <w:rsid w:val="00770950"/>
    <w:rsid w:val="00770952"/>
    <w:rsid w:val="00770A07"/>
    <w:rsid w:val="00770B72"/>
    <w:rsid w:val="00770BFD"/>
    <w:rsid w:val="00770C4D"/>
    <w:rsid w:val="00770C4F"/>
    <w:rsid w:val="00770DDE"/>
    <w:rsid w:val="00770DE1"/>
    <w:rsid w:val="00770E98"/>
    <w:rsid w:val="00770EAB"/>
    <w:rsid w:val="00770F4E"/>
    <w:rsid w:val="00770FE4"/>
    <w:rsid w:val="00770FEA"/>
    <w:rsid w:val="00771030"/>
    <w:rsid w:val="00771144"/>
    <w:rsid w:val="00771193"/>
    <w:rsid w:val="00771222"/>
    <w:rsid w:val="0077122E"/>
    <w:rsid w:val="0077122F"/>
    <w:rsid w:val="007712EC"/>
    <w:rsid w:val="00771346"/>
    <w:rsid w:val="00771397"/>
    <w:rsid w:val="0077140A"/>
    <w:rsid w:val="00771433"/>
    <w:rsid w:val="00771449"/>
    <w:rsid w:val="007714C8"/>
    <w:rsid w:val="007714F5"/>
    <w:rsid w:val="007715CE"/>
    <w:rsid w:val="00771686"/>
    <w:rsid w:val="0077174F"/>
    <w:rsid w:val="007717B7"/>
    <w:rsid w:val="007717EE"/>
    <w:rsid w:val="007718DB"/>
    <w:rsid w:val="00771928"/>
    <w:rsid w:val="00771951"/>
    <w:rsid w:val="00771B06"/>
    <w:rsid w:val="00771B76"/>
    <w:rsid w:val="00771B89"/>
    <w:rsid w:val="00771BCB"/>
    <w:rsid w:val="00771C17"/>
    <w:rsid w:val="00771C5D"/>
    <w:rsid w:val="00771D12"/>
    <w:rsid w:val="00771D48"/>
    <w:rsid w:val="00771D53"/>
    <w:rsid w:val="00771F0B"/>
    <w:rsid w:val="00771F57"/>
    <w:rsid w:val="00771F66"/>
    <w:rsid w:val="00771F69"/>
    <w:rsid w:val="00772018"/>
    <w:rsid w:val="0077201F"/>
    <w:rsid w:val="00772071"/>
    <w:rsid w:val="007720B1"/>
    <w:rsid w:val="007720C9"/>
    <w:rsid w:val="007720CB"/>
    <w:rsid w:val="00772154"/>
    <w:rsid w:val="007721B2"/>
    <w:rsid w:val="0077228E"/>
    <w:rsid w:val="007722C1"/>
    <w:rsid w:val="0077244E"/>
    <w:rsid w:val="0077246C"/>
    <w:rsid w:val="007724BE"/>
    <w:rsid w:val="007724D7"/>
    <w:rsid w:val="007725DB"/>
    <w:rsid w:val="007725E4"/>
    <w:rsid w:val="0077260E"/>
    <w:rsid w:val="0077276C"/>
    <w:rsid w:val="00772794"/>
    <w:rsid w:val="0077287B"/>
    <w:rsid w:val="0077287D"/>
    <w:rsid w:val="007728FF"/>
    <w:rsid w:val="0077290F"/>
    <w:rsid w:val="0077295F"/>
    <w:rsid w:val="00772995"/>
    <w:rsid w:val="00772B87"/>
    <w:rsid w:val="00772C07"/>
    <w:rsid w:val="00772C09"/>
    <w:rsid w:val="00772C39"/>
    <w:rsid w:val="00772CA0"/>
    <w:rsid w:val="00772CD3"/>
    <w:rsid w:val="00772E97"/>
    <w:rsid w:val="00772EAE"/>
    <w:rsid w:val="00773017"/>
    <w:rsid w:val="007730C7"/>
    <w:rsid w:val="00773127"/>
    <w:rsid w:val="007731E8"/>
    <w:rsid w:val="007731F1"/>
    <w:rsid w:val="00773320"/>
    <w:rsid w:val="0077358D"/>
    <w:rsid w:val="007735EB"/>
    <w:rsid w:val="00773614"/>
    <w:rsid w:val="00773650"/>
    <w:rsid w:val="00773662"/>
    <w:rsid w:val="00773778"/>
    <w:rsid w:val="0077378B"/>
    <w:rsid w:val="007737A1"/>
    <w:rsid w:val="00773809"/>
    <w:rsid w:val="00773818"/>
    <w:rsid w:val="007739CF"/>
    <w:rsid w:val="00773A18"/>
    <w:rsid w:val="00773A20"/>
    <w:rsid w:val="00773AA9"/>
    <w:rsid w:val="00773B04"/>
    <w:rsid w:val="00773B64"/>
    <w:rsid w:val="00773BA5"/>
    <w:rsid w:val="00773BBA"/>
    <w:rsid w:val="00773BC2"/>
    <w:rsid w:val="00773BF0"/>
    <w:rsid w:val="00773C01"/>
    <w:rsid w:val="00773D58"/>
    <w:rsid w:val="00773D7C"/>
    <w:rsid w:val="00773DE8"/>
    <w:rsid w:val="00773DF4"/>
    <w:rsid w:val="00773E0B"/>
    <w:rsid w:val="00773F44"/>
    <w:rsid w:val="00773F96"/>
    <w:rsid w:val="00774005"/>
    <w:rsid w:val="0077401D"/>
    <w:rsid w:val="007742B0"/>
    <w:rsid w:val="0077433C"/>
    <w:rsid w:val="00774387"/>
    <w:rsid w:val="007743A2"/>
    <w:rsid w:val="00774453"/>
    <w:rsid w:val="00774469"/>
    <w:rsid w:val="00774486"/>
    <w:rsid w:val="007744C7"/>
    <w:rsid w:val="00774667"/>
    <w:rsid w:val="007746D3"/>
    <w:rsid w:val="00774745"/>
    <w:rsid w:val="00774796"/>
    <w:rsid w:val="0077490D"/>
    <w:rsid w:val="0077491C"/>
    <w:rsid w:val="00774940"/>
    <w:rsid w:val="007749A0"/>
    <w:rsid w:val="00774A51"/>
    <w:rsid w:val="00774A72"/>
    <w:rsid w:val="00774AAB"/>
    <w:rsid w:val="00774ACA"/>
    <w:rsid w:val="00774B75"/>
    <w:rsid w:val="00774B9D"/>
    <w:rsid w:val="00774C89"/>
    <w:rsid w:val="00774D01"/>
    <w:rsid w:val="00774DE0"/>
    <w:rsid w:val="00774E63"/>
    <w:rsid w:val="00774F5D"/>
    <w:rsid w:val="00774F97"/>
    <w:rsid w:val="00775038"/>
    <w:rsid w:val="00775047"/>
    <w:rsid w:val="007750B5"/>
    <w:rsid w:val="007750E1"/>
    <w:rsid w:val="007750EC"/>
    <w:rsid w:val="0077510D"/>
    <w:rsid w:val="00775205"/>
    <w:rsid w:val="00775275"/>
    <w:rsid w:val="007752FC"/>
    <w:rsid w:val="007755F1"/>
    <w:rsid w:val="007757D4"/>
    <w:rsid w:val="0077584A"/>
    <w:rsid w:val="00775C96"/>
    <w:rsid w:val="00775E09"/>
    <w:rsid w:val="00775EA8"/>
    <w:rsid w:val="00775F9E"/>
    <w:rsid w:val="00776033"/>
    <w:rsid w:val="0077603B"/>
    <w:rsid w:val="007761C9"/>
    <w:rsid w:val="007762A4"/>
    <w:rsid w:val="007762E1"/>
    <w:rsid w:val="00776313"/>
    <w:rsid w:val="00776349"/>
    <w:rsid w:val="0077636F"/>
    <w:rsid w:val="007763A3"/>
    <w:rsid w:val="007763D4"/>
    <w:rsid w:val="007763E8"/>
    <w:rsid w:val="007764DE"/>
    <w:rsid w:val="0077652C"/>
    <w:rsid w:val="0077659B"/>
    <w:rsid w:val="007766D4"/>
    <w:rsid w:val="00776747"/>
    <w:rsid w:val="0077675B"/>
    <w:rsid w:val="007767BF"/>
    <w:rsid w:val="00776839"/>
    <w:rsid w:val="00776849"/>
    <w:rsid w:val="0077684F"/>
    <w:rsid w:val="007768EB"/>
    <w:rsid w:val="00776939"/>
    <w:rsid w:val="0077694F"/>
    <w:rsid w:val="00776958"/>
    <w:rsid w:val="00776A9F"/>
    <w:rsid w:val="00776B6E"/>
    <w:rsid w:val="00776B86"/>
    <w:rsid w:val="00776C40"/>
    <w:rsid w:val="00776CAE"/>
    <w:rsid w:val="00776CB9"/>
    <w:rsid w:val="00776CF0"/>
    <w:rsid w:val="00776D6E"/>
    <w:rsid w:val="00776E05"/>
    <w:rsid w:val="00776F03"/>
    <w:rsid w:val="00776F04"/>
    <w:rsid w:val="00776F1A"/>
    <w:rsid w:val="00776F26"/>
    <w:rsid w:val="00776FD0"/>
    <w:rsid w:val="007770C7"/>
    <w:rsid w:val="00777127"/>
    <w:rsid w:val="00777153"/>
    <w:rsid w:val="007771E1"/>
    <w:rsid w:val="007771E9"/>
    <w:rsid w:val="00777389"/>
    <w:rsid w:val="007773CB"/>
    <w:rsid w:val="007774B1"/>
    <w:rsid w:val="00777552"/>
    <w:rsid w:val="0077765A"/>
    <w:rsid w:val="007777AD"/>
    <w:rsid w:val="007779D9"/>
    <w:rsid w:val="00777A59"/>
    <w:rsid w:val="00777A75"/>
    <w:rsid w:val="00777B64"/>
    <w:rsid w:val="00777BA6"/>
    <w:rsid w:val="00777BD8"/>
    <w:rsid w:val="00777C0A"/>
    <w:rsid w:val="00777C90"/>
    <w:rsid w:val="00777CD9"/>
    <w:rsid w:val="00777D19"/>
    <w:rsid w:val="00777D1F"/>
    <w:rsid w:val="00777E10"/>
    <w:rsid w:val="00777F63"/>
    <w:rsid w:val="0078009D"/>
    <w:rsid w:val="007800B5"/>
    <w:rsid w:val="007800D4"/>
    <w:rsid w:val="007801B7"/>
    <w:rsid w:val="0078027B"/>
    <w:rsid w:val="00780329"/>
    <w:rsid w:val="00780518"/>
    <w:rsid w:val="007805A3"/>
    <w:rsid w:val="007805F6"/>
    <w:rsid w:val="00780651"/>
    <w:rsid w:val="007806D5"/>
    <w:rsid w:val="00780762"/>
    <w:rsid w:val="00780862"/>
    <w:rsid w:val="007808DF"/>
    <w:rsid w:val="007808E7"/>
    <w:rsid w:val="007809E2"/>
    <w:rsid w:val="00780A0D"/>
    <w:rsid w:val="00780A16"/>
    <w:rsid w:val="00780A72"/>
    <w:rsid w:val="00780B43"/>
    <w:rsid w:val="00780B62"/>
    <w:rsid w:val="00780CDF"/>
    <w:rsid w:val="00780D68"/>
    <w:rsid w:val="00780DA0"/>
    <w:rsid w:val="00780DB9"/>
    <w:rsid w:val="00780DBD"/>
    <w:rsid w:val="00781186"/>
    <w:rsid w:val="00781187"/>
    <w:rsid w:val="00781254"/>
    <w:rsid w:val="00781270"/>
    <w:rsid w:val="007812D3"/>
    <w:rsid w:val="007812E8"/>
    <w:rsid w:val="00781369"/>
    <w:rsid w:val="007813D2"/>
    <w:rsid w:val="00781517"/>
    <w:rsid w:val="007815AB"/>
    <w:rsid w:val="0078169D"/>
    <w:rsid w:val="00781769"/>
    <w:rsid w:val="007817BC"/>
    <w:rsid w:val="00781934"/>
    <w:rsid w:val="0078194A"/>
    <w:rsid w:val="00781988"/>
    <w:rsid w:val="00781A9E"/>
    <w:rsid w:val="00781AA9"/>
    <w:rsid w:val="00781C3F"/>
    <w:rsid w:val="00781C76"/>
    <w:rsid w:val="00781CDA"/>
    <w:rsid w:val="00781D6E"/>
    <w:rsid w:val="00781E5D"/>
    <w:rsid w:val="00781EFA"/>
    <w:rsid w:val="00781FEE"/>
    <w:rsid w:val="0078202F"/>
    <w:rsid w:val="007820C0"/>
    <w:rsid w:val="00782152"/>
    <w:rsid w:val="00782162"/>
    <w:rsid w:val="0078218C"/>
    <w:rsid w:val="0078231A"/>
    <w:rsid w:val="00782387"/>
    <w:rsid w:val="00782447"/>
    <w:rsid w:val="0078246A"/>
    <w:rsid w:val="0078253B"/>
    <w:rsid w:val="007825B3"/>
    <w:rsid w:val="00782738"/>
    <w:rsid w:val="00782748"/>
    <w:rsid w:val="0078285D"/>
    <w:rsid w:val="0078286C"/>
    <w:rsid w:val="0078287C"/>
    <w:rsid w:val="0078296F"/>
    <w:rsid w:val="00782A08"/>
    <w:rsid w:val="00782A6F"/>
    <w:rsid w:val="00782B5F"/>
    <w:rsid w:val="00782BF6"/>
    <w:rsid w:val="00782BFB"/>
    <w:rsid w:val="00782D68"/>
    <w:rsid w:val="00782D92"/>
    <w:rsid w:val="00782E10"/>
    <w:rsid w:val="00782F0F"/>
    <w:rsid w:val="00783059"/>
    <w:rsid w:val="00783060"/>
    <w:rsid w:val="007830EC"/>
    <w:rsid w:val="00783121"/>
    <w:rsid w:val="007833B7"/>
    <w:rsid w:val="007834C8"/>
    <w:rsid w:val="0078356E"/>
    <w:rsid w:val="007835ED"/>
    <w:rsid w:val="00783648"/>
    <w:rsid w:val="007838A3"/>
    <w:rsid w:val="0078393B"/>
    <w:rsid w:val="00783ACF"/>
    <w:rsid w:val="00783B06"/>
    <w:rsid w:val="00783BA5"/>
    <w:rsid w:val="00783BCA"/>
    <w:rsid w:val="00783C0B"/>
    <w:rsid w:val="00783CC9"/>
    <w:rsid w:val="00783CDD"/>
    <w:rsid w:val="00783D44"/>
    <w:rsid w:val="00783EF9"/>
    <w:rsid w:val="00783FF4"/>
    <w:rsid w:val="007840DE"/>
    <w:rsid w:val="00784172"/>
    <w:rsid w:val="00784176"/>
    <w:rsid w:val="0078418D"/>
    <w:rsid w:val="00784203"/>
    <w:rsid w:val="00784212"/>
    <w:rsid w:val="007842DA"/>
    <w:rsid w:val="007842E9"/>
    <w:rsid w:val="007843D0"/>
    <w:rsid w:val="007843FA"/>
    <w:rsid w:val="0078447D"/>
    <w:rsid w:val="0078454E"/>
    <w:rsid w:val="00784577"/>
    <w:rsid w:val="00784584"/>
    <w:rsid w:val="0078461B"/>
    <w:rsid w:val="00784679"/>
    <w:rsid w:val="007846F1"/>
    <w:rsid w:val="00784803"/>
    <w:rsid w:val="0078489B"/>
    <w:rsid w:val="007848E3"/>
    <w:rsid w:val="007848F6"/>
    <w:rsid w:val="00784918"/>
    <w:rsid w:val="00784924"/>
    <w:rsid w:val="00784A4A"/>
    <w:rsid w:val="00784A5B"/>
    <w:rsid w:val="00784CC8"/>
    <w:rsid w:val="00784DCE"/>
    <w:rsid w:val="00784E99"/>
    <w:rsid w:val="00784F77"/>
    <w:rsid w:val="00785115"/>
    <w:rsid w:val="0078513B"/>
    <w:rsid w:val="00785198"/>
    <w:rsid w:val="0078529A"/>
    <w:rsid w:val="00785393"/>
    <w:rsid w:val="007853B3"/>
    <w:rsid w:val="007853FF"/>
    <w:rsid w:val="00785468"/>
    <w:rsid w:val="007854D8"/>
    <w:rsid w:val="00785503"/>
    <w:rsid w:val="007856E9"/>
    <w:rsid w:val="007857E9"/>
    <w:rsid w:val="007857EA"/>
    <w:rsid w:val="00785909"/>
    <w:rsid w:val="007859A3"/>
    <w:rsid w:val="00785A88"/>
    <w:rsid w:val="00785AA1"/>
    <w:rsid w:val="00785AB5"/>
    <w:rsid w:val="00785C57"/>
    <w:rsid w:val="00785C9E"/>
    <w:rsid w:val="00785CB7"/>
    <w:rsid w:val="00785D68"/>
    <w:rsid w:val="00785EC8"/>
    <w:rsid w:val="00785F04"/>
    <w:rsid w:val="00786011"/>
    <w:rsid w:val="0078604A"/>
    <w:rsid w:val="007860FD"/>
    <w:rsid w:val="007861A0"/>
    <w:rsid w:val="00786261"/>
    <w:rsid w:val="0078638C"/>
    <w:rsid w:val="007864FF"/>
    <w:rsid w:val="007865E9"/>
    <w:rsid w:val="007866BB"/>
    <w:rsid w:val="00786724"/>
    <w:rsid w:val="0078683C"/>
    <w:rsid w:val="0078685F"/>
    <w:rsid w:val="00786902"/>
    <w:rsid w:val="00786973"/>
    <w:rsid w:val="00786A34"/>
    <w:rsid w:val="00786A6D"/>
    <w:rsid w:val="00786B2A"/>
    <w:rsid w:val="00786BC5"/>
    <w:rsid w:val="00786C75"/>
    <w:rsid w:val="00786CD0"/>
    <w:rsid w:val="00786D01"/>
    <w:rsid w:val="00786D4E"/>
    <w:rsid w:val="00786E37"/>
    <w:rsid w:val="00786EDD"/>
    <w:rsid w:val="00786F5C"/>
    <w:rsid w:val="00786F8C"/>
    <w:rsid w:val="00786FE1"/>
    <w:rsid w:val="00786FF1"/>
    <w:rsid w:val="00787149"/>
    <w:rsid w:val="00787330"/>
    <w:rsid w:val="007873BD"/>
    <w:rsid w:val="007873C0"/>
    <w:rsid w:val="007874E3"/>
    <w:rsid w:val="0078750B"/>
    <w:rsid w:val="00787607"/>
    <w:rsid w:val="00787682"/>
    <w:rsid w:val="007876E9"/>
    <w:rsid w:val="007877E2"/>
    <w:rsid w:val="007877F2"/>
    <w:rsid w:val="007878CF"/>
    <w:rsid w:val="00787908"/>
    <w:rsid w:val="00787A07"/>
    <w:rsid w:val="00787A10"/>
    <w:rsid w:val="00787AC1"/>
    <w:rsid w:val="00787AE6"/>
    <w:rsid w:val="00787B9D"/>
    <w:rsid w:val="00787BB9"/>
    <w:rsid w:val="00787CD8"/>
    <w:rsid w:val="00787DCB"/>
    <w:rsid w:val="00787EB3"/>
    <w:rsid w:val="00787F02"/>
    <w:rsid w:val="00790106"/>
    <w:rsid w:val="00790286"/>
    <w:rsid w:val="007902B2"/>
    <w:rsid w:val="0079037B"/>
    <w:rsid w:val="007905FB"/>
    <w:rsid w:val="00790624"/>
    <w:rsid w:val="00790646"/>
    <w:rsid w:val="00790688"/>
    <w:rsid w:val="00790716"/>
    <w:rsid w:val="0079071A"/>
    <w:rsid w:val="00790781"/>
    <w:rsid w:val="0079090E"/>
    <w:rsid w:val="0079095C"/>
    <w:rsid w:val="00790982"/>
    <w:rsid w:val="0079098E"/>
    <w:rsid w:val="007909F4"/>
    <w:rsid w:val="00790A36"/>
    <w:rsid w:val="00790A9E"/>
    <w:rsid w:val="00790AFC"/>
    <w:rsid w:val="00790B89"/>
    <w:rsid w:val="00790BD0"/>
    <w:rsid w:val="00790C9A"/>
    <w:rsid w:val="00790CCF"/>
    <w:rsid w:val="00790D15"/>
    <w:rsid w:val="00790D19"/>
    <w:rsid w:val="00790D7C"/>
    <w:rsid w:val="00790D91"/>
    <w:rsid w:val="00790DD7"/>
    <w:rsid w:val="00790E5F"/>
    <w:rsid w:val="00790EAD"/>
    <w:rsid w:val="00790EB3"/>
    <w:rsid w:val="00790F7C"/>
    <w:rsid w:val="00790FE2"/>
    <w:rsid w:val="0079101C"/>
    <w:rsid w:val="00791191"/>
    <w:rsid w:val="007911B2"/>
    <w:rsid w:val="007911F4"/>
    <w:rsid w:val="00791217"/>
    <w:rsid w:val="0079129D"/>
    <w:rsid w:val="007912BB"/>
    <w:rsid w:val="00791311"/>
    <w:rsid w:val="00791354"/>
    <w:rsid w:val="0079144D"/>
    <w:rsid w:val="007914F9"/>
    <w:rsid w:val="007915A1"/>
    <w:rsid w:val="007915A5"/>
    <w:rsid w:val="007917F5"/>
    <w:rsid w:val="007918A4"/>
    <w:rsid w:val="007918B8"/>
    <w:rsid w:val="007918F7"/>
    <w:rsid w:val="00791979"/>
    <w:rsid w:val="007919AD"/>
    <w:rsid w:val="007919FB"/>
    <w:rsid w:val="00791B19"/>
    <w:rsid w:val="00791BB0"/>
    <w:rsid w:val="00791BFD"/>
    <w:rsid w:val="00791CE5"/>
    <w:rsid w:val="00791F8D"/>
    <w:rsid w:val="00791FD4"/>
    <w:rsid w:val="00792073"/>
    <w:rsid w:val="007921F8"/>
    <w:rsid w:val="00792252"/>
    <w:rsid w:val="0079226E"/>
    <w:rsid w:val="007922FA"/>
    <w:rsid w:val="0079241A"/>
    <w:rsid w:val="0079246C"/>
    <w:rsid w:val="007924B9"/>
    <w:rsid w:val="0079252C"/>
    <w:rsid w:val="00792551"/>
    <w:rsid w:val="00792611"/>
    <w:rsid w:val="00792661"/>
    <w:rsid w:val="007926DD"/>
    <w:rsid w:val="0079281D"/>
    <w:rsid w:val="00792834"/>
    <w:rsid w:val="0079285D"/>
    <w:rsid w:val="007928D1"/>
    <w:rsid w:val="00792917"/>
    <w:rsid w:val="007929D4"/>
    <w:rsid w:val="00792AA0"/>
    <w:rsid w:val="00792AF7"/>
    <w:rsid w:val="00792B6C"/>
    <w:rsid w:val="00792DB2"/>
    <w:rsid w:val="00792DE9"/>
    <w:rsid w:val="00792E04"/>
    <w:rsid w:val="00792E3C"/>
    <w:rsid w:val="00792E7D"/>
    <w:rsid w:val="007931E5"/>
    <w:rsid w:val="007932CB"/>
    <w:rsid w:val="007932EA"/>
    <w:rsid w:val="00793344"/>
    <w:rsid w:val="00793434"/>
    <w:rsid w:val="0079344D"/>
    <w:rsid w:val="007935B9"/>
    <w:rsid w:val="00793609"/>
    <w:rsid w:val="00793667"/>
    <w:rsid w:val="00793778"/>
    <w:rsid w:val="00793798"/>
    <w:rsid w:val="007937D6"/>
    <w:rsid w:val="00793833"/>
    <w:rsid w:val="00793923"/>
    <w:rsid w:val="0079393C"/>
    <w:rsid w:val="00793998"/>
    <w:rsid w:val="007939F2"/>
    <w:rsid w:val="00793B54"/>
    <w:rsid w:val="00793C0B"/>
    <w:rsid w:val="00793C42"/>
    <w:rsid w:val="00793C9F"/>
    <w:rsid w:val="00793CCA"/>
    <w:rsid w:val="00793D99"/>
    <w:rsid w:val="00793F39"/>
    <w:rsid w:val="00794048"/>
    <w:rsid w:val="007940A7"/>
    <w:rsid w:val="0079412C"/>
    <w:rsid w:val="00794150"/>
    <w:rsid w:val="00794181"/>
    <w:rsid w:val="00794244"/>
    <w:rsid w:val="0079424D"/>
    <w:rsid w:val="007942C1"/>
    <w:rsid w:val="007943C1"/>
    <w:rsid w:val="007943E1"/>
    <w:rsid w:val="0079446D"/>
    <w:rsid w:val="007945AD"/>
    <w:rsid w:val="0079463B"/>
    <w:rsid w:val="00794643"/>
    <w:rsid w:val="0079465F"/>
    <w:rsid w:val="007947DD"/>
    <w:rsid w:val="0079480F"/>
    <w:rsid w:val="0079484B"/>
    <w:rsid w:val="00794854"/>
    <w:rsid w:val="00794AB5"/>
    <w:rsid w:val="00794B2A"/>
    <w:rsid w:val="00794B5D"/>
    <w:rsid w:val="00794C13"/>
    <w:rsid w:val="00794C6C"/>
    <w:rsid w:val="00794DAF"/>
    <w:rsid w:val="00794DBB"/>
    <w:rsid w:val="00794E11"/>
    <w:rsid w:val="00794E9C"/>
    <w:rsid w:val="00794F1E"/>
    <w:rsid w:val="007951A5"/>
    <w:rsid w:val="0079524A"/>
    <w:rsid w:val="00795254"/>
    <w:rsid w:val="0079529C"/>
    <w:rsid w:val="007952C9"/>
    <w:rsid w:val="00795331"/>
    <w:rsid w:val="00795369"/>
    <w:rsid w:val="00795378"/>
    <w:rsid w:val="007955B7"/>
    <w:rsid w:val="007955BA"/>
    <w:rsid w:val="0079571D"/>
    <w:rsid w:val="00795850"/>
    <w:rsid w:val="00795B3C"/>
    <w:rsid w:val="00795CED"/>
    <w:rsid w:val="00795D5E"/>
    <w:rsid w:val="00795EA9"/>
    <w:rsid w:val="007960CC"/>
    <w:rsid w:val="007960E3"/>
    <w:rsid w:val="007960E6"/>
    <w:rsid w:val="0079613F"/>
    <w:rsid w:val="00796147"/>
    <w:rsid w:val="0079618E"/>
    <w:rsid w:val="00796199"/>
    <w:rsid w:val="0079627A"/>
    <w:rsid w:val="007962EA"/>
    <w:rsid w:val="00796456"/>
    <w:rsid w:val="007964A8"/>
    <w:rsid w:val="0079654B"/>
    <w:rsid w:val="00796575"/>
    <w:rsid w:val="00796614"/>
    <w:rsid w:val="007968A5"/>
    <w:rsid w:val="00796A92"/>
    <w:rsid w:val="00796AE0"/>
    <w:rsid w:val="00796B82"/>
    <w:rsid w:val="00796BD1"/>
    <w:rsid w:val="00796BDB"/>
    <w:rsid w:val="00796C3C"/>
    <w:rsid w:val="00796C7B"/>
    <w:rsid w:val="00796DBA"/>
    <w:rsid w:val="00796E15"/>
    <w:rsid w:val="00796E3A"/>
    <w:rsid w:val="00796E75"/>
    <w:rsid w:val="00796E7E"/>
    <w:rsid w:val="00796E82"/>
    <w:rsid w:val="007970C3"/>
    <w:rsid w:val="007970C4"/>
    <w:rsid w:val="00797152"/>
    <w:rsid w:val="0079724A"/>
    <w:rsid w:val="007972C1"/>
    <w:rsid w:val="00797486"/>
    <w:rsid w:val="007974CA"/>
    <w:rsid w:val="00797508"/>
    <w:rsid w:val="007976E9"/>
    <w:rsid w:val="007977AA"/>
    <w:rsid w:val="007977C1"/>
    <w:rsid w:val="00797815"/>
    <w:rsid w:val="0079785E"/>
    <w:rsid w:val="007978E7"/>
    <w:rsid w:val="00797901"/>
    <w:rsid w:val="007979C9"/>
    <w:rsid w:val="00797A3C"/>
    <w:rsid w:val="00797A6A"/>
    <w:rsid w:val="00797AA2"/>
    <w:rsid w:val="00797DC1"/>
    <w:rsid w:val="00797E7F"/>
    <w:rsid w:val="007A002C"/>
    <w:rsid w:val="007A0047"/>
    <w:rsid w:val="007A015C"/>
    <w:rsid w:val="007A019C"/>
    <w:rsid w:val="007A01D5"/>
    <w:rsid w:val="007A02FC"/>
    <w:rsid w:val="007A030B"/>
    <w:rsid w:val="007A0685"/>
    <w:rsid w:val="007A06A6"/>
    <w:rsid w:val="007A076D"/>
    <w:rsid w:val="007A0789"/>
    <w:rsid w:val="007A07E6"/>
    <w:rsid w:val="007A08C4"/>
    <w:rsid w:val="007A08DC"/>
    <w:rsid w:val="007A09D8"/>
    <w:rsid w:val="007A0A51"/>
    <w:rsid w:val="007A0C01"/>
    <w:rsid w:val="007A0E5B"/>
    <w:rsid w:val="007A0EE8"/>
    <w:rsid w:val="007A0F7D"/>
    <w:rsid w:val="007A0FDB"/>
    <w:rsid w:val="007A10C0"/>
    <w:rsid w:val="007A1152"/>
    <w:rsid w:val="007A115A"/>
    <w:rsid w:val="007A11B3"/>
    <w:rsid w:val="007A1261"/>
    <w:rsid w:val="007A128E"/>
    <w:rsid w:val="007A1357"/>
    <w:rsid w:val="007A1376"/>
    <w:rsid w:val="007A1467"/>
    <w:rsid w:val="007A147D"/>
    <w:rsid w:val="007A148F"/>
    <w:rsid w:val="007A156D"/>
    <w:rsid w:val="007A157D"/>
    <w:rsid w:val="007A1713"/>
    <w:rsid w:val="007A1755"/>
    <w:rsid w:val="007A191C"/>
    <w:rsid w:val="007A1966"/>
    <w:rsid w:val="007A1A07"/>
    <w:rsid w:val="007A1A08"/>
    <w:rsid w:val="007A1BE2"/>
    <w:rsid w:val="007A1C33"/>
    <w:rsid w:val="007A2032"/>
    <w:rsid w:val="007A21BB"/>
    <w:rsid w:val="007A2261"/>
    <w:rsid w:val="007A22EF"/>
    <w:rsid w:val="007A233A"/>
    <w:rsid w:val="007A2472"/>
    <w:rsid w:val="007A251B"/>
    <w:rsid w:val="007A254C"/>
    <w:rsid w:val="007A25F6"/>
    <w:rsid w:val="007A25FA"/>
    <w:rsid w:val="007A268D"/>
    <w:rsid w:val="007A2725"/>
    <w:rsid w:val="007A28C4"/>
    <w:rsid w:val="007A2A60"/>
    <w:rsid w:val="007A2B1A"/>
    <w:rsid w:val="007A2BC6"/>
    <w:rsid w:val="007A2BE6"/>
    <w:rsid w:val="007A2C08"/>
    <w:rsid w:val="007A2C3A"/>
    <w:rsid w:val="007A2C8B"/>
    <w:rsid w:val="007A2CEE"/>
    <w:rsid w:val="007A2DFE"/>
    <w:rsid w:val="007A2EA0"/>
    <w:rsid w:val="007A2FAC"/>
    <w:rsid w:val="007A2FAF"/>
    <w:rsid w:val="007A3113"/>
    <w:rsid w:val="007A316B"/>
    <w:rsid w:val="007A31CE"/>
    <w:rsid w:val="007A31FF"/>
    <w:rsid w:val="007A336D"/>
    <w:rsid w:val="007A33C7"/>
    <w:rsid w:val="007A34BC"/>
    <w:rsid w:val="007A3539"/>
    <w:rsid w:val="007A35F0"/>
    <w:rsid w:val="007A363F"/>
    <w:rsid w:val="007A36F9"/>
    <w:rsid w:val="007A3789"/>
    <w:rsid w:val="007A37AE"/>
    <w:rsid w:val="007A37CD"/>
    <w:rsid w:val="007A3859"/>
    <w:rsid w:val="007A38BA"/>
    <w:rsid w:val="007A38F7"/>
    <w:rsid w:val="007A3911"/>
    <w:rsid w:val="007A3915"/>
    <w:rsid w:val="007A3920"/>
    <w:rsid w:val="007A39C6"/>
    <w:rsid w:val="007A39CE"/>
    <w:rsid w:val="007A3A9A"/>
    <w:rsid w:val="007A3B2B"/>
    <w:rsid w:val="007A3B98"/>
    <w:rsid w:val="007A3C0C"/>
    <w:rsid w:val="007A3D5B"/>
    <w:rsid w:val="007A4058"/>
    <w:rsid w:val="007A42AC"/>
    <w:rsid w:val="007A431E"/>
    <w:rsid w:val="007A434E"/>
    <w:rsid w:val="007A4446"/>
    <w:rsid w:val="007A44FB"/>
    <w:rsid w:val="007A46F7"/>
    <w:rsid w:val="007A4793"/>
    <w:rsid w:val="007A4799"/>
    <w:rsid w:val="007A47AF"/>
    <w:rsid w:val="007A47F6"/>
    <w:rsid w:val="007A4A00"/>
    <w:rsid w:val="007A4A79"/>
    <w:rsid w:val="007A4AE3"/>
    <w:rsid w:val="007A4B39"/>
    <w:rsid w:val="007A4BB5"/>
    <w:rsid w:val="007A4C85"/>
    <w:rsid w:val="007A4D85"/>
    <w:rsid w:val="007A4E23"/>
    <w:rsid w:val="007A4E81"/>
    <w:rsid w:val="007A4EC7"/>
    <w:rsid w:val="007A4F90"/>
    <w:rsid w:val="007A50EA"/>
    <w:rsid w:val="007A510E"/>
    <w:rsid w:val="007A5138"/>
    <w:rsid w:val="007A51A3"/>
    <w:rsid w:val="007A51CB"/>
    <w:rsid w:val="007A51CF"/>
    <w:rsid w:val="007A529B"/>
    <w:rsid w:val="007A52F1"/>
    <w:rsid w:val="007A53C3"/>
    <w:rsid w:val="007A5446"/>
    <w:rsid w:val="007A5579"/>
    <w:rsid w:val="007A56D3"/>
    <w:rsid w:val="007A577D"/>
    <w:rsid w:val="007A57FF"/>
    <w:rsid w:val="007A5802"/>
    <w:rsid w:val="007A5817"/>
    <w:rsid w:val="007A5878"/>
    <w:rsid w:val="007A5926"/>
    <w:rsid w:val="007A5933"/>
    <w:rsid w:val="007A5937"/>
    <w:rsid w:val="007A59BA"/>
    <w:rsid w:val="007A5A5A"/>
    <w:rsid w:val="007A5A7A"/>
    <w:rsid w:val="007A5B59"/>
    <w:rsid w:val="007A5C4A"/>
    <w:rsid w:val="007A5D1E"/>
    <w:rsid w:val="007A5D4D"/>
    <w:rsid w:val="007A5DAA"/>
    <w:rsid w:val="007A5EEF"/>
    <w:rsid w:val="007A5F22"/>
    <w:rsid w:val="007A5FF6"/>
    <w:rsid w:val="007A6008"/>
    <w:rsid w:val="007A6033"/>
    <w:rsid w:val="007A604B"/>
    <w:rsid w:val="007A605A"/>
    <w:rsid w:val="007A6117"/>
    <w:rsid w:val="007A617A"/>
    <w:rsid w:val="007A61EC"/>
    <w:rsid w:val="007A641A"/>
    <w:rsid w:val="007A64F0"/>
    <w:rsid w:val="007A66B5"/>
    <w:rsid w:val="007A66D2"/>
    <w:rsid w:val="007A66EB"/>
    <w:rsid w:val="007A675F"/>
    <w:rsid w:val="007A67AC"/>
    <w:rsid w:val="007A67CF"/>
    <w:rsid w:val="007A6837"/>
    <w:rsid w:val="007A6845"/>
    <w:rsid w:val="007A6909"/>
    <w:rsid w:val="007A698A"/>
    <w:rsid w:val="007A6A0C"/>
    <w:rsid w:val="007A6A9E"/>
    <w:rsid w:val="007A6AA1"/>
    <w:rsid w:val="007A6AB6"/>
    <w:rsid w:val="007A6B1D"/>
    <w:rsid w:val="007A6CCD"/>
    <w:rsid w:val="007A6CE3"/>
    <w:rsid w:val="007A6D04"/>
    <w:rsid w:val="007A6D25"/>
    <w:rsid w:val="007A6DEA"/>
    <w:rsid w:val="007A6DF1"/>
    <w:rsid w:val="007A6DF4"/>
    <w:rsid w:val="007A6E17"/>
    <w:rsid w:val="007A6E2F"/>
    <w:rsid w:val="007A6E3C"/>
    <w:rsid w:val="007A6E6C"/>
    <w:rsid w:val="007A6EED"/>
    <w:rsid w:val="007A6FD4"/>
    <w:rsid w:val="007A6FF3"/>
    <w:rsid w:val="007A7055"/>
    <w:rsid w:val="007A7201"/>
    <w:rsid w:val="007A727C"/>
    <w:rsid w:val="007A7348"/>
    <w:rsid w:val="007A73A4"/>
    <w:rsid w:val="007A73B8"/>
    <w:rsid w:val="007A7489"/>
    <w:rsid w:val="007A7516"/>
    <w:rsid w:val="007A76F5"/>
    <w:rsid w:val="007A781C"/>
    <w:rsid w:val="007A7820"/>
    <w:rsid w:val="007A78BD"/>
    <w:rsid w:val="007A78D2"/>
    <w:rsid w:val="007A78F4"/>
    <w:rsid w:val="007A7A10"/>
    <w:rsid w:val="007A7A21"/>
    <w:rsid w:val="007A7A8C"/>
    <w:rsid w:val="007A7B9B"/>
    <w:rsid w:val="007A7BEE"/>
    <w:rsid w:val="007A7CD0"/>
    <w:rsid w:val="007A7E58"/>
    <w:rsid w:val="007A7E7B"/>
    <w:rsid w:val="007A7ED5"/>
    <w:rsid w:val="007A7FC5"/>
    <w:rsid w:val="007B003E"/>
    <w:rsid w:val="007B0076"/>
    <w:rsid w:val="007B0258"/>
    <w:rsid w:val="007B0351"/>
    <w:rsid w:val="007B03B7"/>
    <w:rsid w:val="007B03C3"/>
    <w:rsid w:val="007B0469"/>
    <w:rsid w:val="007B046A"/>
    <w:rsid w:val="007B0561"/>
    <w:rsid w:val="007B0604"/>
    <w:rsid w:val="007B07EF"/>
    <w:rsid w:val="007B0809"/>
    <w:rsid w:val="007B085A"/>
    <w:rsid w:val="007B0876"/>
    <w:rsid w:val="007B0B28"/>
    <w:rsid w:val="007B0C65"/>
    <w:rsid w:val="007B0CD3"/>
    <w:rsid w:val="007B0D96"/>
    <w:rsid w:val="007B0DA7"/>
    <w:rsid w:val="007B0E3A"/>
    <w:rsid w:val="007B0E3F"/>
    <w:rsid w:val="007B0F30"/>
    <w:rsid w:val="007B0F48"/>
    <w:rsid w:val="007B114C"/>
    <w:rsid w:val="007B1164"/>
    <w:rsid w:val="007B1177"/>
    <w:rsid w:val="007B1358"/>
    <w:rsid w:val="007B13A8"/>
    <w:rsid w:val="007B13D8"/>
    <w:rsid w:val="007B143F"/>
    <w:rsid w:val="007B154F"/>
    <w:rsid w:val="007B1581"/>
    <w:rsid w:val="007B16E7"/>
    <w:rsid w:val="007B17F4"/>
    <w:rsid w:val="007B1820"/>
    <w:rsid w:val="007B1834"/>
    <w:rsid w:val="007B1837"/>
    <w:rsid w:val="007B18B5"/>
    <w:rsid w:val="007B18D9"/>
    <w:rsid w:val="007B1B1F"/>
    <w:rsid w:val="007B1B3B"/>
    <w:rsid w:val="007B1B71"/>
    <w:rsid w:val="007B1B98"/>
    <w:rsid w:val="007B1BBB"/>
    <w:rsid w:val="007B1C05"/>
    <w:rsid w:val="007B1C48"/>
    <w:rsid w:val="007B1CB7"/>
    <w:rsid w:val="007B1CFF"/>
    <w:rsid w:val="007B1D7E"/>
    <w:rsid w:val="007B1E59"/>
    <w:rsid w:val="007B1EB0"/>
    <w:rsid w:val="007B1ED9"/>
    <w:rsid w:val="007B20DC"/>
    <w:rsid w:val="007B213F"/>
    <w:rsid w:val="007B21AD"/>
    <w:rsid w:val="007B2203"/>
    <w:rsid w:val="007B237A"/>
    <w:rsid w:val="007B23A1"/>
    <w:rsid w:val="007B242F"/>
    <w:rsid w:val="007B24C6"/>
    <w:rsid w:val="007B265F"/>
    <w:rsid w:val="007B268D"/>
    <w:rsid w:val="007B26A7"/>
    <w:rsid w:val="007B270D"/>
    <w:rsid w:val="007B2788"/>
    <w:rsid w:val="007B2793"/>
    <w:rsid w:val="007B27A7"/>
    <w:rsid w:val="007B27FA"/>
    <w:rsid w:val="007B2893"/>
    <w:rsid w:val="007B28DC"/>
    <w:rsid w:val="007B2A55"/>
    <w:rsid w:val="007B2ADE"/>
    <w:rsid w:val="007B2C4C"/>
    <w:rsid w:val="007B2CC1"/>
    <w:rsid w:val="007B2D92"/>
    <w:rsid w:val="007B2DFA"/>
    <w:rsid w:val="007B2E84"/>
    <w:rsid w:val="007B2EBF"/>
    <w:rsid w:val="007B2F7C"/>
    <w:rsid w:val="007B300A"/>
    <w:rsid w:val="007B3033"/>
    <w:rsid w:val="007B3047"/>
    <w:rsid w:val="007B3132"/>
    <w:rsid w:val="007B31E3"/>
    <w:rsid w:val="007B31F6"/>
    <w:rsid w:val="007B3265"/>
    <w:rsid w:val="007B33BD"/>
    <w:rsid w:val="007B349A"/>
    <w:rsid w:val="007B34E8"/>
    <w:rsid w:val="007B353D"/>
    <w:rsid w:val="007B35A9"/>
    <w:rsid w:val="007B3645"/>
    <w:rsid w:val="007B36D8"/>
    <w:rsid w:val="007B3728"/>
    <w:rsid w:val="007B3756"/>
    <w:rsid w:val="007B3767"/>
    <w:rsid w:val="007B3836"/>
    <w:rsid w:val="007B3990"/>
    <w:rsid w:val="007B3A2B"/>
    <w:rsid w:val="007B3AED"/>
    <w:rsid w:val="007B3C76"/>
    <w:rsid w:val="007B3CBE"/>
    <w:rsid w:val="007B3CCD"/>
    <w:rsid w:val="007B3EDB"/>
    <w:rsid w:val="007B3EEF"/>
    <w:rsid w:val="007B3F29"/>
    <w:rsid w:val="007B3FFF"/>
    <w:rsid w:val="007B4003"/>
    <w:rsid w:val="007B413D"/>
    <w:rsid w:val="007B4217"/>
    <w:rsid w:val="007B437E"/>
    <w:rsid w:val="007B4414"/>
    <w:rsid w:val="007B44D8"/>
    <w:rsid w:val="007B4648"/>
    <w:rsid w:val="007B46AF"/>
    <w:rsid w:val="007B46C0"/>
    <w:rsid w:val="007B47B4"/>
    <w:rsid w:val="007B483C"/>
    <w:rsid w:val="007B4937"/>
    <w:rsid w:val="007B493F"/>
    <w:rsid w:val="007B494C"/>
    <w:rsid w:val="007B4A92"/>
    <w:rsid w:val="007B4B1C"/>
    <w:rsid w:val="007B4C77"/>
    <w:rsid w:val="007B4C7E"/>
    <w:rsid w:val="007B4D01"/>
    <w:rsid w:val="007B4D7B"/>
    <w:rsid w:val="007B4D90"/>
    <w:rsid w:val="007B508E"/>
    <w:rsid w:val="007B5094"/>
    <w:rsid w:val="007B512A"/>
    <w:rsid w:val="007B526B"/>
    <w:rsid w:val="007B5370"/>
    <w:rsid w:val="007B5393"/>
    <w:rsid w:val="007B5396"/>
    <w:rsid w:val="007B53BC"/>
    <w:rsid w:val="007B53C4"/>
    <w:rsid w:val="007B5453"/>
    <w:rsid w:val="007B54D9"/>
    <w:rsid w:val="007B554A"/>
    <w:rsid w:val="007B5583"/>
    <w:rsid w:val="007B570B"/>
    <w:rsid w:val="007B5737"/>
    <w:rsid w:val="007B5810"/>
    <w:rsid w:val="007B5948"/>
    <w:rsid w:val="007B59CA"/>
    <w:rsid w:val="007B5A34"/>
    <w:rsid w:val="007B5A57"/>
    <w:rsid w:val="007B5AFC"/>
    <w:rsid w:val="007B5C27"/>
    <w:rsid w:val="007B5CBD"/>
    <w:rsid w:val="007B5D12"/>
    <w:rsid w:val="007B5DA1"/>
    <w:rsid w:val="007B5E5D"/>
    <w:rsid w:val="007B5F45"/>
    <w:rsid w:val="007B5F80"/>
    <w:rsid w:val="007B5FD0"/>
    <w:rsid w:val="007B6022"/>
    <w:rsid w:val="007B603F"/>
    <w:rsid w:val="007B6158"/>
    <w:rsid w:val="007B62D7"/>
    <w:rsid w:val="007B6307"/>
    <w:rsid w:val="007B6401"/>
    <w:rsid w:val="007B64C1"/>
    <w:rsid w:val="007B652A"/>
    <w:rsid w:val="007B661A"/>
    <w:rsid w:val="007B6627"/>
    <w:rsid w:val="007B679B"/>
    <w:rsid w:val="007B68B2"/>
    <w:rsid w:val="007B695D"/>
    <w:rsid w:val="007B6B83"/>
    <w:rsid w:val="007B6BB6"/>
    <w:rsid w:val="007B6C68"/>
    <w:rsid w:val="007B6DAE"/>
    <w:rsid w:val="007B6E73"/>
    <w:rsid w:val="007B6ED7"/>
    <w:rsid w:val="007B6FB7"/>
    <w:rsid w:val="007B70E0"/>
    <w:rsid w:val="007B7196"/>
    <w:rsid w:val="007B71CA"/>
    <w:rsid w:val="007B7237"/>
    <w:rsid w:val="007B7376"/>
    <w:rsid w:val="007B7439"/>
    <w:rsid w:val="007B74D9"/>
    <w:rsid w:val="007B750E"/>
    <w:rsid w:val="007B757B"/>
    <w:rsid w:val="007B762E"/>
    <w:rsid w:val="007B76B6"/>
    <w:rsid w:val="007B76EB"/>
    <w:rsid w:val="007B7714"/>
    <w:rsid w:val="007B772B"/>
    <w:rsid w:val="007B7908"/>
    <w:rsid w:val="007B7A3E"/>
    <w:rsid w:val="007B7A5B"/>
    <w:rsid w:val="007B7A75"/>
    <w:rsid w:val="007B7AAA"/>
    <w:rsid w:val="007B7B36"/>
    <w:rsid w:val="007B7B47"/>
    <w:rsid w:val="007B7B4C"/>
    <w:rsid w:val="007B7B85"/>
    <w:rsid w:val="007B7C46"/>
    <w:rsid w:val="007B7DB8"/>
    <w:rsid w:val="007B7E29"/>
    <w:rsid w:val="007B7E32"/>
    <w:rsid w:val="007B7E81"/>
    <w:rsid w:val="007B7EA5"/>
    <w:rsid w:val="007B7EE2"/>
    <w:rsid w:val="007B7F53"/>
    <w:rsid w:val="007B7FE6"/>
    <w:rsid w:val="007C0023"/>
    <w:rsid w:val="007C00B0"/>
    <w:rsid w:val="007C0258"/>
    <w:rsid w:val="007C029D"/>
    <w:rsid w:val="007C02CA"/>
    <w:rsid w:val="007C0305"/>
    <w:rsid w:val="007C0328"/>
    <w:rsid w:val="007C0464"/>
    <w:rsid w:val="007C04AA"/>
    <w:rsid w:val="007C04B1"/>
    <w:rsid w:val="007C04F9"/>
    <w:rsid w:val="007C0634"/>
    <w:rsid w:val="007C063E"/>
    <w:rsid w:val="007C067D"/>
    <w:rsid w:val="007C077F"/>
    <w:rsid w:val="007C0783"/>
    <w:rsid w:val="007C0878"/>
    <w:rsid w:val="007C0912"/>
    <w:rsid w:val="007C092D"/>
    <w:rsid w:val="007C097B"/>
    <w:rsid w:val="007C0B35"/>
    <w:rsid w:val="007C0B36"/>
    <w:rsid w:val="007C0D62"/>
    <w:rsid w:val="007C0D88"/>
    <w:rsid w:val="007C0DD9"/>
    <w:rsid w:val="007C0DF1"/>
    <w:rsid w:val="007C0E02"/>
    <w:rsid w:val="007C0E07"/>
    <w:rsid w:val="007C0E33"/>
    <w:rsid w:val="007C0EEA"/>
    <w:rsid w:val="007C0F19"/>
    <w:rsid w:val="007C0F59"/>
    <w:rsid w:val="007C0FB0"/>
    <w:rsid w:val="007C1053"/>
    <w:rsid w:val="007C1168"/>
    <w:rsid w:val="007C1180"/>
    <w:rsid w:val="007C1192"/>
    <w:rsid w:val="007C11FD"/>
    <w:rsid w:val="007C1278"/>
    <w:rsid w:val="007C13D6"/>
    <w:rsid w:val="007C14F0"/>
    <w:rsid w:val="007C14F7"/>
    <w:rsid w:val="007C1696"/>
    <w:rsid w:val="007C16F9"/>
    <w:rsid w:val="007C1736"/>
    <w:rsid w:val="007C17AB"/>
    <w:rsid w:val="007C1923"/>
    <w:rsid w:val="007C19E2"/>
    <w:rsid w:val="007C1A42"/>
    <w:rsid w:val="007C1A51"/>
    <w:rsid w:val="007C1B6D"/>
    <w:rsid w:val="007C1BAD"/>
    <w:rsid w:val="007C1BEC"/>
    <w:rsid w:val="007C1C31"/>
    <w:rsid w:val="007C1CBC"/>
    <w:rsid w:val="007C1D01"/>
    <w:rsid w:val="007C1D68"/>
    <w:rsid w:val="007C1E8E"/>
    <w:rsid w:val="007C1F3F"/>
    <w:rsid w:val="007C1F4F"/>
    <w:rsid w:val="007C1F6F"/>
    <w:rsid w:val="007C2134"/>
    <w:rsid w:val="007C214B"/>
    <w:rsid w:val="007C2173"/>
    <w:rsid w:val="007C21A3"/>
    <w:rsid w:val="007C21BC"/>
    <w:rsid w:val="007C21E1"/>
    <w:rsid w:val="007C2247"/>
    <w:rsid w:val="007C2276"/>
    <w:rsid w:val="007C244F"/>
    <w:rsid w:val="007C2556"/>
    <w:rsid w:val="007C2557"/>
    <w:rsid w:val="007C2586"/>
    <w:rsid w:val="007C262E"/>
    <w:rsid w:val="007C264B"/>
    <w:rsid w:val="007C2675"/>
    <w:rsid w:val="007C27A2"/>
    <w:rsid w:val="007C27AB"/>
    <w:rsid w:val="007C2869"/>
    <w:rsid w:val="007C287D"/>
    <w:rsid w:val="007C2A62"/>
    <w:rsid w:val="007C2AC5"/>
    <w:rsid w:val="007C2AD7"/>
    <w:rsid w:val="007C2B41"/>
    <w:rsid w:val="007C2BC6"/>
    <w:rsid w:val="007C2C2A"/>
    <w:rsid w:val="007C2CC3"/>
    <w:rsid w:val="007C2D3B"/>
    <w:rsid w:val="007C2D9D"/>
    <w:rsid w:val="007C2EE0"/>
    <w:rsid w:val="007C2F14"/>
    <w:rsid w:val="007C2F3C"/>
    <w:rsid w:val="007C310B"/>
    <w:rsid w:val="007C31F1"/>
    <w:rsid w:val="007C31FB"/>
    <w:rsid w:val="007C3201"/>
    <w:rsid w:val="007C3263"/>
    <w:rsid w:val="007C3267"/>
    <w:rsid w:val="007C32B2"/>
    <w:rsid w:val="007C331E"/>
    <w:rsid w:val="007C33E0"/>
    <w:rsid w:val="007C34B2"/>
    <w:rsid w:val="007C34BC"/>
    <w:rsid w:val="007C3567"/>
    <w:rsid w:val="007C3662"/>
    <w:rsid w:val="007C36CA"/>
    <w:rsid w:val="007C384E"/>
    <w:rsid w:val="007C3879"/>
    <w:rsid w:val="007C38A7"/>
    <w:rsid w:val="007C38BC"/>
    <w:rsid w:val="007C38CB"/>
    <w:rsid w:val="007C38E4"/>
    <w:rsid w:val="007C395B"/>
    <w:rsid w:val="007C3975"/>
    <w:rsid w:val="007C3987"/>
    <w:rsid w:val="007C3A42"/>
    <w:rsid w:val="007C3AC7"/>
    <w:rsid w:val="007C3B01"/>
    <w:rsid w:val="007C3C1F"/>
    <w:rsid w:val="007C3C33"/>
    <w:rsid w:val="007C3C7C"/>
    <w:rsid w:val="007C3CA0"/>
    <w:rsid w:val="007C3CA2"/>
    <w:rsid w:val="007C3DA5"/>
    <w:rsid w:val="007C3DD1"/>
    <w:rsid w:val="007C3E95"/>
    <w:rsid w:val="007C3EA3"/>
    <w:rsid w:val="007C3F56"/>
    <w:rsid w:val="007C3FF5"/>
    <w:rsid w:val="007C424E"/>
    <w:rsid w:val="007C43D9"/>
    <w:rsid w:val="007C440D"/>
    <w:rsid w:val="007C443B"/>
    <w:rsid w:val="007C450F"/>
    <w:rsid w:val="007C45D5"/>
    <w:rsid w:val="007C45F9"/>
    <w:rsid w:val="007C466A"/>
    <w:rsid w:val="007C4800"/>
    <w:rsid w:val="007C483F"/>
    <w:rsid w:val="007C496A"/>
    <w:rsid w:val="007C4A77"/>
    <w:rsid w:val="007C4A7E"/>
    <w:rsid w:val="007C4A8F"/>
    <w:rsid w:val="007C4AA1"/>
    <w:rsid w:val="007C4AE9"/>
    <w:rsid w:val="007C4B0E"/>
    <w:rsid w:val="007C4B70"/>
    <w:rsid w:val="007C4CFB"/>
    <w:rsid w:val="007C4D46"/>
    <w:rsid w:val="007C4E94"/>
    <w:rsid w:val="007C4F72"/>
    <w:rsid w:val="007C4F8B"/>
    <w:rsid w:val="007C4FD7"/>
    <w:rsid w:val="007C50A1"/>
    <w:rsid w:val="007C50F2"/>
    <w:rsid w:val="007C5220"/>
    <w:rsid w:val="007C525E"/>
    <w:rsid w:val="007C5273"/>
    <w:rsid w:val="007C5298"/>
    <w:rsid w:val="007C52B6"/>
    <w:rsid w:val="007C5387"/>
    <w:rsid w:val="007C54CB"/>
    <w:rsid w:val="007C5513"/>
    <w:rsid w:val="007C5649"/>
    <w:rsid w:val="007C573E"/>
    <w:rsid w:val="007C5969"/>
    <w:rsid w:val="007C596A"/>
    <w:rsid w:val="007C5A4F"/>
    <w:rsid w:val="007C5AA6"/>
    <w:rsid w:val="007C5B35"/>
    <w:rsid w:val="007C5B58"/>
    <w:rsid w:val="007C5B9E"/>
    <w:rsid w:val="007C5CFA"/>
    <w:rsid w:val="007C5D28"/>
    <w:rsid w:val="007C5DC8"/>
    <w:rsid w:val="007C5E09"/>
    <w:rsid w:val="007C5EF5"/>
    <w:rsid w:val="007C5F07"/>
    <w:rsid w:val="007C5F90"/>
    <w:rsid w:val="007C6099"/>
    <w:rsid w:val="007C612D"/>
    <w:rsid w:val="007C6133"/>
    <w:rsid w:val="007C6279"/>
    <w:rsid w:val="007C635C"/>
    <w:rsid w:val="007C655B"/>
    <w:rsid w:val="007C659A"/>
    <w:rsid w:val="007C6774"/>
    <w:rsid w:val="007C67F6"/>
    <w:rsid w:val="007C68AE"/>
    <w:rsid w:val="007C68E6"/>
    <w:rsid w:val="007C68FE"/>
    <w:rsid w:val="007C6915"/>
    <w:rsid w:val="007C698C"/>
    <w:rsid w:val="007C69AE"/>
    <w:rsid w:val="007C69E9"/>
    <w:rsid w:val="007C6BCA"/>
    <w:rsid w:val="007C6BFF"/>
    <w:rsid w:val="007C6C39"/>
    <w:rsid w:val="007C6C55"/>
    <w:rsid w:val="007C6C70"/>
    <w:rsid w:val="007C6E25"/>
    <w:rsid w:val="007C6E49"/>
    <w:rsid w:val="007C6E85"/>
    <w:rsid w:val="007C6F4B"/>
    <w:rsid w:val="007C6FE6"/>
    <w:rsid w:val="007C713B"/>
    <w:rsid w:val="007C71C5"/>
    <w:rsid w:val="007C723E"/>
    <w:rsid w:val="007C725C"/>
    <w:rsid w:val="007C730F"/>
    <w:rsid w:val="007C731B"/>
    <w:rsid w:val="007C73A4"/>
    <w:rsid w:val="007C73B6"/>
    <w:rsid w:val="007C7463"/>
    <w:rsid w:val="007C74FD"/>
    <w:rsid w:val="007C7531"/>
    <w:rsid w:val="007C7557"/>
    <w:rsid w:val="007C756F"/>
    <w:rsid w:val="007C75ED"/>
    <w:rsid w:val="007C7666"/>
    <w:rsid w:val="007C766E"/>
    <w:rsid w:val="007C7672"/>
    <w:rsid w:val="007C787A"/>
    <w:rsid w:val="007C7889"/>
    <w:rsid w:val="007C79B7"/>
    <w:rsid w:val="007C7B5B"/>
    <w:rsid w:val="007C7B72"/>
    <w:rsid w:val="007C7E3D"/>
    <w:rsid w:val="007C7E97"/>
    <w:rsid w:val="007C7E9B"/>
    <w:rsid w:val="007D0237"/>
    <w:rsid w:val="007D02D4"/>
    <w:rsid w:val="007D0612"/>
    <w:rsid w:val="007D0620"/>
    <w:rsid w:val="007D0698"/>
    <w:rsid w:val="007D0705"/>
    <w:rsid w:val="007D0730"/>
    <w:rsid w:val="007D077B"/>
    <w:rsid w:val="007D081A"/>
    <w:rsid w:val="007D08E5"/>
    <w:rsid w:val="007D09AD"/>
    <w:rsid w:val="007D09AE"/>
    <w:rsid w:val="007D09CF"/>
    <w:rsid w:val="007D0A08"/>
    <w:rsid w:val="007D0A2B"/>
    <w:rsid w:val="007D0ABD"/>
    <w:rsid w:val="007D0B39"/>
    <w:rsid w:val="007D0B4A"/>
    <w:rsid w:val="007D0BF5"/>
    <w:rsid w:val="007D0C2E"/>
    <w:rsid w:val="007D0CC2"/>
    <w:rsid w:val="007D0D2A"/>
    <w:rsid w:val="007D0DCE"/>
    <w:rsid w:val="007D0F3E"/>
    <w:rsid w:val="007D0F8A"/>
    <w:rsid w:val="007D1006"/>
    <w:rsid w:val="007D10B8"/>
    <w:rsid w:val="007D1201"/>
    <w:rsid w:val="007D12BA"/>
    <w:rsid w:val="007D12E5"/>
    <w:rsid w:val="007D13C7"/>
    <w:rsid w:val="007D14E6"/>
    <w:rsid w:val="007D1510"/>
    <w:rsid w:val="007D153B"/>
    <w:rsid w:val="007D1583"/>
    <w:rsid w:val="007D176F"/>
    <w:rsid w:val="007D17B2"/>
    <w:rsid w:val="007D17C7"/>
    <w:rsid w:val="007D1801"/>
    <w:rsid w:val="007D184E"/>
    <w:rsid w:val="007D1884"/>
    <w:rsid w:val="007D18F5"/>
    <w:rsid w:val="007D192A"/>
    <w:rsid w:val="007D19E0"/>
    <w:rsid w:val="007D1A1B"/>
    <w:rsid w:val="007D1A57"/>
    <w:rsid w:val="007D1A75"/>
    <w:rsid w:val="007D1A87"/>
    <w:rsid w:val="007D1ED0"/>
    <w:rsid w:val="007D1F10"/>
    <w:rsid w:val="007D1FB7"/>
    <w:rsid w:val="007D206A"/>
    <w:rsid w:val="007D2182"/>
    <w:rsid w:val="007D2224"/>
    <w:rsid w:val="007D2260"/>
    <w:rsid w:val="007D229F"/>
    <w:rsid w:val="007D22D1"/>
    <w:rsid w:val="007D23A5"/>
    <w:rsid w:val="007D23CC"/>
    <w:rsid w:val="007D241A"/>
    <w:rsid w:val="007D24BA"/>
    <w:rsid w:val="007D2531"/>
    <w:rsid w:val="007D255B"/>
    <w:rsid w:val="007D260C"/>
    <w:rsid w:val="007D2652"/>
    <w:rsid w:val="007D2665"/>
    <w:rsid w:val="007D2876"/>
    <w:rsid w:val="007D291A"/>
    <w:rsid w:val="007D295D"/>
    <w:rsid w:val="007D2A47"/>
    <w:rsid w:val="007D2A81"/>
    <w:rsid w:val="007D2BDA"/>
    <w:rsid w:val="007D2C3D"/>
    <w:rsid w:val="007D2C57"/>
    <w:rsid w:val="007D2D3B"/>
    <w:rsid w:val="007D2D54"/>
    <w:rsid w:val="007D2DBD"/>
    <w:rsid w:val="007D2E27"/>
    <w:rsid w:val="007D2EFF"/>
    <w:rsid w:val="007D2FD3"/>
    <w:rsid w:val="007D31C2"/>
    <w:rsid w:val="007D321F"/>
    <w:rsid w:val="007D322C"/>
    <w:rsid w:val="007D337D"/>
    <w:rsid w:val="007D33C4"/>
    <w:rsid w:val="007D34C0"/>
    <w:rsid w:val="007D35C8"/>
    <w:rsid w:val="007D3694"/>
    <w:rsid w:val="007D36DB"/>
    <w:rsid w:val="007D373A"/>
    <w:rsid w:val="007D377E"/>
    <w:rsid w:val="007D37A6"/>
    <w:rsid w:val="007D395C"/>
    <w:rsid w:val="007D3ACB"/>
    <w:rsid w:val="007D3B10"/>
    <w:rsid w:val="007D3B67"/>
    <w:rsid w:val="007D3B6B"/>
    <w:rsid w:val="007D3BE8"/>
    <w:rsid w:val="007D3CB6"/>
    <w:rsid w:val="007D3CDF"/>
    <w:rsid w:val="007D3D52"/>
    <w:rsid w:val="007D3D8E"/>
    <w:rsid w:val="007D3E21"/>
    <w:rsid w:val="007D41B4"/>
    <w:rsid w:val="007D4345"/>
    <w:rsid w:val="007D4379"/>
    <w:rsid w:val="007D443B"/>
    <w:rsid w:val="007D44CE"/>
    <w:rsid w:val="007D4528"/>
    <w:rsid w:val="007D454E"/>
    <w:rsid w:val="007D45C9"/>
    <w:rsid w:val="007D462F"/>
    <w:rsid w:val="007D46B8"/>
    <w:rsid w:val="007D47A1"/>
    <w:rsid w:val="007D493C"/>
    <w:rsid w:val="007D494C"/>
    <w:rsid w:val="007D4985"/>
    <w:rsid w:val="007D49BC"/>
    <w:rsid w:val="007D4A77"/>
    <w:rsid w:val="007D4A89"/>
    <w:rsid w:val="007D4ADE"/>
    <w:rsid w:val="007D4B26"/>
    <w:rsid w:val="007D4B9C"/>
    <w:rsid w:val="007D4C17"/>
    <w:rsid w:val="007D4C18"/>
    <w:rsid w:val="007D4D1A"/>
    <w:rsid w:val="007D4D66"/>
    <w:rsid w:val="007D4D6D"/>
    <w:rsid w:val="007D4DD3"/>
    <w:rsid w:val="007D4E46"/>
    <w:rsid w:val="007D4FD0"/>
    <w:rsid w:val="007D5111"/>
    <w:rsid w:val="007D51BA"/>
    <w:rsid w:val="007D5268"/>
    <w:rsid w:val="007D5408"/>
    <w:rsid w:val="007D541F"/>
    <w:rsid w:val="007D54AF"/>
    <w:rsid w:val="007D5600"/>
    <w:rsid w:val="007D5783"/>
    <w:rsid w:val="007D57A2"/>
    <w:rsid w:val="007D57F0"/>
    <w:rsid w:val="007D580E"/>
    <w:rsid w:val="007D5887"/>
    <w:rsid w:val="007D58A9"/>
    <w:rsid w:val="007D59DC"/>
    <w:rsid w:val="007D5AC9"/>
    <w:rsid w:val="007D5B98"/>
    <w:rsid w:val="007D5C29"/>
    <w:rsid w:val="007D5CA4"/>
    <w:rsid w:val="007D5CBC"/>
    <w:rsid w:val="007D5CCE"/>
    <w:rsid w:val="007D5D6D"/>
    <w:rsid w:val="007D5E36"/>
    <w:rsid w:val="007D5E8B"/>
    <w:rsid w:val="007D5E93"/>
    <w:rsid w:val="007D5EA4"/>
    <w:rsid w:val="007D60E8"/>
    <w:rsid w:val="007D6227"/>
    <w:rsid w:val="007D62A0"/>
    <w:rsid w:val="007D6397"/>
    <w:rsid w:val="007D641A"/>
    <w:rsid w:val="007D6428"/>
    <w:rsid w:val="007D642B"/>
    <w:rsid w:val="007D6465"/>
    <w:rsid w:val="007D64D8"/>
    <w:rsid w:val="007D6531"/>
    <w:rsid w:val="007D66BB"/>
    <w:rsid w:val="007D66D9"/>
    <w:rsid w:val="007D6736"/>
    <w:rsid w:val="007D675B"/>
    <w:rsid w:val="007D67EE"/>
    <w:rsid w:val="007D695F"/>
    <w:rsid w:val="007D6A0D"/>
    <w:rsid w:val="007D6A5F"/>
    <w:rsid w:val="007D6A8F"/>
    <w:rsid w:val="007D6AA6"/>
    <w:rsid w:val="007D6B0B"/>
    <w:rsid w:val="007D6BEC"/>
    <w:rsid w:val="007D6C3B"/>
    <w:rsid w:val="007D6C60"/>
    <w:rsid w:val="007D6CB5"/>
    <w:rsid w:val="007D6CD9"/>
    <w:rsid w:val="007D6DC9"/>
    <w:rsid w:val="007D6E3D"/>
    <w:rsid w:val="007D6F20"/>
    <w:rsid w:val="007D6FEA"/>
    <w:rsid w:val="007D7008"/>
    <w:rsid w:val="007D70DC"/>
    <w:rsid w:val="007D7177"/>
    <w:rsid w:val="007D72B3"/>
    <w:rsid w:val="007D7379"/>
    <w:rsid w:val="007D73B6"/>
    <w:rsid w:val="007D7450"/>
    <w:rsid w:val="007D745E"/>
    <w:rsid w:val="007D758D"/>
    <w:rsid w:val="007D7657"/>
    <w:rsid w:val="007D7687"/>
    <w:rsid w:val="007D77CA"/>
    <w:rsid w:val="007D77F9"/>
    <w:rsid w:val="007D77FF"/>
    <w:rsid w:val="007D78C1"/>
    <w:rsid w:val="007D7BBF"/>
    <w:rsid w:val="007D7C84"/>
    <w:rsid w:val="007D7D3D"/>
    <w:rsid w:val="007D7E0E"/>
    <w:rsid w:val="007D7EDB"/>
    <w:rsid w:val="007D7EFE"/>
    <w:rsid w:val="007E00B7"/>
    <w:rsid w:val="007E0141"/>
    <w:rsid w:val="007E0364"/>
    <w:rsid w:val="007E04EB"/>
    <w:rsid w:val="007E04FD"/>
    <w:rsid w:val="007E0547"/>
    <w:rsid w:val="007E05D8"/>
    <w:rsid w:val="007E0665"/>
    <w:rsid w:val="007E068E"/>
    <w:rsid w:val="007E06B5"/>
    <w:rsid w:val="007E07C2"/>
    <w:rsid w:val="007E084E"/>
    <w:rsid w:val="007E0913"/>
    <w:rsid w:val="007E0ABA"/>
    <w:rsid w:val="007E0AEA"/>
    <w:rsid w:val="007E0C01"/>
    <w:rsid w:val="007E0C22"/>
    <w:rsid w:val="007E0C59"/>
    <w:rsid w:val="007E0CBE"/>
    <w:rsid w:val="007E0CCC"/>
    <w:rsid w:val="007E0CD1"/>
    <w:rsid w:val="007E0D7A"/>
    <w:rsid w:val="007E0F04"/>
    <w:rsid w:val="007E0F43"/>
    <w:rsid w:val="007E0FA8"/>
    <w:rsid w:val="007E1053"/>
    <w:rsid w:val="007E10AB"/>
    <w:rsid w:val="007E1127"/>
    <w:rsid w:val="007E11E0"/>
    <w:rsid w:val="007E12D0"/>
    <w:rsid w:val="007E131F"/>
    <w:rsid w:val="007E136D"/>
    <w:rsid w:val="007E1406"/>
    <w:rsid w:val="007E1421"/>
    <w:rsid w:val="007E150C"/>
    <w:rsid w:val="007E15F0"/>
    <w:rsid w:val="007E1673"/>
    <w:rsid w:val="007E16D1"/>
    <w:rsid w:val="007E1826"/>
    <w:rsid w:val="007E18C1"/>
    <w:rsid w:val="007E18D7"/>
    <w:rsid w:val="007E18E6"/>
    <w:rsid w:val="007E1A05"/>
    <w:rsid w:val="007E1C14"/>
    <w:rsid w:val="007E1CD6"/>
    <w:rsid w:val="007E1CEE"/>
    <w:rsid w:val="007E1DDB"/>
    <w:rsid w:val="007E1E86"/>
    <w:rsid w:val="007E1F06"/>
    <w:rsid w:val="007E1F61"/>
    <w:rsid w:val="007E1FD7"/>
    <w:rsid w:val="007E2101"/>
    <w:rsid w:val="007E2110"/>
    <w:rsid w:val="007E217E"/>
    <w:rsid w:val="007E2204"/>
    <w:rsid w:val="007E229B"/>
    <w:rsid w:val="007E22C2"/>
    <w:rsid w:val="007E2408"/>
    <w:rsid w:val="007E2419"/>
    <w:rsid w:val="007E244A"/>
    <w:rsid w:val="007E2526"/>
    <w:rsid w:val="007E254D"/>
    <w:rsid w:val="007E269F"/>
    <w:rsid w:val="007E2709"/>
    <w:rsid w:val="007E2771"/>
    <w:rsid w:val="007E2835"/>
    <w:rsid w:val="007E2862"/>
    <w:rsid w:val="007E2ADF"/>
    <w:rsid w:val="007E2AF6"/>
    <w:rsid w:val="007E2B47"/>
    <w:rsid w:val="007E2C8B"/>
    <w:rsid w:val="007E2CDE"/>
    <w:rsid w:val="007E2CEC"/>
    <w:rsid w:val="007E2D31"/>
    <w:rsid w:val="007E2F10"/>
    <w:rsid w:val="007E2F65"/>
    <w:rsid w:val="007E306E"/>
    <w:rsid w:val="007E30F2"/>
    <w:rsid w:val="007E316E"/>
    <w:rsid w:val="007E320F"/>
    <w:rsid w:val="007E33B3"/>
    <w:rsid w:val="007E3536"/>
    <w:rsid w:val="007E3643"/>
    <w:rsid w:val="007E3665"/>
    <w:rsid w:val="007E36C5"/>
    <w:rsid w:val="007E372E"/>
    <w:rsid w:val="007E3783"/>
    <w:rsid w:val="007E388F"/>
    <w:rsid w:val="007E3952"/>
    <w:rsid w:val="007E39A8"/>
    <w:rsid w:val="007E3AC5"/>
    <w:rsid w:val="007E3C3D"/>
    <w:rsid w:val="007E3C7C"/>
    <w:rsid w:val="007E3CE9"/>
    <w:rsid w:val="007E3CED"/>
    <w:rsid w:val="007E3D77"/>
    <w:rsid w:val="007E3E07"/>
    <w:rsid w:val="007E3E58"/>
    <w:rsid w:val="007E3FB2"/>
    <w:rsid w:val="007E4085"/>
    <w:rsid w:val="007E409E"/>
    <w:rsid w:val="007E4112"/>
    <w:rsid w:val="007E4122"/>
    <w:rsid w:val="007E4178"/>
    <w:rsid w:val="007E4185"/>
    <w:rsid w:val="007E41E7"/>
    <w:rsid w:val="007E42AD"/>
    <w:rsid w:val="007E42DF"/>
    <w:rsid w:val="007E4379"/>
    <w:rsid w:val="007E438E"/>
    <w:rsid w:val="007E4419"/>
    <w:rsid w:val="007E4438"/>
    <w:rsid w:val="007E4550"/>
    <w:rsid w:val="007E45DE"/>
    <w:rsid w:val="007E460F"/>
    <w:rsid w:val="007E4617"/>
    <w:rsid w:val="007E4661"/>
    <w:rsid w:val="007E470B"/>
    <w:rsid w:val="007E47D1"/>
    <w:rsid w:val="007E47E8"/>
    <w:rsid w:val="007E4805"/>
    <w:rsid w:val="007E4833"/>
    <w:rsid w:val="007E4839"/>
    <w:rsid w:val="007E492A"/>
    <w:rsid w:val="007E49AE"/>
    <w:rsid w:val="007E4A30"/>
    <w:rsid w:val="007E4A59"/>
    <w:rsid w:val="007E4AF8"/>
    <w:rsid w:val="007E4C63"/>
    <w:rsid w:val="007E4DE7"/>
    <w:rsid w:val="007E4E04"/>
    <w:rsid w:val="007E4E19"/>
    <w:rsid w:val="007E4E5E"/>
    <w:rsid w:val="007E4ECF"/>
    <w:rsid w:val="007E4EE5"/>
    <w:rsid w:val="007E4F69"/>
    <w:rsid w:val="007E4FE0"/>
    <w:rsid w:val="007E5050"/>
    <w:rsid w:val="007E50A9"/>
    <w:rsid w:val="007E51C2"/>
    <w:rsid w:val="007E5395"/>
    <w:rsid w:val="007E5430"/>
    <w:rsid w:val="007E54A2"/>
    <w:rsid w:val="007E554A"/>
    <w:rsid w:val="007E5589"/>
    <w:rsid w:val="007E55F0"/>
    <w:rsid w:val="007E5684"/>
    <w:rsid w:val="007E57A4"/>
    <w:rsid w:val="007E57D0"/>
    <w:rsid w:val="007E585D"/>
    <w:rsid w:val="007E5B8A"/>
    <w:rsid w:val="007E5BDE"/>
    <w:rsid w:val="007E5C4C"/>
    <w:rsid w:val="007E5D40"/>
    <w:rsid w:val="007E5DE4"/>
    <w:rsid w:val="007E5E4F"/>
    <w:rsid w:val="007E5EDC"/>
    <w:rsid w:val="007E5F54"/>
    <w:rsid w:val="007E5F5D"/>
    <w:rsid w:val="007E5FD2"/>
    <w:rsid w:val="007E6157"/>
    <w:rsid w:val="007E6675"/>
    <w:rsid w:val="007E6677"/>
    <w:rsid w:val="007E671F"/>
    <w:rsid w:val="007E679F"/>
    <w:rsid w:val="007E67EE"/>
    <w:rsid w:val="007E682D"/>
    <w:rsid w:val="007E68A0"/>
    <w:rsid w:val="007E6A21"/>
    <w:rsid w:val="007E6A31"/>
    <w:rsid w:val="007E6A65"/>
    <w:rsid w:val="007E6CA2"/>
    <w:rsid w:val="007E6CDD"/>
    <w:rsid w:val="007E6D68"/>
    <w:rsid w:val="007E6F4E"/>
    <w:rsid w:val="007E6F5E"/>
    <w:rsid w:val="007E7049"/>
    <w:rsid w:val="007E728F"/>
    <w:rsid w:val="007E72D8"/>
    <w:rsid w:val="007E72EF"/>
    <w:rsid w:val="007E74EC"/>
    <w:rsid w:val="007E75C7"/>
    <w:rsid w:val="007E7746"/>
    <w:rsid w:val="007E7777"/>
    <w:rsid w:val="007E7890"/>
    <w:rsid w:val="007E78A0"/>
    <w:rsid w:val="007E78ED"/>
    <w:rsid w:val="007E78F0"/>
    <w:rsid w:val="007E7B77"/>
    <w:rsid w:val="007E7BDD"/>
    <w:rsid w:val="007E7C46"/>
    <w:rsid w:val="007E7C73"/>
    <w:rsid w:val="007E7D84"/>
    <w:rsid w:val="007E7E13"/>
    <w:rsid w:val="007E7ECF"/>
    <w:rsid w:val="007E7F20"/>
    <w:rsid w:val="007E7F45"/>
    <w:rsid w:val="007E7F50"/>
    <w:rsid w:val="007E7FD6"/>
    <w:rsid w:val="007F0058"/>
    <w:rsid w:val="007F01C1"/>
    <w:rsid w:val="007F02A5"/>
    <w:rsid w:val="007F0327"/>
    <w:rsid w:val="007F04D2"/>
    <w:rsid w:val="007F0578"/>
    <w:rsid w:val="007F05A0"/>
    <w:rsid w:val="007F05C5"/>
    <w:rsid w:val="007F0738"/>
    <w:rsid w:val="007F073A"/>
    <w:rsid w:val="007F0770"/>
    <w:rsid w:val="007F078C"/>
    <w:rsid w:val="007F07C8"/>
    <w:rsid w:val="007F09C0"/>
    <w:rsid w:val="007F0A79"/>
    <w:rsid w:val="007F0B14"/>
    <w:rsid w:val="007F0BAF"/>
    <w:rsid w:val="007F0CB2"/>
    <w:rsid w:val="007F0CCA"/>
    <w:rsid w:val="007F0EA1"/>
    <w:rsid w:val="007F0F73"/>
    <w:rsid w:val="007F0FD9"/>
    <w:rsid w:val="007F1051"/>
    <w:rsid w:val="007F10A7"/>
    <w:rsid w:val="007F126A"/>
    <w:rsid w:val="007F1348"/>
    <w:rsid w:val="007F139B"/>
    <w:rsid w:val="007F1483"/>
    <w:rsid w:val="007F14AE"/>
    <w:rsid w:val="007F14D0"/>
    <w:rsid w:val="007F1568"/>
    <w:rsid w:val="007F1582"/>
    <w:rsid w:val="007F178D"/>
    <w:rsid w:val="007F1805"/>
    <w:rsid w:val="007F184E"/>
    <w:rsid w:val="007F1884"/>
    <w:rsid w:val="007F18C7"/>
    <w:rsid w:val="007F18DF"/>
    <w:rsid w:val="007F18F7"/>
    <w:rsid w:val="007F18FC"/>
    <w:rsid w:val="007F198E"/>
    <w:rsid w:val="007F19F5"/>
    <w:rsid w:val="007F1B6B"/>
    <w:rsid w:val="007F1BEC"/>
    <w:rsid w:val="007F1CC1"/>
    <w:rsid w:val="007F1CD2"/>
    <w:rsid w:val="007F1CE2"/>
    <w:rsid w:val="007F1DAD"/>
    <w:rsid w:val="007F1DC1"/>
    <w:rsid w:val="007F1E31"/>
    <w:rsid w:val="007F1EEC"/>
    <w:rsid w:val="007F2004"/>
    <w:rsid w:val="007F203A"/>
    <w:rsid w:val="007F206A"/>
    <w:rsid w:val="007F2074"/>
    <w:rsid w:val="007F20C8"/>
    <w:rsid w:val="007F2107"/>
    <w:rsid w:val="007F2109"/>
    <w:rsid w:val="007F2168"/>
    <w:rsid w:val="007F21B9"/>
    <w:rsid w:val="007F21E6"/>
    <w:rsid w:val="007F2241"/>
    <w:rsid w:val="007F2243"/>
    <w:rsid w:val="007F2276"/>
    <w:rsid w:val="007F2283"/>
    <w:rsid w:val="007F22FF"/>
    <w:rsid w:val="007F235A"/>
    <w:rsid w:val="007F248A"/>
    <w:rsid w:val="007F24F7"/>
    <w:rsid w:val="007F2545"/>
    <w:rsid w:val="007F25E3"/>
    <w:rsid w:val="007F262E"/>
    <w:rsid w:val="007F2635"/>
    <w:rsid w:val="007F26A7"/>
    <w:rsid w:val="007F27B1"/>
    <w:rsid w:val="007F2876"/>
    <w:rsid w:val="007F290E"/>
    <w:rsid w:val="007F29B0"/>
    <w:rsid w:val="007F2A4E"/>
    <w:rsid w:val="007F2A54"/>
    <w:rsid w:val="007F2B0D"/>
    <w:rsid w:val="007F2B72"/>
    <w:rsid w:val="007F2C23"/>
    <w:rsid w:val="007F2CFD"/>
    <w:rsid w:val="007F2D21"/>
    <w:rsid w:val="007F2D90"/>
    <w:rsid w:val="007F2ED5"/>
    <w:rsid w:val="007F2F46"/>
    <w:rsid w:val="007F2F94"/>
    <w:rsid w:val="007F2FA3"/>
    <w:rsid w:val="007F3059"/>
    <w:rsid w:val="007F30A2"/>
    <w:rsid w:val="007F313A"/>
    <w:rsid w:val="007F3168"/>
    <w:rsid w:val="007F31D0"/>
    <w:rsid w:val="007F31FF"/>
    <w:rsid w:val="007F32DA"/>
    <w:rsid w:val="007F3327"/>
    <w:rsid w:val="007F33F0"/>
    <w:rsid w:val="007F33F8"/>
    <w:rsid w:val="007F3414"/>
    <w:rsid w:val="007F359C"/>
    <w:rsid w:val="007F35BB"/>
    <w:rsid w:val="007F35D6"/>
    <w:rsid w:val="007F36E2"/>
    <w:rsid w:val="007F36EB"/>
    <w:rsid w:val="007F3814"/>
    <w:rsid w:val="007F38A4"/>
    <w:rsid w:val="007F396C"/>
    <w:rsid w:val="007F39E5"/>
    <w:rsid w:val="007F3A62"/>
    <w:rsid w:val="007F3A9A"/>
    <w:rsid w:val="007F3B62"/>
    <w:rsid w:val="007F3B88"/>
    <w:rsid w:val="007F3C42"/>
    <w:rsid w:val="007F3C7B"/>
    <w:rsid w:val="007F3C94"/>
    <w:rsid w:val="007F3DDA"/>
    <w:rsid w:val="007F3DEB"/>
    <w:rsid w:val="007F3ED7"/>
    <w:rsid w:val="007F3FD7"/>
    <w:rsid w:val="007F40F8"/>
    <w:rsid w:val="007F41A7"/>
    <w:rsid w:val="007F420A"/>
    <w:rsid w:val="007F423F"/>
    <w:rsid w:val="007F4267"/>
    <w:rsid w:val="007F429D"/>
    <w:rsid w:val="007F42DC"/>
    <w:rsid w:val="007F4376"/>
    <w:rsid w:val="007F438D"/>
    <w:rsid w:val="007F43D2"/>
    <w:rsid w:val="007F4509"/>
    <w:rsid w:val="007F4614"/>
    <w:rsid w:val="007F46AD"/>
    <w:rsid w:val="007F471F"/>
    <w:rsid w:val="007F483E"/>
    <w:rsid w:val="007F487B"/>
    <w:rsid w:val="007F48A1"/>
    <w:rsid w:val="007F48D8"/>
    <w:rsid w:val="007F492C"/>
    <w:rsid w:val="007F49C8"/>
    <w:rsid w:val="007F49F4"/>
    <w:rsid w:val="007F4B95"/>
    <w:rsid w:val="007F4BAE"/>
    <w:rsid w:val="007F4C5C"/>
    <w:rsid w:val="007F4D94"/>
    <w:rsid w:val="007F4DF8"/>
    <w:rsid w:val="007F4DFE"/>
    <w:rsid w:val="007F4EA1"/>
    <w:rsid w:val="007F4F9B"/>
    <w:rsid w:val="007F4FA0"/>
    <w:rsid w:val="007F504A"/>
    <w:rsid w:val="007F50D6"/>
    <w:rsid w:val="007F5122"/>
    <w:rsid w:val="007F521E"/>
    <w:rsid w:val="007F526E"/>
    <w:rsid w:val="007F53F4"/>
    <w:rsid w:val="007F54D6"/>
    <w:rsid w:val="007F551D"/>
    <w:rsid w:val="007F5537"/>
    <w:rsid w:val="007F553A"/>
    <w:rsid w:val="007F5577"/>
    <w:rsid w:val="007F558B"/>
    <w:rsid w:val="007F5642"/>
    <w:rsid w:val="007F567A"/>
    <w:rsid w:val="007F572E"/>
    <w:rsid w:val="007F5735"/>
    <w:rsid w:val="007F5751"/>
    <w:rsid w:val="007F576F"/>
    <w:rsid w:val="007F5779"/>
    <w:rsid w:val="007F57FC"/>
    <w:rsid w:val="007F5810"/>
    <w:rsid w:val="007F5842"/>
    <w:rsid w:val="007F5982"/>
    <w:rsid w:val="007F5A6D"/>
    <w:rsid w:val="007F5B6F"/>
    <w:rsid w:val="007F5C1F"/>
    <w:rsid w:val="007F5CAA"/>
    <w:rsid w:val="007F5CE1"/>
    <w:rsid w:val="007F5CE2"/>
    <w:rsid w:val="007F5D6A"/>
    <w:rsid w:val="007F5DB1"/>
    <w:rsid w:val="007F5E00"/>
    <w:rsid w:val="007F5E81"/>
    <w:rsid w:val="007F5EC2"/>
    <w:rsid w:val="007F5F6E"/>
    <w:rsid w:val="007F5FE9"/>
    <w:rsid w:val="007F5FED"/>
    <w:rsid w:val="007F60B1"/>
    <w:rsid w:val="007F60FB"/>
    <w:rsid w:val="007F60FF"/>
    <w:rsid w:val="007F6230"/>
    <w:rsid w:val="007F6259"/>
    <w:rsid w:val="007F64E1"/>
    <w:rsid w:val="007F6769"/>
    <w:rsid w:val="007F683F"/>
    <w:rsid w:val="007F684A"/>
    <w:rsid w:val="007F691D"/>
    <w:rsid w:val="007F6A83"/>
    <w:rsid w:val="007F6AEA"/>
    <w:rsid w:val="007F6B71"/>
    <w:rsid w:val="007F6C4C"/>
    <w:rsid w:val="007F6C4F"/>
    <w:rsid w:val="007F6CD9"/>
    <w:rsid w:val="007F6D08"/>
    <w:rsid w:val="007F70EF"/>
    <w:rsid w:val="007F724E"/>
    <w:rsid w:val="007F72B8"/>
    <w:rsid w:val="007F730D"/>
    <w:rsid w:val="007F7350"/>
    <w:rsid w:val="007F7364"/>
    <w:rsid w:val="007F73BA"/>
    <w:rsid w:val="007F73CF"/>
    <w:rsid w:val="007F7410"/>
    <w:rsid w:val="007F7415"/>
    <w:rsid w:val="007F74FD"/>
    <w:rsid w:val="007F7527"/>
    <w:rsid w:val="007F758F"/>
    <w:rsid w:val="007F75DA"/>
    <w:rsid w:val="007F7849"/>
    <w:rsid w:val="007F7863"/>
    <w:rsid w:val="007F7CC4"/>
    <w:rsid w:val="007F7DDB"/>
    <w:rsid w:val="007F7E54"/>
    <w:rsid w:val="007F7E5A"/>
    <w:rsid w:val="007F7E65"/>
    <w:rsid w:val="007F7FCB"/>
    <w:rsid w:val="007F7FD1"/>
    <w:rsid w:val="00800021"/>
    <w:rsid w:val="008000F7"/>
    <w:rsid w:val="008001A4"/>
    <w:rsid w:val="008002B9"/>
    <w:rsid w:val="008002D1"/>
    <w:rsid w:val="0080037B"/>
    <w:rsid w:val="00800469"/>
    <w:rsid w:val="008005D8"/>
    <w:rsid w:val="00800758"/>
    <w:rsid w:val="00800784"/>
    <w:rsid w:val="008007ED"/>
    <w:rsid w:val="0080086E"/>
    <w:rsid w:val="0080087B"/>
    <w:rsid w:val="008008AA"/>
    <w:rsid w:val="00800912"/>
    <w:rsid w:val="00800949"/>
    <w:rsid w:val="008009C8"/>
    <w:rsid w:val="008009E5"/>
    <w:rsid w:val="008009F6"/>
    <w:rsid w:val="00800A14"/>
    <w:rsid w:val="00800ACF"/>
    <w:rsid w:val="00800B69"/>
    <w:rsid w:val="00800C2D"/>
    <w:rsid w:val="00800C85"/>
    <w:rsid w:val="00800C9F"/>
    <w:rsid w:val="00800D00"/>
    <w:rsid w:val="00800D24"/>
    <w:rsid w:val="00800D7B"/>
    <w:rsid w:val="00800E43"/>
    <w:rsid w:val="00800F13"/>
    <w:rsid w:val="0080103F"/>
    <w:rsid w:val="00801151"/>
    <w:rsid w:val="00801171"/>
    <w:rsid w:val="00801179"/>
    <w:rsid w:val="0080129A"/>
    <w:rsid w:val="00801383"/>
    <w:rsid w:val="008013AD"/>
    <w:rsid w:val="00801409"/>
    <w:rsid w:val="008014FC"/>
    <w:rsid w:val="0080165F"/>
    <w:rsid w:val="0080166A"/>
    <w:rsid w:val="008018A5"/>
    <w:rsid w:val="0080199A"/>
    <w:rsid w:val="00801AA4"/>
    <w:rsid w:val="00801BEB"/>
    <w:rsid w:val="00801C85"/>
    <w:rsid w:val="00801D1A"/>
    <w:rsid w:val="00801D1B"/>
    <w:rsid w:val="00801E05"/>
    <w:rsid w:val="00801EF4"/>
    <w:rsid w:val="008020C8"/>
    <w:rsid w:val="00802160"/>
    <w:rsid w:val="008021E6"/>
    <w:rsid w:val="008022A8"/>
    <w:rsid w:val="008022AC"/>
    <w:rsid w:val="00802335"/>
    <w:rsid w:val="00802341"/>
    <w:rsid w:val="0080240C"/>
    <w:rsid w:val="00802499"/>
    <w:rsid w:val="00802543"/>
    <w:rsid w:val="008025F1"/>
    <w:rsid w:val="00802711"/>
    <w:rsid w:val="0080271C"/>
    <w:rsid w:val="008027B7"/>
    <w:rsid w:val="00802871"/>
    <w:rsid w:val="00802B97"/>
    <w:rsid w:val="00802BA7"/>
    <w:rsid w:val="00802E1B"/>
    <w:rsid w:val="00802E47"/>
    <w:rsid w:val="00802E84"/>
    <w:rsid w:val="00802EB4"/>
    <w:rsid w:val="00802F23"/>
    <w:rsid w:val="00802F71"/>
    <w:rsid w:val="008030F0"/>
    <w:rsid w:val="0080312A"/>
    <w:rsid w:val="0080316B"/>
    <w:rsid w:val="0080317F"/>
    <w:rsid w:val="008031A2"/>
    <w:rsid w:val="008032AE"/>
    <w:rsid w:val="008032B8"/>
    <w:rsid w:val="0080350C"/>
    <w:rsid w:val="0080355A"/>
    <w:rsid w:val="008035A4"/>
    <w:rsid w:val="008035C4"/>
    <w:rsid w:val="0080369E"/>
    <w:rsid w:val="008036F7"/>
    <w:rsid w:val="00803770"/>
    <w:rsid w:val="008037AA"/>
    <w:rsid w:val="0080384C"/>
    <w:rsid w:val="00803966"/>
    <w:rsid w:val="008039AA"/>
    <w:rsid w:val="00803A47"/>
    <w:rsid w:val="00803ABC"/>
    <w:rsid w:val="00803B78"/>
    <w:rsid w:val="00803BC0"/>
    <w:rsid w:val="00803C51"/>
    <w:rsid w:val="00803CB5"/>
    <w:rsid w:val="00803CF2"/>
    <w:rsid w:val="00803D2C"/>
    <w:rsid w:val="00803D78"/>
    <w:rsid w:val="00803D96"/>
    <w:rsid w:val="00803EFE"/>
    <w:rsid w:val="00803F2E"/>
    <w:rsid w:val="00803F61"/>
    <w:rsid w:val="00803FA4"/>
    <w:rsid w:val="00803FCB"/>
    <w:rsid w:val="00804011"/>
    <w:rsid w:val="00804069"/>
    <w:rsid w:val="008040DB"/>
    <w:rsid w:val="00804111"/>
    <w:rsid w:val="008044FF"/>
    <w:rsid w:val="00804518"/>
    <w:rsid w:val="00804565"/>
    <w:rsid w:val="00804804"/>
    <w:rsid w:val="00804818"/>
    <w:rsid w:val="00804849"/>
    <w:rsid w:val="00804A42"/>
    <w:rsid w:val="00804C8F"/>
    <w:rsid w:val="00804C9D"/>
    <w:rsid w:val="00804CE7"/>
    <w:rsid w:val="00804D19"/>
    <w:rsid w:val="00804D8C"/>
    <w:rsid w:val="00804DF2"/>
    <w:rsid w:val="00804DF5"/>
    <w:rsid w:val="00804F7E"/>
    <w:rsid w:val="00804F8C"/>
    <w:rsid w:val="0080502D"/>
    <w:rsid w:val="008050FE"/>
    <w:rsid w:val="008051C1"/>
    <w:rsid w:val="0080521D"/>
    <w:rsid w:val="008052E3"/>
    <w:rsid w:val="0080531A"/>
    <w:rsid w:val="0080535E"/>
    <w:rsid w:val="0080546A"/>
    <w:rsid w:val="008054C1"/>
    <w:rsid w:val="00805512"/>
    <w:rsid w:val="008055B6"/>
    <w:rsid w:val="008055CB"/>
    <w:rsid w:val="00805683"/>
    <w:rsid w:val="008057C4"/>
    <w:rsid w:val="008057C7"/>
    <w:rsid w:val="008057CB"/>
    <w:rsid w:val="008057F4"/>
    <w:rsid w:val="008057F9"/>
    <w:rsid w:val="00805850"/>
    <w:rsid w:val="00805873"/>
    <w:rsid w:val="008058E2"/>
    <w:rsid w:val="00805A04"/>
    <w:rsid w:val="00805AD4"/>
    <w:rsid w:val="00805BA9"/>
    <w:rsid w:val="00805C45"/>
    <w:rsid w:val="00805C57"/>
    <w:rsid w:val="00805DBE"/>
    <w:rsid w:val="00805DFA"/>
    <w:rsid w:val="00805E4A"/>
    <w:rsid w:val="00805E98"/>
    <w:rsid w:val="00805ECF"/>
    <w:rsid w:val="00805F3F"/>
    <w:rsid w:val="00805FD2"/>
    <w:rsid w:val="00806015"/>
    <w:rsid w:val="00806038"/>
    <w:rsid w:val="00806372"/>
    <w:rsid w:val="008063F5"/>
    <w:rsid w:val="0080649B"/>
    <w:rsid w:val="008064BF"/>
    <w:rsid w:val="00806592"/>
    <w:rsid w:val="0080662A"/>
    <w:rsid w:val="0080675A"/>
    <w:rsid w:val="008068DD"/>
    <w:rsid w:val="00806ABC"/>
    <w:rsid w:val="00806B18"/>
    <w:rsid w:val="00806B27"/>
    <w:rsid w:val="00806BBE"/>
    <w:rsid w:val="00806BF6"/>
    <w:rsid w:val="00806C61"/>
    <w:rsid w:val="00806F9D"/>
    <w:rsid w:val="00807092"/>
    <w:rsid w:val="00807182"/>
    <w:rsid w:val="008071B6"/>
    <w:rsid w:val="0080724E"/>
    <w:rsid w:val="008072A5"/>
    <w:rsid w:val="008072C5"/>
    <w:rsid w:val="008074BB"/>
    <w:rsid w:val="008075A5"/>
    <w:rsid w:val="00807624"/>
    <w:rsid w:val="008078B1"/>
    <w:rsid w:val="008078EB"/>
    <w:rsid w:val="00807925"/>
    <w:rsid w:val="00807945"/>
    <w:rsid w:val="00807969"/>
    <w:rsid w:val="00807976"/>
    <w:rsid w:val="008079C5"/>
    <w:rsid w:val="008079DB"/>
    <w:rsid w:val="00807ACB"/>
    <w:rsid w:val="00807C1B"/>
    <w:rsid w:val="00807C2C"/>
    <w:rsid w:val="00807C71"/>
    <w:rsid w:val="00807C99"/>
    <w:rsid w:val="00807E8C"/>
    <w:rsid w:val="00807F75"/>
    <w:rsid w:val="00807FBB"/>
    <w:rsid w:val="0081009C"/>
    <w:rsid w:val="008100ED"/>
    <w:rsid w:val="0081016A"/>
    <w:rsid w:val="008101AD"/>
    <w:rsid w:val="008102BF"/>
    <w:rsid w:val="0081036F"/>
    <w:rsid w:val="0081042E"/>
    <w:rsid w:val="00810466"/>
    <w:rsid w:val="0081046D"/>
    <w:rsid w:val="0081051D"/>
    <w:rsid w:val="008105E0"/>
    <w:rsid w:val="0081069D"/>
    <w:rsid w:val="008106D2"/>
    <w:rsid w:val="0081086E"/>
    <w:rsid w:val="008108C1"/>
    <w:rsid w:val="0081091F"/>
    <w:rsid w:val="00810961"/>
    <w:rsid w:val="00810984"/>
    <w:rsid w:val="00810998"/>
    <w:rsid w:val="00810AA6"/>
    <w:rsid w:val="00810B16"/>
    <w:rsid w:val="00810B72"/>
    <w:rsid w:val="00810B94"/>
    <w:rsid w:val="00810B9D"/>
    <w:rsid w:val="00810BC3"/>
    <w:rsid w:val="00810C7A"/>
    <w:rsid w:val="00810D9D"/>
    <w:rsid w:val="00810E28"/>
    <w:rsid w:val="00810F9C"/>
    <w:rsid w:val="00810FD3"/>
    <w:rsid w:val="00811091"/>
    <w:rsid w:val="00811176"/>
    <w:rsid w:val="00811254"/>
    <w:rsid w:val="008114AE"/>
    <w:rsid w:val="008114DA"/>
    <w:rsid w:val="00811533"/>
    <w:rsid w:val="0081156E"/>
    <w:rsid w:val="0081165C"/>
    <w:rsid w:val="008117B8"/>
    <w:rsid w:val="00811801"/>
    <w:rsid w:val="00811823"/>
    <w:rsid w:val="00811899"/>
    <w:rsid w:val="008119BB"/>
    <w:rsid w:val="00811A98"/>
    <w:rsid w:val="00811C19"/>
    <w:rsid w:val="00811C85"/>
    <w:rsid w:val="00811E4A"/>
    <w:rsid w:val="00811EAA"/>
    <w:rsid w:val="00811F16"/>
    <w:rsid w:val="00811F6F"/>
    <w:rsid w:val="00811FB9"/>
    <w:rsid w:val="00812185"/>
    <w:rsid w:val="008121AA"/>
    <w:rsid w:val="008121C5"/>
    <w:rsid w:val="008124E0"/>
    <w:rsid w:val="008124F4"/>
    <w:rsid w:val="0081267A"/>
    <w:rsid w:val="0081278E"/>
    <w:rsid w:val="008127B8"/>
    <w:rsid w:val="00812824"/>
    <w:rsid w:val="0081286E"/>
    <w:rsid w:val="0081290D"/>
    <w:rsid w:val="008129BD"/>
    <w:rsid w:val="008129CE"/>
    <w:rsid w:val="008129CF"/>
    <w:rsid w:val="00812ABE"/>
    <w:rsid w:val="00812B80"/>
    <w:rsid w:val="00812B8B"/>
    <w:rsid w:val="00812BAE"/>
    <w:rsid w:val="00812C06"/>
    <w:rsid w:val="00812D90"/>
    <w:rsid w:val="00812DE3"/>
    <w:rsid w:val="00812E19"/>
    <w:rsid w:val="00812EA2"/>
    <w:rsid w:val="00812F23"/>
    <w:rsid w:val="00812F52"/>
    <w:rsid w:val="00812F57"/>
    <w:rsid w:val="0081300D"/>
    <w:rsid w:val="0081306D"/>
    <w:rsid w:val="00813075"/>
    <w:rsid w:val="008130CC"/>
    <w:rsid w:val="008131A8"/>
    <w:rsid w:val="008131DC"/>
    <w:rsid w:val="00813285"/>
    <w:rsid w:val="008132EF"/>
    <w:rsid w:val="00813439"/>
    <w:rsid w:val="00813464"/>
    <w:rsid w:val="00813669"/>
    <w:rsid w:val="0081370C"/>
    <w:rsid w:val="00813724"/>
    <w:rsid w:val="0081378D"/>
    <w:rsid w:val="00813861"/>
    <w:rsid w:val="008138EB"/>
    <w:rsid w:val="008139D1"/>
    <w:rsid w:val="008139EC"/>
    <w:rsid w:val="00813BAC"/>
    <w:rsid w:val="00813C51"/>
    <w:rsid w:val="00813C79"/>
    <w:rsid w:val="00813CCD"/>
    <w:rsid w:val="00813CFE"/>
    <w:rsid w:val="00813DD0"/>
    <w:rsid w:val="008140BD"/>
    <w:rsid w:val="008140E1"/>
    <w:rsid w:val="0081434B"/>
    <w:rsid w:val="00814395"/>
    <w:rsid w:val="008143C7"/>
    <w:rsid w:val="0081446E"/>
    <w:rsid w:val="0081448B"/>
    <w:rsid w:val="008144A8"/>
    <w:rsid w:val="008144E3"/>
    <w:rsid w:val="00814516"/>
    <w:rsid w:val="00814545"/>
    <w:rsid w:val="00814591"/>
    <w:rsid w:val="0081459C"/>
    <w:rsid w:val="00814846"/>
    <w:rsid w:val="008149B7"/>
    <w:rsid w:val="00814A82"/>
    <w:rsid w:val="00814AA6"/>
    <w:rsid w:val="00814B84"/>
    <w:rsid w:val="00814C6F"/>
    <w:rsid w:val="00814D38"/>
    <w:rsid w:val="00814ED3"/>
    <w:rsid w:val="00814F24"/>
    <w:rsid w:val="00814F40"/>
    <w:rsid w:val="00814FD0"/>
    <w:rsid w:val="008150A2"/>
    <w:rsid w:val="008150AC"/>
    <w:rsid w:val="008150E2"/>
    <w:rsid w:val="008151AF"/>
    <w:rsid w:val="008153A8"/>
    <w:rsid w:val="008153E0"/>
    <w:rsid w:val="0081542B"/>
    <w:rsid w:val="0081551E"/>
    <w:rsid w:val="00815546"/>
    <w:rsid w:val="008157CC"/>
    <w:rsid w:val="008158A1"/>
    <w:rsid w:val="008158B7"/>
    <w:rsid w:val="008158D4"/>
    <w:rsid w:val="008158E2"/>
    <w:rsid w:val="00815B6A"/>
    <w:rsid w:val="00815D65"/>
    <w:rsid w:val="00815D66"/>
    <w:rsid w:val="00815E40"/>
    <w:rsid w:val="00815E85"/>
    <w:rsid w:val="00815EA3"/>
    <w:rsid w:val="00815FB5"/>
    <w:rsid w:val="00815FB8"/>
    <w:rsid w:val="00815FC3"/>
    <w:rsid w:val="00816046"/>
    <w:rsid w:val="0081608A"/>
    <w:rsid w:val="008160F9"/>
    <w:rsid w:val="00816128"/>
    <w:rsid w:val="0081620B"/>
    <w:rsid w:val="00816370"/>
    <w:rsid w:val="00816436"/>
    <w:rsid w:val="00816449"/>
    <w:rsid w:val="008164BC"/>
    <w:rsid w:val="00816507"/>
    <w:rsid w:val="00816521"/>
    <w:rsid w:val="008165AD"/>
    <w:rsid w:val="008165D1"/>
    <w:rsid w:val="008165F0"/>
    <w:rsid w:val="0081661C"/>
    <w:rsid w:val="008166AC"/>
    <w:rsid w:val="008166D5"/>
    <w:rsid w:val="00816735"/>
    <w:rsid w:val="00816807"/>
    <w:rsid w:val="0081681A"/>
    <w:rsid w:val="0081683E"/>
    <w:rsid w:val="00816968"/>
    <w:rsid w:val="00816AEF"/>
    <w:rsid w:val="00816CCE"/>
    <w:rsid w:val="00816D03"/>
    <w:rsid w:val="00816D10"/>
    <w:rsid w:val="00816D8B"/>
    <w:rsid w:val="00816E98"/>
    <w:rsid w:val="00816F16"/>
    <w:rsid w:val="00816F81"/>
    <w:rsid w:val="00816FC3"/>
    <w:rsid w:val="00817021"/>
    <w:rsid w:val="00817045"/>
    <w:rsid w:val="0081710B"/>
    <w:rsid w:val="00817119"/>
    <w:rsid w:val="00817138"/>
    <w:rsid w:val="0081719E"/>
    <w:rsid w:val="008172C0"/>
    <w:rsid w:val="008172F4"/>
    <w:rsid w:val="00817350"/>
    <w:rsid w:val="008174A7"/>
    <w:rsid w:val="00817521"/>
    <w:rsid w:val="00817581"/>
    <w:rsid w:val="00817746"/>
    <w:rsid w:val="0081774E"/>
    <w:rsid w:val="00817779"/>
    <w:rsid w:val="008177A4"/>
    <w:rsid w:val="00817981"/>
    <w:rsid w:val="00817B57"/>
    <w:rsid w:val="00817C29"/>
    <w:rsid w:val="00817D39"/>
    <w:rsid w:val="00817D47"/>
    <w:rsid w:val="00817E50"/>
    <w:rsid w:val="00817E9B"/>
    <w:rsid w:val="00817F50"/>
    <w:rsid w:val="008201C4"/>
    <w:rsid w:val="00820332"/>
    <w:rsid w:val="00820348"/>
    <w:rsid w:val="0082039D"/>
    <w:rsid w:val="0082043D"/>
    <w:rsid w:val="00820454"/>
    <w:rsid w:val="008204E4"/>
    <w:rsid w:val="008205BC"/>
    <w:rsid w:val="00820652"/>
    <w:rsid w:val="0082065B"/>
    <w:rsid w:val="00820691"/>
    <w:rsid w:val="008206CD"/>
    <w:rsid w:val="008207E6"/>
    <w:rsid w:val="0082080D"/>
    <w:rsid w:val="00820853"/>
    <w:rsid w:val="00820863"/>
    <w:rsid w:val="008208DD"/>
    <w:rsid w:val="008208DF"/>
    <w:rsid w:val="008209C1"/>
    <w:rsid w:val="008209C9"/>
    <w:rsid w:val="00820B49"/>
    <w:rsid w:val="00820B87"/>
    <w:rsid w:val="00820BC8"/>
    <w:rsid w:val="00820D79"/>
    <w:rsid w:val="00820DE9"/>
    <w:rsid w:val="00820E9A"/>
    <w:rsid w:val="00820FCD"/>
    <w:rsid w:val="00820FE5"/>
    <w:rsid w:val="0082100F"/>
    <w:rsid w:val="0082111A"/>
    <w:rsid w:val="0082114C"/>
    <w:rsid w:val="0082115B"/>
    <w:rsid w:val="00821306"/>
    <w:rsid w:val="00821340"/>
    <w:rsid w:val="00821365"/>
    <w:rsid w:val="008213A0"/>
    <w:rsid w:val="0082142A"/>
    <w:rsid w:val="0082143F"/>
    <w:rsid w:val="00821449"/>
    <w:rsid w:val="00821451"/>
    <w:rsid w:val="00821535"/>
    <w:rsid w:val="00821544"/>
    <w:rsid w:val="00821546"/>
    <w:rsid w:val="008215C5"/>
    <w:rsid w:val="008216C5"/>
    <w:rsid w:val="008217AD"/>
    <w:rsid w:val="008217D8"/>
    <w:rsid w:val="008217EF"/>
    <w:rsid w:val="00821A90"/>
    <w:rsid w:val="00821AF8"/>
    <w:rsid w:val="00821B33"/>
    <w:rsid w:val="00821BFA"/>
    <w:rsid w:val="00821C51"/>
    <w:rsid w:val="00821CDA"/>
    <w:rsid w:val="00821D1D"/>
    <w:rsid w:val="00821D62"/>
    <w:rsid w:val="00821DB5"/>
    <w:rsid w:val="00821EB8"/>
    <w:rsid w:val="008220BE"/>
    <w:rsid w:val="0082214C"/>
    <w:rsid w:val="00822195"/>
    <w:rsid w:val="008221FC"/>
    <w:rsid w:val="008222E0"/>
    <w:rsid w:val="0082237D"/>
    <w:rsid w:val="0082245F"/>
    <w:rsid w:val="00822497"/>
    <w:rsid w:val="00822498"/>
    <w:rsid w:val="00822499"/>
    <w:rsid w:val="008224F0"/>
    <w:rsid w:val="0082276A"/>
    <w:rsid w:val="00822772"/>
    <w:rsid w:val="008228C1"/>
    <w:rsid w:val="0082291F"/>
    <w:rsid w:val="00822935"/>
    <w:rsid w:val="0082294D"/>
    <w:rsid w:val="00822A16"/>
    <w:rsid w:val="00822A5A"/>
    <w:rsid w:val="00822AAB"/>
    <w:rsid w:val="00822ACA"/>
    <w:rsid w:val="00822B19"/>
    <w:rsid w:val="00822B1D"/>
    <w:rsid w:val="00822B42"/>
    <w:rsid w:val="00822C67"/>
    <w:rsid w:val="00822CC5"/>
    <w:rsid w:val="00822D73"/>
    <w:rsid w:val="00822E0A"/>
    <w:rsid w:val="00822E55"/>
    <w:rsid w:val="00822F48"/>
    <w:rsid w:val="00822F56"/>
    <w:rsid w:val="00822F94"/>
    <w:rsid w:val="008230CA"/>
    <w:rsid w:val="0082310D"/>
    <w:rsid w:val="00823158"/>
    <w:rsid w:val="00823176"/>
    <w:rsid w:val="00823192"/>
    <w:rsid w:val="0082329E"/>
    <w:rsid w:val="008232F1"/>
    <w:rsid w:val="008234F4"/>
    <w:rsid w:val="00823577"/>
    <w:rsid w:val="00823625"/>
    <w:rsid w:val="0082362C"/>
    <w:rsid w:val="0082363C"/>
    <w:rsid w:val="00823718"/>
    <w:rsid w:val="008237BA"/>
    <w:rsid w:val="00823824"/>
    <w:rsid w:val="008238A4"/>
    <w:rsid w:val="008239E8"/>
    <w:rsid w:val="00823A2E"/>
    <w:rsid w:val="00823A7D"/>
    <w:rsid w:val="00823B6F"/>
    <w:rsid w:val="00823BFA"/>
    <w:rsid w:val="00823CA1"/>
    <w:rsid w:val="00823CC8"/>
    <w:rsid w:val="00823D09"/>
    <w:rsid w:val="00823D64"/>
    <w:rsid w:val="00823D9C"/>
    <w:rsid w:val="00823E69"/>
    <w:rsid w:val="00823E6B"/>
    <w:rsid w:val="00823F06"/>
    <w:rsid w:val="00823F2B"/>
    <w:rsid w:val="00823F87"/>
    <w:rsid w:val="00823FF9"/>
    <w:rsid w:val="00824032"/>
    <w:rsid w:val="00824068"/>
    <w:rsid w:val="00824080"/>
    <w:rsid w:val="00824288"/>
    <w:rsid w:val="008242A2"/>
    <w:rsid w:val="0082431E"/>
    <w:rsid w:val="0082434C"/>
    <w:rsid w:val="008243A1"/>
    <w:rsid w:val="008243C3"/>
    <w:rsid w:val="008244FC"/>
    <w:rsid w:val="00824516"/>
    <w:rsid w:val="0082453E"/>
    <w:rsid w:val="0082468C"/>
    <w:rsid w:val="008246F3"/>
    <w:rsid w:val="008247DA"/>
    <w:rsid w:val="00824988"/>
    <w:rsid w:val="008249A4"/>
    <w:rsid w:val="008249C0"/>
    <w:rsid w:val="00824A3F"/>
    <w:rsid w:val="00824A8A"/>
    <w:rsid w:val="00824AFA"/>
    <w:rsid w:val="00824BAC"/>
    <w:rsid w:val="00824BC1"/>
    <w:rsid w:val="00824BD8"/>
    <w:rsid w:val="00824CB8"/>
    <w:rsid w:val="00824CD0"/>
    <w:rsid w:val="00824CD8"/>
    <w:rsid w:val="00824CE9"/>
    <w:rsid w:val="00824D3D"/>
    <w:rsid w:val="00824E5D"/>
    <w:rsid w:val="00824F08"/>
    <w:rsid w:val="00824FB9"/>
    <w:rsid w:val="00824FEA"/>
    <w:rsid w:val="008250C4"/>
    <w:rsid w:val="00825180"/>
    <w:rsid w:val="00825247"/>
    <w:rsid w:val="00825347"/>
    <w:rsid w:val="008253E4"/>
    <w:rsid w:val="0082542B"/>
    <w:rsid w:val="00825431"/>
    <w:rsid w:val="00825478"/>
    <w:rsid w:val="00825557"/>
    <w:rsid w:val="00825599"/>
    <w:rsid w:val="0082568C"/>
    <w:rsid w:val="00825721"/>
    <w:rsid w:val="0082584C"/>
    <w:rsid w:val="00825981"/>
    <w:rsid w:val="00825986"/>
    <w:rsid w:val="008259C2"/>
    <w:rsid w:val="008259E1"/>
    <w:rsid w:val="00825AC4"/>
    <w:rsid w:val="00825C31"/>
    <w:rsid w:val="00825C59"/>
    <w:rsid w:val="00825EC4"/>
    <w:rsid w:val="00825F45"/>
    <w:rsid w:val="00825F7C"/>
    <w:rsid w:val="008260B0"/>
    <w:rsid w:val="00826122"/>
    <w:rsid w:val="00826179"/>
    <w:rsid w:val="008261A4"/>
    <w:rsid w:val="008261C0"/>
    <w:rsid w:val="00826253"/>
    <w:rsid w:val="0082625D"/>
    <w:rsid w:val="008262A5"/>
    <w:rsid w:val="008262A7"/>
    <w:rsid w:val="00826333"/>
    <w:rsid w:val="008264A9"/>
    <w:rsid w:val="00826612"/>
    <w:rsid w:val="0082664B"/>
    <w:rsid w:val="00826756"/>
    <w:rsid w:val="008267A2"/>
    <w:rsid w:val="00826812"/>
    <w:rsid w:val="0082683A"/>
    <w:rsid w:val="0082687D"/>
    <w:rsid w:val="00826893"/>
    <w:rsid w:val="008268D1"/>
    <w:rsid w:val="0082690F"/>
    <w:rsid w:val="00826919"/>
    <w:rsid w:val="0082695A"/>
    <w:rsid w:val="0082695B"/>
    <w:rsid w:val="00826A19"/>
    <w:rsid w:val="00826A2B"/>
    <w:rsid w:val="00826A4D"/>
    <w:rsid w:val="00826B55"/>
    <w:rsid w:val="00826BF5"/>
    <w:rsid w:val="00826BF8"/>
    <w:rsid w:val="00826C28"/>
    <w:rsid w:val="00826C2B"/>
    <w:rsid w:val="00826DA4"/>
    <w:rsid w:val="00826DB2"/>
    <w:rsid w:val="00826FA4"/>
    <w:rsid w:val="00827082"/>
    <w:rsid w:val="008271DE"/>
    <w:rsid w:val="008271E9"/>
    <w:rsid w:val="0082728F"/>
    <w:rsid w:val="00827316"/>
    <w:rsid w:val="00827571"/>
    <w:rsid w:val="008275BA"/>
    <w:rsid w:val="008275EB"/>
    <w:rsid w:val="008276A6"/>
    <w:rsid w:val="008276A7"/>
    <w:rsid w:val="008278A0"/>
    <w:rsid w:val="00827970"/>
    <w:rsid w:val="00827A11"/>
    <w:rsid w:val="00827C1D"/>
    <w:rsid w:val="00827C5D"/>
    <w:rsid w:val="00827C62"/>
    <w:rsid w:val="00827F1B"/>
    <w:rsid w:val="00827FB9"/>
    <w:rsid w:val="008301FA"/>
    <w:rsid w:val="00830206"/>
    <w:rsid w:val="008303CA"/>
    <w:rsid w:val="008303DF"/>
    <w:rsid w:val="00830464"/>
    <w:rsid w:val="0083050C"/>
    <w:rsid w:val="00830531"/>
    <w:rsid w:val="00830588"/>
    <w:rsid w:val="0083075B"/>
    <w:rsid w:val="0083076D"/>
    <w:rsid w:val="00830825"/>
    <w:rsid w:val="00830837"/>
    <w:rsid w:val="00830850"/>
    <w:rsid w:val="008308C8"/>
    <w:rsid w:val="008308F9"/>
    <w:rsid w:val="00830900"/>
    <w:rsid w:val="00830A19"/>
    <w:rsid w:val="00830BAB"/>
    <w:rsid w:val="00830BE5"/>
    <w:rsid w:val="00830C2D"/>
    <w:rsid w:val="00830DCC"/>
    <w:rsid w:val="00830E4C"/>
    <w:rsid w:val="00830FF1"/>
    <w:rsid w:val="00831093"/>
    <w:rsid w:val="00831116"/>
    <w:rsid w:val="00831143"/>
    <w:rsid w:val="00831187"/>
    <w:rsid w:val="0083129B"/>
    <w:rsid w:val="0083132E"/>
    <w:rsid w:val="008313A9"/>
    <w:rsid w:val="00831485"/>
    <w:rsid w:val="00831519"/>
    <w:rsid w:val="0083161C"/>
    <w:rsid w:val="00831672"/>
    <w:rsid w:val="008316F4"/>
    <w:rsid w:val="00831700"/>
    <w:rsid w:val="0083185B"/>
    <w:rsid w:val="0083186F"/>
    <w:rsid w:val="008318B0"/>
    <w:rsid w:val="008319D0"/>
    <w:rsid w:val="00831A4A"/>
    <w:rsid w:val="00831B77"/>
    <w:rsid w:val="00831BB8"/>
    <w:rsid w:val="00831CBA"/>
    <w:rsid w:val="00831DB0"/>
    <w:rsid w:val="00831E05"/>
    <w:rsid w:val="00831E11"/>
    <w:rsid w:val="00831FE4"/>
    <w:rsid w:val="00831FF0"/>
    <w:rsid w:val="008321A6"/>
    <w:rsid w:val="008321B5"/>
    <w:rsid w:val="00832255"/>
    <w:rsid w:val="008322B7"/>
    <w:rsid w:val="00832353"/>
    <w:rsid w:val="00832391"/>
    <w:rsid w:val="00832465"/>
    <w:rsid w:val="008324EA"/>
    <w:rsid w:val="008325C7"/>
    <w:rsid w:val="008325DB"/>
    <w:rsid w:val="008326EA"/>
    <w:rsid w:val="008327EF"/>
    <w:rsid w:val="00832892"/>
    <w:rsid w:val="00832901"/>
    <w:rsid w:val="008329A1"/>
    <w:rsid w:val="008329C3"/>
    <w:rsid w:val="008329D3"/>
    <w:rsid w:val="008329DB"/>
    <w:rsid w:val="00832AA1"/>
    <w:rsid w:val="00832AE3"/>
    <w:rsid w:val="00832BAF"/>
    <w:rsid w:val="00832CA8"/>
    <w:rsid w:val="00832E3B"/>
    <w:rsid w:val="00832EDD"/>
    <w:rsid w:val="00832FCB"/>
    <w:rsid w:val="008330D6"/>
    <w:rsid w:val="00833247"/>
    <w:rsid w:val="00833297"/>
    <w:rsid w:val="0083330A"/>
    <w:rsid w:val="00833399"/>
    <w:rsid w:val="008333A6"/>
    <w:rsid w:val="008333C7"/>
    <w:rsid w:val="008333F3"/>
    <w:rsid w:val="00833498"/>
    <w:rsid w:val="00833500"/>
    <w:rsid w:val="0083354F"/>
    <w:rsid w:val="008335CA"/>
    <w:rsid w:val="0083370D"/>
    <w:rsid w:val="00833772"/>
    <w:rsid w:val="0083379E"/>
    <w:rsid w:val="008337BE"/>
    <w:rsid w:val="00833838"/>
    <w:rsid w:val="0083390F"/>
    <w:rsid w:val="008339F3"/>
    <w:rsid w:val="00833A26"/>
    <w:rsid w:val="00833A6E"/>
    <w:rsid w:val="00833B4E"/>
    <w:rsid w:val="00833B66"/>
    <w:rsid w:val="00833CEA"/>
    <w:rsid w:val="00833E04"/>
    <w:rsid w:val="00833E67"/>
    <w:rsid w:val="008340C9"/>
    <w:rsid w:val="008341AD"/>
    <w:rsid w:val="008341D7"/>
    <w:rsid w:val="00834220"/>
    <w:rsid w:val="0083425A"/>
    <w:rsid w:val="008342EC"/>
    <w:rsid w:val="0083432F"/>
    <w:rsid w:val="008343C2"/>
    <w:rsid w:val="00834429"/>
    <w:rsid w:val="0083444D"/>
    <w:rsid w:val="0083453C"/>
    <w:rsid w:val="008345DC"/>
    <w:rsid w:val="00834634"/>
    <w:rsid w:val="00834640"/>
    <w:rsid w:val="00834777"/>
    <w:rsid w:val="00834778"/>
    <w:rsid w:val="00834796"/>
    <w:rsid w:val="0083487C"/>
    <w:rsid w:val="00834887"/>
    <w:rsid w:val="008348D7"/>
    <w:rsid w:val="00834930"/>
    <w:rsid w:val="00834951"/>
    <w:rsid w:val="00834A1B"/>
    <w:rsid w:val="00834A2D"/>
    <w:rsid w:val="00834AEA"/>
    <w:rsid w:val="00834AFC"/>
    <w:rsid w:val="00834BBC"/>
    <w:rsid w:val="00834BD2"/>
    <w:rsid w:val="00834C96"/>
    <w:rsid w:val="00834CAE"/>
    <w:rsid w:val="00834D44"/>
    <w:rsid w:val="00834DAB"/>
    <w:rsid w:val="00834E27"/>
    <w:rsid w:val="00834FD2"/>
    <w:rsid w:val="00835153"/>
    <w:rsid w:val="00835259"/>
    <w:rsid w:val="00835331"/>
    <w:rsid w:val="00835451"/>
    <w:rsid w:val="0083558E"/>
    <w:rsid w:val="00835622"/>
    <w:rsid w:val="0083565C"/>
    <w:rsid w:val="008356BB"/>
    <w:rsid w:val="008357B2"/>
    <w:rsid w:val="00835853"/>
    <w:rsid w:val="0083589E"/>
    <w:rsid w:val="008358EB"/>
    <w:rsid w:val="00835984"/>
    <w:rsid w:val="008359B5"/>
    <w:rsid w:val="00835B4D"/>
    <w:rsid w:val="00835B7D"/>
    <w:rsid w:val="00835C47"/>
    <w:rsid w:val="00835C57"/>
    <w:rsid w:val="00835CFC"/>
    <w:rsid w:val="00835D3C"/>
    <w:rsid w:val="00835E30"/>
    <w:rsid w:val="00835F24"/>
    <w:rsid w:val="00835F38"/>
    <w:rsid w:val="00835F8D"/>
    <w:rsid w:val="008361D6"/>
    <w:rsid w:val="00836204"/>
    <w:rsid w:val="00836326"/>
    <w:rsid w:val="0083638B"/>
    <w:rsid w:val="008363CA"/>
    <w:rsid w:val="00836444"/>
    <w:rsid w:val="008364E0"/>
    <w:rsid w:val="008364F4"/>
    <w:rsid w:val="00836503"/>
    <w:rsid w:val="00836534"/>
    <w:rsid w:val="00836538"/>
    <w:rsid w:val="0083657A"/>
    <w:rsid w:val="008365F4"/>
    <w:rsid w:val="00836615"/>
    <w:rsid w:val="008366A2"/>
    <w:rsid w:val="008366F6"/>
    <w:rsid w:val="00836710"/>
    <w:rsid w:val="0083682B"/>
    <w:rsid w:val="0083683A"/>
    <w:rsid w:val="008368DA"/>
    <w:rsid w:val="00836A0A"/>
    <w:rsid w:val="00836B2D"/>
    <w:rsid w:val="00836CF1"/>
    <w:rsid w:val="00836CFF"/>
    <w:rsid w:val="00836D9B"/>
    <w:rsid w:val="00836DBF"/>
    <w:rsid w:val="00836DCF"/>
    <w:rsid w:val="00836E5F"/>
    <w:rsid w:val="00836EA1"/>
    <w:rsid w:val="00836F2B"/>
    <w:rsid w:val="00836F43"/>
    <w:rsid w:val="00836F9C"/>
    <w:rsid w:val="0083706D"/>
    <w:rsid w:val="008371BF"/>
    <w:rsid w:val="008373B2"/>
    <w:rsid w:val="008373D1"/>
    <w:rsid w:val="008374AA"/>
    <w:rsid w:val="00837508"/>
    <w:rsid w:val="00837517"/>
    <w:rsid w:val="00837611"/>
    <w:rsid w:val="00837678"/>
    <w:rsid w:val="008376E9"/>
    <w:rsid w:val="00837786"/>
    <w:rsid w:val="00837797"/>
    <w:rsid w:val="008379C6"/>
    <w:rsid w:val="00837A4F"/>
    <w:rsid w:val="00837B05"/>
    <w:rsid w:val="00837B3E"/>
    <w:rsid w:val="00837BEF"/>
    <w:rsid w:val="00837CF0"/>
    <w:rsid w:val="00837D30"/>
    <w:rsid w:val="00837E00"/>
    <w:rsid w:val="00837E73"/>
    <w:rsid w:val="00837EDA"/>
    <w:rsid w:val="0084000E"/>
    <w:rsid w:val="0084007D"/>
    <w:rsid w:val="008400D5"/>
    <w:rsid w:val="008401A5"/>
    <w:rsid w:val="00840250"/>
    <w:rsid w:val="008403B0"/>
    <w:rsid w:val="008403B9"/>
    <w:rsid w:val="00840476"/>
    <w:rsid w:val="00840545"/>
    <w:rsid w:val="008406A5"/>
    <w:rsid w:val="008406B8"/>
    <w:rsid w:val="00840706"/>
    <w:rsid w:val="0084077B"/>
    <w:rsid w:val="008407DA"/>
    <w:rsid w:val="008408AF"/>
    <w:rsid w:val="0084092A"/>
    <w:rsid w:val="0084096C"/>
    <w:rsid w:val="008409CE"/>
    <w:rsid w:val="00840A3A"/>
    <w:rsid w:val="00840B0E"/>
    <w:rsid w:val="00840C9D"/>
    <w:rsid w:val="00840CB1"/>
    <w:rsid w:val="00840D29"/>
    <w:rsid w:val="00840DE3"/>
    <w:rsid w:val="00840E0D"/>
    <w:rsid w:val="00840E11"/>
    <w:rsid w:val="00840E28"/>
    <w:rsid w:val="00840F4F"/>
    <w:rsid w:val="00840F7A"/>
    <w:rsid w:val="0084100F"/>
    <w:rsid w:val="00841060"/>
    <w:rsid w:val="00841061"/>
    <w:rsid w:val="008410D5"/>
    <w:rsid w:val="008410D7"/>
    <w:rsid w:val="0084111E"/>
    <w:rsid w:val="008411A3"/>
    <w:rsid w:val="008411FD"/>
    <w:rsid w:val="00841390"/>
    <w:rsid w:val="008413CE"/>
    <w:rsid w:val="00841487"/>
    <w:rsid w:val="0084157A"/>
    <w:rsid w:val="0084159C"/>
    <w:rsid w:val="008415F5"/>
    <w:rsid w:val="008416A0"/>
    <w:rsid w:val="008417DB"/>
    <w:rsid w:val="008418D5"/>
    <w:rsid w:val="0084191D"/>
    <w:rsid w:val="00841961"/>
    <w:rsid w:val="008419C5"/>
    <w:rsid w:val="00841A8C"/>
    <w:rsid w:val="00841B14"/>
    <w:rsid w:val="00841B48"/>
    <w:rsid w:val="00841BA3"/>
    <w:rsid w:val="00841BD6"/>
    <w:rsid w:val="00841C18"/>
    <w:rsid w:val="00841DB9"/>
    <w:rsid w:val="00841F1A"/>
    <w:rsid w:val="00841FDC"/>
    <w:rsid w:val="00842115"/>
    <w:rsid w:val="008421FB"/>
    <w:rsid w:val="00842248"/>
    <w:rsid w:val="008422B1"/>
    <w:rsid w:val="00842338"/>
    <w:rsid w:val="00842376"/>
    <w:rsid w:val="00842434"/>
    <w:rsid w:val="00842534"/>
    <w:rsid w:val="00842691"/>
    <w:rsid w:val="008426CB"/>
    <w:rsid w:val="008427E1"/>
    <w:rsid w:val="00842848"/>
    <w:rsid w:val="008429D8"/>
    <w:rsid w:val="00842A0F"/>
    <w:rsid w:val="00842AB4"/>
    <w:rsid w:val="00842ACA"/>
    <w:rsid w:val="00842C1A"/>
    <w:rsid w:val="00842C3E"/>
    <w:rsid w:val="00842C82"/>
    <w:rsid w:val="00842C96"/>
    <w:rsid w:val="00842C9E"/>
    <w:rsid w:val="00842CBD"/>
    <w:rsid w:val="00842D0F"/>
    <w:rsid w:val="00842D2E"/>
    <w:rsid w:val="00842D35"/>
    <w:rsid w:val="00842D6F"/>
    <w:rsid w:val="00842DCE"/>
    <w:rsid w:val="00842E6B"/>
    <w:rsid w:val="00842E8B"/>
    <w:rsid w:val="00842EFF"/>
    <w:rsid w:val="00842F21"/>
    <w:rsid w:val="00842F63"/>
    <w:rsid w:val="00842F81"/>
    <w:rsid w:val="00843070"/>
    <w:rsid w:val="0084309B"/>
    <w:rsid w:val="008430AF"/>
    <w:rsid w:val="00843113"/>
    <w:rsid w:val="0084312C"/>
    <w:rsid w:val="008431D0"/>
    <w:rsid w:val="008433C0"/>
    <w:rsid w:val="00843429"/>
    <w:rsid w:val="00843442"/>
    <w:rsid w:val="008434AE"/>
    <w:rsid w:val="008434BF"/>
    <w:rsid w:val="00843569"/>
    <w:rsid w:val="0084360E"/>
    <w:rsid w:val="0084373B"/>
    <w:rsid w:val="0084374B"/>
    <w:rsid w:val="008437AC"/>
    <w:rsid w:val="00843944"/>
    <w:rsid w:val="00843969"/>
    <w:rsid w:val="00843B06"/>
    <w:rsid w:val="00843B1F"/>
    <w:rsid w:val="00843C57"/>
    <w:rsid w:val="00843D09"/>
    <w:rsid w:val="00843D86"/>
    <w:rsid w:val="00843E4C"/>
    <w:rsid w:val="00843E57"/>
    <w:rsid w:val="00843ECB"/>
    <w:rsid w:val="00843F59"/>
    <w:rsid w:val="00843FF3"/>
    <w:rsid w:val="0084401D"/>
    <w:rsid w:val="0084405E"/>
    <w:rsid w:val="008440A2"/>
    <w:rsid w:val="008440A9"/>
    <w:rsid w:val="008440AA"/>
    <w:rsid w:val="00844223"/>
    <w:rsid w:val="008442F7"/>
    <w:rsid w:val="00844399"/>
    <w:rsid w:val="008443C5"/>
    <w:rsid w:val="008446E9"/>
    <w:rsid w:val="008446ED"/>
    <w:rsid w:val="0084476A"/>
    <w:rsid w:val="00844859"/>
    <w:rsid w:val="008448B1"/>
    <w:rsid w:val="0084496A"/>
    <w:rsid w:val="008449D4"/>
    <w:rsid w:val="00844A61"/>
    <w:rsid w:val="00844A81"/>
    <w:rsid w:val="00844A88"/>
    <w:rsid w:val="00844AB3"/>
    <w:rsid w:val="00844B66"/>
    <w:rsid w:val="00844B7E"/>
    <w:rsid w:val="00844C22"/>
    <w:rsid w:val="00844CE4"/>
    <w:rsid w:val="00844CED"/>
    <w:rsid w:val="00844CFA"/>
    <w:rsid w:val="00844D49"/>
    <w:rsid w:val="00844D85"/>
    <w:rsid w:val="00844D95"/>
    <w:rsid w:val="00844DAA"/>
    <w:rsid w:val="00844FF4"/>
    <w:rsid w:val="00845060"/>
    <w:rsid w:val="00845062"/>
    <w:rsid w:val="008450AB"/>
    <w:rsid w:val="008450B0"/>
    <w:rsid w:val="008451FC"/>
    <w:rsid w:val="008452D1"/>
    <w:rsid w:val="00845301"/>
    <w:rsid w:val="0084532F"/>
    <w:rsid w:val="008453B3"/>
    <w:rsid w:val="00845557"/>
    <w:rsid w:val="00845592"/>
    <w:rsid w:val="008455BD"/>
    <w:rsid w:val="00845669"/>
    <w:rsid w:val="0084576C"/>
    <w:rsid w:val="00845823"/>
    <w:rsid w:val="00845870"/>
    <w:rsid w:val="008458B4"/>
    <w:rsid w:val="00845909"/>
    <w:rsid w:val="008459BC"/>
    <w:rsid w:val="00845AFF"/>
    <w:rsid w:val="00845B01"/>
    <w:rsid w:val="00845BA5"/>
    <w:rsid w:val="00845CAC"/>
    <w:rsid w:val="00845D16"/>
    <w:rsid w:val="00845D66"/>
    <w:rsid w:val="00845D7D"/>
    <w:rsid w:val="00845DE2"/>
    <w:rsid w:val="00845E80"/>
    <w:rsid w:val="00845E9B"/>
    <w:rsid w:val="00845EF7"/>
    <w:rsid w:val="00846013"/>
    <w:rsid w:val="00846030"/>
    <w:rsid w:val="00846044"/>
    <w:rsid w:val="008460F0"/>
    <w:rsid w:val="008460F2"/>
    <w:rsid w:val="008461F3"/>
    <w:rsid w:val="0084624C"/>
    <w:rsid w:val="00846260"/>
    <w:rsid w:val="00846424"/>
    <w:rsid w:val="00846437"/>
    <w:rsid w:val="008464B0"/>
    <w:rsid w:val="0084655B"/>
    <w:rsid w:val="0084670C"/>
    <w:rsid w:val="00846742"/>
    <w:rsid w:val="00846791"/>
    <w:rsid w:val="0084679F"/>
    <w:rsid w:val="008467D8"/>
    <w:rsid w:val="00846905"/>
    <w:rsid w:val="00846A45"/>
    <w:rsid w:val="00846AC0"/>
    <w:rsid w:val="00846B24"/>
    <w:rsid w:val="00846B39"/>
    <w:rsid w:val="00846B8E"/>
    <w:rsid w:val="00846C10"/>
    <w:rsid w:val="00846D0D"/>
    <w:rsid w:val="00846D11"/>
    <w:rsid w:val="00846EAB"/>
    <w:rsid w:val="00846F01"/>
    <w:rsid w:val="00847143"/>
    <w:rsid w:val="00847230"/>
    <w:rsid w:val="0084735C"/>
    <w:rsid w:val="0084735D"/>
    <w:rsid w:val="00847364"/>
    <w:rsid w:val="008473C1"/>
    <w:rsid w:val="0084740F"/>
    <w:rsid w:val="00847417"/>
    <w:rsid w:val="0084743F"/>
    <w:rsid w:val="0084748A"/>
    <w:rsid w:val="008474BE"/>
    <w:rsid w:val="008474F7"/>
    <w:rsid w:val="00847551"/>
    <w:rsid w:val="00847613"/>
    <w:rsid w:val="00847638"/>
    <w:rsid w:val="0084766B"/>
    <w:rsid w:val="008476E9"/>
    <w:rsid w:val="0084786B"/>
    <w:rsid w:val="00847A11"/>
    <w:rsid w:val="00847A18"/>
    <w:rsid w:val="00847BB1"/>
    <w:rsid w:val="00847BE9"/>
    <w:rsid w:val="00847DB2"/>
    <w:rsid w:val="00847E62"/>
    <w:rsid w:val="00847E6E"/>
    <w:rsid w:val="00847ECE"/>
    <w:rsid w:val="00847EE3"/>
    <w:rsid w:val="00847F1E"/>
    <w:rsid w:val="00847F41"/>
    <w:rsid w:val="00847FE3"/>
    <w:rsid w:val="0085008C"/>
    <w:rsid w:val="008500BF"/>
    <w:rsid w:val="008501D5"/>
    <w:rsid w:val="00850282"/>
    <w:rsid w:val="008502DB"/>
    <w:rsid w:val="0085032B"/>
    <w:rsid w:val="00850355"/>
    <w:rsid w:val="0085039E"/>
    <w:rsid w:val="008503E5"/>
    <w:rsid w:val="0085044B"/>
    <w:rsid w:val="00850493"/>
    <w:rsid w:val="00850508"/>
    <w:rsid w:val="00850595"/>
    <w:rsid w:val="008505F3"/>
    <w:rsid w:val="00850715"/>
    <w:rsid w:val="00850722"/>
    <w:rsid w:val="0085072E"/>
    <w:rsid w:val="0085074B"/>
    <w:rsid w:val="00850986"/>
    <w:rsid w:val="00850B81"/>
    <w:rsid w:val="00850BA4"/>
    <w:rsid w:val="00850C1B"/>
    <w:rsid w:val="00850C46"/>
    <w:rsid w:val="00850C49"/>
    <w:rsid w:val="00850C6E"/>
    <w:rsid w:val="00850DAB"/>
    <w:rsid w:val="00850E7B"/>
    <w:rsid w:val="00850F87"/>
    <w:rsid w:val="008510D1"/>
    <w:rsid w:val="00851427"/>
    <w:rsid w:val="008514CD"/>
    <w:rsid w:val="008514CE"/>
    <w:rsid w:val="008518A2"/>
    <w:rsid w:val="008518E3"/>
    <w:rsid w:val="008518E9"/>
    <w:rsid w:val="00851A42"/>
    <w:rsid w:val="00851B2C"/>
    <w:rsid w:val="00851B76"/>
    <w:rsid w:val="00851BEC"/>
    <w:rsid w:val="00851CC5"/>
    <w:rsid w:val="00851CD5"/>
    <w:rsid w:val="00851CEC"/>
    <w:rsid w:val="00851CF8"/>
    <w:rsid w:val="00851DAF"/>
    <w:rsid w:val="00851E71"/>
    <w:rsid w:val="00851FFA"/>
    <w:rsid w:val="0085205B"/>
    <w:rsid w:val="008520AA"/>
    <w:rsid w:val="008520DD"/>
    <w:rsid w:val="00852190"/>
    <w:rsid w:val="00852236"/>
    <w:rsid w:val="008523A0"/>
    <w:rsid w:val="008523B8"/>
    <w:rsid w:val="008524F5"/>
    <w:rsid w:val="0085258F"/>
    <w:rsid w:val="0085267D"/>
    <w:rsid w:val="00852706"/>
    <w:rsid w:val="00852731"/>
    <w:rsid w:val="00852759"/>
    <w:rsid w:val="008527DC"/>
    <w:rsid w:val="008528F0"/>
    <w:rsid w:val="00852A09"/>
    <w:rsid w:val="00852A2A"/>
    <w:rsid w:val="00852AAC"/>
    <w:rsid w:val="00852CC1"/>
    <w:rsid w:val="00852D3E"/>
    <w:rsid w:val="00852D91"/>
    <w:rsid w:val="00852EB9"/>
    <w:rsid w:val="008530FC"/>
    <w:rsid w:val="0085310E"/>
    <w:rsid w:val="008531F2"/>
    <w:rsid w:val="008533AE"/>
    <w:rsid w:val="0085360C"/>
    <w:rsid w:val="00853633"/>
    <w:rsid w:val="008536A9"/>
    <w:rsid w:val="008536C8"/>
    <w:rsid w:val="00853713"/>
    <w:rsid w:val="0085386E"/>
    <w:rsid w:val="008538EC"/>
    <w:rsid w:val="00853955"/>
    <w:rsid w:val="008539B6"/>
    <w:rsid w:val="00853A9B"/>
    <w:rsid w:val="00853AA2"/>
    <w:rsid w:val="00853B8F"/>
    <w:rsid w:val="00853C06"/>
    <w:rsid w:val="00853C50"/>
    <w:rsid w:val="00853C81"/>
    <w:rsid w:val="00853D4C"/>
    <w:rsid w:val="00853F7D"/>
    <w:rsid w:val="00853FB4"/>
    <w:rsid w:val="0085403E"/>
    <w:rsid w:val="0085411F"/>
    <w:rsid w:val="00854164"/>
    <w:rsid w:val="0085422F"/>
    <w:rsid w:val="00854328"/>
    <w:rsid w:val="0085436C"/>
    <w:rsid w:val="0085451B"/>
    <w:rsid w:val="00854686"/>
    <w:rsid w:val="00854699"/>
    <w:rsid w:val="0085471A"/>
    <w:rsid w:val="0085471F"/>
    <w:rsid w:val="008547A3"/>
    <w:rsid w:val="0085485D"/>
    <w:rsid w:val="008548B2"/>
    <w:rsid w:val="008549B0"/>
    <w:rsid w:val="008549C6"/>
    <w:rsid w:val="00854ACA"/>
    <w:rsid w:val="00854B0A"/>
    <w:rsid w:val="00854BE0"/>
    <w:rsid w:val="00854E94"/>
    <w:rsid w:val="00854ECC"/>
    <w:rsid w:val="00854F6D"/>
    <w:rsid w:val="00854F77"/>
    <w:rsid w:val="00854FBE"/>
    <w:rsid w:val="00854FED"/>
    <w:rsid w:val="008551D8"/>
    <w:rsid w:val="00855203"/>
    <w:rsid w:val="0085532C"/>
    <w:rsid w:val="00855399"/>
    <w:rsid w:val="008553A9"/>
    <w:rsid w:val="008553CB"/>
    <w:rsid w:val="0085543B"/>
    <w:rsid w:val="0085553B"/>
    <w:rsid w:val="00855545"/>
    <w:rsid w:val="008556E7"/>
    <w:rsid w:val="0085573E"/>
    <w:rsid w:val="00855741"/>
    <w:rsid w:val="0085576C"/>
    <w:rsid w:val="0085579C"/>
    <w:rsid w:val="008557FD"/>
    <w:rsid w:val="00855837"/>
    <w:rsid w:val="00855839"/>
    <w:rsid w:val="008558B0"/>
    <w:rsid w:val="008558F8"/>
    <w:rsid w:val="0085597C"/>
    <w:rsid w:val="0085599E"/>
    <w:rsid w:val="00855A5A"/>
    <w:rsid w:val="00855D28"/>
    <w:rsid w:val="00855D3E"/>
    <w:rsid w:val="00855D93"/>
    <w:rsid w:val="00855DE9"/>
    <w:rsid w:val="00855DF0"/>
    <w:rsid w:val="00855EA3"/>
    <w:rsid w:val="00855F19"/>
    <w:rsid w:val="00855F80"/>
    <w:rsid w:val="00856064"/>
    <w:rsid w:val="008560B1"/>
    <w:rsid w:val="008560B2"/>
    <w:rsid w:val="008560C7"/>
    <w:rsid w:val="00856231"/>
    <w:rsid w:val="00856248"/>
    <w:rsid w:val="0085625C"/>
    <w:rsid w:val="00856307"/>
    <w:rsid w:val="008564C9"/>
    <w:rsid w:val="00856563"/>
    <w:rsid w:val="0085658F"/>
    <w:rsid w:val="0085659B"/>
    <w:rsid w:val="008565F1"/>
    <w:rsid w:val="0085664C"/>
    <w:rsid w:val="0085665F"/>
    <w:rsid w:val="008566A9"/>
    <w:rsid w:val="008566B7"/>
    <w:rsid w:val="008566F7"/>
    <w:rsid w:val="008567C6"/>
    <w:rsid w:val="00856983"/>
    <w:rsid w:val="008569CD"/>
    <w:rsid w:val="00856B01"/>
    <w:rsid w:val="00856DCD"/>
    <w:rsid w:val="00856E56"/>
    <w:rsid w:val="00856F14"/>
    <w:rsid w:val="00856F23"/>
    <w:rsid w:val="00856FDA"/>
    <w:rsid w:val="00857019"/>
    <w:rsid w:val="0085705D"/>
    <w:rsid w:val="00857110"/>
    <w:rsid w:val="0085718F"/>
    <w:rsid w:val="00857252"/>
    <w:rsid w:val="00857344"/>
    <w:rsid w:val="00857373"/>
    <w:rsid w:val="008573D3"/>
    <w:rsid w:val="008575E8"/>
    <w:rsid w:val="008576AC"/>
    <w:rsid w:val="008577C1"/>
    <w:rsid w:val="008577CF"/>
    <w:rsid w:val="00857821"/>
    <w:rsid w:val="0085786B"/>
    <w:rsid w:val="008578B2"/>
    <w:rsid w:val="008578DF"/>
    <w:rsid w:val="00857B52"/>
    <w:rsid w:val="00857CD5"/>
    <w:rsid w:val="00857D07"/>
    <w:rsid w:val="00857D78"/>
    <w:rsid w:val="00857DB6"/>
    <w:rsid w:val="00857E0F"/>
    <w:rsid w:val="00857E8E"/>
    <w:rsid w:val="00857F5E"/>
    <w:rsid w:val="00857F81"/>
    <w:rsid w:val="00857FDF"/>
    <w:rsid w:val="00860194"/>
    <w:rsid w:val="00860293"/>
    <w:rsid w:val="008602CD"/>
    <w:rsid w:val="0086030E"/>
    <w:rsid w:val="008603C2"/>
    <w:rsid w:val="008604E7"/>
    <w:rsid w:val="00860580"/>
    <w:rsid w:val="008607CC"/>
    <w:rsid w:val="008609AF"/>
    <w:rsid w:val="008609BD"/>
    <w:rsid w:val="00860AEC"/>
    <w:rsid w:val="00860B1B"/>
    <w:rsid w:val="00860BBE"/>
    <w:rsid w:val="00860BED"/>
    <w:rsid w:val="00860C81"/>
    <w:rsid w:val="00860CCE"/>
    <w:rsid w:val="00860CD9"/>
    <w:rsid w:val="00860CEB"/>
    <w:rsid w:val="00860D16"/>
    <w:rsid w:val="00860DAA"/>
    <w:rsid w:val="00860E04"/>
    <w:rsid w:val="00860E3C"/>
    <w:rsid w:val="00860E3F"/>
    <w:rsid w:val="00860ED3"/>
    <w:rsid w:val="00860FA7"/>
    <w:rsid w:val="00861089"/>
    <w:rsid w:val="00861139"/>
    <w:rsid w:val="008611A1"/>
    <w:rsid w:val="008611DB"/>
    <w:rsid w:val="008612F2"/>
    <w:rsid w:val="008613F1"/>
    <w:rsid w:val="00861468"/>
    <w:rsid w:val="008614C9"/>
    <w:rsid w:val="0086157E"/>
    <w:rsid w:val="00861687"/>
    <w:rsid w:val="00861692"/>
    <w:rsid w:val="00861735"/>
    <w:rsid w:val="008617DE"/>
    <w:rsid w:val="0086181F"/>
    <w:rsid w:val="0086191A"/>
    <w:rsid w:val="0086194D"/>
    <w:rsid w:val="00861AB9"/>
    <w:rsid w:val="00861B8B"/>
    <w:rsid w:val="00861BF2"/>
    <w:rsid w:val="00861BFE"/>
    <w:rsid w:val="00861C1D"/>
    <w:rsid w:val="00861C4A"/>
    <w:rsid w:val="00861D15"/>
    <w:rsid w:val="00861DB8"/>
    <w:rsid w:val="00861DD1"/>
    <w:rsid w:val="00861E49"/>
    <w:rsid w:val="00861F1A"/>
    <w:rsid w:val="00861F4E"/>
    <w:rsid w:val="00861F76"/>
    <w:rsid w:val="00861F87"/>
    <w:rsid w:val="00862180"/>
    <w:rsid w:val="008621BD"/>
    <w:rsid w:val="00862221"/>
    <w:rsid w:val="00862274"/>
    <w:rsid w:val="008622B7"/>
    <w:rsid w:val="008624E3"/>
    <w:rsid w:val="00862538"/>
    <w:rsid w:val="008625BB"/>
    <w:rsid w:val="008625D2"/>
    <w:rsid w:val="0086262C"/>
    <w:rsid w:val="008626A7"/>
    <w:rsid w:val="008626E7"/>
    <w:rsid w:val="008626ED"/>
    <w:rsid w:val="00862870"/>
    <w:rsid w:val="008628BD"/>
    <w:rsid w:val="008628C7"/>
    <w:rsid w:val="008628E5"/>
    <w:rsid w:val="00862907"/>
    <w:rsid w:val="008629E5"/>
    <w:rsid w:val="00862A2E"/>
    <w:rsid w:val="00862CC6"/>
    <w:rsid w:val="00862D23"/>
    <w:rsid w:val="00862D94"/>
    <w:rsid w:val="00862DA5"/>
    <w:rsid w:val="00862EA1"/>
    <w:rsid w:val="00862F7B"/>
    <w:rsid w:val="00862FBD"/>
    <w:rsid w:val="00863055"/>
    <w:rsid w:val="0086317E"/>
    <w:rsid w:val="00863197"/>
    <w:rsid w:val="0086325C"/>
    <w:rsid w:val="00863280"/>
    <w:rsid w:val="008632DB"/>
    <w:rsid w:val="00863350"/>
    <w:rsid w:val="00863353"/>
    <w:rsid w:val="0086337F"/>
    <w:rsid w:val="0086338C"/>
    <w:rsid w:val="008633BB"/>
    <w:rsid w:val="00863424"/>
    <w:rsid w:val="00863496"/>
    <w:rsid w:val="008634BC"/>
    <w:rsid w:val="008635BE"/>
    <w:rsid w:val="00863687"/>
    <w:rsid w:val="008636F5"/>
    <w:rsid w:val="00863726"/>
    <w:rsid w:val="008637A3"/>
    <w:rsid w:val="008637C9"/>
    <w:rsid w:val="0086385C"/>
    <w:rsid w:val="00863880"/>
    <w:rsid w:val="008638BC"/>
    <w:rsid w:val="00863952"/>
    <w:rsid w:val="008639F7"/>
    <w:rsid w:val="00863A05"/>
    <w:rsid w:val="00863AD5"/>
    <w:rsid w:val="00863AF6"/>
    <w:rsid w:val="00863C8C"/>
    <w:rsid w:val="00863CC3"/>
    <w:rsid w:val="00863E47"/>
    <w:rsid w:val="00863ED3"/>
    <w:rsid w:val="00863EF9"/>
    <w:rsid w:val="00863FBC"/>
    <w:rsid w:val="008640F0"/>
    <w:rsid w:val="0086415A"/>
    <w:rsid w:val="00864211"/>
    <w:rsid w:val="00864305"/>
    <w:rsid w:val="0086430A"/>
    <w:rsid w:val="008643AC"/>
    <w:rsid w:val="008644CB"/>
    <w:rsid w:val="008646CC"/>
    <w:rsid w:val="00864785"/>
    <w:rsid w:val="0086483C"/>
    <w:rsid w:val="00864A1C"/>
    <w:rsid w:val="00864B20"/>
    <w:rsid w:val="00864C6D"/>
    <w:rsid w:val="00864CAC"/>
    <w:rsid w:val="00864D9B"/>
    <w:rsid w:val="00864DE8"/>
    <w:rsid w:val="00864E11"/>
    <w:rsid w:val="00864F75"/>
    <w:rsid w:val="00864FAC"/>
    <w:rsid w:val="00864FC4"/>
    <w:rsid w:val="0086502B"/>
    <w:rsid w:val="00865047"/>
    <w:rsid w:val="0086506B"/>
    <w:rsid w:val="0086509E"/>
    <w:rsid w:val="008650A1"/>
    <w:rsid w:val="0086513C"/>
    <w:rsid w:val="00865154"/>
    <w:rsid w:val="00865296"/>
    <w:rsid w:val="008652BD"/>
    <w:rsid w:val="008652FB"/>
    <w:rsid w:val="0086537A"/>
    <w:rsid w:val="0086537C"/>
    <w:rsid w:val="0086546A"/>
    <w:rsid w:val="0086548B"/>
    <w:rsid w:val="008654F1"/>
    <w:rsid w:val="008654F4"/>
    <w:rsid w:val="008655C7"/>
    <w:rsid w:val="00865968"/>
    <w:rsid w:val="00865A19"/>
    <w:rsid w:val="00865A76"/>
    <w:rsid w:val="00865A9B"/>
    <w:rsid w:val="00865AD1"/>
    <w:rsid w:val="00865AF0"/>
    <w:rsid w:val="00865CD3"/>
    <w:rsid w:val="00865DAF"/>
    <w:rsid w:val="00865EA7"/>
    <w:rsid w:val="00865FC6"/>
    <w:rsid w:val="00865FD5"/>
    <w:rsid w:val="00866059"/>
    <w:rsid w:val="008660A8"/>
    <w:rsid w:val="008660CC"/>
    <w:rsid w:val="0086614B"/>
    <w:rsid w:val="008661C9"/>
    <w:rsid w:val="008662A5"/>
    <w:rsid w:val="00866401"/>
    <w:rsid w:val="00866413"/>
    <w:rsid w:val="0086649E"/>
    <w:rsid w:val="008664B8"/>
    <w:rsid w:val="008665F7"/>
    <w:rsid w:val="0086664C"/>
    <w:rsid w:val="00866666"/>
    <w:rsid w:val="008666B2"/>
    <w:rsid w:val="0086675A"/>
    <w:rsid w:val="0086682D"/>
    <w:rsid w:val="00866A1C"/>
    <w:rsid w:val="00866A50"/>
    <w:rsid w:val="00866B05"/>
    <w:rsid w:val="00866B5A"/>
    <w:rsid w:val="00866C67"/>
    <w:rsid w:val="00866E85"/>
    <w:rsid w:val="00866EF9"/>
    <w:rsid w:val="00866F33"/>
    <w:rsid w:val="00866F75"/>
    <w:rsid w:val="00866F78"/>
    <w:rsid w:val="00866FC5"/>
    <w:rsid w:val="00866FF7"/>
    <w:rsid w:val="00867026"/>
    <w:rsid w:val="008670D1"/>
    <w:rsid w:val="00867116"/>
    <w:rsid w:val="0086713E"/>
    <w:rsid w:val="008671F9"/>
    <w:rsid w:val="00867228"/>
    <w:rsid w:val="0086738F"/>
    <w:rsid w:val="0086742B"/>
    <w:rsid w:val="00867432"/>
    <w:rsid w:val="00867496"/>
    <w:rsid w:val="00867529"/>
    <w:rsid w:val="0086756B"/>
    <w:rsid w:val="008675A7"/>
    <w:rsid w:val="008675EF"/>
    <w:rsid w:val="0086769B"/>
    <w:rsid w:val="008676BD"/>
    <w:rsid w:val="0086770A"/>
    <w:rsid w:val="0086771A"/>
    <w:rsid w:val="00867778"/>
    <w:rsid w:val="0086779B"/>
    <w:rsid w:val="008677E5"/>
    <w:rsid w:val="008678A8"/>
    <w:rsid w:val="008678C7"/>
    <w:rsid w:val="0086792D"/>
    <w:rsid w:val="0086794D"/>
    <w:rsid w:val="008679CD"/>
    <w:rsid w:val="00867A70"/>
    <w:rsid w:val="00867AC9"/>
    <w:rsid w:val="00867BA2"/>
    <w:rsid w:val="00867D17"/>
    <w:rsid w:val="00867D6C"/>
    <w:rsid w:val="00867E91"/>
    <w:rsid w:val="00867EBB"/>
    <w:rsid w:val="00867F32"/>
    <w:rsid w:val="00867F7C"/>
    <w:rsid w:val="00867FE2"/>
    <w:rsid w:val="0087007A"/>
    <w:rsid w:val="008700D9"/>
    <w:rsid w:val="00870121"/>
    <w:rsid w:val="008701F4"/>
    <w:rsid w:val="008701F5"/>
    <w:rsid w:val="00870354"/>
    <w:rsid w:val="008703BA"/>
    <w:rsid w:val="008703D4"/>
    <w:rsid w:val="00870515"/>
    <w:rsid w:val="008705D2"/>
    <w:rsid w:val="00870720"/>
    <w:rsid w:val="0087078F"/>
    <w:rsid w:val="008707EE"/>
    <w:rsid w:val="00870845"/>
    <w:rsid w:val="00870885"/>
    <w:rsid w:val="008708DE"/>
    <w:rsid w:val="00870AAF"/>
    <w:rsid w:val="00870BED"/>
    <w:rsid w:val="00870C19"/>
    <w:rsid w:val="00870C57"/>
    <w:rsid w:val="00870C86"/>
    <w:rsid w:val="00870D23"/>
    <w:rsid w:val="00870D95"/>
    <w:rsid w:val="00870E47"/>
    <w:rsid w:val="00870FEB"/>
    <w:rsid w:val="00871105"/>
    <w:rsid w:val="008712FB"/>
    <w:rsid w:val="0087131F"/>
    <w:rsid w:val="0087132D"/>
    <w:rsid w:val="00871382"/>
    <w:rsid w:val="00871387"/>
    <w:rsid w:val="008714A5"/>
    <w:rsid w:val="0087157C"/>
    <w:rsid w:val="008715E6"/>
    <w:rsid w:val="00871614"/>
    <w:rsid w:val="0087177F"/>
    <w:rsid w:val="008718CB"/>
    <w:rsid w:val="00871938"/>
    <w:rsid w:val="0087194A"/>
    <w:rsid w:val="00871A4E"/>
    <w:rsid w:val="00871AAC"/>
    <w:rsid w:val="00871B1D"/>
    <w:rsid w:val="00871D8E"/>
    <w:rsid w:val="00871D95"/>
    <w:rsid w:val="00871E27"/>
    <w:rsid w:val="00871F16"/>
    <w:rsid w:val="00871F3D"/>
    <w:rsid w:val="008720C2"/>
    <w:rsid w:val="0087218C"/>
    <w:rsid w:val="008721FC"/>
    <w:rsid w:val="00872217"/>
    <w:rsid w:val="0087226E"/>
    <w:rsid w:val="008722B6"/>
    <w:rsid w:val="008722EB"/>
    <w:rsid w:val="0087235F"/>
    <w:rsid w:val="00872378"/>
    <w:rsid w:val="0087244F"/>
    <w:rsid w:val="00872464"/>
    <w:rsid w:val="00872470"/>
    <w:rsid w:val="0087248F"/>
    <w:rsid w:val="008724DE"/>
    <w:rsid w:val="008725AF"/>
    <w:rsid w:val="008726B6"/>
    <w:rsid w:val="008727A5"/>
    <w:rsid w:val="00872816"/>
    <w:rsid w:val="00872987"/>
    <w:rsid w:val="00872A6F"/>
    <w:rsid w:val="00872BEB"/>
    <w:rsid w:val="00872C58"/>
    <w:rsid w:val="00872D5D"/>
    <w:rsid w:val="00872DC1"/>
    <w:rsid w:val="00872E2F"/>
    <w:rsid w:val="00872E90"/>
    <w:rsid w:val="00872EA2"/>
    <w:rsid w:val="00872F8D"/>
    <w:rsid w:val="00872FA5"/>
    <w:rsid w:val="0087303A"/>
    <w:rsid w:val="00873058"/>
    <w:rsid w:val="0087305D"/>
    <w:rsid w:val="00873116"/>
    <w:rsid w:val="0087326A"/>
    <w:rsid w:val="00873305"/>
    <w:rsid w:val="008734D8"/>
    <w:rsid w:val="0087351A"/>
    <w:rsid w:val="008735FC"/>
    <w:rsid w:val="0087361C"/>
    <w:rsid w:val="00873633"/>
    <w:rsid w:val="00873693"/>
    <w:rsid w:val="00873698"/>
    <w:rsid w:val="00873767"/>
    <w:rsid w:val="008737E7"/>
    <w:rsid w:val="00873813"/>
    <w:rsid w:val="00873886"/>
    <w:rsid w:val="00873A18"/>
    <w:rsid w:val="00873AD8"/>
    <w:rsid w:val="00873AED"/>
    <w:rsid w:val="00873BBB"/>
    <w:rsid w:val="00873C1A"/>
    <w:rsid w:val="00873C48"/>
    <w:rsid w:val="00873CA1"/>
    <w:rsid w:val="00873DB8"/>
    <w:rsid w:val="00873DC9"/>
    <w:rsid w:val="00873E34"/>
    <w:rsid w:val="00873E51"/>
    <w:rsid w:val="00873F1D"/>
    <w:rsid w:val="00873F78"/>
    <w:rsid w:val="00873F91"/>
    <w:rsid w:val="00873FF4"/>
    <w:rsid w:val="00874082"/>
    <w:rsid w:val="008740EC"/>
    <w:rsid w:val="0087416B"/>
    <w:rsid w:val="0087419F"/>
    <w:rsid w:val="008741E0"/>
    <w:rsid w:val="00874218"/>
    <w:rsid w:val="008742C0"/>
    <w:rsid w:val="00874398"/>
    <w:rsid w:val="0087439D"/>
    <w:rsid w:val="00874582"/>
    <w:rsid w:val="00874667"/>
    <w:rsid w:val="008746D0"/>
    <w:rsid w:val="00874717"/>
    <w:rsid w:val="00874725"/>
    <w:rsid w:val="008747E4"/>
    <w:rsid w:val="008748E8"/>
    <w:rsid w:val="0087494F"/>
    <w:rsid w:val="008749CE"/>
    <w:rsid w:val="00874A3E"/>
    <w:rsid w:val="00874A4B"/>
    <w:rsid w:val="00874A79"/>
    <w:rsid w:val="00874B60"/>
    <w:rsid w:val="00874BCB"/>
    <w:rsid w:val="00874C2B"/>
    <w:rsid w:val="00874C56"/>
    <w:rsid w:val="00874C8E"/>
    <w:rsid w:val="00874CBD"/>
    <w:rsid w:val="00874D59"/>
    <w:rsid w:val="00874D6F"/>
    <w:rsid w:val="00874E30"/>
    <w:rsid w:val="00874E96"/>
    <w:rsid w:val="00874EFC"/>
    <w:rsid w:val="00874F4D"/>
    <w:rsid w:val="00874FE8"/>
    <w:rsid w:val="008750BC"/>
    <w:rsid w:val="00875130"/>
    <w:rsid w:val="008751A9"/>
    <w:rsid w:val="00875270"/>
    <w:rsid w:val="00875395"/>
    <w:rsid w:val="00875448"/>
    <w:rsid w:val="008754CB"/>
    <w:rsid w:val="008754F3"/>
    <w:rsid w:val="008755D6"/>
    <w:rsid w:val="00875719"/>
    <w:rsid w:val="00875999"/>
    <w:rsid w:val="008759A1"/>
    <w:rsid w:val="008759A5"/>
    <w:rsid w:val="00875B00"/>
    <w:rsid w:val="00875B30"/>
    <w:rsid w:val="00875B78"/>
    <w:rsid w:val="00875B97"/>
    <w:rsid w:val="00875BEF"/>
    <w:rsid w:val="00875C7D"/>
    <w:rsid w:val="00875CC8"/>
    <w:rsid w:val="00875D01"/>
    <w:rsid w:val="00875D67"/>
    <w:rsid w:val="00875DEE"/>
    <w:rsid w:val="00875E7B"/>
    <w:rsid w:val="0087605F"/>
    <w:rsid w:val="008760AF"/>
    <w:rsid w:val="00876236"/>
    <w:rsid w:val="008762C2"/>
    <w:rsid w:val="008762DD"/>
    <w:rsid w:val="00876317"/>
    <w:rsid w:val="00876416"/>
    <w:rsid w:val="00876461"/>
    <w:rsid w:val="0087649E"/>
    <w:rsid w:val="008764C3"/>
    <w:rsid w:val="008764F6"/>
    <w:rsid w:val="00876562"/>
    <w:rsid w:val="00876589"/>
    <w:rsid w:val="008766D5"/>
    <w:rsid w:val="00876853"/>
    <w:rsid w:val="008768F0"/>
    <w:rsid w:val="00876A73"/>
    <w:rsid w:val="00876AEE"/>
    <w:rsid w:val="00876B32"/>
    <w:rsid w:val="00876B4F"/>
    <w:rsid w:val="00876B9D"/>
    <w:rsid w:val="00876BF5"/>
    <w:rsid w:val="00876C82"/>
    <w:rsid w:val="00876CA1"/>
    <w:rsid w:val="00876CAA"/>
    <w:rsid w:val="00876E4C"/>
    <w:rsid w:val="00876E56"/>
    <w:rsid w:val="00876EC0"/>
    <w:rsid w:val="00876ED7"/>
    <w:rsid w:val="00876F45"/>
    <w:rsid w:val="00876F4F"/>
    <w:rsid w:val="00877242"/>
    <w:rsid w:val="00877253"/>
    <w:rsid w:val="00877279"/>
    <w:rsid w:val="0087728C"/>
    <w:rsid w:val="008772FD"/>
    <w:rsid w:val="0087736B"/>
    <w:rsid w:val="00877480"/>
    <w:rsid w:val="0087748A"/>
    <w:rsid w:val="008775B3"/>
    <w:rsid w:val="00877604"/>
    <w:rsid w:val="0087770D"/>
    <w:rsid w:val="00877844"/>
    <w:rsid w:val="0087789B"/>
    <w:rsid w:val="00877918"/>
    <w:rsid w:val="0087793C"/>
    <w:rsid w:val="00877998"/>
    <w:rsid w:val="00877AF3"/>
    <w:rsid w:val="00877B42"/>
    <w:rsid w:val="00877B60"/>
    <w:rsid w:val="00877BCC"/>
    <w:rsid w:val="00877C4C"/>
    <w:rsid w:val="00877C7C"/>
    <w:rsid w:val="00877C9D"/>
    <w:rsid w:val="00877CC6"/>
    <w:rsid w:val="00877DC2"/>
    <w:rsid w:val="00877E8F"/>
    <w:rsid w:val="00877EA0"/>
    <w:rsid w:val="00877ED9"/>
    <w:rsid w:val="00877EEF"/>
    <w:rsid w:val="00877F18"/>
    <w:rsid w:val="00877F19"/>
    <w:rsid w:val="00877F3B"/>
    <w:rsid w:val="00877F43"/>
    <w:rsid w:val="008801BE"/>
    <w:rsid w:val="0088021A"/>
    <w:rsid w:val="008802D7"/>
    <w:rsid w:val="00880362"/>
    <w:rsid w:val="008804DD"/>
    <w:rsid w:val="008805C4"/>
    <w:rsid w:val="00880697"/>
    <w:rsid w:val="008806C5"/>
    <w:rsid w:val="00880703"/>
    <w:rsid w:val="0088079A"/>
    <w:rsid w:val="008808E6"/>
    <w:rsid w:val="008808FE"/>
    <w:rsid w:val="0088094E"/>
    <w:rsid w:val="00880AB9"/>
    <w:rsid w:val="00880BC1"/>
    <w:rsid w:val="00880BDF"/>
    <w:rsid w:val="00880CB5"/>
    <w:rsid w:val="00880D76"/>
    <w:rsid w:val="00880D90"/>
    <w:rsid w:val="00880E2C"/>
    <w:rsid w:val="00880E9F"/>
    <w:rsid w:val="0088103E"/>
    <w:rsid w:val="0088104A"/>
    <w:rsid w:val="008813BC"/>
    <w:rsid w:val="0088146D"/>
    <w:rsid w:val="008814CC"/>
    <w:rsid w:val="00881545"/>
    <w:rsid w:val="008815D8"/>
    <w:rsid w:val="00881708"/>
    <w:rsid w:val="00881823"/>
    <w:rsid w:val="00881825"/>
    <w:rsid w:val="00881912"/>
    <w:rsid w:val="00881926"/>
    <w:rsid w:val="008819F4"/>
    <w:rsid w:val="00881A0C"/>
    <w:rsid w:val="00881A4D"/>
    <w:rsid w:val="00881A58"/>
    <w:rsid w:val="00881B5B"/>
    <w:rsid w:val="00881BD5"/>
    <w:rsid w:val="00881BE6"/>
    <w:rsid w:val="00881C05"/>
    <w:rsid w:val="00881CAF"/>
    <w:rsid w:val="00881DFF"/>
    <w:rsid w:val="00881EBC"/>
    <w:rsid w:val="00881F38"/>
    <w:rsid w:val="008820C7"/>
    <w:rsid w:val="00882275"/>
    <w:rsid w:val="0088227A"/>
    <w:rsid w:val="008822F8"/>
    <w:rsid w:val="0088230C"/>
    <w:rsid w:val="00882377"/>
    <w:rsid w:val="008823C3"/>
    <w:rsid w:val="00882481"/>
    <w:rsid w:val="0088248F"/>
    <w:rsid w:val="0088255B"/>
    <w:rsid w:val="0088259E"/>
    <w:rsid w:val="008825B3"/>
    <w:rsid w:val="0088271F"/>
    <w:rsid w:val="00882723"/>
    <w:rsid w:val="00882738"/>
    <w:rsid w:val="00882743"/>
    <w:rsid w:val="008828E6"/>
    <w:rsid w:val="0088294F"/>
    <w:rsid w:val="00882958"/>
    <w:rsid w:val="00882BDC"/>
    <w:rsid w:val="00882C12"/>
    <w:rsid w:val="00882C33"/>
    <w:rsid w:val="00882C8C"/>
    <w:rsid w:val="00882CA1"/>
    <w:rsid w:val="00882CA7"/>
    <w:rsid w:val="00882D13"/>
    <w:rsid w:val="00882D67"/>
    <w:rsid w:val="00882E80"/>
    <w:rsid w:val="00882F25"/>
    <w:rsid w:val="00883104"/>
    <w:rsid w:val="00883131"/>
    <w:rsid w:val="00883275"/>
    <w:rsid w:val="00883321"/>
    <w:rsid w:val="0088337E"/>
    <w:rsid w:val="00883404"/>
    <w:rsid w:val="0088355B"/>
    <w:rsid w:val="00883590"/>
    <w:rsid w:val="008835F5"/>
    <w:rsid w:val="0088365F"/>
    <w:rsid w:val="0088368F"/>
    <w:rsid w:val="00883749"/>
    <w:rsid w:val="008837CA"/>
    <w:rsid w:val="00883818"/>
    <w:rsid w:val="00883852"/>
    <w:rsid w:val="00883896"/>
    <w:rsid w:val="00883921"/>
    <w:rsid w:val="00883935"/>
    <w:rsid w:val="0088398F"/>
    <w:rsid w:val="0088399C"/>
    <w:rsid w:val="008839A1"/>
    <w:rsid w:val="00883A1B"/>
    <w:rsid w:val="00883A6A"/>
    <w:rsid w:val="00883AF1"/>
    <w:rsid w:val="00883B1F"/>
    <w:rsid w:val="00883B79"/>
    <w:rsid w:val="00883C33"/>
    <w:rsid w:val="00883C90"/>
    <w:rsid w:val="00883CF9"/>
    <w:rsid w:val="00883D94"/>
    <w:rsid w:val="00883DD2"/>
    <w:rsid w:val="00883E55"/>
    <w:rsid w:val="00883EB2"/>
    <w:rsid w:val="00883F81"/>
    <w:rsid w:val="00884008"/>
    <w:rsid w:val="00884070"/>
    <w:rsid w:val="008840D0"/>
    <w:rsid w:val="008841E4"/>
    <w:rsid w:val="008841E5"/>
    <w:rsid w:val="00884223"/>
    <w:rsid w:val="008842BB"/>
    <w:rsid w:val="0088443D"/>
    <w:rsid w:val="00884548"/>
    <w:rsid w:val="0088454F"/>
    <w:rsid w:val="0088463F"/>
    <w:rsid w:val="008846D5"/>
    <w:rsid w:val="0088482C"/>
    <w:rsid w:val="0088483E"/>
    <w:rsid w:val="008848E7"/>
    <w:rsid w:val="008848F6"/>
    <w:rsid w:val="0088499B"/>
    <w:rsid w:val="008849A2"/>
    <w:rsid w:val="00884A02"/>
    <w:rsid w:val="00884A3D"/>
    <w:rsid w:val="00884A47"/>
    <w:rsid w:val="00884B1E"/>
    <w:rsid w:val="00884C0E"/>
    <w:rsid w:val="00884D3D"/>
    <w:rsid w:val="00884E46"/>
    <w:rsid w:val="00884F0A"/>
    <w:rsid w:val="00884F3A"/>
    <w:rsid w:val="00884F3D"/>
    <w:rsid w:val="00884F45"/>
    <w:rsid w:val="00884F83"/>
    <w:rsid w:val="00884FAF"/>
    <w:rsid w:val="00885206"/>
    <w:rsid w:val="00885442"/>
    <w:rsid w:val="00885483"/>
    <w:rsid w:val="008854AA"/>
    <w:rsid w:val="00885577"/>
    <w:rsid w:val="008855BC"/>
    <w:rsid w:val="008855C8"/>
    <w:rsid w:val="008855D7"/>
    <w:rsid w:val="00885610"/>
    <w:rsid w:val="008857CC"/>
    <w:rsid w:val="008857EF"/>
    <w:rsid w:val="0088590D"/>
    <w:rsid w:val="0088596A"/>
    <w:rsid w:val="00885B5C"/>
    <w:rsid w:val="00885BC0"/>
    <w:rsid w:val="00885C27"/>
    <w:rsid w:val="00885C78"/>
    <w:rsid w:val="00885D00"/>
    <w:rsid w:val="00885D46"/>
    <w:rsid w:val="00885D75"/>
    <w:rsid w:val="00885DE7"/>
    <w:rsid w:val="00885E5A"/>
    <w:rsid w:val="00885E6F"/>
    <w:rsid w:val="00885E99"/>
    <w:rsid w:val="00885FF6"/>
    <w:rsid w:val="00886032"/>
    <w:rsid w:val="00886034"/>
    <w:rsid w:val="008861CB"/>
    <w:rsid w:val="00886235"/>
    <w:rsid w:val="008862C8"/>
    <w:rsid w:val="008862EF"/>
    <w:rsid w:val="008863C0"/>
    <w:rsid w:val="00886621"/>
    <w:rsid w:val="0088665B"/>
    <w:rsid w:val="00886693"/>
    <w:rsid w:val="008866F3"/>
    <w:rsid w:val="008867C8"/>
    <w:rsid w:val="00886899"/>
    <w:rsid w:val="008868F6"/>
    <w:rsid w:val="008869FE"/>
    <w:rsid w:val="00886A71"/>
    <w:rsid w:val="00886A7A"/>
    <w:rsid w:val="00886A99"/>
    <w:rsid w:val="00886ACD"/>
    <w:rsid w:val="00886B57"/>
    <w:rsid w:val="00886BA6"/>
    <w:rsid w:val="00886BD6"/>
    <w:rsid w:val="00886BEC"/>
    <w:rsid w:val="00886C49"/>
    <w:rsid w:val="00886CA7"/>
    <w:rsid w:val="00886D1D"/>
    <w:rsid w:val="00886E42"/>
    <w:rsid w:val="00886F8D"/>
    <w:rsid w:val="00886FAB"/>
    <w:rsid w:val="00886FD0"/>
    <w:rsid w:val="00886FDC"/>
    <w:rsid w:val="00887089"/>
    <w:rsid w:val="008870E5"/>
    <w:rsid w:val="00887136"/>
    <w:rsid w:val="00887163"/>
    <w:rsid w:val="008871DD"/>
    <w:rsid w:val="00887402"/>
    <w:rsid w:val="00887446"/>
    <w:rsid w:val="0088745D"/>
    <w:rsid w:val="008875D9"/>
    <w:rsid w:val="008875FF"/>
    <w:rsid w:val="008876B3"/>
    <w:rsid w:val="00887799"/>
    <w:rsid w:val="008877A7"/>
    <w:rsid w:val="00887A23"/>
    <w:rsid w:val="00887A76"/>
    <w:rsid w:val="00887BE4"/>
    <w:rsid w:val="00887BEE"/>
    <w:rsid w:val="00887D3E"/>
    <w:rsid w:val="00887D4E"/>
    <w:rsid w:val="00887D73"/>
    <w:rsid w:val="00887DF1"/>
    <w:rsid w:val="00887E67"/>
    <w:rsid w:val="00887E7B"/>
    <w:rsid w:val="00887E96"/>
    <w:rsid w:val="00887F0A"/>
    <w:rsid w:val="00887F33"/>
    <w:rsid w:val="00887F4F"/>
    <w:rsid w:val="00887F57"/>
    <w:rsid w:val="00887FDA"/>
    <w:rsid w:val="00887FF6"/>
    <w:rsid w:val="00890031"/>
    <w:rsid w:val="008900B0"/>
    <w:rsid w:val="00890116"/>
    <w:rsid w:val="0089014D"/>
    <w:rsid w:val="00890179"/>
    <w:rsid w:val="008901AD"/>
    <w:rsid w:val="008902C0"/>
    <w:rsid w:val="0089031A"/>
    <w:rsid w:val="0089033F"/>
    <w:rsid w:val="00890368"/>
    <w:rsid w:val="008903B1"/>
    <w:rsid w:val="0089044D"/>
    <w:rsid w:val="00890542"/>
    <w:rsid w:val="008906BE"/>
    <w:rsid w:val="00890789"/>
    <w:rsid w:val="00890814"/>
    <w:rsid w:val="008909B8"/>
    <w:rsid w:val="008909BD"/>
    <w:rsid w:val="00890A84"/>
    <w:rsid w:val="00890AC5"/>
    <w:rsid w:val="00890AD9"/>
    <w:rsid w:val="00890CA2"/>
    <w:rsid w:val="00890CA4"/>
    <w:rsid w:val="00890CD9"/>
    <w:rsid w:val="00890CF3"/>
    <w:rsid w:val="00890D8E"/>
    <w:rsid w:val="00890DA0"/>
    <w:rsid w:val="00890DF3"/>
    <w:rsid w:val="00890DFC"/>
    <w:rsid w:val="00890E23"/>
    <w:rsid w:val="00890EED"/>
    <w:rsid w:val="00890F63"/>
    <w:rsid w:val="00890FB6"/>
    <w:rsid w:val="00890FE5"/>
    <w:rsid w:val="008910A4"/>
    <w:rsid w:val="00891106"/>
    <w:rsid w:val="0089120C"/>
    <w:rsid w:val="00891254"/>
    <w:rsid w:val="008912B7"/>
    <w:rsid w:val="008913D2"/>
    <w:rsid w:val="0089145D"/>
    <w:rsid w:val="0089168B"/>
    <w:rsid w:val="00891740"/>
    <w:rsid w:val="0089177F"/>
    <w:rsid w:val="00891789"/>
    <w:rsid w:val="008918A2"/>
    <w:rsid w:val="0089192C"/>
    <w:rsid w:val="00891B30"/>
    <w:rsid w:val="00891B6B"/>
    <w:rsid w:val="00891BF4"/>
    <w:rsid w:val="00891C62"/>
    <w:rsid w:val="00891C65"/>
    <w:rsid w:val="00891CB5"/>
    <w:rsid w:val="00891CCB"/>
    <w:rsid w:val="00891CE5"/>
    <w:rsid w:val="00891D7F"/>
    <w:rsid w:val="00891EE3"/>
    <w:rsid w:val="00891F05"/>
    <w:rsid w:val="00891F0B"/>
    <w:rsid w:val="00891FA9"/>
    <w:rsid w:val="0089201A"/>
    <w:rsid w:val="0089215E"/>
    <w:rsid w:val="0089218B"/>
    <w:rsid w:val="008922E2"/>
    <w:rsid w:val="008923A1"/>
    <w:rsid w:val="00892595"/>
    <w:rsid w:val="008926C2"/>
    <w:rsid w:val="008926CD"/>
    <w:rsid w:val="00892719"/>
    <w:rsid w:val="008927AB"/>
    <w:rsid w:val="008927F0"/>
    <w:rsid w:val="00892848"/>
    <w:rsid w:val="00892996"/>
    <w:rsid w:val="00892A43"/>
    <w:rsid w:val="00892A46"/>
    <w:rsid w:val="00892AF5"/>
    <w:rsid w:val="00892B1C"/>
    <w:rsid w:val="00892B53"/>
    <w:rsid w:val="00892B6B"/>
    <w:rsid w:val="00892BAE"/>
    <w:rsid w:val="00892DFD"/>
    <w:rsid w:val="00892E1A"/>
    <w:rsid w:val="00892E61"/>
    <w:rsid w:val="00892E8C"/>
    <w:rsid w:val="00892ECF"/>
    <w:rsid w:val="00892F30"/>
    <w:rsid w:val="00892F6A"/>
    <w:rsid w:val="00892F7D"/>
    <w:rsid w:val="00892FD0"/>
    <w:rsid w:val="00893013"/>
    <w:rsid w:val="008932BB"/>
    <w:rsid w:val="008933A4"/>
    <w:rsid w:val="008933D2"/>
    <w:rsid w:val="00893473"/>
    <w:rsid w:val="008934DE"/>
    <w:rsid w:val="008934E8"/>
    <w:rsid w:val="00893572"/>
    <w:rsid w:val="00893623"/>
    <w:rsid w:val="00893731"/>
    <w:rsid w:val="00893788"/>
    <w:rsid w:val="008937A9"/>
    <w:rsid w:val="008937AE"/>
    <w:rsid w:val="008937D9"/>
    <w:rsid w:val="008937FF"/>
    <w:rsid w:val="008938D4"/>
    <w:rsid w:val="0089394E"/>
    <w:rsid w:val="00893979"/>
    <w:rsid w:val="00893A16"/>
    <w:rsid w:val="00893AC8"/>
    <w:rsid w:val="00893B9A"/>
    <w:rsid w:val="00893D81"/>
    <w:rsid w:val="00893D90"/>
    <w:rsid w:val="00893E2A"/>
    <w:rsid w:val="00893E67"/>
    <w:rsid w:val="00893EF5"/>
    <w:rsid w:val="00893FAE"/>
    <w:rsid w:val="00894005"/>
    <w:rsid w:val="008940AE"/>
    <w:rsid w:val="0089411D"/>
    <w:rsid w:val="008941D7"/>
    <w:rsid w:val="008942D7"/>
    <w:rsid w:val="00894318"/>
    <w:rsid w:val="008944A1"/>
    <w:rsid w:val="00894530"/>
    <w:rsid w:val="00894587"/>
    <w:rsid w:val="0089458D"/>
    <w:rsid w:val="008945CA"/>
    <w:rsid w:val="008945F3"/>
    <w:rsid w:val="008945FA"/>
    <w:rsid w:val="00894639"/>
    <w:rsid w:val="0089463B"/>
    <w:rsid w:val="00894661"/>
    <w:rsid w:val="00894681"/>
    <w:rsid w:val="008946FA"/>
    <w:rsid w:val="00894B08"/>
    <w:rsid w:val="00894C9E"/>
    <w:rsid w:val="00894CA7"/>
    <w:rsid w:val="00894DA3"/>
    <w:rsid w:val="00894DB6"/>
    <w:rsid w:val="00894FB3"/>
    <w:rsid w:val="008950B6"/>
    <w:rsid w:val="00895127"/>
    <w:rsid w:val="0089523A"/>
    <w:rsid w:val="00895244"/>
    <w:rsid w:val="008952BD"/>
    <w:rsid w:val="0089537E"/>
    <w:rsid w:val="00895419"/>
    <w:rsid w:val="0089547C"/>
    <w:rsid w:val="008955E8"/>
    <w:rsid w:val="0089562E"/>
    <w:rsid w:val="0089566B"/>
    <w:rsid w:val="0089573C"/>
    <w:rsid w:val="008957F6"/>
    <w:rsid w:val="00895945"/>
    <w:rsid w:val="00895949"/>
    <w:rsid w:val="008959A1"/>
    <w:rsid w:val="008959EC"/>
    <w:rsid w:val="00895A1F"/>
    <w:rsid w:val="00895A3B"/>
    <w:rsid w:val="00895DB5"/>
    <w:rsid w:val="00895E34"/>
    <w:rsid w:val="00895E81"/>
    <w:rsid w:val="00895FEE"/>
    <w:rsid w:val="008961F5"/>
    <w:rsid w:val="008962BB"/>
    <w:rsid w:val="008963A6"/>
    <w:rsid w:val="00896431"/>
    <w:rsid w:val="0089643B"/>
    <w:rsid w:val="00896441"/>
    <w:rsid w:val="00896449"/>
    <w:rsid w:val="008964A4"/>
    <w:rsid w:val="0089655E"/>
    <w:rsid w:val="0089669D"/>
    <w:rsid w:val="008966E2"/>
    <w:rsid w:val="00896898"/>
    <w:rsid w:val="00896963"/>
    <w:rsid w:val="008969E3"/>
    <w:rsid w:val="00896B41"/>
    <w:rsid w:val="00896B8C"/>
    <w:rsid w:val="00896BAF"/>
    <w:rsid w:val="00896D6A"/>
    <w:rsid w:val="00896F3D"/>
    <w:rsid w:val="00896F52"/>
    <w:rsid w:val="00897010"/>
    <w:rsid w:val="00897164"/>
    <w:rsid w:val="008971B1"/>
    <w:rsid w:val="00897225"/>
    <w:rsid w:val="00897299"/>
    <w:rsid w:val="008972B1"/>
    <w:rsid w:val="008972B6"/>
    <w:rsid w:val="0089731E"/>
    <w:rsid w:val="00897320"/>
    <w:rsid w:val="00897365"/>
    <w:rsid w:val="00897395"/>
    <w:rsid w:val="008973DD"/>
    <w:rsid w:val="0089772B"/>
    <w:rsid w:val="0089788F"/>
    <w:rsid w:val="00897922"/>
    <w:rsid w:val="00897A23"/>
    <w:rsid w:val="00897A30"/>
    <w:rsid w:val="00897AAD"/>
    <w:rsid w:val="00897BA3"/>
    <w:rsid w:val="00897BD4"/>
    <w:rsid w:val="00897C99"/>
    <w:rsid w:val="00897E09"/>
    <w:rsid w:val="00897E1E"/>
    <w:rsid w:val="00897F7D"/>
    <w:rsid w:val="00897FCD"/>
    <w:rsid w:val="00897FD1"/>
    <w:rsid w:val="008A0170"/>
    <w:rsid w:val="008A0188"/>
    <w:rsid w:val="008A0202"/>
    <w:rsid w:val="008A02F8"/>
    <w:rsid w:val="008A0306"/>
    <w:rsid w:val="008A031E"/>
    <w:rsid w:val="008A0368"/>
    <w:rsid w:val="008A0394"/>
    <w:rsid w:val="008A03BF"/>
    <w:rsid w:val="008A048A"/>
    <w:rsid w:val="008A04E0"/>
    <w:rsid w:val="008A0531"/>
    <w:rsid w:val="008A053B"/>
    <w:rsid w:val="008A060E"/>
    <w:rsid w:val="008A067C"/>
    <w:rsid w:val="008A06EC"/>
    <w:rsid w:val="008A073E"/>
    <w:rsid w:val="008A07C8"/>
    <w:rsid w:val="008A081C"/>
    <w:rsid w:val="008A081F"/>
    <w:rsid w:val="008A08A8"/>
    <w:rsid w:val="008A08EC"/>
    <w:rsid w:val="008A08FA"/>
    <w:rsid w:val="008A0A2C"/>
    <w:rsid w:val="008A0ACE"/>
    <w:rsid w:val="008A0AE6"/>
    <w:rsid w:val="008A0B86"/>
    <w:rsid w:val="008A0BB2"/>
    <w:rsid w:val="008A0D0F"/>
    <w:rsid w:val="008A0D66"/>
    <w:rsid w:val="008A0DB1"/>
    <w:rsid w:val="008A0E18"/>
    <w:rsid w:val="008A10E7"/>
    <w:rsid w:val="008A1135"/>
    <w:rsid w:val="008A1211"/>
    <w:rsid w:val="008A1244"/>
    <w:rsid w:val="008A1250"/>
    <w:rsid w:val="008A134C"/>
    <w:rsid w:val="008A136F"/>
    <w:rsid w:val="008A13FA"/>
    <w:rsid w:val="008A1437"/>
    <w:rsid w:val="008A1447"/>
    <w:rsid w:val="008A1481"/>
    <w:rsid w:val="008A16B4"/>
    <w:rsid w:val="008A17C2"/>
    <w:rsid w:val="008A1874"/>
    <w:rsid w:val="008A19D6"/>
    <w:rsid w:val="008A1A74"/>
    <w:rsid w:val="008A1AD6"/>
    <w:rsid w:val="008A1BB6"/>
    <w:rsid w:val="008A1C4B"/>
    <w:rsid w:val="008A1C52"/>
    <w:rsid w:val="008A1C7B"/>
    <w:rsid w:val="008A1D3C"/>
    <w:rsid w:val="008A1DF7"/>
    <w:rsid w:val="008A1FD6"/>
    <w:rsid w:val="008A2131"/>
    <w:rsid w:val="008A2140"/>
    <w:rsid w:val="008A2171"/>
    <w:rsid w:val="008A2204"/>
    <w:rsid w:val="008A2257"/>
    <w:rsid w:val="008A2267"/>
    <w:rsid w:val="008A22F7"/>
    <w:rsid w:val="008A2588"/>
    <w:rsid w:val="008A25A2"/>
    <w:rsid w:val="008A2932"/>
    <w:rsid w:val="008A293C"/>
    <w:rsid w:val="008A295F"/>
    <w:rsid w:val="008A298B"/>
    <w:rsid w:val="008A2A01"/>
    <w:rsid w:val="008A2AF2"/>
    <w:rsid w:val="008A2BC9"/>
    <w:rsid w:val="008A2C1C"/>
    <w:rsid w:val="008A2D49"/>
    <w:rsid w:val="008A2D52"/>
    <w:rsid w:val="008A2E87"/>
    <w:rsid w:val="008A2EC4"/>
    <w:rsid w:val="008A2EDA"/>
    <w:rsid w:val="008A2EE7"/>
    <w:rsid w:val="008A2F0A"/>
    <w:rsid w:val="008A2F12"/>
    <w:rsid w:val="008A2F1A"/>
    <w:rsid w:val="008A2F1E"/>
    <w:rsid w:val="008A2F4B"/>
    <w:rsid w:val="008A3116"/>
    <w:rsid w:val="008A32C8"/>
    <w:rsid w:val="008A32E7"/>
    <w:rsid w:val="008A3302"/>
    <w:rsid w:val="008A34C2"/>
    <w:rsid w:val="008A3546"/>
    <w:rsid w:val="008A3581"/>
    <w:rsid w:val="008A370C"/>
    <w:rsid w:val="008A378F"/>
    <w:rsid w:val="008A37F6"/>
    <w:rsid w:val="008A39A9"/>
    <w:rsid w:val="008A3A06"/>
    <w:rsid w:val="008A3A4D"/>
    <w:rsid w:val="008A3A68"/>
    <w:rsid w:val="008A3B02"/>
    <w:rsid w:val="008A3B12"/>
    <w:rsid w:val="008A3BF7"/>
    <w:rsid w:val="008A3C3A"/>
    <w:rsid w:val="008A3D38"/>
    <w:rsid w:val="008A3E35"/>
    <w:rsid w:val="008A3F80"/>
    <w:rsid w:val="008A3FEF"/>
    <w:rsid w:val="008A4038"/>
    <w:rsid w:val="008A40B0"/>
    <w:rsid w:val="008A41D8"/>
    <w:rsid w:val="008A41FD"/>
    <w:rsid w:val="008A42E9"/>
    <w:rsid w:val="008A4308"/>
    <w:rsid w:val="008A4359"/>
    <w:rsid w:val="008A4406"/>
    <w:rsid w:val="008A451A"/>
    <w:rsid w:val="008A452B"/>
    <w:rsid w:val="008A4564"/>
    <w:rsid w:val="008A45D6"/>
    <w:rsid w:val="008A4682"/>
    <w:rsid w:val="008A470A"/>
    <w:rsid w:val="008A470D"/>
    <w:rsid w:val="008A4719"/>
    <w:rsid w:val="008A473F"/>
    <w:rsid w:val="008A4869"/>
    <w:rsid w:val="008A489B"/>
    <w:rsid w:val="008A4951"/>
    <w:rsid w:val="008A49D0"/>
    <w:rsid w:val="008A4A23"/>
    <w:rsid w:val="008A4AF2"/>
    <w:rsid w:val="008A4B37"/>
    <w:rsid w:val="008A4BA2"/>
    <w:rsid w:val="008A4BB6"/>
    <w:rsid w:val="008A4BDE"/>
    <w:rsid w:val="008A4BE1"/>
    <w:rsid w:val="008A4C14"/>
    <w:rsid w:val="008A4C8A"/>
    <w:rsid w:val="008A4CBE"/>
    <w:rsid w:val="008A4D38"/>
    <w:rsid w:val="008A4DA1"/>
    <w:rsid w:val="008A4E89"/>
    <w:rsid w:val="008A4F48"/>
    <w:rsid w:val="008A4F7F"/>
    <w:rsid w:val="008A5011"/>
    <w:rsid w:val="008A5053"/>
    <w:rsid w:val="008A508C"/>
    <w:rsid w:val="008A50FF"/>
    <w:rsid w:val="008A512F"/>
    <w:rsid w:val="008A51A7"/>
    <w:rsid w:val="008A5251"/>
    <w:rsid w:val="008A5308"/>
    <w:rsid w:val="008A54AA"/>
    <w:rsid w:val="008A54E6"/>
    <w:rsid w:val="008A5525"/>
    <w:rsid w:val="008A5579"/>
    <w:rsid w:val="008A558F"/>
    <w:rsid w:val="008A5598"/>
    <w:rsid w:val="008A55B6"/>
    <w:rsid w:val="008A55F2"/>
    <w:rsid w:val="008A5651"/>
    <w:rsid w:val="008A56C8"/>
    <w:rsid w:val="008A574F"/>
    <w:rsid w:val="008A575E"/>
    <w:rsid w:val="008A57AA"/>
    <w:rsid w:val="008A57D7"/>
    <w:rsid w:val="008A57F4"/>
    <w:rsid w:val="008A5848"/>
    <w:rsid w:val="008A5934"/>
    <w:rsid w:val="008A5948"/>
    <w:rsid w:val="008A5A52"/>
    <w:rsid w:val="008A5B5C"/>
    <w:rsid w:val="008A5EAE"/>
    <w:rsid w:val="008A5EC8"/>
    <w:rsid w:val="008A6028"/>
    <w:rsid w:val="008A602D"/>
    <w:rsid w:val="008A622F"/>
    <w:rsid w:val="008A6318"/>
    <w:rsid w:val="008A637A"/>
    <w:rsid w:val="008A6393"/>
    <w:rsid w:val="008A6394"/>
    <w:rsid w:val="008A646C"/>
    <w:rsid w:val="008A646F"/>
    <w:rsid w:val="008A64A9"/>
    <w:rsid w:val="008A64AF"/>
    <w:rsid w:val="008A64BA"/>
    <w:rsid w:val="008A64E8"/>
    <w:rsid w:val="008A65A4"/>
    <w:rsid w:val="008A65B9"/>
    <w:rsid w:val="008A66D1"/>
    <w:rsid w:val="008A66D3"/>
    <w:rsid w:val="008A67A2"/>
    <w:rsid w:val="008A6839"/>
    <w:rsid w:val="008A683D"/>
    <w:rsid w:val="008A690B"/>
    <w:rsid w:val="008A6911"/>
    <w:rsid w:val="008A6938"/>
    <w:rsid w:val="008A69B8"/>
    <w:rsid w:val="008A6A05"/>
    <w:rsid w:val="008A6B96"/>
    <w:rsid w:val="008A6CC2"/>
    <w:rsid w:val="008A6E00"/>
    <w:rsid w:val="008A6EB1"/>
    <w:rsid w:val="008A6EC2"/>
    <w:rsid w:val="008A70BD"/>
    <w:rsid w:val="008A71C8"/>
    <w:rsid w:val="008A72A2"/>
    <w:rsid w:val="008A73D0"/>
    <w:rsid w:val="008A73F4"/>
    <w:rsid w:val="008A74EF"/>
    <w:rsid w:val="008A74F0"/>
    <w:rsid w:val="008A75C9"/>
    <w:rsid w:val="008A761A"/>
    <w:rsid w:val="008A7683"/>
    <w:rsid w:val="008A7744"/>
    <w:rsid w:val="008A7825"/>
    <w:rsid w:val="008A782F"/>
    <w:rsid w:val="008A7860"/>
    <w:rsid w:val="008A78D4"/>
    <w:rsid w:val="008A78DC"/>
    <w:rsid w:val="008A79AB"/>
    <w:rsid w:val="008A7ACC"/>
    <w:rsid w:val="008A7ADF"/>
    <w:rsid w:val="008A7B4D"/>
    <w:rsid w:val="008A7BD3"/>
    <w:rsid w:val="008A7C12"/>
    <w:rsid w:val="008A7D1F"/>
    <w:rsid w:val="008A7D3E"/>
    <w:rsid w:val="008A7D8A"/>
    <w:rsid w:val="008A7DDD"/>
    <w:rsid w:val="008A7DE4"/>
    <w:rsid w:val="008A7F34"/>
    <w:rsid w:val="008A7F35"/>
    <w:rsid w:val="008B022B"/>
    <w:rsid w:val="008B02CD"/>
    <w:rsid w:val="008B034D"/>
    <w:rsid w:val="008B0461"/>
    <w:rsid w:val="008B04E7"/>
    <w:rsid w:val="008B061F"/>
    <w:rsid w:val="008B065C"/>
    <w:rsid w:val="008B0779"/>
    <w:rsid w:val="008B0786"/>
    <w:rsid w:val="008B0810"/>
    <w:rsid w:val="008B083B"/>
    <w:rsid w:val="008B08C0"/>
    <w:rsid w:val="008B0B0F"/>
    <w:rsid w:val="008B0C37"/>
    <w:rsid w:val="008B0C3C"/>
    <w:rsid w:val="008B0C44"/>
    <w:rsid w:val="008B0C47"/>
    <w:rsid w:val="008B0CE5"/>
    <w:rsid w:val="008B0D72"/>
    <w:rsid w:val="008B0E49"/>
    <w:rsid w:val="008B0EAC"/>
    <w:rsid w:val="008B0F79"/>
    <w:rsid w:val="008B101D"/>
    <w:rsid w:val="008B108F"/>
    <w:rsid w:val="008B13B0"/>
    <w:rsid w:val="008B14C0"/>
    <w:rsid w:val="008B1542"/>
    <w:rsid w:val="008B1576"/>
    <w:rsid w:val="008B16B5"/>
    <w:rsid w:val="008B16D5"/>
    <w:rsid w:val="008B173B"/>
    <w:rsid w:val="008B1761"/>
    <w:rsid w:val="008B17A6"/>
    <w:rsid w:val="008B17BB"/>
    <w:rsid w:val="008B17EE"/>
    <w:rsid w:val="008B1862"/>
    <w:rsid w:val="008B18A6"/>
    <w:rsid w:val="008B199B"/>
    <w:rsid w:val="008B19DB"/>
    <w:rsid w:val="008B1AEB"/>
    <w:rsid w:val="008B1AEE"/>
    <w:rsid w:val="008B1B6A"/>
    <w:rsid w:val="008B1BCA"/>
    <w:rsid w:val="008B1BE8"/>
    <w:rsid w:val="008B1BEF"/>
    <w:rsid w:val="008B1CD3"/>
    <w:rsid w:val="008B1D0B"/>
    <w:rsid w:val="008B1D36"/>
    <w:rsid w:val="008B1D48"/>
    <w:rsid w:val="008B1D66"/>
    <w:rsid w:val="008B1E11"/>
    <w:rsid w:val="008B1E3B"/>
    <w:rsid w:val="008B20C6"/>
    <w:rsid w:val="008B22B2"/>
    <w:rsid w:val="008B22C4"/>
    <w:rsid w:val="008B22F0"/>
    <w:rsid w:val="008B240F"/>
    <w:rsid w:val="008B2485"/>
    <w:rsid w:val="008B24BD"/>
    <w:rsid w:val="008B24D3"/>
    <w:rsid w:val="008B2509"/>
    <w:rsid w:val="008B2702"/>
    <w:rsid w:val="008B27BE"/>
    <w:rsid w:val="008B27F3"/>
    <w:rsid w:val="008B27FC"/>
    <w:rsid w:val="008B280D"/>
    <w:rsid w:val="008B2820"/>
    <w:rsid w:val="008B29E5"/>
    <w:rsid w:val="008B2AC0"/>
    <w:rsid w:val="008B2BDC"/>
    <w:rsid w:val="008B2C6B"/>
    <w:rsid w:val="008B2CE0"/>
    <w:rsid w:val="008B2D43"/>
    <w:rsid w:val="008B2D53"/>
    <w:rsid w:val="008B2E5B"/>
    <w:rsid w:val="008B2EE0"/>
    <w:rsid w:val="008B2FBF"/>
    <w:rsid w:val="008B2FD3"/>
    <w:rsid w:val="008B3330"/>
    <w:rsid w:val="008B345D"/>
    <w:rsid w:val="008B3659"/>
    <w:rsid w:val="008B3671"/>
    <w:rsid w:val="008B368D"/>
    <w:rsid w:val="008B3796"/>
    <w:rsid w:val="008B37D9"/>
    <w:rsid w:val="008B3860"/>
    <w:rsid w:val="008B38A9"/>
    <w:rsid w:val="008B3923"/>
    <w:rsid w:val="008B39A5"/>
    <w:rsid w:val="008B39E7"/>
    <w:rsid w:val="008B3B9A"/>
    <w:rsid w:val="008B3BE3"/>
    <w:rsid w:val="008B3D50"/>
    <w:rsid w:val="008B3DF2"/>
    <w:rsid w:val="008B3F73"/>
    <w:rsid w:val="008B4017"/>
    <w:rsid w:val="008B4045"/>
    <w:rsid w:val="008B40FC"/>
    <w:rsid w:val="008B412B"/>
    <w:rsid w:val="008B4184"/>
    <w:rsid w:val="008B41CB"/>
    <w:rsid w:val="008B4440"/>
    <w:rsid w:val="008B444E"/>
    <w:rsid w:val="008B44B6"/>
    <w:rsid w:val="008B4522"/>
    <w:rsid w:val="008B462D"/>
    <w:rsid w:val="008B4657"/>
    <w:rsid w:val="008B46AC"/>
    <w:rsid w:val="008B46BE"/>
    <w:rsid w:val="008B4732"/>
    <w:rsid w:val="008B4771"/>
    <w:rsid w:val="008B47C3"/>
    <w:rsid w:val="008B483B"/>
    <w:rsid w:val="008B493E"/>
    <w:rsid w:val="008B4A30"/>
    <w:rsid w:val="008B4A42"/>
    <w:rsid w:val="008B4D55"/>
    <w:rsid w:val="008B4D9E"/>
    <w:rsid w:val="008B4E00"/>
    <w:rsid w:val="008B4E42"/>
    <w:rsid w:val="008B4EF1"/>
    <w:rsid w:val="008B505D"/>
    <w:rsid w:val="008B5117"/>
    <w:rsid w:val="008B52FB"/>
    <w:rsid w:val="008B5323"/>
    <w:rsid w:val="008B5336"/>
    <w:rsid w:val="008B537C"/>
    <w:rsid w:val="008B553E"/>
    <w:rsid w:val="008B55DF"/>
    <w:rsid w:val="008B5850"/>
    <w:rsid w:val="008B59C1"/>
    <w:rsid w:val="008B59E4"/>
    <w:rsid w:val="008B5A07"/>
    <w:rsid w:val="008B5A4A"/>
    <w:rsid w:val="008B5A9F"/>
    <w:rsid w:val="008B5CE2"/>
    <w:rsid w:val="008B5D4F"/>
    <w:rsid w:val="008B5D53"/>
    <w:rsid w:val="008B5F67"/>
    <w:rsid w:val="008B5FFE"/>
    <w:rsid w:val="008B601F"/>
    <w:rsid w:val="008B60BA"/>
    <w:rsid w:val="008B60D9"/>
    <w:rsid w:val="008B62A7"/>
    <w:rsid w:val="008B62FF"/>
    <w:rsid w:val="008B631D"/>
    <w:rsid w:val="008B639C"/>
    <w:rsid w:val="008B6435"/>
    <w:rsid w:val="008B643A"/>
    <w:rsid w:val="008B645F"/>
    <w:rsid w:val="008B650A"/>
    <w:rsid w:val="008B65A6"/>
    <w:rsid w:val="008B6645"/>
    <w:rsid w:val="008B666C"/>
    <w:rsid w:val="008B66D0"/>
    <w:rsid w:val="008B66F0"/>
    <w:rsid w:val="008B671B"/>
    <w:rsid w:val="008B673A"/>
    <w:rsid w:val="008B6740"/>
    <w:rsid w:val="008B6753"/>
    <w:rsid w:val="008B689C"/>
    <w:rsid w:val="008B69E3"/>
    <w:rsid w:val="008B6ABE"/>
    <w:rsid w:val="008B6AEB"/>
    <w:rsid w:val="008B6B2C"/>
    <w:rsid w:val="008B6BF0"/>
    <w:rsid w:val="008B6CEC"/>
    <w:rsid w:val="008B6E66"/>
    <w:rsid w:val="008B6E80"/>
    <w:rsid w:val="008B6EA3"/>
    <w:rsid w:val="008B7204"/>
    <w:rsid w:val="008B72F4"/>
    <w:rsid w:val="008B7315"/>
    <w:rsid w:val="008B733E"/>
    <w:rsid w:val="008B73CF"/>
    <w:rsid w:val="008B73F5"/>
    <w:rsid w:val="008B7497"/>
    <w:rsid w:val="008B7527"/>
    <w:rsid w:val="008B76B5"/>
    <w:rsid w:val="008B7735"/>
    <w:rsid w:val="008B77B5"/>
    <w:rsid w:val="008B7804"/>
    <w:rsid w:val="008B787E"/>
    <w:rsid w:val="008B7892"/>
    <w:rsid w:val="008B7A0E"/>
    <w:rsid w:val="008B7AD4"/>
    <w:rsid w:val="008B7ADD"/>
    <w:rsid w:val="008B7AE5"/>
    <w:rsid w:val="008B7B44"/>
    <w:rsid w:val="008B7C10"/>
    <w:rsid w:val="008B7D61"/>
    <w:rsid w:val="008B7DA7"/>
    <w:rsid w:val="008B7DC3"/>
    <w:rsid w:val="008B7F5D"/>
    <w:rsid w:val="008B7F6A"/>
    <w:rsid w:val="008B7FC4"/>
    <w:rsid w:val="008B7FC5"/>
    <w:rsid w:val="008B7FF9"/>
    <w:rsid w:val="008C005D"/>
    <w:rsid w:val="008C01F1"/>
    <w:rsid w:val="008C0256"/>
    <w:rsid w:val="008C039A"/>
    <w:rsid w:val="008C03D5"/>
    <w:rsid w:val="008C0590"/>
    <w:rsid w:val="008C0596"/>
    <w:rsid w:val="008C064A"/>
    <w:rsid w:val="008C0692"/>
    <w:rsid w:val="008C0784"/>
    <w:rsid w:val="008C0795"/>
    <w:rsid w:val="008C088D"/>
    <w:rsid w:val="008C0A8F"/>
    <w:rsid w:val="008C0AE5"/>
    <w:rsid w:val="008C0B2E"/>
    <w:rsid w:val="008C0C93"/>
    <w:rsid w:val="008C0D26"/>
    <w:rsid w:val="008C0D80"/>
    <w:rsid w:val="008C0DBD"/>
    <w:rsid w:val="008C0DC2"/>
    <w:rsid w:val="008C0DDE"/>
    <w:rsid w:val="008C0E31"/>
    <w:rsid w:val="008C0F9B"/>
    <w:rsid w:val="008C12A6"/>
    <w:rsid w:val="008C130A"/>
    <w:rsid w:val="008C1355"/>
    <w:rsid w:val="008C137B"/>
    <w:rsid w:val="008C13EC"/>
    <w:rsid w:val="008C13EE"/>
    <w:rsid w:val="008C1410"/>
    <w:rsid w:val="008C14B9"/>
    <w:rsid w:val="008C1563"/>
    <w:rsid w:val="008C157A"/>
    <w:rsid w:val="008C1588"/>
    <w:rsid w:val="008C15AF"/>
    <w:rsid w:val="008C183F"/>
    <w:rsid w:val="008C1865"/>
    <w:rsid w:val="008C1960"/>
    <w:rsid w:val="008C1993"/>
    <w:rsid w:val="008C1A51"/>
    <w:rsid w:val="008C1AB8"/>
    <w:rsid w:val="008C1B50"/>
    <w:rsid w:val="008C1B6B"/>
    <w:rsid w:val="008C1B98"/>
    <w:rsid w:val="008C1BF9"/>
    <w:rsid w:val="008C1C55"/>
    <w:rsid w:val="008C1DF3"/>
    <w:rsid w:val="008C1F23"/>
    <w:rsid w:val="008C1F67"/>
    <w:rsid w:val="008C1F94"/>
    <w:rsid w:val="008C1FA5"/>
    <w:rsid w:val="008C20DA"/>
    <w:rsid w:val="008C219C"/>
    <w:rsid w:val="008C22D9"/>
    <w:rsid w:val="008C241E"/>
    <w:rsid w:val="008C263B"/>
    <w:rsid w:val="008C269F"/>
    <w:rsid w:val="008C271E"/>
    <w:rsid w:val="008C27DF"/>
    <w:rsid w:val="008C28D2"/>
    <w:rsid w:val="008C28E5"/>
    <w:rsid w:val="008C28EC"/>
    <w:rsid w:val="008C2A23"/>
    <w:rsid w:val="008C2B98"/>
    <w:rsid w:val="008C2CA7"/>
    <w:rsid w:val="008C2CE0"/>
    <w:rsid w:val="008C2D11"/>
    <w:rsid w:val="008C2DF0"/>
    <w:rsid w:val="008C2E83"/>
    <w:rsid w:val="008C2F89"/>
    <w:rsid w:val="008C3030"/>
    <w:rsid w:val="008C3140"/>
    <w:rsid w:val="008C3288"/>
    <w:rsid w:val="008C332C"/>
    <w:rsid w:val="008C3417"/>
    <w:rsid w:val="008C3589"/>
    <w:rsid w:val="008C3613"/>
    <w:rsid w:val="008C3642"/>
    <w:rsid w:val="008C377E"/>
    <w:rsid w:val="008C37D7"/>
    <w:rsid w:val="008C37EA"/>
    <w:rsid w:val="008C3A18"/>
    <w:rsid w:val="008C3A20"/>
    <w:rsid w:val="008C3A68"/>
    <w:rsid w:val="008C3AC9"/>
    <w:rsid w:val="008C3AF2"/>
    <w:rsid w:val="008C3B9B"/>
    <w:rsid w:val="008C3B9D"/>
    <w:rsid w:val="008C3C21"/>
    <w:rsid w:val="008C3D0C"/>
    <w:rsid w:val="008C3D35"/>
    <w:rsid w:val="008C3DA0"/>
    <w:rsid w:val="008C3E61"/>
    <w:rsid w:val="008C3F2D"/>
    <w:rsid w:val="008C3F87"/>
    <w:rsid w:val="008C4042"/>
    <w:rsid w:val="008C4149"/>
    <w:rsid w:val="008C4155"/>
    <w:rsid w:val="008C4160"/>
    <w:rsid w:val="008C41CF"/>
    <w:rsid w:val="008C42F3"/>
    <w:rsid w:val="008C436C"/>
    <w:rsid w:val="008C43AD"/>
    <w:rsid w:val="008C4448"/>
    <w:rsid w:val="008C458C"/>
    <w:rsid w:val="008C45EF"/>
    <w:rsid w:val="008C47E0"/>
    <w:rsid w:val="008C484D"/>
    <w:rsid w:val="008C4935"/>
    <w:rsid w:val="008C4944"/>
    <w:rsid w:val="008C4962"/>
    <w:rsid w:val="008C49D4"/>
    <w:rsid w:val="008C4A5D"/>
    <w:rsid w:val="008C4A96"/>
    <w:rsid w:val="008C4AA5"/>
    <w:rsid w:val="008C4AD1"/>
    <w:rsid w:val="008C4BB9"/>
    <w:rsid w:val="008C4C70"/>
    <w:rsid w:val="008C4D62"/>
    <w:rsid w:val="008C4E19"/>
    <w:rsid w:val="008C4F02"/>
    <w:rsid w:val="008C4FD6"/>
    <w:rsid w:val="008C5004"/>
    <w:rsid w:val="008C50DD"/>
    <w:rsid w:val="008C51C5"/>
    <w:rsid w:val="008C52DF"/>
    <w:rsid w:val="008C53F4"/>
    <w:rsid w:val="008C54C3"/>
    <w:rsid w:val="008C54E0"/>
    <w:rsid w:val="008C5598"/>
    <w:rsid w:val="008C5731"/>
    <w:rsid w:val="008C57CB"/>
    <w:rsid w:val="008C5801"/>
    <w:rsid w:val="008C5828"/>
    <w:rsid w:val="008C5851"/>
    <w:rsid w:val="008C58B1"/>
    <w:rsid w:val="008C58DD"/>
    <w:rsid w:val="008C58E7"/>
    <w:rsid w:val="008C58FA"/>
    <w:rsid w:val="008C5900"/>
    <w:rsid w:val="008C5912"/>
    <w:rsid w:val="008C5921"/>
    <w:rsid w:val="008C5931"/>
    <w:rsid w:val="008C5A91"/>
    <w:rsid w:val="008C5AD9"/>
    <w:rsid w:val="008C5B3A"/>
    <w:rsid w:val="008C5B9F"/>
    <w:rsid w:val="008C5C96"/>
    <w:rsid w:val="008C5CB5"/>
    <w:rsid w:val="008C5D96"/>
    <w:rsid w:val="008C5DF5"/>
    <w:rsid w:val="008C5F62"/>
    <w:rsid w:val="008C5FCA"/>
    <w:rsid w:val="008C6159"/>
    <w:rsid w:val="008C61AF"/>
    <w:rsid w:val="008C6201"/>
    <w:rsid w:val="008C6224"/>
    <w:rsid w:val="008C6226"/>
    <w:rsid w:val="008C627F"/>
    <w:rsid w:val="008C6288"/>
    <w:rsid w:val="008C6352"/>
    <w:rsid w:val="008C6398"/>
    <w:rsid w:val="008C6405"/>
    <w:rsid w:val="008C64E7"/>
    <w:rsid w:val="008C651F"/>
    <w:rsid w:val="008C6583"/>
    <w:rsid w:val="008C678E"/>
    <w:rsid w:val="008C69F3"/>
    <w:rsid w:val="008C69FF"/>
    <w:rsid w:val="008C6AD0"/>
    <w:rsid w:val="008C6AD9"/>
    <w:rsid w:val="008C6B5B"/>
    <w:rsid w:val="008C6C35"/>
    <w:rsid w:val="008C6C9F"/>
    <w:rsid w:val="008C6CCA"/>
    <w:rsid w:val="008C6D0A"/>
    <w:rsid w:val="008C6D68"/>
    <w:rsid w:val="008C6DC6"/>
    <w:rsid w:val="008C6EA2"/>
    <w:rsid w:val="008C6F17"/>
    <w:rsid w:val="008C6F29"/>
    <w:rsid w:val="008C6FAB"/>
    <w:rsid w:val="008C7056"/>
    <w:rsid w:val="008C70A7"/>
    <w:rsid w:val="008C715A"/>
    <w:rsid w:val="008C721A"/>
    <w:rsid w:val="008C7234"/>
    <w:rsid w:val="008C729A"/>
    <w:rsid w:val="008C72A0"/>
    <w:rsid w:val="008C735A"/>
    <w:rsid w:val="008C735B"/>
    <w:rsid w:val="008C73BC"/>
    <w:rsid w:val="008C74CC"/>
    <w:rsid w:val="008C7516"/>
    <w:rsid w:val="008C76B1"/>
    <w:rsid w:val="008C76DD"/>
    <w:rsid w:val="008C76E8"/>
    <w:rsid w:val="008C7721"/>
    <w:rsid w:val="008C7737"/>
    <w:rsid w:val="008C781A"/>
    <w:rsid w:val="008C784D"/>
    <w:rsid w:val="008C799A"/>
    <w:rsid w:val="008C79CB"/>
    <w:rsid w:val="008C7A59"/>
    <w:rsid w:val="008C7A76"/>
    <w:rsid w:val="008C7A7E"/>
    <w:rsid w:val="008C7AB9"/>
    <w:rsid w:val="008C7C13"/>
    <w:rsid w:val="008C7C77"/>
    <w:rsid w:val="008C7D73"/>
    <w:rsid w:val="008C7F9F"/>
    <w:rsid w:val="008D005D"/>
    <w:rsid w:val="008D00B7"/>
    <w:rsid w:val="008D0179"/>
    <w:rsid w:val="008D025D"/>
    <w:rsid w:val="008D02E5"/>
    <w:rsid w:val="008D0309"/>
    <w:rsid w:val="008D031E"/>
    <w:rsid w:val="008D0467"/>
    <w:rsid w:val="008D0480"/>
    <w:rsid w:val="008D0494"/>
    <w:rsid w:val="008D0519"/>
    <w:rsid w:val="008D0571"/>
    <w:rsid w:val="008D05DC"/>
    <w:rsid w:val="008D060D"/>
    <w:rsid w:val="008D0669"/>
    <w:rsid w:val="008D06C4"/>
    <w:rsid w:val="008D07B1"/>
    <w:rsid w:val="008D07C3"/>
    <w:rsid w:val="008D0860"/>
    <w:rsid w:val="008D08BE"/>
    <w:rsid w:val="008D092B"/>
    <w:rsid w:val="008D0944"/>
    <w:rsid w:val="008D09F4"/>
    <w:rsid w:val="008D0A63"/>
    <w:rsid w:val="008D0AF4"/>
    <w:rsid w:val="008D0C66"/>
    <w:rsid w:val="008D0CBB"/>
    <w:rsid w:val="008D0D1F"/>
    <w:rsid w:val="008D0E35"/>
    <w:rsid w:val="008D0ED1"/>
    <w:rsid w:val="008D0FE2"/>
    <w:rsid w:val="008D1020"/>
    <w:rsid w:val="008D102B"/>
    <w:rsid w:val="008D1156"/>
    <w:rsid w:val="008D116D"/>
    <w:rsid w:val="008D1183"/>
    <w:rsid w:val="008D1186"/>
    <w:rsid w:val="008D12E3"/>
    <w:rsid w:val="008D12EA"/>
    <w:rsid w:val="008D1388"/>
    <w:rsid w:val="008D1400"/>
    <w:rsid w:val="008D14CB"/>
    <w:rsid w:val="008D1562"/>
    <w:rsid w:val="008D1595"/>
    <w:rsid w:val="008D1752"/>
    <w:rsid w:val="008D1968"/>
    <w:rsid w:val="008D1B97"/>
    <w:rsid w:val="008D1C39"/>
    <w:rsid w:val="008D1CBB"/>
    <w:rsid w:val="008D1CD0"/>
    <w:rsid w:val="008D1D46"/>
    <w:rsid w:val="008D1F57"/>
    <w:rsid w:val="008D1FE7"/>
    <w:rsid w:val="008D2038"/>
    <w:rsid w:val="008D20C4"/>
    <w:rsid w:val="008D2100"/>
    <w:rsid w:val="008D218A"/>
    <w:rsid w:val="008D225A"/>
    <w:rsid w:val="008D24C2"/>
    <w:rsid w:val="008D25F3"/>
    <w:rsid w:val="008D2620"/>
    <w:rsid w:val="008D2657"/>
    <w:rsid w:val="008D269C"/>
    <w:rsid w:val="008D2834"/>
    <w:rsid w:val="008D2981"/>
    <w:rsid w:val="008D2992"/>
    <w:rsid w:val="008D2998"/>
    <w:rsid w:val="008D29DB"/>
    <w:rsid w:val="008D2B91"/>
    <w:rsid w:val="008D2C3B"/>
    <w:rsid w:val="008D2C4A"/>
    <w:rsid w:val="008D2C98"/>
    <w:rsid w:val="008D2CD7"/>
    <w:rsid w:val="008D2CF9"/>
    <w:rsid w:val="008D2F03"/>
    <w:rsid w:val="008D2F6B"/>
    <w:rsid w:val="008D2F9F"/>
    <w:rsid w:val="008D3053"/>
    <w:rsid w:val="008D31CD"/>
    <w:rsid w:val="008D31E3"/>
    <w:rsid w:val="008D3235"/>
    <w:rsid w:val="008D323E"/>
    <w:rsid w:val="008D33AB"/>
    <w:rsid w:val="008D33CE"/>
    <w:rsid w:val="008D33F3"/>
    <w:rsid w:val="008D3437"/>
    <w:rsid w:val="008D3660"/>
    <w:rsid w:val="008D37A3"/>
    <w:rsid w:val="008D3912"/>
    <w:rsid w:val="008D3948"/>
    <w:rsid w:val="008D397D"/>
    <w:rsid w:val="008D39C4"/>
    <w:rsid w:val="008D3A39"/>
    <w:rsid w:val="008D3A74"/>
    <w:rsid w:val="008D3A8B"/>
    <w:rsid w:val="008D3A9E"/>
    <w:rsid w:val="008D3ADB"/>
    <w:rsid w:val="008D3B07"/>
    <w:rsid w:val="008D3BDE"/>
    <w:rsid w:val="008D3C89"/>
    <w:rsid w:val="008D3D01"/>
    <w:rsid w:val="008D3D45"/>
    <w:rsid w:val="008D3E1D"/>
    <w:rsid w:val="008D3E4C"/>
    <w:rsid w:val="008D3EF9"/>
    <w:rsid w:val="008D406F"/>
    <w:rsid w:val="008D42A7"/>
    <w:rsid w:val="008D4405"/>
    <w:rsid w:val="008D4409"/>
    <w:rsid w:val="008D440E"/>
    <w:rsid w:val="008D442D"/>
    <w:rsid w:val="008D4497"/>
    <w:rsid w:val="008D44DD"/>
    <w:rsid w:val="008D4554"/>
    <w:rsid w:val="008D457C"/>
    <w:rsid w:val="008D4599"/>
    <w:rsid w:val="008D4705"/>
    <w:rsid w:val="008D475A"/>
    <w:rsid w:val="008D47B2"/>
    <w:rsid w:val="008D486E"/>
    <w:rsid w:val="008D4954"/>
    <w:rsid w:val="008D4962"/>
    <w:rsid w:val="008D49EF"/>
    <w:rsid w:val="008D4A60"/>
    <w:rsid w:val="008D4A97"/>
    <w:rsid w:val="008D4AAF"/>
    <w:rsid w:val="008D4B0D"/>
    <w:rsid w:val="008D4C3F"/>
    <w:rsid w:val="008D4CE3"/>
    <w:rsid w:val="008D4D51"/>
    <w:rsid w:val="008D4D92"/>
    <w:rsid w:val="008D4E3D"/>
    <w:rsid w:val="008D4F26"/>
    <w:rsid w:val="008D4F5A"/>
    <w:rsid w:val="008D5044"/>
    <w:rsid w:val="008D506C"/>
    <w:rsid w:val="008D51B6"/>
    <w:rsid w:val="008D51CF"/>
    <w:rsid w:val="008D54DC"/>
    <w:rsid w:val="008D5508"/>
    <w:rsid w:val="008D5556"/>
    <w:rsid w:val="008D55BE"/>
    <w:rsid w:val="008D569F"/>
    <w:rsid w:val="008D56DC"/>
    <w:rsid w:val="008D56E0"/>
    <w:rsid w:val="008D58D8"/>
    <w:rsid w:val="008D5AA2"/>
    <w:rsid w:val="008D5C40"/>
    <w:rsid w:val="008D5D25"/>
    <w:rsid w:val="008D5D77"/>
    <w:rsid w:val="008D5DC8"/>
    <w:rsid w:val="008D5E06"/>
    <w:rsid w:val="008D5E3F"/>
    <w:rsid w:val="008D5E92"/>
    <w:rsid w:val="008D5F47"/>
    <w:rsid w:val="008D5FDF"/>
    <w:rsid w:val="008D61F5"/>
    <w:rsid w:val="008D62AA"/>
    <w:rsid w:val="008D631A"/>
    <w:rsid w:val="008D64AA"/>
    <w:rsid w:val="008D64F5"/>
    <w:rsid w:val="008D6534"/>
    <w:rsid w:val="008D65C2"/>
    <w:rsid w:val="008D6643"/>
    <w:rsid w:val="008D668A"/>
    <w:rsid w:val="008D677E"/>
    <w:rsid w:val="008D67CA"/>
    <w:rsid w:val="008D69B8"/>
    <w:rsid w:val="008D69BA"/>
    <w:rsid w:val="008D6B9A"/>
    <w:rsid w:val="008D6BDC"/>
    <w:rsid w:val="008D6D2A"/>
    <w:rsid w:val="008D6E34"/>
    <w:rsid w:val="008D6E83"/>
    <w:rsid w:val="008D6E8C"/>
    <w:rsid w:val="008D6ED1"/>
    <w:rsid w:val="008D6F54"/>
    <w:rsid w:val="008D6FA2"/>
    <w:rsid w:val="008D70DA"/>
    <w:rsid w:val="008D70F9"/>
    <w:rsid w:val="008D7187"/>
    <w:rsid w:val="008D719F"/>
    <w:rsid w:val="008D7239"/>
    <w:rsid w:val="008D7291"/>
    <w:rsid w:val="008D7299"/>
    <w:rsid w:val="008D72AD"/>
    <w:rsid w:val="008D72E1"/>
    <w:rsid w:val="008D7307"/>
    <w:rsid w:val="008D73BD"/>
    <w:rsid w:val="008D747C"/>
    <w:rsid w:val="008D7505"/>
    <w:rsid w:val="008D7595"/>
    <w:rsid w:val="008D7709"/>
    <w:rsid w:val="008D78D8"/>
    <w:rsid w:val="008D78E8"/>
    <w:rsid w:val="008D7935"/>
    <w:rsid w:val="008D7941"/>
    <w:rsid w:val="008D7A46"/>
    <w:rsid w:val="008D7B77"/>
    <w:rsid w:val="008D7C41"/>
    <w:rsid w:val="008D7D9E"/>
    <w:rsid w:val="008D7E74"/>
    <w:rsid w:val="008D7ED4"/>
    <w:rsid w:val="008D7FEE"/>
    <w:rsid w:val="008E002B"/>
    <w:rsid w:val="008E004C"/>
    <w:rsid w:val="008E00D4"/>
    <w:rsid w:val="008E0148"/>
    <w:rsid w:val="008E01AF"/>
    <w:rsid w:val="008E01D8"/>
    <w:rsid w:val="008E021A"/>
    <w:rsid w:val="008E0361"/>
    <w:rsid w:val="008E03A3"/>
    <w:rsid w:val="008E04F1"/>
    <w:rsid w:val="008E0624"/>
    <w:rsid w:val="008E0721"/>
    <w:rsid w:val="008E08A1"/>
    <w:rsid w:val="008E09D9"/>
    <w:rsid w:val="008E0AD1"/>
    <w:rsid w:val="008E0BF5"/>
    <w:rsid w:val="008E0C18"/>
    <w:rsid w:val="008E0C28"/>
    <w:rsid w:val="008E0D36"/>
    <w:rsid w:val="008E0D47"/>
    <w:rsid w:val="008E0D66"/>
    <w:rsid w:val="008E0DBD"/>
    <w:rsid w:val="008E0EB1"/>
    <w:rsid w:val="008E0ED9"/>
    <w:rsid w:val="008E1099"/>
    <w:rsid w:val="008E1196"/>
    <w:rsid w:val="008E11B8"/>
    <w:rsid w:val="008E12CF"/>
    <w:rsid w:val="008E1309"/>
    <w:rsid w:val="008E130E"/>
    <w:rsid w:val="008E141F"/>
    <w:rsid w:val="008E14D7"/>
    <w:rsid w:val="008E15E2"/>
    <w:rsid w:val="008E1604"/>
    <w:rsid w:val="008E16DC"/>
    <w:rsid w:val="008E16DF"/>
    <w:rsid w:val="008E197A"/>
    <w:rsid w:val="008E1AC4"/>
    <w:rsid w:val="008E1AC7"/>
    <w:rsid w:val="008E1B85"/>
    <w:rsid w:val="008E1C62"/>
    <w:rsid w:val="008E1C9A"/>
    <w:rsid w:val="008E1D6D"/>
    <w:rsid w:val="008E1DDA"/>
    <w:rsid w:val="008E1EF5"/>
    <w:rsid w:val="008E1F87"/>
    <w:rsid w:val="008E207C"/>
    <w:rsid w:val="008E2086"/>
    <w:rsid w:val="008E212F"/>
    <w:rsid w:val="008E21C4"/>
    <w:rsid w:val="008E21D6"/>
    <w:rsid w:val="008E22BA"/>
    <w:rsid w:val="008E2348"/>
    <w:rsid w:val="008E24BB"/>
    <w:rsid w:val="008E24EA"/>
    <w:rsid w:val="008E24F7"/>
    <w:rsid w:val="008E2510"/>
    <w:rsid w:val="008E25BF"/>
    <w:rsid w:val="008E261F"/>
    <w:rsid w:val="008E2654"/>
    <w:rsid w:val="008E269B"/>
    <w:rsid w:val="008E26AA"/>
    <w:rsid w:val="008E26C5"/>
    <w:rsid w:val="008E26CB"/>
    <w:rsid w:val="008E274D"/>
    <w:rsid w:val="008E2752"/>
    <w:rsid w:val="008E27D6"/>
    <w:rsid w:val="008E2A1E"/>
    <w:rsid w:val="008E2A5E"/>
    <w:rsid w:val="008E2A78"/>
    <w:rsid w:val="008E2B8F"/>
    <w:rsid w:val="008E2BB2"/>
    <w:rsid w:val="008E2BD6"/>
    <w:rsid w:val="008E2C60"/>
    <w:rsid w:val="008E2CC6"/>
    <w:rsid w:val="008E2D9E"/>
    <w:rsid w:val="008E2DB6"/>
    <w:rsid w:val="008E2F72"/>
    <w:rsid w:val="008E3010"/>
    <w:rsid w:val="008E302A"/>
    <w:rsid w:val="008E304E"/>
    <w:rsid w:val="008E30E0"/>
    <w:rsid w:val="008E317C"/>
    <w:rsid w:val="008E31F6"/>
    <w:rsid w:val="008E337E"/>
    <w:rsid w:val="008E33A0"/>
    <w:rsid w:val="008E33DF"/>
    <w:rsid w:val="008E33F2"/>
    <w:rsid w:val="008E34FE"/>
    <w:rsid w:val="008E35EC"/>
    <w:rsid w:val="008E3693"/>
    <w:rsid w:val="008E378E"/>
    <w:rsid w:val="008E384D"/>
    <w:rsid w:val="008E388B"/>
    <w:rsid w:val="008E38E0"/>
    <w:rsid w:val="008E3959"/>
    <w:rsid w:val="008E39AD"/>
    <w:rsid w:val="008E3B21"/>
    <w:rsid w:val="008E3C04"/>
    <w:rsid w:val="008E3C1B"/>
    <w:rsid w:val="008E3C79"/>
    <w:rsid w:val="008E3CC1"/>
    <w:rsid w:val="008E3D09"/>
    <w:rsid w:val="008E3E83"/>
    <w:rsid w:val="008E3FDA"/>
    <w:rsid w:val="008E4380"/>
    <w:rsid w:val="008E4531"/>
    <w:rsid w:val="008E4553"/>
    <w:rsid w:val="008E455F"/>
    <w:rsid w:val="008E45B2"/>
    <w:rsid w:val="008E46A8"/>
    <w:rsid w:val="008E46C8"/>
    <w:rsid w:val="008E46F0"/>
    <w:rsid w:val="008E474B"/>
    <w:rsid w:val="008E4756"/>
    <w:rsid w:val="008E47A9"/>
    <w:rsid w:val="008E47AC"/>
    <w:rsid w:val="008E47D0"/>
    <w:rsid w:val="008E4874"/>
    <w:rsid w:val="008E48BF"/>
    <w:rsid w:val="008E49F1"/>
    <w:rsid w:val="008E4A00"/>
    <w:rsid w:val="008E4A0C"/>
    <w:rsid w:val="008E4ABD"/>
    <w:rsid w:val="008E4AF6"/>
    <w:rsid w:val="008E4C2E"/>
    <w:rsid w:val="008E4C81"/>
    <w:rsid w:val="008E4D02"/>
    <w:rsid w:val="008E4DBF"/>
    <w:rsid w:val="008E4E70"/>
    <w:rsid w:val="008E4E7F"/>
    <w:rsid w:val="008E4EC5"/>
    <w:rsid w:val="008E4EDF"/>
    <w:rsid w:val="008E4EE0"/>
    <w:rsid w:val="008E4F66"/>
    <w:rsid w:val="008E5024"/>
    <w:rsid w:val="008E5052"/>
    <w:rsid w:val="008E5072"/>
    <w:rsid w:val="008E5084"/>
    <w:rsid w:val="008E5171"/>
    <w:rsid w:val="008E5173"/>
    <w:rsid w:val="008E51B0"/>
    <w:rsid w:val="008E51B9"/>
    <w:rsid w:val="008E5309"/>
    <w:rsid w:val="008E5334"/>
    <w:rsid w:val="008E5343"/>
    <w:rsid w:val="008E5374"/>
    <w:rsid w:val="008E53CD"/>
    <w:rsid w:val="008E5450"/>
    <w:rsid w:val="008E54CF"/>
    <w:rsid w:val="008E5542"/>
    <w:rsid w:val="008E55DF"/>
    <w:rsid w:val="008E5700"/>
    <w:rsid w:val="008E5751"/>
    <w:rsid w:val="008E596D"/>
    <w:rsid w:val="008E59B4"/>
    <w:rsid w:val="008E5AC1"/>
    <w:rsid w:val="008E5AD8"/>
    <w:rsid w:val="008E5B11"/>
    <w:rsid w:val="008E5B63"/>
    <w:rsid w:val="008E5B71"/>
    <w:rsid w:val="008E5BDC"/>
    <w:rsid w:val="008E5BF9"/>
    <w:rsid w:val="008E5BFC"/>
    <w:rsid w:val="008E5C87"/>
    <w:rsid w:val="008E5CB7"/>
    <w:rsid w:val="008E5CF4"/>
    <w:rsid w:val="008E5D24"/>
    <w:rsid w:val="008E5D8B"/>
    <w:rsid w:val="008E5DED"/>
    <w:rsid w:val="008E5F31"/>
    <w:rsid w:val="008E5F9D"/>
    <w:rsid w:val="008E6119"/>
    <w:rsid w:val="008E6155"/>
    <w:rsid w:val="008E61BB"/>
    <w:rsid w:val="008E61D1"/>
    <w:rsid w:val="008E61E8"/>
    <w:rsid w:val="008E631C"/>
    <w:rsid w:val="008E6387"/>
    <w:rsid w:val="008E638E"/>
    <w:rsid w:val="008E64E8"/>
    <w:rsid w:val="008E64F8"/>
    <w:rsid w:val="008E6534"/>
    <w:rsid w:val="008E6B13"/>
    <w:rsid w:val="008E6BEE"/>
    <w:rsid w:val="008E6C0B"/>
    <w:rsid w:val="008E6D22"/>
    <w:rsid w:val="008E6E4F"/>
    <w:rsid w:val="008E6EAA"/>
    <w:rsid w:val="008E6EC5"/>
    <w:rsid w:val="008E707E"/>
    <w:rsid w:val="008E709A"/>
    <w:rsid w:val="008E715A"/>
    <w:rsid w:val="008E7260"/>
    <w:rsid w:val="008E72F0"/>
    <w:rsid w:val="008E72FD"/>
    <w:rsid w:val="008E735C"/>
    <w:rsid w:val="008E748E"/>
    <w:rsid w:val="008E74A2"/>
    <w:rsid w:val="008E74E5"/>
    <w:rsid w:val="008E759C"/>
    <w:rsid w:val="008E7627"/>
    <w:rsid w:val="008E76C5"/>
    <w:rsid w:val="008E76E6"/>
    <w:rsid w:val="008E76ED"/>
    <w:rsid w:val="008E77C8"/>
    <w:rsid w:val="008E7910"/>
    <w:rsid w:val="008E7975"/>
    <w:rsid w:val="008E7B7F"/>
    <w:rsid w:val="008E7BEE"/>
    <w:rsid w:val="008E7C3C"/>
    <w:rsid w:val="008E7C40"/>
    <w:rsid w:val="008E7E2A"/>
    <w:rsid w:val="008E7E3D"/>
    <w:rsid w:val="008E7F40"/>
    <w:rsid w:val="008E7F9C"/>
    <w:rsid w:val="008F0110"/>
    <w:rsid w:val="008F0142"/>
    <w:rsid w:val="008F016A"/>
    <w:rsid w:val="008F02B1"/>
    <w:rsid w:val="008F02FA"/>
    <w:rsid w:val="008F033F"/>
    <w:rsid w:val="008F03A8"/>
    <w:rsid w:val="008F044A"/>
    <w:rsid w:val="008F0453"/>
    <w:rsid w:val="008F06F0"/>
    <w:rsid w:val="008F07A3"/>
    <w:rsid w:val="008F093E"/>
    <w:rsid w:val="008F0B89"/>
    <w:rsid w:val="008F0B99"/>
    <w:rsid w:val="008F0C47"/>
    <w:rsid w:val="008F0D49"/>
    <w:rsid w:val="008F0D5E"/>
    <w:rsid w:val="008F0DCF"/>
    <w:rsid w:val="008F0E3B"/>
    <w:rsid w:val="008F0FAC"/>
    <w:rsid w:val="008F1085"/>
    <w:rsid w:val="008F10BB"/>
    <w:rsid w:val="008F11A6"/>
    <w:rsid w:val="008F12EC"/>
    <w:rsid w:val="008F1340"/>
    <w:rsid w:val="008F13C8"/>
    <w:rsid w:val="008F13F5"/>
    <w:rsid w:val="008F1414"/>
    <w:rsid w:val="008F14D1"/>
    <w:rsid w:val="008F1522"/>
    <w:rsid w:val="008F1735"/>
    <w:rsid w:val="008F174B"/>
    <w:rsid w:val="008F1758"/>
    <w:rsid w:val="008F1794"/>
    <w:rsid w:val="008F1813"/>
    <w:rsid w:val="008F184E"/>
    <w:rsid w:val="008F1928"/>
    <w:rsid w:val="008F192F"/>
    <w:rsid w:val="008F19A6"/>
    <w:rsid w:val="008F1A2C"/>
    <w:rsid w:val="008F1A91"/>
    <w:rsid w:val="008F1A99"/>
    <w:rsid w:val="008F1ADC"/>
    <w:rsid w:val="008F1C49"/>
    <w:rsid w:val="008F1C79"/>
    <w:rsid w:val="008F1E72"/>
    <w:rsid w:val="008F1F38"/>
    <w:rsid w:val="008F1FED"/>
    <w:rsid w:val="008F2041"/>
    <w:rsid w:val="008F20E2"/>
    <w:rsid w:val="008F20E9"/>
    <w:rsid w:val="008F2171"/>
    <w:rsid w:val="008F21AB"/>
    <w:rsid w:val="008F21BD"/>
    <w:rsid w:val="008F21F5"/>
    <w:rsid w:val="008F2297"/>
    <w:rsid w:val="008F22A1"/>
    <w:rsid w:val="008F2361"/>
    <w:rsid w:val="008F241F"/>
    <w:rsid w:val="008F25C8"/>
    <w:rsid w:val="008F2696"/>
    <w:rsid w:val="008F28FB"/>
    <w:rsid w:val="008F2927"/>
    <w:rsid w:val="008F2939"/>
    <w:rsid w:val="008F294D"/>
    <w:rsid w:val="008F295A"/>
    <w:rsid w:val="008F2AEA"/>
    <w:rsid w:val="008F2C1C"/>
    <w:rsid w:val="008F2CA3"/>
    <w:rsid w:val="008F2CBC"/>
    <w:rsid w:val="008F2D4A"/>
    <w:rsid w:val="008F2D83"/>
    <w:rsid w:val="008F2DEB"/>
    <w:rsid w:val="008F2E17"/>
    <w:rsid w:val="008F2E63"/>
    <w:rsid w:val="008F2F3C"/>
    <w:rsid w:val="008F3033"/>
    <w:rsid w:val="008F303C"/>
    <w:rsid w:val="008F30E5"/>
    <w:rsid w:val="008F3148"/>
    <w:rsid w:val="008F31A5"/>
    <w:rsid w:val="008F32A8"/>
    <w:rsid w:val="008F3331"/>
    <w:rsid w:val="008F3427"/>
    <w:rsid w:val="008F342C"/>
    <w:rsid w:val="008F3539"/>
    <w:rsid w:val="008F362D"/>
    <w:rsid w:val="008F3646"/>
    <w:rsid w:val="008F365E"/>
    <w:rsid w:val="008F3762"/>
    <w:rsid w:val="008F3819"/>
    <w:rsid w:val="008F385C"/>
    <w:rsid w:val="008F3899"/>
    <w:rsid w:val="008F39DE"/>
    <w:rsid w:val="008F3A94"/>
    <w:rsid w:val="008F3B31"/>
    <w:rsid w:val="008F3BB5"/>
    <w:rsid w:val="008F3BF1"/>
    <w:rsid w:val="008F3D73"/>
    <w:rsid w:val="008F4299"/>
    <w:rsid w:val="008F42A6"/>
    <w:rsid w:val="008F4331"/>
    <w:rsid w:val="008F4333"/>
    <w:rsid w:val="008F43A1"/>
    <w:rsid w:val="008F44B9"/>
    <w:rsid w:val="008F45BB"/>
    <w:rsid w:val="008F460B"/>
    <w:rsid w:val="008F4742"/>
    <w:rsid w:val="008F475D"/>
    <w:rsid w:val="008F47B1"/>
    <w:rsid w:val="008F47C4"/>
    <w:rsid w:val="008F4963"/>
    <w:rsid w:val="008F49A4"/>
    <w:rsid w:val="008F4B0C"/>
    <w:rsid w:val="008F4B2D"/>
    <w:rsid w:val="008F4B3E"/>
    <w:rsid w:val="008F4BE7"/>
    <w:rsid w:val="008F4C32"/>
    <w:rsid w:val="008F4CC0"/>
    <w:rsid w:val="008F4DE2"/>
    <w:rsid w:val="008F4E0B"/>
    <w:rsid w:val="008F4F1C"/>
    <w:rsid w:val="008F4F4B"/>
    <w:rsid w:val="008F4F75"/>
    <w:rsid w:val="008F4FF1"/>
    <w:rsid w:val="008F5090"/>
    <w:rsid w:val="008F519D"/>
    <w:rsid w:val="008F53D7"/>
    <w:rsid w:val="008F55AA"/>
    <w:rsid w:val="008F57F5"/>
    <w:rsid w:val="008F58FC"/>
    <w:rsid w:val="008F59BD"/>
    <w:rsid w:val="008F5BB8"/>
    <w:rsid w:val="008F5C82"/>
    <w:rsid w:val="008F5C95"/>
    <w:rsid w:val="008F5EAC"/>
    <w:rsid w:val="008F5EB6"/>
    <w:rsid w:val="008F5F51"/>
    <w:rsid w:val="008F60EE"/>
    <w:rsid w:val="008F6114"/>
    <w:rsid w:val="008F612F"/>
    <w:rsid w:val="008F6184"/>
    <w:rsid w:val="008F61CD"/>
    <w:rsid w:val="008F6393"/>
    <w:rsid w:val="008F6413"/>
    <w:rsid w:val="008F64D5"/>
    <w:rsid w:val="008F64E8"/>
    <w:rsid w:val="008F64EF"/>
    <w:rsid w:val="008F6544"/>
    <w:rsid w:val="008F6649"/>
    <w:rsid w:val="008F669A"/>
    <w:rsid w:val="008F669C"/>
    <w:rsid w:val="008F66E0"/>
    <w:rsid w:val="008F672A"/>
    <w:rsid w:val="008F6801"/>
    <w:rsid w:val="008F6863"/>
    <w:rsid w:val="008F6867"/>
    <w:rsid w:val="008F68DC"/>
    <w:rsid w:val="008F698A"/>
    <w:rsid w:val="008F69DC"/>
    <w:rsid w:val="008F6A5D"/>
    <w:rsid w:val="008F6A79"/>
    <w:rsid w:val="008F6AA2"/>
    <w:rsid w:val="008F6AED"/>
    <w:rsid w:val="008F6B36"/>
    <w:rsid w:val="008F6C6C"/>
    <w:rsid w:val="008F6D16"/>
    <w:rsid w:val="008F6D4C"/>
    <w:rsid w:val="008F6E0F"/>
    <w:rsid w:val="008F6FC2"/>
    <w:rsid w:val="008F70E6"/>
    <w:rsid w:val="008F729A"/>
    <w:rsid w:val="008F72B9"/>
    <w:rsid w:val="008F734B"/>
    <w:rsid w:val="008F7384"/>
    <w:rsid w:val="008F73E6"/>
    <w:rsid w:val="008F73F9"/>
    <w:rsid w:val="008F7598"/>
    <w:rsid w:val="008F763C"/>
    <w:rsid w:val="008F76DB"/>
    <w:rsid w:val="008F76EA"/>
    <w:rsid w:val="008F772F"/>
    <w:rsid w:val="008F7762"/>
    <w:rsid w:val="008F7803"/>
    <w:rsid w:val="008F7850"/>
    <w:rsid w:val="008F78CD"/>
    <w:rsid w:val="008F78D6"/>
    <w:rsid w:val="008F794F"/>
    <w:rsid w:val="008F7971"/>
    <w:rsid w:val="008F79D8"/>
    <w:rsid w:val="008F7A56"/>
    <w:rsid w:val="008F7B8A"/>
    <w:rsid w:val="008F7BAB"/>
    <w:rsid w:val="008F7BEB"/>
    <w:rsid w:val="008F7F0D"/>
    <w:rsid w:val="008F7F8D"/>
    <w:rsid w:val="00900084"/>
    <w:rsid w:val="009000E9"/>
    <w:rsid w:val="00900133"/>
    <w:rsid w:val="009001E1"/>
    <w:rsid w:val="00900303"/>
    <w:rsid w:val="0090036A"/>
    <w:rsid w:val="00900467"/>
    <w:rsid w:val="009006F7"/>
    <w:rsid w:val="0090070C"/>
    <w:rsid w:val="009007B6"/>
    <w:rsid w:val="009007ED"/>
    <w:rsid w:val="00900B04"/>
    <w:rsid w:val="00900B3D"/>
    <w:rsid w:val="00900B64"/>
    <w:rsid w:val="00900BDB"/>
    <w:rsid w:val="00900C08"/>
    <w:rsid w:val="00900C0C"/>
    <w:rsid w:val="00900D59"/>
    <w:rsid w:val="00900E64"/>
    <w:rsid w:val="00900E65"/>
    <w:rsid w:val="00900E67"/>
    <w:rsid w:val="00900F44"/>
    <w:rsid w:val="00900FE3"/>
    <w:rsid w:val="0090101C"/>
    <w:rsid w:val="00901050"/>
    <w:rsid w:val="00901056"/>
    <w:rsid w:val="00901117"/>
    <w:rsid w:val="00901160"/>
    <w:rsid w:val="009012C8"/>
    <w:rsid w:val="00901302"/>
    <w:rsid w:val="00901360"/>
    <w:rsid w:val="0090140F"/>
    <w:rsid w:val="0090159F"/>
    <w:rsid w:val="009017E8"/>
    <w:rsid w:val="009017E9"/>
    <w:rsid w:val="009018D7"/>
    <w:rsid w:val="00901998"/>
    <w:rsid w:val="00901A4D"/>
    <w:rsid w:val="00901AED"/>
    <w:rsid w:val="00901BC4"/>
    <w:rsid w:val="00901E8E"/>
    <w:rsid w:val="00901EE3"/>
    <w:rsid w:val="00901EFC"/>
    <w:rsid w:val="00901F13"/>
    <w:rsid w:val="00901FCF"/>
    <w:rsid w:val="00902075"/>
    <w:rsid w:val="009021F1"/>
    <w:rsid w:val="00902204"/>
    <w:rsid w:val="0090221A"/>
    <w:rsid w:val="00902221"/>
    <w:rsid w:val="009024DC"/>
    <w:rsid w:val="0090253F"/>
    <w:rsid w:val="009025E7"/>
    <w:rsid w:val="00902600"/>
    <w:rsid w:val="00902755"/>
    <w:rsid w:val="00902756"/>
    <w:rsid w:val="00902768"/>
    <w:rsid w:val="009027DD"/>
    <w:rsid w:val="00902933"/>
    <w:rsid w:val="0090296F"/>
    <w:rsid w:val="009029F0"/>
    <w:rsid w:val="009029FD"/>
    <w:rsid w:val="00902A4C"/>
    <w:rsid w:val="00902A90"/>
    <w:rsid w:val="00902B0B"/>
    <w:rsid w:val="00902B64"/>
    <w:rsid w:val="00902B73"/>
    <w:rsid w:val="00902C00"/>
    <w:rsid w:val="00902C14"/>
    <w:rsid w:val="00902C43"/>
    <w:rsid w:val="00902CC8"/>
    <w:rsid w:val="00902CCF"/>
    <w:rsid w:val="00902D05"/>
    <w:rsid w:val="00902D0B"/>
    <w:rsid w:val="00902E78"/>
    <w:rsid w:val="00902ED4"/>
    <w:rsid w:val="00902EFD"/>
    <w:rsid w:val="00902F43"/>
    <w:rsid w:val="00902FAE"/>
    <w:rsid w:val="009031E8"/>
    <w:rsid w:val="009033BB"/>
    <w:rsid w:val="009033C8"/>
    <w:rsid w:val="00903503"/>
    <w:rsid w:val="00903508"/>
    <w:rsid w:val="009037E7"/>
    <w:rsid w:val="00903889"/>
    <w:rsid w:val="00903894"/>
    <w:rsid w:val="009038BD"/>
    <w:rsid w:val="00903A76"/>
    <w:rsid w:val="00903B97"/>
    <w:rsid w:val="00903BD4"/>
    <w:rsid w:val="00903C67"/>
    <w:rsid w:val="00903D05"/>
    <w:rsid w:val="00903D4D"/>
    <w:rsid w:val="00903DB7"/>
    <w:rsid w:val="00903EEB"/>
    <w:rsid w:val="00904010"/>
    <w:rsid w:val="009040CC"/>
    <w:rsid w:val="00904169"/>
    <w:rsid w:val="00904197"/>
    <w:rsid w:val="009041B5"/>
    <w:rsid w:val="00904233"/>
    <w:rsid w:val="0090424B"/>
    <w:rsid w:val="009042CE"/>
    <w:rsid w:val="0090433F"/>
    <w:rsid w:val="00904423"/>
    <w:rsid w:val="009044D1"/>
    <w:rsid w:val="0090464F"/>
    <w:rsid w:val="0090476C"/>
    <w:rsid w:val="00904801"/>
    <w:rsid w:val="00904845"/>
    <w:rsid w:val="009048F0"/>
    <w:rsid w:val="009048F7"/>
    <w:rsid w:val="00904912"/>
    <w:rsid w:val="00904AF8"/>
    <w:rsid w:val="00904B1E"/>
    <w:rsid w:val="00904B2F"/>
    <w:rsid w:val="00904B4C"/>
    <w:rsid w:val="00904CCB"/>
    <w:rsid w:val="00904CCD"/>
    <w:rsid w:val="00904D29"/>
    <w:rsid w:val="00904DFD"/>
    <w:rsid w:val="00904E3D"/>
    <w:rsid w:val="00904E5B"/>
    <w:rsid w:val="00904EB7"/>
    <w:rsid w:val="00904EE9"/>
    <w:rsid w:val="00904FBD"/>
    <w:rsid w:val="00905094"/>
    <w:rsid w:val="009050B8"/>
    <w:rsid w:val="00905182"/>
    <w:rsid w:val="009051C3"/>
    <w:rsid w:val="0090525E"/>
    <w:rsid w:val="009052C8"/>
    <w:rsid w:val="0090532A"/>
    <w:rsid w:val="0090542A"/>
    <w:rsid w:val="0090552E"/>
    <w:rsid w:val="00905569"/>
    <w:rsid w:val="009055BD"/>
    <w:rsid w:val="009055F4"/>
    <w:rsid w:val="009056D1"/>
    <w:rsid w:val="00905718"/>
    <w:rsid w:val="0090573A"/>
    <w:rsid w:val="0090581E"/>
    <w:rsid w:val="0090583A"/>
    <w:rsid w:val="00905876"/>
    <w:rsid w:val="00905899"/>
    <w:rsid w:val="009058B7"/>
    <w:rsid w:val="0090592D"/>
    <w:rsid w:val="00905989"/>
    <w:rsid w:val="00905A47"/>
    <w:rsid w:val="00905A4B"/>
    <w:rsid w:val="00905AE2"/>
    <w:rsid w:val="00905B45"/>
    <w:rsid w:val="00905B91"/>
    <w:rsid w:val="00905BE6"/>
    <w:rsid w:val="00905CB5"/>
    <w:rsid w:val="00905CF7"/>
    <w:rsid w:val="00905E2E"/>
    <w:rsid w:val="00905EC5"/>
    <w:rsid w:val="00905F2F"/>
    <w:rsid w:val="00905F86"/>
    <w:rsid w:val="00905FEB"/>
    <w:rsid w:val="00906071"/>
    <w:rsid w:val="00906274"/>
    <w:rsid w:val="009062BB"/>
    <w:rsid w:val="009063DE"/>
    <w:rsid w:val="00906441"/>
    <w:rsid w:val="00906458"/>
    <w:rsid w:val="0090645A"/>
    <w:rsid w:val="009064DA"/>
    <w:rsid w:val="0090659A"/>
    <w:rsid w:val="009065EA"/>
    <w:rsid w:val="00906600"/>
    <w:rsid w:val="00906813"/>
    <w:rsid w:val="0090688E"/>
    <w:rsid w:val="00906897"/>
    <w:rsid w:val="00906917"/>
    <w:rsid w:val="009069B5"/>
    <w:rsid w:val="00906A97"/>
    <w:rsid w:val="00906AD6"/>
    <w:rsid w:val="00906B33"/>
    <w:rsid w:val="00906B50"/>
    <w:rsid w:val="00906B94"/>
    <w:rsid w:val="00906BE2"/>
    <w:rsid w:val="00906C37"/>
    <w:rsid w:val="00906C69"/>
    <w:rsid w:val="00906D5A"/>
    <w:rsid w:val="00906D73"/>
    <w:rsid w:val="00906E08"/>
    <w:rsid w:val="00906E44"/>
    <w:rsid w:val="00906E7E"/>
    <w:rsid w:val="00906E8E"/>
    <w:rsid w:val="00906E92"/>
    <w:rsid w:val="00906FA6"/>
    <w:rsid w:val="00907096"/>
    <w:rsid w:val="00907189"/>
    <w:rsid w:val="009071E6"/>
    <w:rsid w:val="009071F5"/>
    <w:rsid w:val="00907323"/>
    <w:rsid w:val="00907384"/>
    <w:rsid w:val="009073D5"/>
    <w:rsid w:val="00907565"/>
    <w:rsid w:val="009075B5"/>
    <w:rsid w:val="009075D5"/>
    <w:rsid w:val="00907603"/>
    <w:rsid w:val="00907685"/>
    <w:rsid w:val="009076D4"/>
    <w:rsid w:val="009077E0"/>
    <w:rsid w:val="009077EC"/>
    <w:rsid w:val="00907810"/>
    <w:rsid w:val="0090793B"/>
    <w:rsid w:val="009079C1"/>
    <w:rsid w:val="009079E2"/>
    <w:rsid w:val="00907AC7"/>
    <w:rsid w:val="00907B38"/>
    <w:rsid w:val="00907B63"/>
    <w:rsid w:val="00907B7A"/>
    <w:rsid w:val="00907BBD"/>
    <w:rsid w:val="00907C57"/>
    <w:rsid w:val="00907CA2"/>
    <w:rsid w:val="00907CF2"/>
    <w:rsid w:val="00907D83"/>
    <w:rsid w:val="00907E7C"/>
    <w:rsid w:val="00907ED0"/>
    <w:rsid w:val="00907F30"/>
    <w:rsid w:val="00910037"/>
    <w:rsid w:val="009100B8"/>
    <w:rsid w:val="00910158"/>
    <w:rsid w:val="00910215"/>
    <w:rsid w:val="0091021C"/>
    <w:rsid w:val="009102AF"/>
    <w:rsid w:val="009102EA"/>
    <w:rsid w:val="00910308"/>
    <w:rsid w:val="00910436"/>
    <w:rsid w:val="0091050B"/>
    <w:rsid w:val="00910616"/>
    <w:rsid w:val="009106B8"/>
    <w:rsid w:val="009106C2"/>
    <w:rsid w:val="0091080B"/>
    <w:rsid w:val="00910879"/>
    <w:rsid w:val="00910944"/>
    <w:rsid w:val="00910A71"/>
    <w:rsid w:val="00910B05"/>
    <w:rsid w:val="00910B85"/>
    <w:rsid w:val="00910CD5"/>
    <w:rsid w:val="00910D44"/>
    <w:rsid w:val="00910ECD"/>
    <w:rsid w:val="00910F95"/>
    <w:rsid w:val="0091109B"/>
    <w:rsid w:val="009110C5"/>
    <w:rsid w:val="009110E4"/>
    <w:rsid w:val="00911101"/>
    <w:rsid w:val="009111BB"/>
    <w:rsid w:val="009111F1"/>
    <w:rsid w:val="00911230"/>
    <w:rsid w:val="00911381"/>
    <w:rsid w:val="0091154E"/>
    <w:rsid w:val="00911674"/>
    <w:rsid w:val="009116EB"/>
    <w:rsid w:val="0091172A"/>
    <w:rsid w:val="009118C0"/>
    <w:rsid w:val="0091191C"/>
    <w:rsid w:val="00911964"/>
    <w:rsid w:val="00911B48"/>
    <w:rsid w:val="00911BC9"/>
    <w:rsid w:val="00911BE9"/>
    <w:rsid w:val="00911C07"/>
    <w:rsid w:val="00911C40"/>
    <w:rsid w:val="00911D71"/>
    <w:rsid w:val="00911DA9"/>
    <w:rsid w:val="00911E8A"/>
    <w:rsid w:val="00911F03"/>
    <w:rsid w:val="00911FA9"/>
    <w:rsid w:val="00912073"/>
    <w:rsid w:val="00912156"/>
    <w:rsid w:val="0091234E"/>
    <w:rsid w:val="00912395"/>
    <w:rsid w:val="009124CD"/>
    <w:rsid w:val="009124E3"/>
    <w:rsid w:val="0091268E"/>
    <w:rsid w:val="009126E2"/>
    <w:rsid w:val="00912870"/>
    <w:rsid w:val="0091294C"/>
    <w:rsid w:val="009129EC"/>
    <w:rsid w:val="00912A0A"/>
    <w:rsid w:val="00912A2F"/>
    <w:rsid w:val="00912C0D"/>
    <w:rsid w:val="00912CCA"/>
    <w:rsid w:val="00912DA9"/>
    <w:rsid w:val="00912DC6"/>
    <w:rsid w:val="00912E24"/>
    <w:rsid w:val="00912E68"/>
    <w:rsid w:val="00912F73"/>
    <w:rsid w:val="0091312F"/>
    <w:rsid w:val="00913135"/>
    <w:rsid w:val="00913136"/>
    <w:rsid w:val="0091322B"/>
    <w:rsid w:val="009132DF"/>
    <w:rsid w:val="00913336"/>
    <w:rsid w:val="009133DF"/>
    <w:rsid w:val="00913624"/>
    <w:rsid w:val="009136C4"/>
    <w:rsid w:val="009136C8"/>
    <w:rsid w:val="009136CD"/>
    <w:rsid w:val="0091371F"/>
    <w:rsid w:val="00913754"/>
    <w:rsid w:val="00913766"/>
    <w:rsid w:val="00913810"/>
    <w:rsid w:val="00913851"/>
    <w:rsid w:val="00913923"/>
    <w:rsid w:val="009139C6"/>
    <w:rsid w:val="00913A89"/>
    <w:rsid w:val="00913B6F"/>
    <w:rsid w:val="00913B83"/>
    <w:rsid w:val="00913C12"/>
    <w:rsid w:val="00913C24"/>
    <w:rsid w:val="00913C85"/>
    <w:rsid w:val="00913ED4"/>
    <w:rsid w:val="00913EE7"/>
    <w:rsid w:val="00913F12"/>
    <w:rsid w:val="00913FF5"/>
    <w:rsid w:val="00914004"/>
    <w:rsid w:val="0091402B"/>
    <w:rsid w:val="00914064"/>
    <w:rsid w:val="0091411F"/>
    <w:rsid w:val="00914235"/>
    <w:rsid w:val="00914265"/>
    <w:rsid w:val="00914312"/>
    <w:rsid w:val="0091441C"/>
    <w:rsid w:val="00914434"/>
    <w:rsid w:val="009144A4"/>
    <w:rsid w:val="009144F2"/>
    <w:rsid w:val="00914752"/>
    <w:rsid w:val="0091475F"/>
    <w:rsid w:val="009147F2"/>
    <w:rsid w:val="00914945"/>
    <w:rsid w:val="009149D2"/>
    <w:rsid w:val="00914A43"/>
    <w:rsid w:val="00914AE4"/>
    <w:rsid w:val="00914AE6"/>
    <w:rsid w:val="00914B4E"/>
    <w:rsid w:val="00914C32"/>
    <w:rsid w:val="00914D1A"/>
    <w:rsid w:val="00914D44"/>
    <w:rsid w:val="00914DD2"/>
    <w:rsid w:val="0091503D"/>
    <w:rsid w:val="0091504C"/>
    <w:rsid w:val="0091506C"/>
    <w:rsid w:val="00915087"/>
    <w:rsid w:val="009150AF"/>
    <w:rsid w:val="0091515B"/>
    <w:rsid w:val="009151C1"/>
    <w:rsid w:val="00915424"/>
    <w:rsid w:val="00915431"/>
    <w:rsid w:val="00915472"/>
    <w:rsid w:val="009154D8"/>
    <w:rsid w:val="00915591"/>
    <w:rsid w:val="009155AC"/>
    <w:rsid w:val="0091564C"/>
    <w:rsid w:val="00915678"/>
    <w:rsid w:val="0091589D"/>
    <w:rsid w:val="009158D4"/>
    <w:rsid w:val="009158FE"/>
    <w:rsid w:val="00915901"/>
    <w:rsid w:val="00915997"/>
    <w:rsid w:val="00915A04"/>
    <w:rsid w:val="00915A55"/>
    <w:rsid w:val="00915A5C"/>
    <w:rsid w:val="00915AAE"/>
    <w:rsid w:val="00915AFE"/>
    <w:rsid w:val="00915D36"/>
    <w:rsid w:val="00915E17"/>
    <w:rsid w:val="00915E9E"/>
    <w:rsid w:val="00915F90"/>
    <w:rsid w:val="00916034"/>
    <w:rsid w:val="0091605D"/>
    <w:rsid w:val="0091606B"/>
    <w:rsid w:val="0091609D"/>
    <w:rsid w:val="0091609E"/>
    <w:rsid w:val="009160B2"/>
    <w:rsid w:val="00916124"/>
    <w:rsid w:val="009161AB"/>
    <w:rsid w:val="00916225"/>
    <w:rsid w:val="00916277"/>
    <w:rsid w:val="00916399"/>
    <w:rsid w:val="009163C0"/>
    <w:rsid w:val="009164BA"/>
    <w:rsid w:val="009166ED"/>
    <w:rsid w:val="00916727"/>
    <w:rsid w:val="00916764"/>
    <w:rsid w:val="009167D2"/>
    <w:rsid w:val="009167D8"/>
    <w:rsid w:val="009167E6"/>
    <w:rsid w:val="009167EE"/>
    <w:rsid w:val="009167EF"/>
    <w:rsid w:val="00916872"/>
    <w:rsid w:val="00916896"/>
    <w:rsid w:val="00916A23"/>
    <w:rsid w:val="00916A4F"/>
    <w:rsid w:val="00916A52"/>
    <w:rsid w:val="00916A62"/>
    <w:rsid w:val="00916AF1"/>
    <w:rsid w:val="00916B59"/>
    <w:rsid w:val="00916B91"/>
    <w:rsid w:val="00916BB7"/>
    <w:rsid w:val="00916CDA"/>
    <w:rsid w:val="00916D2F"/>
    <w:rsid w:val="00916D55"/>
    <w:rsid w:val="00916E3C"/>
    <w:rsid w:val="00916E9A"/>
    <w:rsid w:val="00916EF1"/>
    <w:rsid w:val="00916FFF"/>
    <w:rsid w:val="0091704E"/>
    <w:rsid w:val="0091713E"/>
    <w:rsid w:val="009171AA"/>
    <w:rsid w:val="009171D6"/>
    <w:rsid w:val="00917268"/>
    <w:rsid w:val="00917302"/>
    <w:rsid w:val="009173CB"/>
    <w:rsid w:val="00917535"/>
    <w:rsid w:val="00917562"/>
    <w:rsid w:val="009175EA"/>
    <w:rsid w:val="009176C3"/>
    <w:rsid w:val="00917743"/>
    <w:rsid w:val="009177DD"/>
    <w:rsid w:val="00917893"/>
    <w:rsid w:val="009178B1"/>
    <w:rsid w:val="009178F4"/>
    <w:rsid w:val="0091792C"/>
    <w:rsid w:val="00917AAF"/>
    <w:rsid w:val="00917BBC"/>
    <w:rsid w:val="00917BE2"/>
    <w:rsid w:val="00917C1C"/>
    <w:rsid w:val="00917CD6"/>
    <w:rsid w:val="00917E47"/>
    <w:rsid w:val="00917EAB"/>
    <w:rsid w:val="00917EE3"/>
    <w:rsid w:val="00917F64"/>
    <w:rsid w:val="00917F78"/>
    <w:rsid w:val="00917F8D"/>
    <w:rsid w:val="00920075"/>
    <w:rsid w:val="00920134"/>
    <w:rsid w:val="00920143"/>
    <w:rsid w:val="0092016B"/>
    <w:rsid w:val="009201BB"/>
    <w:rsid w:val="009201F8"/>
    <w:rsid w:val="00920270"/>
    <w:rsid w:val="00920424"/>
    <w:rsid w:val="00920434"/>
    <w:rsid w:val="00920540"/>
    <w:rsid w:val="009206E7"/>
    <w:rsid w:val="0092076C"/>
    <w:rsid w:val="009208DE"/>
    <w:rsid w:val="009209C9"/>
    <w:rsid w:val="009209D7"/>
    <w:rsid w:val="00920AA5"/>
    <w:rsid w:val="00920ABD"/>
    <w:rsid w:val="00920AFD"/>
    <w:rsid w:val="00920B9A"/>
    <w:rsid w:val="00920B9C"/>
    <w:rsid w:val="00920BB0"/>
    <w:rsid w:val="00920BBA"/>
    <w:rsid w:val="00920BBE"/>
    <w:rsid w:val="00920D17"/>
    <w:rsid w:val="00920DC7"/>
    <w:rsid w:val="00920E81"/>
    <w:rsid w:val="00921157"/>
    <w:rsid w:val="009212D1"/>
    <w:rsid w:val="00921309"/>
    <w:rsid w:val="00921421"/>
    <w:rsid w:val="009214CB"/>
    <w:rsid w:val="009214ED"/>
    <w:rsid w:val="00921553"/>
    <w:rsid w:val="009215AD"/>
    <w:rsid w:val="0092165A"/>
    <w:rsid w:val="009216B7"/>
    <w:rsid w:val="00921746"/>
    <w:rsid w:val="00921794"/>
    <w:rsid w:val="009217F5"/>
    <w:rsid w:val="00921821"/>
    <w:rsid w:val="0092182B"/>
    <w:rsid w:val="009218DC"/>
    <w:rsid w:val="0092198E"/>
    <w:rsid w:val="009219AF"/>
    <w:rsid w:val="00921B03"/>
    <w:rsid w:val="00921B9B"/>
    <w:rsid w:val="00921C54"/>
    <w:rsid w:val="00921C61"/>
    <w:rsid w:val="00921D0E"/>
    <w:rsid w:val="00921D13"/>
    <w:rsid w:val="00921DB5"/>
    <w:rsid w:val="00921E0E"/>
    <w:rsid w:val="00921E6B"/>
    <w:rsid w:val="00921EC7"/>
    <w:rsid w:val="00921F00"/>
    <w:rsid w:val="00921F50"/>
    <w:rsid w:val="00921FC3"/>
    <w:rsid w:val="00922098"/>
    <w:rsid w:val="009220B7"/>
    <w:rsid w:val="0092226E"/>
    <w:rsid w:val="009222A3"/>
    <w:rsid w:val="009222C9"/>
    <w:rsid w:val="009222E0"/>
    <w:rsid w:val="00922395"/>
    <w:rsid w:val="009223B8"/>
    <w:rsid w:val="009223C6"/>
    <w:rsid w:val="009224C2"/>
    <w:rsid w:val="00922553"/>
    <w:rsid w:val="00922693"/>
    <w:rsid w:val="009227DA"/>
    <w:rsid w:val="00922812"/>
    <w:rsid w:val="009228C6"/>
    <w:rsid w:val="009229C4"/>
    <w:rsid w:val="00922A56"/>
    <w:rsid w:val="00922A6F"/>
    <w:rsid w:val="00922AC3"/>
    <w:rsid w:val="00922AC4"/>
    <w:rsid w:val="00922AF4"/>
    <w:rsid w:val="00922B38"/>
    <w:rsid w:val="00922BC6"/>
    <w:rsid w:val="00922C50"/>
    <w:rsid w:val="00922C54"/>
    <w:rsid w:val="00922D83"/>
    <w:rsid w:val="00922DE9"/>
    <w:rsid w:val="00922E20"/>
    <w:rsid w:val="00922F21"/>
    <w:rsid w:val="00922F41"/>
    <w:rsid w:val="00922F57"/>
    <w:rsid w:val="00922F7D"/>
    <w:rsid w:val="0092305B"/>
    <w:rsid w:val="00923060"/>
    <w:rsid w:val="009230E6"/>
    <w:rsid w:val="009230F1"/>
    <w:rsid w:val="00923130"/>
    <w:rsid w:val="009231B6"/>
    <w:rsid w:val="0092324C"/>
    <w:rsid w:val="0092324D"/>
    <w:rsid w:val="0092328B"/>
    <w:rsid w:val="00923334"/>
    <w:rsid w:val="009233E2"/>
    <w:rsid w:val="0092358E"/>
    <w:rsid w:val="00923617"/>
    <w:rsid w:val="0092361B"/>
    <w:rsid w:val="0092372B"/>
    <w:rsid w:val="00923792"/>
    <w:rsid w:val="009237B4"/>
    <w:rsid w:val="009237DE"/>
    <w:rsid w:val="00923A51"/>
    <w:rsid w:val="00923A87"/>
    <w:rsid w:val="00923BA7"/>
    <w:rsid w:val="00923BF4"/>
    <w:rsid w:val="00923BFE"/>
    <w:rsid w:val="00923CFC"/>
    <w:rsid w:val="00923DC4"/>
    <w:rsid w:val="00923DF1"/>
    <w:rsid w:val="00923E79"/>
    <w:rsid w:val="00923FE2"/>
    <w:rsid w:val="009240F0"/>
    <w:rsid w:val="009241E6"/>
    <w:rsid w:val="00924222"/>
    <w:rsid w:val="00924246"/>
    <w:rsid w:val="00924345"/>
    <w:rsid w:val="009243A9"/>
    <w:rsid w:val="00924501"/>
    <w:rsid w:val="0092459D"/>
    <w:rsid w:val="0092462F"/>
    <w:rsid w:val="00924692"/>
    <w:rsid w:val="00924816"/>
    <w:rsid w:val="00924836"/>
    <w:rsid w:val="00924881"/>
    <w:rsid w:val="009248A6"/>
    <w:rsid w:val="00924A0D"/>
    <w:rsid w:val="00924A10"/>
    <w:rsid w:val="00924A60"/>
    <w:rsid w:val="00924B48"/>
    <w:rsid w:val="00924BBC"/>
    <w:rsid w:val="00924C18"/>
    <w:rsid w:val="00924D8F"/>
    <w:rsid w:val="00924EEA"/>
    <w:rsid w:val="0092514B"/>
    <w:rsid w:val="009251B2"/>
    <w:rsid w:val="009252B8"/>
    <w:rsid w:val="009252D8"/>
    <w:rsid w:val="00925309"/>
    <w:rsid w:val="00925326"/>
    <w:rsid w:val="0092533E"/>
    <w:rsid w:val="00925365"/>
    <w:rsid w:val="0092548F"/>
    <w:rsid w:val="00925534"/>
    <w:rsid w:val="0092557B"/>
    <w:rsid w:val="0092560D"/>
    <w:rsid w:val="00925698"/>
    <w:rsid w:val="009256C5"/>
    <w:rsid w:val="00925702"/>
    <w:rsid w:val="009258AF"/>
    <w:rsid w:val="00925A6C"/>
    <w:rsid w:val="00925B8E"/>
    <w:rsid w:val="00925BEF"/>
    <w:rsid w:val="00925C21"/>
    <w:rsid w:val="00925C25"/>
    <w:rsid w:val="00925DB2"/>
    <w:rsid w:val="00925F27"/>
    <w:rsid w:val="00925FD4"/>
    <w:rsid w:val="00926008"/>
    <w:rsid w:val="00926090"/>
    <w:rsid w:val="00926099"/>
    <w:rsid w:val="009260C8"/>
    <w:rsid w:val="00926233"/>
    <w:rsid w:val="00926377"/>
    <w:rsid w:val="0092638F"/>
    <w:rsid w:val="00926457"/>
    <w:rsid w:val="00926513"/>
    <w:rsid w:val="0092659E"/>
    <w:rsid w:val="009265D0"/>
    <w:rsid w:val="0092678A"/>
    <w:rsid w:val="009267E6"/>
    <w:rsid w:val="0092690C"/>
    <w:rsid w:val="00926A03"/>
    <w:rsid w:val="00926A08"/>
    <w:rsid w:val="00926AE1"/>
    <w:rsid w:val="00926C10"/>
    <w:rsid w:val="00926C1C"/>
    <w:rsid w:val="00926C79"/>
    <w:rsid w:val="00926CEE"/>
    <w:rsid w:val="00926D40"/>
    <w:rsid w:val="00926D90"/>
    <w:rsid w:val="00926E0B"/>
    <w:rsid w:val="00926E51"/>
    <w:rsid w:val="00926F8E"/>
    <w:rsid w:val="00926F90"/>
    <w:rsid w:val="00926F9F"/>
    <w:rsid w:val="00926FEE"/>
    <w:rsid w:val="00927036"/>
    <w:rsid w:val="00927037"/>
    <w:rsid w:val="00927061"/>
    <w:rsid w:val="009270C3"/>
    <w:rsid w:val="009270D5"/>
    <w:rsid w:val="00927131"/>
    <w:rsid w:val="0092729D"/>
    <w:rsid w:val="009272CA"/>
    <w:rsid w:val="009274F4"/>
    <w:rsid w:val="009274FA"/>
    <w:rsid w:val="00927555"/>
    <w:rsid w:val="009275A4"/>
    <w:rsid w:val="009275DB"/>
    <w:rsid w:val="0092761D"/>
    <w:rsid w:val="0092761E"/>
    <w:rsid w:val="009276B5"/>
    <w:rsid w:val="009276D1"/>
    <w:rsid w:val="00927758"/>
    <w:rsid w:val="009277D3"/>
    <w:rsid w:val="0092783A"/>
    <w:rsid w:val="009279C1"/>
    <w:rsid w:val="00927A38"/>
    <w:rsid w:val="00927AA9"/>
    <w:rsid w:val="00927AEE"/>
    <w:rsid w:val="00927B8B"/>
    <w:rsid w:val="00927BA0"/>
    <w:rsid w:val="00927C19"/>
    <w:rsid w:val="00927C2E"/>
    <w:rsid w:val="00927C58"/>
    <w:rsid w:val="00927D38"/>
    <w:rsid w:val="00927DA0"/>
    <w:rsid w:val="00927E76"/>
    <w:rsid w:val="00927EEC"/>
    <w:rsid w:val="00927F18"/>
    <w:rsid w:val="00927F5B"/>
    <w:rsid w:val="0093008C"/>
    <w:rsid w:val="0093013D"/>
    <w:rsid w:val="009301A7"/>
    <w:rsid w:val="00930241"/>
    <w:rsid w:val="0093027F"/>
    <w:rsid w:val="009303E2"/>
    <w:rsid w:val="0093044D"/>
    <w:rsid w:val="009304CD"/>
    <w:rsid w:val="00930506"/>
    <w:rsid w:val="0093056D"/>
    <w:rsid w:val="0093057F"/>
    <w:rsid w:val="009305A1"/>
    <w:rsid w:val="00930625"/>
    <w:rsid w:val="00930667"/>
    <w:rsid w:val="0093069E"/>
    <w:rsid w:val="00930736"/>
    <w:rsid w:val="0093086C"/>
    <w:rsid w:val="0093099A"/>
    <w:rsid w:val="009309C5"/>
    <w:rsid w:val="00930A8B"/>
    <w:rsid w:val="00930CD1"/>
    <w:rsid w:val="00930F31"/>
    <w:rsid w:val="00931268"/>
    <w:rsid w:val="009312CD"/>
    <w:rsid w:val="0093136F"/>
    <w:rsid w:val="009313AE"/>
    <w:rsid w:val="009313D3"/>
    <w:rsid w:val="00931414"/>
    <w:rsid w:val="00931532"/>
    <w:rsid w:val="00931567"/>
    <w:rsid w:val="009317CE"/>
    <w:rsid w:val="00931811"/>
    <w:rsid w:val="00931816"/>
    <w:rsid w:val="009318FB"/>
    <w:rsid w:val="00931946"/>
    <w:rsid w:val="0093197E"/>
    <w:rsid w:val="00931A7F"/>
    <w:rsid w:val="00931B3C"/>
    <w:rsid w:val="00931B62"/>
    <w:rsid w:val="00931BC3"/>
    <w:rsid w:val="00931C2B"/>
    <w:rsid w:val="00931C6B"/>
    <w:rsid w:val="00931D94"/>
    <w:rsid w:val="00931DCF"/>
    <w:rsid w:val="00931F9F"/>
    <w:rsid w:val="00931FCF"/>
    <w:rsid w:val="0093200F"/>
    <w:rsid w:val="0093211F"/>
    <w:rsid w:val="0093230A"/>
    <w:rsid w:val="00932390"/>
    <w:rsid w:val="00932475"/>
    <w:rsid w:val="009324E1"/>
    <w:rsid w:val="00932514"/>
    <w:rsid w:val="0093254F"/>
    <w:rsid w:val="00932570"/>
    <w:rsid w:val="00932594"/>
    <w:rsid w:val="00932626"/>
    <w:rsid w:val="0093264F"/>
    <w:rsid w:val="0093266E"/>
    <w:rsid w:val="00932686"/>
    <w:rsid w:val="0093271B"/>
    <w:rsid w:val="00932806"/>
    <w:rsid w:val="00932946"/>
    <w:rsid w:val="00932B26"/>
    <w:rsid w:val="00932BDA"/>
    <w:rsid w:val="00932CA3"/>
    <w:rsid w:val="00932CDF"/>
    <w:rsid w:val="00932D6B"/>
    <w:rsid w:val="00932E4E"/>
    <w:rsid w:val="00932F9C"/>
    <w:rsid w:val="00932FD6"/>
    <w:rsid w:val="00932FF1"/>
    <w:rsid w:val="00932FF2"/>
    <w:rsid w:val="0093310B"/>
    <w:rsid w:val="00933178"/>
    <w:rsid w:val="009331A9"/>
    <w:rsid w:val="0093324B"/>
    <w:rsid w:val="009332F4"/>
    <w:rsid w:val="009332FA"/>
    <w:rsid w:val="0093330A"/>
    <w:rsid w:val="0093335D"/>
    <w:rsid w:val="009334AD"/>
    <w:rsid w:val="0093360C"/>
    <w:rsid w:val="009336C4"/>
    <w:rsid w:val="009336D6"/>
    <w:rsid w:val="00933786"/>
    <w:rsid w:val="0093378B"/>
    <w:rsid w:val="009337A0"/>
    <w:rsid w:val="00933811"/>
    <w:rsid w:val="009338BC"/>
    <w:rsid w:val="00933961"/>
    <w:rsid w:val="00933AD3"/>
    <w:rsid w:val="00933B57"/>
    <w:rsid w:val="00933E2C"/>
    <w:rsid w:val="00933EC6"/>
    <w:rsid w:val="00933F04"/>
    <w:rsid w:val="00933F25"/>
    <w:rsid w:val="00933F34"/>
    <w:rsid w:val="009340E0"/>
    <w:rsid w:val="00934110"/>
    <w:rsid w:val="00934183"/>
    <w:rsid w:val="009342AC"/>
    <w:rsid w:val="009342F5"/>
    <w:rsid w:val="009342F8"/>
    <w:rsid w:val="0093433B"/>
    <w:rsid w:val="00934376"/>
    <w:rsid w:val="0093439D"/>
    <w:rsid w:val="009344AC"/>
    <w:rsid w:val="009344FB"/>
    <w:rsid w:val="0093453B"/>
    <w:rsid w:val="009345EC"/>
    <w:rsid w:val="00934660"/>
    <w:rsid w:val="00934824"/>
    <w:rsid w:val="00934867"/>
    <w:rsid w:val="00934929"/>
    <w:rsid w:val="0093499E"/>
    <w:rsid w:val="009349BF"/>
    <w:rsid w:val="00934A6A"/>
    <w:rsid w:val="00934A81"/>
    <w:rsid w:val="00934ABC"/>
    <w:rsid w:val="00934ADD"/>
    <w:rsid w:val="00934BAD"/>
    <w:rsid w:val="00934D03"/>
    <w:rsid w:val="00934D0E"/>
    <w:rsid w:val="00934D74"/>
    <w:rsid w:val="00934D83"/>
    <w:rsid w:val="00934E72"/>
    <w:rsid w:val="00934EF7"/>
    <w:rsid w:val="00935084"/>
    <w:rsid w:val="0093509A"/>
    <w:rsid w:val="009350AF"/>
    <w:rsid w:val="00935218"/>
    <w:rsid w:val="0093522A"/>
    <w:rsid w:val="009353BE"/>
    <w:rsid w:val="00935506"/>
    <w:rsid w:val="009355EC"/>
    <w:rsid w:val="00935609"/>
    <w:rsid w:val="009356F4"/>
    <w:rsid w:val="00935778"/>
    <w:rsid w:val="00935790"/>
    <w:rsid w:val="00935822"/>
    <w:rsid w:val="009359A1"/>
    <w:rsid w:val="00935A1B"/>
    <w:rsid w:val="00935A25"/>
    <w:rsid w:val="00935AA2"/>
    <w:rsid w:val="00935B9B"/>
    <w:rsid w:val="00935BBA"/>
    <w:rsid w:val="00935C04"/>
    <w:rsid w:val="00935CF3"/>
    <w:rsid w:val="00935DDE"/>
    <w:rsid w:val="009360B5"/>
    <w:rsid w:val="009361C7"/>
    <w:rsid w:val="009362F0"/>
    <w:rsid w:val="00936414"/>
    <w:rsid w:val="00936530"/>
    <w:rsid w:val="0093666F"/>
    <w:rsid w:val="0093669C"/>
    <w:rsid w:val="0093686A"/>
    <w:rsid w:val="00936918"/>
    <w:rsid w:val="00936978"/>
    <w:rsid w:val="0093699D"/>
    <w:rsid w:val="00936A1E"/>
    <w:rsid w:val="00936B0E"/>
    <w:rsid w:val="00936B71"/>
    <w:rsid w:val="00936C7A"/>
    <w:rsid w:val="00936D33"/>
    <w:rsid w:val="00936D4B"/>
    <w:rsid w:val="00936D9A"/>
    <w:rsid w:val="00936E1F"/>
    <w:rsid w:val="00936E20"/>
    <w:rsid w:val="00936E83"/>
    <w:rsid w:val="00936EBD"/>
    <w:rsid w:val="00936EC7"/>
    <w:rsid w:val="00936F42"/>
    <w:rsid w:val="00936F4A"/>
    <w:rsid w:val="009370F6"/>
    <w:rsid w:val="009371E6"/>
    <w:rsid w:val="0093740D"/>
    <w:rsid w:val="009374F9"/>
    <w:rsid w:val="00937744"/>
    <w:rsid w:val="009377E9"/>
    <w:rsid w:val="00937A0D"/>
    <w:rsid w:val="00937A28"/>
    <w:rsid w:val="00937A35"/>
    <w:rsid w:val="00937A4A"/>
    <w:rsid w:val="00937AA8"/>
    <w:rsid w:val="00937AAA"/>
    <w:rsid w:val="00937B48"/>
    <w:rsid w:val="00937CE1"/>
    <w:rsid w:val="00937CF5"/>
    <w:rsid w:val="00937DC8"/>
    <w:rsid w:val="00937EFC"/>
    <w:rsid w:val="00937F3B"/>
    <w:rsid w:val="00937F3F"/>
    <w:rsid w:val="00937FC5"/>
    <w:rsid w:val="00940121"/>
    <w:rsid w:val="00940279"/>
    <w:rsid w:val="009402A0"/>
    <w:rsid w:val="009402B9"/>
    <w:rsid w:val="009403A7"/>
    <w:rsid w:val="00940489"/>
    <w:rsid w:val="009404BD"/>
    <w:rsid w:val="0094054E"/>
    <w:rsid w:val="00940680"/>
    <w:rsid w:val="00940795"/>
    <w:rsid w:val="009407E1"/>
    <w:rsid w:val="00940823"/>
    <w:rsid w:val="009408A6"/>
    <w:rsid w:val="009408DE"/>
    <w:rsid w:val="009409D3"/>
    <w:rsid w:val="009409F8"/>
    <w:rsid w:val="00940A0B"/>
    <w:rsid w:val="00940BFB"/>
    <w:rsid w:val="00940C04"/>
    <w:rsid w:val="00940D1E"/>
    <w:rsid w:val="00940D28"/>
    <w:rsid w:val="00940D3B"/>
    <w:rsid w:val="00940E04"/>
    <w:rsid w:val="00940EA4"/>
    <w:rsid w:val="00940EFC"/>
    <w:rsid w:val="00940F21"/>
    <w:rsid w:val="00940FE5"/>
    <w:rsid w:val="009410FE"/>
    <w:rsid w:val="0094117B"/>
    <w:rsid w:val="00941193"/>
    <w:rsid w:val="0094127F"/>
    <w:rsid w:val="00941300"/>
    <w:rsid w:val="00941332"/>
    <w:rsid w:val="00941345"/>
    <w:rsid w:val="00941354"/>
    <w:rsid w:val="00941423"/>
    <w:rsid w:val="0094144D"/>
    <w:rsid w:val="009414C5"/>
    <w:rsid w:val="00941559"/>
    <w:rsid w:val="009415AA"/>
    <w:rsid w:val="0094186F"/>
    <w:rsid w:val="009419FA"/>
    <w:rsid w:val="00941A52"/>
    <w:rsid w:val="00941A84"/>
    <w:rsid w:val="00941A98"/>
    <w:rsid w:val="00941AD9"/>
    <w:rsid w:val="00941B08"/>
    <w:rsid w:val="00941B32"/>
    <w:rsid w:val="00941B61"/>
    <w:rsid w:val="00941BC5"/>
    <w:rsid w:val="00941BFA"/>
    <w:rsid w:val="00941C08"/>
    <w:rsid w:val="00941C37"/>
    <w:rsid w:val="00941C47"/>
    <w:rsid w:val="00941C7F"/>
    <w:rsid w:val="00941CAA"/>
    <w:rsid w:val="00941CE3"/>
    <w:rsid w:val="00941CF2"/>
    <w:rsid w:val="00941CFC"/>
    <w:rsid w:val="00941D36"/>
    <w:rsid w:val="00941D5B"/>
    <w:rsid w:val="00941D7B"/>
    <w:rsid w:val="009420D5"/>
    <w:rsid w:val="009420D7"/>
    <w:rsid w:val="009421BE"/>
    <w:rsid w:val="00942259"/>
    <w:rsid w:val="0094237E"/>
    <w:rsid w:val="009424B0"/>
    <w:rsid w:val="009424DA"/>
    <w:rsid w:val="0094252A"/>
    <w:rsid w:val="009425B9"/>
    <w:rsid w:val="00942645"/>
    <w:rsid w:val="00942741"/>
    <w:rsid w:val="00942762"/>
    <w:rsid w:val="0094286D"/>
    <w:rsid w:val="00942876"/>
    <w:rsid w:val="009429EF"/>
    <w:rsid w:val="00942A4F"/>
    <w:rsid w:val="00942B92"/>
    <w:rsid w:val="00942D87"/>
    <w:rsid w:val="00942DA3"/>
    <w:rsid w:val="00942DE3"/>
    <w:rsid w:val="00942E44"/>
    <w:rsid w:val="00942F18"/>
    <w:rsid w:val="00942FEA"/>
    <w:rsid w:val="0094302C"/>
    <w:rsid w:val="00943080"/>
    <w:rsid w:val="00943120"/>
    <w:rsid w:val="00943244"/>
    <w:rsid w:val="0094326A"/>
    <w:rsid w:val="00943355"/>
    <w:rsid w:val="00943439"/>
    <w:rsid w:val="00943443"/>
    <w:rsid w:val="009436B3"/>
    <w:rsid w:val="009439C7"/>
    <w:rsid w:val="00943A0D"/>
    <w:rsid w:val="00943A8A"/>
    <w:rsid w:val="00943A92"/>
    <w:rsid w:val="00943A9D"/>
    <w:rsid w:val="00943AE6"/>
    <w:rsid w:val="00943B78"/>
    <w:rsid w:val="00943BE4"/>
    <w:rsid w:val="00943C56"/>
    <w:rsid w:val="00943DB4"/>
    <w:rsid w:val="00943DCF"/>
    <w:rsid w:val="00943E8F"/>
    <w:rsid w:val="00943F5F"/>
    <w:rsid w:val="0094407D"/>
    <w:rsid w:val="00944162"/>
    <w:rsid w:val="0094421D"/>
    <w:rsid w:val="0094433E"/>
    <w:rsid w:val="009443B7"/>
    <w:rsid w:val="0094443B"/>
    <w:rsid w:val="009444C7"/>
    <w:rsid w:val="009444D1"/>
    <w:rsid w:val="00944537"/>
    <w:rsid w:val="00944601"/>
    <w:rsid w:val="00944645"/>
    <w:rsid w:val="009446E9"/>
    <w:rsid w:val="00944854"/>
    <w:rsid w:val="009448CA"/>
    <w:rsid w:val="009448EE"/>
    <w:rsid w:val="00944904"/>
    <w:rsid w:val="00944A6E"/>
    <w:rsid w:val="00944A70"/>
    <w:rsid w:val="00944A76"/>
    <w:rsid w:val="00944A89"/>
    <w:rsid w:val="00944A94"/>
    <w:rsid w:val="00944C03"/>
    <w:rsid w:val="00944C8C"/>
    <w:rsid w:val="00944D35"/>
    <w:rsid w:val="00944D4C"/>
    <w:rsid w:val="00944E15"/>
    <w:rsid w:val="00944E37"/>
    <w:rsid w:val="00944E42"/>
    <w:rsid w:val="00944E6C"/>
    <w:rsid w:val="00944EC9"/>
    <w:rsid w:val="00944F7D"/>
    <w:rsid w:val="0094502A"/>
    <w:rsid w:val="00945092"/>
    <w:rsid w:val="009450EA"/>
    <w:rsid w:val="0094514B"/>
    <w:rsid w:val="00945168"/>
    <w:rsid w:val="00945188"/>
    <w:rsid w:val="00945189"/>
    <w:rsid w:val="00945237"/>
    <w:rsid w:val="009452FD"/>
    <w:rsid w:val="00945358"/>
    <w:rsid w:val="0094547C"/>
    <w:rsid w:val="00945493"/>
    <w:rsid w:val="009454D5"/>
    <w:rsid w:val="00945551"/>
    <w:rsid w:val="00945558"/>
    <w:rsid w:val="009455D5"/>
    <w:rsid w:val="00945608"/>
    <w:rsid w:val="00945619"/>
    <w:rsid w:val="009456FD"/>
    <w:rsid w:val="009457C7"/>
    <w:rsid w:val="0094581E"/>
    <w:rsid w:val="009458A2"/>
    <w:rsid w:val="009458E8"/>
    <w:rsid w:val="009459E5"/>
    <w:rsid w:val="00945A82"/>
    <w:rsid w:val="00945BAD"/>
    <w:rsid w:val="00945C48"/>
    <w:rsid w:val="00945CEE"/>
    <w:rsid w:val="00945CFC"/>
    <w:rsid w:val="00945D08"/>
    <w:rsid w:val="00945D7A"/>
    <w:rsid w:val="00945DE2"/>
    <w:rsid w:val="00945E5A"/>
    <w:rsid w:val="0094608F"/>
    <w:rsid w:val="009460E1"/>
    <w:rsid w:val="0094610B"/>
    <w:rsid w:val="0094617B"/>
    <w:rsid w:val="009462AB"/>
    <w:rsid w:val="0094633D"/>
    <w:rsid w:val="0094633E"/>
    <w:rsid w:val="0094638B"/>
    <w:rsid w:val="00946521"/>
    <w:rsid w:val="00946585"/>
    <w:rsid w:val="009465C3"/>
    <w:rsid w:val="00946633"/>
    <w:rsid w:val="00946708"/>
    <w:rsid w:val="0094674B"/>
    <w:rsid w:val="009467A9"/>
    <w:rsid w:val="0094680C"/>
    <w:rsid w:val="00946869"/>
    <w:rsid w:val="00946999"/>
    <w:rsid w:val="00946B2C"/>
    <w:rsid w:val="00946BAD"/>
    <w:rsid w:val="00946C1B"/>
    <w:rsid w:val="00946C2A"/>
    <w:rsid w:val="00946C3B"/>
    <w:rsid w:val="00946CCC"/>
    <w:rsid w:val="00946D61"/>
    <w:rsid w:val="00946D90"/>
    <w:rsid w:val="00946E8B"/>
    <w:rsid w:val="00946EA2"/>
    <w:rsid w:val="00946EBA"/>
    <w:rsid w:val="00946F16"/>
    <w:rsid w:val="00946F6E"/>
    <w:rsid w:val="00946F85"/>
    <w:rsid w:val="00946F91"/>
    <w:rsid w:val="00947026"/>
    <w:rsid w:val="0094708D"/>
    <w:rsid w:val="009470D0"/>
    <w:rsid w:val="009470EA"/>
    <w:rsid w:val="00947103"/>
    <w:rsid w:val="00947170"/>
    <w:rsid w:val="0094718D"/>
    <w:rsid w:val="009471BC"/>
    <w:rsid w:val="009472AD"/>
    <w:rsid w:val="00947365"/>
    <w:rsid w:val="00947367"/>
    <w:rsid w:val="00947398"/>
    <w:rsid w:val="009474D3"/>
    <w:rsid w:val="009474DF"/>
    <w:rsid w:val="00947583"/>
    <w:rsid w:val="009475E9"/>
    <w:rsid w:val="00947686"/>
    <w:rsid w:val="009477F6"/>
    <w:rsid w:val="0094793D"/>
    <w:rsid w:val="00947954"/>
    <w:rsid w:val="009479C5"/>
    <w:rsid w:val="00947A04"/>
    <w:rsid w:val="00947A9E"/>
    <w:rsid w:val="00947AE2"/>
    <w:rsid w:val="00947B15"/>
    <w:rsid w:val="00947B2C"/>
    <w:rsid w:val="00947BD7"/>
    <w:rsid w:val="00947CB1"/>
    <w:rsid w:val="00947DB5"/>
    <w:rsid w:val="00947EB7"/>
    <w:rsid w:val="00947FA0"/>
    <w:rsid w:val="00947FB9"/>
    <w:rsid w:val="00950067"/>
    <w:rsid w:val="009500CC"/>
    <w:rsid w:val="009500DD"/>
    <w:rsid w:val="009500FA"/>
    <w:rsid w:val="0095013B"/>
    <w:rsid w:val="00950156"/>
    <w:rsid w:val="00950159"/>
    <w:rsid w:val="00950289"/>
    <w:rsid w:val="009502D0"/>
    <w:rsid w:val="0095034D"/>
    <w:rsid w:val="009505E3"/>
    <w:rsid w:val="00950649"/>
    <w:rsid w:val="0095064C"/>
    <w:rsid w:val="00950885"/>
    <w:rsid w:val="0095088E"/>
    <w:rsid w:val="009509F4"/>
    <w:rsid w:val="00950B73"/>
    <w:rsid w:val="00950BD1"/>
    <w:rsid w:val="00950D75"/>
    <w:rsid w:val="00950DFD"/>
    <w:rsid w:val="00950E24"/>
    <w:rsid w:val="00950EA6"/>
    <w:rsid w:val="00950EC4"/>
    <w:rsid w:val="00950EEA"/>
    <w:rsid w:val="00950F1E"/>
    <w:rsid w:val="00950F67"/>
    <w:rsid w:val="00950F88"/>
    <w:rsid w:val="00950FF1"/>
    <w:rsid w:val="0095129C"/>
    <w:rsid w:val="0095138B"/>
    <w:rsid w:val="009513C6"/>
    <w:rsid w:val="009514AF"/>
    <w:rsid w:val="009515B5"/>
    <w:rsid w:val="009515C5"/>
    <w:rsid w:val="009515E3"/>
    <w:rsid w:val="00951615"/>
    <w:rsid w:val="00951695"/>
    <w:rsid w:val="0095189D"/>
    <w:rsid w:val="00951914"/>
    <w:rsid w:val="0095195E"/>
    <w:rsid w:val="00951989"/>
    <w:rsid w:val="009519BD"/>
    <w:rsid w:val="009519E3"/>
    <w:rsid w:val="009519F1"/>
    <w:rsid w:val="00951AB4"/>
    <w:rsid w:val="00951B3F"/>
    <w:rsid w:val="00951BF8"/>
    <w:rsid w:val="00951BFA"/>
    <w:rsid w:val="00951C4C"/>
    <w:rsid w:val="00951CBB"/>
    <w:rsid w:val="00951DAE"/>
    <w:rsid w:val="00951F0B"/>
    <w:rsid w:val="00951F29"/>
    <w:rsid w:val="00951F2A"/>
    <w:rsid w:val="00951F7E"/>
    <w:rsid w:val="00951FB4"/>
    <w:rsid w:val="00952073"/>
    <w:rsid w:val="0095208D"/>
    <w:rsid w:val="00952148"/>
    <w:rsid w:val="0095218B"/>
    <w:rsid w:val="009521D2"/>
    <w:rsid w:val="00952210"/>
    <w:rsid w:val="00952291"/>
    <w:rsid w:val="00952627"/>
    <w:rsid w:val="00952675"/>
    <w:rsid w:val="009526A3"/>
    <w:rsid w:val="0095273A"/>
    <w:rsid w:val="009527B4"/>
    <w:rsid w:val="009528BC"/>
    <w:rsid w:val="00952913"/>
    <w:rsid w:val="00952B68"/>
    <w:rsid w:val="00952CA0"/>
    <w:rsid w:val="00952D34"/>
    <w:rsid w:val="00952D90"/>
    <w:rsid w:val="00952DAB"/>
    <w:rsid w:val="00952E13"/>
    <w:rsid w:val="00952F0C"/>
    <w:rsid w:val="00952F26"/>
    <w:rsid w:val="00953029"/>
    <w:rsid w:val="0095304B"/>
    <w:rsid w:val="0095328C"/>
    <w:rsid w:val="009532E1"/>
    <w:rsid w:val="00953415"/>
    <w:rsid w:val="00953540"/>
    <w:rsid w:val="00953634"/>
    <w:rsid w:val="0095375C"/>
    <w:rsid w:val="009537DE"/>
    <w:rsid w:val="00953860"/>
    <w:rsid w:val="009538C3"/>
    <w:rsid w:val="009538DF"/>
    <w:rsid w:val="009538E4"/>
    <w:rsid w:val="0095393C"/>
    <w:rsid w:val="00953940"/>
    <w:rsid w:val="009539A5"/>
    <w:rsid w:val="00953A01"/>
    <w:rsid w:val="00953A5D"/>
    <w:rsid w:val="00953AAE"/>
    <w:rsid w:val="00953AFA"/>
    <w:rsid w:val="00953B2B"/>
    <w:rsid w:val="00953C81"/>
    <w:rsid w:val="00953CAA"/>
    <w:rsid w:val="00953EA1"/>
    <w:rsid w:val="00953F3B"/>
    <w:rsid w:val="00953FAF"/>
    <w:rsid w:val="00953FFA"/>
    <w:rsid w:val="00954022"/>
    <w:rsid w:val="00954067"/>
    <w:rsid w:val="00954069"/>
    <w:rsid w:val="009540F4"/>
    <w:rsid w:val="00954126"/>
    <w:rsid w:val="009542DD"/>
    <w:rsid w:val="00954371"/>
    <w:rsid w:val="009543C6"/>
    <w:rsid w:val="009543CA"/>
    <w:rsid w:val="009545A2"/>
    <w:rsid w:val="0095470A"/>
    <w:rsid w:val="0095474D"/>
    <w:rsid w:val="00954756"/>
    <w:rsid w:val="00954792"/>
    <w:rsid w:val="00954950"/>
    <w:rsid w:val="0095496B"/>
    <w:rsid w:val="009549B5"/>
    <w:rsid w:val="00954A65"/>
    <w:rsid w:val="00954A70"/>
    <w:rsid w:val="00954A89"/>
    <w:rsid w:val="00954AB5"/>
    <w:rsid w:val="00954AEC"/>
    <w:rsid w:val="00954AFB"/>
    <w:rsid w:val="00954B2F"/>
    <w:rsid w:val="00954BF0"/>
    <w:rsid w:val="00954C22"/>
    <w:rsid w:val="00954DA7"/>
    <w:rsid w:val="00954E65"/>
    <w:rsid w:val="00954EA2"/>
    <w:rsid w:val="00954F21"/>
    <w:rsid w:val="00954F5C"/>
    <w:rsid w:val="00954F9B"/>
    <w:rsid w:val="00955044"/>
    <w:rsid w:val="00955098"/>
    <w:rsid w:val="00955172"/>
    <w:rsid w:val="009552CC"/>
    <w:rsid w:val="0095537D"/>
    <w:rsid w:val="00955425"/>
    <w:rsid w:val="00955544"/>
    <w:rsid w:val="00955621"/>
    <w:rsid w:val="00955711"/>
    <w:rsid w:val="0095574C"/>
    <w:rsid w:val="0095575D"/>
    <w:rsid w:val="009557B9"/>
    <w:rsid w:val="00955814"/>
    <w:rsid w:val="00955866"/>
    <w:rsid w:val="009558E5"/>
    <w:rsid w:val="00955953"/>
    <w:rsid w:val="00955998"/>
    <w:rsid w:val="00955AE5"/>
    <w:rsid w:val="00955AFA"/>
    <w:rsid w:val="00955B1D"/>
    <w:rsid w:val="00955B4D"/>
    <w:rsid w:val="00955CC8"/>
    <w:rsid w:val="00955D71"/>
    <w:rsid w:val="00955D92"/>
    <w:rsid w:val="00955D9C"/>
    <w:rsid w:val="00955E6B"/>
    <w:rsid w:val="00955F3B"/>
    <w:rsid w:val="00955F89"/>
    <w:rsid w:val="00955F9B"/>
    <w:rsid w:val="00956004"/>
    <w:rsid w:val="00956145"/>
    <w:rsid w:val="00956189"/>
    <w:rsid w:val="009561B3"/>
    <w:rsid w:val="009561F9"/>
    <w:rsid w:val="00956236"/>
    <w:rsid w:val="00956301"/>
    <w:rsid w:val="00956763"/>
    <w:rsid w:val="009568B0"/>
    <w:rsid w:val="00956957"/>
    <w:rsid w:val="009569EB"/>
    <w:rsid w:val="00956A11"/>
    <w:rsid w:val="00956A91"/>
    <w:rsid w:val="00956B74"/>
    <w:rsid w:val="00956D3E"/>
    <w:rsid w:val="00956DF3"/>
    <w:rsid w:val="00956EB8"/>
    <w:rsid w:val="00956FB9"/>
    <w:rsid w:val="00957073"/>
    <w:rsid w:val="009570CD"/>
    <w:rsid w:val="009570E2"/>
    <w:rsid w:val="009570F1"/>
    <w:rsid w:val="00957165"/>
    <w:rsid w:val="00957193"/>
    <w:rsid w:val="00957194"/>
    <w:rsid w:val="00957196"/>
    <w:rsid w:val="0095719B"/>
    <w:rsid w:val="009571F9"/>
    <w:rsid w:val="009573AE"/>
    <w:rsid w:val="009573B4"/>
    <w:rsid w:val="009573D9"/>
    <w:rsid w:val="009574E7"/>
    <w:rsid w:val="00957540"/>
    <w:rsid w:val="0095756E"/>
    <w:rsid w:val="00957608"/>
    <w:rsid w:val="00957625"/>
    <w:rsid w:val="0095765A"/>
    <w:rsid w:val="009576C8"/>
    <w:rsid w:val="00957761"/>
    <w:rsid w:val="00957782"/>
    <w:rsid w:val="00957876"/>
    <w:rsid w:val="009578BF"/>
    <w:rsid w:val="009578CD"/>
    <w:rsid w:val="009578F5"/>
    <w:rsid w:val="0095791C"/>
    <w:rsid w:val="0095796D"/>
    <w:rsid w:val="00957A85"/>
    <w:rsid w:val="00957AC8"/>
    <w:rsid w:val="00957B23"/>
    <w:rsid w:val="00957B4D"/>
    <w:rsid w:val="00957C05"/>
    <w:rsid w:val="00957C10"/>
    <w:rsid w:val="00957C17"/>
    <w:rsid w:val="00957C7B"/>
    <w:rsid w:val="00957CDE"/>
    <w:rsid w:val="00957CEA"/>
    <w:rsid w:val="00957D8D"/>
    <w:rsid w:val="00957DE9"/>
    <w:rsid w:val="00957E23"/>
    <w:rsid w:val="00957E8D"/>
    <w:rsid w:val="00957F1A"/>
    <w:rsid w:val="00957F59"/>
    <w:rsid w:val="00957FD5"/>
    <w:rsid w:val="00957FEB"/>
    <w:rsid w:val="00960050"/>
    <w:rsid w:val="0096011D"/>
    <w:rsid w:val="00960283"/>
    <w:rsid w:val="00960345"/>
    <w:rsid w:val="00960377"/>
    <w:rsid w:val="009603E5"/>
    <w:rsid w:val="00960436"/>
    <w:rsid w:val="0096061D"/>
    <w:rsid w:val="0096064D"/>
    <w:rsid w:val="00960652"/>
    <w:rsid w:val="0096067D"/>
    <w:rsid w:val="009606B1"/>
    <w:rsid w:val="0096072F"/>
    <w:rsid w:val="009607F6"/>
    <w:rsid w:val="00960821"/>
    <w:rsid w:val="00960958"/>
    <w:rsid w:val="0096097D"/>
    <w:rsid w:val="00960A31"/>
    <w:rsid w:val="00960A34"/>
    <w:rsid w:val="00960A37"/>
    <w:rsid w:val="00960AEB"/>
    <w:rsid w:val="00960BC3"/>
    <w:rsid w:val="00960BE3"/>
    <w:rsid w:val="00960C12"/>
    <w:rsid w:val="00960D20"/>
    <w:rsid w:val="00960D2C"/>
    <w:rsid w:val="00960D90"/>
    <w:rsid w:val="00960E8E"/>
    <w:rsid w:val="00960F93"/>
    <w:rsid w:val="00961029"/>
    <w:rsid w:val="00961208"/>
    <w:rsid w:val="00961235"/>
    <w:rsid w:val="00961284"/>
    <w:rsid w:val="009613C4"/>
    <w:rsid w:val="009614FD"/>
    <w:rsid w:val="0096158D"/>
    <w:rsid w:val="0096181A"/>
    <w:rsid w:val="0096182C"/>
    <w:rsid w:val="0096183E"/>
    <w:rsid w:val="0096191D"/>
    <w:rsid w:val="00961B25"/>
    <w:rsid w:val="00961C6A"/>
    <w:rsid w:val="00961CB2"/>
    <w:rsid w:val="00961CC9"/>
    <w:rsid w:val="00961D75"/>
    <w:rsid w:val="00961E9D"/>
    <w:rsid w:val="00961ED5"/>
    <w:rsid w:val="00961F20"/>
    <w:rsid w:val="00961F30"/>
    <w:rsid w:val="00962124"/>
    <w:rsid w:val="0096229B"/>
    <w:rsid w:val="009622B4"/>
    <w:rsid w:val="0096241D"/>
    <w:rsid w:val="00962504"/>
    <w:rsid w:val="00962623"/>
    <w:rsid w:val="00962724"/>
    <w:rsid w:val="009627CF"/>
    <w:rsid w:val="00962AE5"/>
    <w:rsid w:val="00962B4D"/>
    <w:rsid w:val="00962C0B"/>
    <w:rsid w:val="00962C18"/>
    <w:rsid w:val="00962CDB"/>
    <w:rsid w:val="00962D1A"/>
    <w:rsid w:val="00962D34"/>
    <w:rsid w:val="00962DD7"/>
    <w:rsid w:val="00962E89"/>
    <w:rsid w:val="00962FC0"/>
    <w:rsid w:val="0096304C"/>
    <w:rsid w:val="009630A7"/>
    <w:rsid w:val="0096316D"/>
    <w:rsid w:val="0096322C"/>
    <w:rsid w:val="00963284"/>
    <w:rsid w:val="0096328C"/>
    <w:rsid w:val="009632C0"/>
    <w:rsid w:val="009632EF"/>
    <w:rsid w:val="009632F5"/>
    <w:rsid w:val="009632FF"/>
    <w:rsid w:val="0096330E"/>
    <w:rsid w:val="0096332E"/>
    <w:rsid w:val="0096344F"/>
    <w:rsid w:val="00963510"/>
    <w:rsid w:val="00963578"/>
    <w:rsid w:val="009635BC"/>
    <w:rsid w:val="009635CF"/>
    <w:rsid w:val="009636AE"/>
    <w:rsid w:val="009636E0"/>
    <w:rsid w:val="009636F7"/>
    <w:rsid w:val="009637F8"/>
    <w:rsid w:val="00963A17"/>
    <w:rsid w:val="00963A77"/>
    <w:rsid w:val="00963A80"/>
    <w:rsid w:val="00963AAA"/>
    <w:rsid w:val="00963ADD"/>
    <w:rsid w:val="00963B0E"/>
    <w:rsid w:val="00963B6C"/>
    <w:rsid w:val="00963C6C"/>
    <w:rsid w:val="00963CC2"/>
    <w:rsid w:val="00963E0E"/>
    <w:rsid w:val="00963E2C"/>
    <w:rsid w:val="00963E64"/>
    <w:rsid w:val="00963ED3"/>
    <w:rsid w:val="00963ED5"/>
    <w:rsid w:val="00963FB6"/>
    <w:rsid w:val="00964111"/>
    <w:rsid w:val="009641A2"/>
    <w:rsid w:val="00964270"/>
    <w:rsid w:val="0096431F"/>
    <w:rsid w:val="00964348"/>
    <w:rsid w:val="00964372"/>
    <w:rsid w:val="009643D3"/>
    <w:rsid w:val="009644B8"/>
    <w:rsid w:val="00964684"/>
    <w:rsid w:val="0096472F"/>
    <w:rsid w:val="00964771"/>
    <w:rsid w:val="009647FC"/>
    <w:rsid w:val="009648BA"/>
    <w:rsid w:val="00964904"/>
    <w:rsid w:val="00964907"/>
    <w:rsid w:val="009649D5"/>
    <w:rsid w:val="00964A69"/>
    <w:rsid w:val="00964ACA"/>
    <w:rsid w:val="00964B87"/>
    <w:rsid w:val="00964CA4"/>
    <w:rsid w:val="00964DAD"/>
    <w:rsid w:val="00964EF5"/>
    <w:rsid w:val="00964F55"/>
    <w:rsid w:val="00964F9A"/>
    <w:rsid w:val="00964FCC"/>
    <w:rsid w:val="00965155"/>
    <w:rsid w:val="009651A3"/>
    <w:rsid w:val="00965284"/>
    <w:rsid w:val="009652BB"/>
    <w:rsid w:val="009652DD"/>
    <w:rsid w:val="00965358"/>
    <w:rsid w:val="009653C5"/>
    <w:rsid w:val="00965406"/>
    <w:rsid w:val="0096542A"/>
    <w:rsid w:val="0096543A"/>
    <w:rsid w:val="009654BC"/>
    <w:rsid w:val="00965555"/>
    <w:rsid w:val="009656D2"/>
    <w:rsid w:val="009657A8"/>
    <w:rsid w:val="009658F2"/>
    <w:rsid w:val="00965902"/>
    <w:rsid w:val="00965A12"/>
    <w:rsid w:val="00965A4B"/>
    <w:rsid w:val="00965B77"/>
    <w:rsid w:val="00965C6F"/>
    <w:rsid w:val="00965D24"/>
    <w:rsid w:val="00965D45"/>
    <w:rsid w:val="00965DCA"/>
    <w:rsid w:val="00965E59"/>
    <w:rsid w:val="00965E85"/>
    <w:rsid w:val="00965E8C"/>
    <w:rsid w:val="00965ED2"/>
    <w:rsid w:val="00965F5A"/>
    <w:rsid w:val="00965FCE"/>
    <w:rsid w:val="00966019"/>
    <w:rsid w:val="0096604B"/>
    <w:rsid w:val="00966053"/>
    <w:rsid w:val="009660B0"/>
    <w:rsid w:val="00966148"/>
    <w:rsid w:val="00966155"/>
    <w:rsid w:val="0096654C"/>
    <w:rsid w:val="0096664D"/>
    <w:rsid w:val="009666CC"/>
    <w:rsid w:val="009666E8"/>
    <w:rsid w:val="00966735"/>
    <w:rsid w:val="00966772"/>
    <w:rsid w:val="009667D6"/>
    <w:rsid w:val="00966844"/>
    <w:rsid w:val="009668D8"/>
    <w:rsid w:val="0096694E"/>
    <w:rsid w:val="00966982"/>
    <w:rsid w:val="00966A7A"/>
    <w:rsid w:val="00966C35"/>
    <w:rsid w:val="00966C36"/>
    <w:rsid w:val="00966CDA"/>
    <w:rsid w:val="00966D6F"/>
    <w:rsid w:val="00966E0B"/>
    <w:rsid w:val="00966ECC"/>
    <w:rsid w:val="00966F03"/>
    <w:rsid w:val="00966F3D"/>
    <w:rsid w:val="00967009"/>
    <w:rsid w:val="00967081"/>
    <w:rsid w:val="00967176"/>
    <w:rsid w:val="009671AA"/>
    <w:rsid w:val="009671D0"/>
    <w:rsid w:val="009672A2"/>
    <w:rsid w:val="00967360"/>
    <w:rsid w:val="0096738D"/>
    <w:rsid w:val="00967486"/>
    <w:rsid w:val="009674A3"/>
    <w:rsid w:val="0096752A"/>
    <w:rsid w:val="00967541"/>
    <w:rsid w:val="00967567"/>
    <w:rsid w:val="009675A9"/>
    <w:rsid w:val="009675F4"/>
    <w:rsid w:val="00967898"/>
    <w:rsid w:val="009678B8"/>
    <w:rsid w:val="009678E6"/>
    <w:rsid w:val="0096792F"/>
    <w:rsid w:val="00967A76"/>
    <w:rsid w:val="00967C2C"/>
    <w:rsid w:val="00967C5B"/>
    <w:rsid w:val="00967CEB"/>
    <w:rsid w:val="00967D37"/>
    <w:rsid w:val="00967D8E"/>
    <w:rsid w:val="00967DBD"/>
    <w:rsid w:val="00967DCA"/>
    <w:rsid w:val="00967F08"/>
    <w:rsid w:val="00967F10"/>
    <w:rsid w:val="00967F1C"/>
    <w:rsid w:val="00970002"/>
    <w:rsid w:val="00970046"/>
    <w:rsid w:val="00970110"/>
    <w:rsid w:val="0097013A"/>
    <w:rsid w:val="00970142"/>
    <w:rsid w:val="0097014B"/>
    <w:rsid w:val="009701B6"/>
    <w:rsid w:val="009701E8"/>
    <w:rsid w:val="00970201"/>
    <w:rsid w:val="00970264"/>
    <w:rsid w:val="0097031A"/>
    <w:rsid w:val="0097065F"/>
    <w:rsid w:val="009706BC"/>
    <w:rsid w:val="009707AC"/>
    <w:rsid w:val="00970839"/>
    <w:rsid w:val="0097083A"/>
    <w:rsid w:val="009708F5"/>
    <w:rsid w:val="0097093D"/>
    <w:rsid w:val="00970A66"/>
    <w:rsid w:val="00970B86"/>
    <w:rsid w:val="00970BD9"/>
    <w:rsid w:val="00970C35"/>
    <w:rsid w:val="00970CDA"/>
    <w:rsid w:val="00970DEF"/>
    <w:rsid w:val="00970EDC"/>
    <w:rsid w:val="00970EEF"/>
    <w:rsid w:val="00970F27"/>
    <w:rsid w:val="00970FB1"/>
    <w:rsid w:val="0097103D"/>
    <w:rsid w:val="00971060"/>
    <w:rsid w:val="0097106D"/>
    <w:rsid w:val="00971155"/>
    <w:rsid w:val="00971201"/>
    <w:rsid w:val="00971258"/>
    <w:rsid w:val="00971264"/>
    <w:rsid w:val="00971304"/>
    <w:rsid w:val="0097135B"/>
    <w:rsid w:val="00971569"/>
    <w:rsid w:val="0097160E"/>
    <w:rsid w:val="00971703"/>
    <w:rsid w:val="0097172B"/>
    <w:rsid w:val="009717CD"/>
    <w:rsid w:val="009717FB"/>
    <w:rsid w:val="009718C9"/>
    <w:rsid w:val="009718E6"/>
    <w:rsid w:val="00971A06"/>
    <w:rsid w:val="00971A0B"/>
    <w:rsid w:val="00971AF7"/>
    <w:rsid w:val="00971B6E"/>
    <w:rsid w:val="00971BA4"/>
    <w:rsid w:val="00971BB6"/>
    <w:rsid w:val="00971C9B"/>
    <w:rsid w:val="00971D07"/>
    <w:rsid w:val="00971D59"/>
    <w:rsid w:val="00971D6F"/>
    <w:rsid w:val="00971D96"/>
    <w:rsid w:val="00971DCD"/>
    <w:rsid w:val="00971F8C"/>
    <w:rsid w:val="00972233"/>
    <w:rsid w:val="00972326"/>
    <w:rsid w:val="0097233B"/>
    <w:rsid w:val="0097239E"/>
    <w:rsid w:val="009723BD"/>
    <w:rsid w:val="009723E8"/>
    <w:rsid w:val="0097240B"/>
    <w:rsid w:val="009724BE"/>
    <w:rsid w:val="00972529"/>
    <w:rsid w:val="009726EC"/>
    <w:rsid w:val="00972791"/>
    <w:rsid w:val="0097281F"/>
    <w:rsid w:val="009728CC"/>
    <w:rsid w:val="00972992"/>
    <w:rsid w:val="009729E9"/>
    <w:rsid w:val="00972C28"/>
    <w:rsid w:val="00972E11"/>
    <w:rsid w:val="00972E5F"/>
    <w:rsid w:val="00972E99"/>
    <w:rsid w:val="00972F5B"/>
    <w:rsid w:val="00972F9D"/>
    <w:rsid w:val="00972FBB"/>
    <w:rsid w:val="00973075"/>
    <w:rsid w:val="00973144"/>
    <w:rsid w:val="009731F2"/>
    <w:rsid w:val="00973308"/>
    <w:rsid w:val="0097336B"/>
    <w:rsid w:val="0097344D"/>
    <w:rsid w:val="009734BF"/>
    <w:rsid w:val="00973540"/>
    <w:rsid w:val="009735BA"/>
    <w:rsid w:val="00973641"/>
    <w:rsid w:val="0097368C"/>
    <w:rsid w:val="0097371F"/>
    <w:rsid w:val="0097377D"/>
    <w:rsid w:val="00973799"/>
    <w:rsid w:val="009737CE"/>
    <w:rsid w:val="009737EF"/>
    <w:rsid w:val="00973810"/>
    <w:rsid w:val="00973948"/>
    <w:rsid w:val="00973949"/>
    <w:rsid w:val="00973955"/>
    <w:rsid w:val="009739B0"/>
    <w:rsid w:val="00973AD3"/>
    <w:rsid w:val="00973ADE"/>
    <w:rsid w:val="00973C32"/>
    <w:rsid w:val="00973CAE"/>
    <w:rsid w:val="00973CF6"/>
    <w:rsid w:val="00973D46"/>
    <w:rsid w:val="00973E35"/>
    <w:rsid w:val="00973E37"/>
    <w:rsid w:val="00974077"/>
    <w:rsid w:val="009740FB"/>
    <w:rsid w:val="0097421C"/>
    <w:rsid w:val="0097456E"/>
    <w:rsid w:val="009745A9"/>
    <w:rsid w:val="00974800"/>
    <w:rsid w:val="009748A7"/>
    <w:rsid w:val="009749FB"/>
    <w:rsid w:val="00974A7B"/>
    <w:rsid w:val="00974ABE"/>
    <w:rsid w:val="00974BD5"/>
    <w:rsid w:val="00974D3A"/>
    <w:rsid w:val="00974DED"/>
    <w:rsid w:val="00974E3A"/>
    <w:rsid w:val="00975011"/>
    <w:rsid w:val="009750BD"/>
    <w:rsid w:val="009752EC"/>
    <w:rsid w:val="00975375"/>
    <w:rsid w:val="009753C4"/>
    <w:rsid w:val="0097541A"/>
    <w:rsid w:val="0097544C"/>
    <w:rsid w:val="009754A4"/>
    <w:rsid w:val="009754C9"/>
    <w:rsid w:val="0097564D"/>
    <w:rsid w:val="009756D8"/>
    <w:rsid w:val="009756F7"/>
    <w:rsid w:val="009757F6"/>
    <w:rsid w:val="00975882"/>
    <w:rsid w:val="0097598E"/>
    <w:rsid w:val="00975A5B"/>
    <w:rsid w:val="00975A98"/>
    <w:rsid w:val="00975AFA"/>
    <w:rsid w:val="00975B62"/>
    <w:rsid w:val="00975D79"/>
    <w:rsid w:val="00975DA9"/>
    <w:rsid w:val="00975E0B"/>
    <w:rsid w:val="00975EEB"/>
    <w:rsid w:val="00975FA7"/>
    <w:rsid w:val="00976130"/>
    <w:rsid w:val="0097614C"/>
    <w:rsid w:val="00976271"/>
    <w:rsid w:val="0097627C"/>
    <w:rsid w:val="009762A0"/>
    <w:rsid w:val="009763DF"/>
    <w:rsid w:val="00976420"/>
    <w:rsid w:val="00976448"/>
    <w:rsid w:val="009764D3"/>
    <w:rsid w:val="0097670D"/>
    <w:rsid w:val="00976761"/>
    <w:rsid w:val="0097676F"/>
    <w:rsid w:val="009767F4"/>
    <w:rsid w:val="00976853"/>
    <w:rsid w:val="0097698B"/>
    <w:rsid w:val="00976A23"/>
    <w:rsid w:val="00976A45"/>
    <w:rsid w:val="00976AD3"/>
    <w:rsid w:val="00976B5D"/>
    <w:rsid w:val="00976D09"/>
    <w:rsid w:val="00976D32"/>
    <w:rsid w:val="00976DC1"/>
    <w:rsid w:val="00976DD0"/>
    <w:rsid w:val="00976E10"/>
    <w:rsid w:val="00976E2D"/>
    <w:rsid w:val="00976F18"/>
    <w:rsid w:val="00976FB9"/>
    <w:rsid w:val="00977081"/>
    <w:rsid w:val="009771C9"/>
    <w:rsid w:val="00977375"/>
    <w:rsid w:val="009775F2"/>
    <w:rsid w:val="00977610"/>
    <w:rsid w:val="00977640"/>
    <w:rsid w:val="00977698"/>
    <w:rsid w:val="009776BF"/>
    <w:rsid w:val="0097774E"/>
    <w:rsid w:val="00977780"/>
    <w:rsid w:val="0097785B"/>
    <w:rsid w:val="0097788A"/>
    <w:rsid w:val="009778A1"/>
    <w:rsid w:val="00977917"/>
    <w:rsid w:val="00977A95"/>
    <w:rsid w:val="00977AB8"/>
    <w:rsid w:val="00977AEF"/>
    <w:rsid w:val="00977B2E"/>
    <w:rsid w:val="00977BD3"/>
    <w:rsid w:val="00977CFB"/>
    <w:rsid w:val="00977DA7"/>
    <w:rsid w:val="00977DC3"/>
    <w:rsid w:val="00977E4C"/>
    <w:rsid w:val="00977EAA"/>
    <w:rsid w:val="00977ECD"/>
    <w:rsid w:val="00977EF1"/>
    <w:rsid w:val="00977FBF"/>
    <w:rsid w:val="0098000E"/>
    <w:rsid w:val="00980163"/>
    <w:rsid w:val="009801D1"/>
    <w:rsid w:val="009801E2"/>
    <w:rsid w:val="0098022E"/>
    <w:rsid w:val="00980307"/>
    <w:rsid w:val="00980384"/>
    <w:rsid w:val="009803B7"/>
    <w:rsid w:val="0098055C"/>
    <w:rsid w:val="00980673"/>
    <w:rsid w:val="00980940"/>
    <w:rsid w:val="00980965"/>
    <w:rsid w:val="00980981"/>
    <w:rsid w:val="00980AB1"/>
    <w:rsid w:val="00980B08"/>
    <w:rsid w:val="00980F68"/>
    <w:rsid w:val="0098111C"/>
    <w:rsid w:val="0098111E"/>
    <w:rsid w:val="0098124B"/>
    <w:rsid w:val="009812F7"/>
    <w:rsid w:val="00981338"/>
    <w:rsid w:val="009813DC"/>
    <w:rsid w:val="0098143A"/>
    <w:rsid w:val="0098148B"/>
    <w:rsid w:val="00981527"/>
    <w:rsid w:val="00981660"/>
    <w:rsid w:val="00981670"/>
    <w:rsid w:val="009818CE"/>
    <w:rsid w:val="009819B4"/>
    <w:rsid w:val="009819E2"/>
    <w:rsid w:val="00981A2E"/>
    <w:rsid w:val="00981AD7"/>
    <w:rsid w:val="00981B1D"/>
    <w:rsid w:val="00981BA5"/>
    <w:rsid w:val="00981C7F"/>
    <w:rsid w:val="00981C88"/>
    <w:rsid w:val="00981C9E"/>
    <w:rsid w:val="00981D32"/>
    <w:rsid w:val="00981D92"/>
    <w:rsid w:val="00981EBE"/>
    <w:rsid w:val="00981EDF"/>
    <w:rsid w:val="00981FBE"/>
    <w:rsid w:val="00981FCA"/>
    <w:rsid w:val="0098202A"/>
    <w:rsid w:val="00982047"/>
    <w:rsid w:val="0098206C"/>
    <w:rsid w:val="00982073"/>
    <w:rsid w:val="009820DC"/>
    <w:rsid w:val="009821C0"/>
    <w:rsid w:val="009821CF"/>
    <w:rsid w:val="009823F2"/>
    <w:rsid w:val="009823FF"/>
    <w:rsid w:val="009824D3"/>
    <w:rsid w:val="00982502"/>
    <w:rsid w:val="00982591"/>
    <w:rsid w:val="009825C3"/>
    <w:rsid w:val="009825CA"/>
    <w:rsid w:val="009825E3"/>
    <w:rsid w:val="00982659"/>
    <w:rsid w:val="009826C7"/>
    <w:rsid w:val="009828B9"/>
    <w:rsid w:val="00982A48"/>
    <w:rsid w:val="00982AAE"/>
    <w:rsid w:val="00982BAF"/>
    <w:rsid w:val="00982D0A"/>
    <w:rsid w:val="00982D26"/>
    <w:rsid w:val="00982D53"/>
    <w:rsid w:val="00982D83"/>
    <w:rsid w:val="00982DE5"/>
    <w:rsid w:val="00982DEF"/>
    <w:rsid w:val="00982E79"/>
    <w:rsid w:val="00982E9A"/>
    <w:rsid w:val="00982EA9"/>
    <w:rsid w:val="00982F0D"/>
    <w:rsid w:val="00982F0F"/>
    <w:rsid w:val="00982F34"/>
    <w:rsid w:val="00982F99"/>
    <w:rsid w:val="00983028"/>
    <w:rsid w:val="00983037"/>
    <w:rsid w:val="0098308D"/>
    <w:rsid w:val="009831DE"/>
    <w:rsid w:val="00983375"/>
    <w:rsid w:val="00983418"/>
    <w:rsid w:val="0098349D"/>
    <w:rsid w:val="009834F6"/>
    <w:rsid w:val="00983540"/>
    <w:rsid w:val="00983630"/>
    <w:rsid w:val="00983748"/>
    <w:rsid w:val="009837F7"/>
    <w:rsid w:val="0098382D"/>
    <w:rsid w:val="009838D7"/>
    <w:rsid w:val="0098391F"/>
    <w:rsid w:val="009839A0"/>
    <w:rsid w:val="00983A4A"/>
    <w:rsid w:val="00983A92"/>
    <w:rsid w:val="00983BA1"/>
    <w:rsid w:val="00983BBD"/>
    <w:rsid w:val="00983BE7"/>
    <w:rsid w:val="00983C16"/>
    <w:rsid w:val="00983C60"/>
    <w:rsid w:val="00983CE1"/>
    <w:rsid w:val="00983CE6"/>
    <w:rsid w:val="00983D57"/>
    <w:rsid w:val="00983DB9"/>
    <w:rsid w:val="00983F18"/>
    <w:rsid w:val="00983F9C"/>
    <w:rsid w:val="00984089"/>
    <w:rsid w:val="009840A6"/>
    <w:rsid w:val="009842DE"/>
    <w:rsid w:val="0098434A"/>
    <w:rsid w:val="009843AF"/>
    <w:rsid w:val="009843CF"/>
    <w:rsid w:val="00984470"/>
    <w:rsid w:val="009844CB"/>
    <w:rsid w:val="00984505"/>
    <w:rsid w:val="0098465C"/>
    <w:rsid w:val="0098477F"/>
    <w:rsid w:val="009847AD"/>
    <w:rsid w:val="0098492F"/>
    <w:rsid w:val="00984938"/>
    <w:rsid w:val="009849C8"/>
    <w:rsid w:val="00984A00"/>
    <w:rsid w:val="00984AC5"/>
    <w:rsid w:val="00984AE0"/>
    <w:rsid w:val="00984B45"/>
    <w:rsid w:val="00984B54"/>
    <w:rsid w:val="00984B59"/>
    <w:rsid w:val="00984B7C"/>
    <w:rsid w:val="00984C23"/>
    <w:rsid w:val="00984CBA"/>
    <w:rsid w:val="00984D38"/>
    <w:rsid w:val="00984D47"/>
    <w:rsid w:val="00984D8A"/>
    <w:rsid w:val="00984E9F"/>
    <w:rsid w:val="00984F3B"/>
    <w:rsid w:val="00985071"/>
    <w:rsid w:val="00985131"/>
    <w:rsid w:val="009852F7"/>
    <w:rsid w:val="009853A4"/>
    <w:rsid w:val="009853B3"/>
    <w:rsid w:val="009853E4"/>
    <w:rsid w:val="00985429"/>
    <w:rsid w:val="00985461"/>
    <w:rsid w:val="009854B6"/>
    <w:rsid w:val="00985536"/>
    <w:rsid w:val="00985669"/>
    <w:rsid w:val="0098579D"/>
    <w:rsid w:val="0098581C"/>
    <w:rsid w:val="00985884"/>
    <w:rsid w:val="0098589E"/>
    <w:rsid w:val="00985933"/>
    <w:rsid w:val="00985AB1"/>
    <w:rsid w:val="00985AD4"/>
    <w:rsid w:val="00985AE6"/>
    <w:rsid w:val="00985B4D"/>
    <w:rsid w:val="00985CBB"/>
    <w:rsid w:val="00985D19"/>
    <w:rsid w:val="00985D55"/>
    <w:rsid w:val="00985E2B"/>
    <w:rsid w:val="00985EBD"/>
    <w:rsid w:val="0098602C"/>
    <w:rsid w:val="009860D3"/>
    <w:rsid w:val="00986126"/>
    <w:rsid w:val="00986376"/>
    <w:rsid w:val="0098653E"/>
    <w:rsid w:val="009866E1"/>
    <w:rsid w:val="0098681E"/>
    <w:rsid w:val="009868B5"/>
    <w:rsid w:val="009868C5"/>
    <w:rsid w:val="009869D6"/>
    <w:rsid w:val="00986A83"/>
    <w:rsid w:val="00986C14"/>
    <w:rsid w:val="00986C63"/>
    <w:rsid w:val="00986D14"/>
    <w:rsid w:val="00986D7D"/>
    <w:rsid w:val="00986F08"/>
    <w:rsid w:val="00986F77"/>
    <w:rsid w:val="00986FA3"/>
    <w:rsid w:val="0098701B"/>
    <w:rsid w:val="00987034"/>
    <w:rsid w:val="00987093"/>
    <w:rsid w:val="009870A4"/>
    <w:rsid w:val="0098719B"/>
    <w:rsid w:val="009872EA"/>
    <w:rsid w:val="0098742E"/>
    <w:rsid w:val="00987498"/>
    <w:rsid w:val="009874D7"/>
    <w:rsid w:val="00987583"/>
    <w:rsid w:val="00987739"/>
    <w:rsid w:val="0098773E"/>
    <w:rsid w:val="00987787"/>
    <w:rsid w:val="0098785A"/>
    <w:rsid w:val="00987873"/>
    <w:rsid w:val="009878EB"/>
    <w:rsid w:val="00987A65"/>
    <w:rsid w:val="00987CCB"/>
    <w:rsid w:val="00987CCC"/>
    <w:rsid w:val="00987D3C"/>
    <w:rsid w:val="00987E8F"/>
    <w:rsid w:val="00987EFF"/>
    <w:rsid w:val="00987F06"/>
    <w:rsid w:val="00987F0A"/>
    <w:rsid w:val="00987F9C"/>
    <w:rsid w:val="009900E1"/>
    <w:rsid w:val="009902B6"/>
    <w:rsid w:val="009902C0"/>
    <w:rsid w:val="009902F7"/>
    <w:rsid w:val="009905A8"/>
    <w:rsid w:val="00990648"/>
    <w:rsid w:val="009906B8"/>
    <w:rsid w:val="00990762"/>
    <w:rsid w:val="009907C8"/>
    <w:rsid w:val="009908BB"/>
    <w:rsid w:val="009908E3"/>
    <w:rsid w:val="00990944"/>
    <w:rsid w:val="00990A58"/>
    <w:rsid w:val="00990AA4"/>
    <w:rsid w:val="00990AC0"/>
    <w:rsid w:val="00990BD6"/>
    <w:rsid w:val="00990C38"/>
    <w:rsid w:val="00990C67"/>
    <w:rsid w:val="00990C73"/>
    <w:rsid w:val="00990D5D"/>
    <w:rsid w:val="00990E4F"/>
    <w:rsid w:val="00990EF9"/>
    <w:rsid w:val="00990FB4"/>
    <w:rsid w:val="00991017"/>
    <w:rsid w:val="0099120C"/>
    <w:rsid w:val="00991283"/>
    <w:rsid w:val="0099129A"/>
    <w:rsid w:val="009912A0"/>
    <w:rsid w:val="00991328"/>
    <w:rsid w:val="0099138F"/>
    <w:rsid w:val="0099139F"/>
    <w:rsid w:val="009913D3"/>
    <w:rsid w:val="00991643"/>
    <w:rsid w:val="009916BE"/>
    <w:rsid w:val="00991732"/>
    <w:rsid w:val="009917F9"/>
    <w:rsid w:val="009918EA"/>
    <w:rsid w:val="0099193D"/>
    <w:rsid w:val="00991AB2"/>
    <w:rsid w:val="00991AE4"/>
    <w:rsid w:val="00991B5A"/>
    <w:rsid w:val="00991B5F"/>
    <w:rsid w:val="00991BF0"/>
    <w:rsid w:val="00991DE9"/>
    <w:rsid w:val="00991ED6"/>
    <w:rsid w:val="00991F45"/>
    <w:rsid w:val="00992007"/>
    <w:rsid w:val="009920AB"/>
    <w:rsid w:val="009920B9"/>
    <w:rsid w:val="00992139"/>
    <w:rsid w:val="009921E3"/>
    <w:rsid w:val="00992221"/>
    <w:rsid w:val="0099237C"/>
    <w:rsid w:val="009923A9"/>
    <w:rsid w:val="0099250F"/>
    <w:rsid w:val="00992526"/>
    <w:rsid w:val="009925B4"/>
    <w:rsid w:val="0099263F"/>
    <w:rsid w:val="00992665"/>
    <w:rsid w:val="0099277E"/>
    <w:rsid w:val="00992882"/>
    <w:rsid w:val="009929A8"/>
    <w:rsid w:val="009929A9"/>
    <w:rsid w:val="00992AD9"/>
    <w:rsid w:val="00992B1D"/>
    <w:rsid w:val="00992B9B"/>
    <w:rsid w:val="00992D2B"/>
    <w:rsid w:val="00992DA4"/>
    <w:rsid w:val="00992DDA"/>
    <w:rsid w:val="00992DE5"/>
    <w:rsid w:val="00992E5A"/>
    <w:rsid w:val="00992ED4"/>
    <w:rsid w:val="00992F60"/>
    <w:rsid w:val="00992F67"/>
    <w:rsid w:val="00992F9B"/>
    <w:rsid w:val="0099303E"/>
    <w:rsid w:val="00993089"/>
    <w:rsid w:val="00993151"/>
    <w:rsid w:val="0099318F"/>
    <w:rsid w:val="00993223"/>
    <w:rsid w:val="00993313"/>
    <w:rsid w:val="0099344C"/>
    <w:rsid w:val="0099346A"/>
    <w:rsid w:val="009935EA"/>
    <w:rsid w:val="0099365C"/>
    <w:rsid w:val="00993674"/>
    <w:rsid w:val="009936AE"/>
    <w:rsid w:val="00993766"/>
    <w:rsid w:val="00993767"/>
    <w:rsid w:val="0099387F"/>
    <w:rsid w:val="0099388E"/>
    <w:rsid w:val="009938C7"/>
    <w:rsid w:val="00993904"/>
    <w:rsid w:val="009939D1"/>
    <w:rsid w:val="00993C60"/>
    <w:rsid w:val="00993D1A"/>
    <w:rsid w:val="009940B8"/>
    <w:rsid w:val="00994127"/>
    <w:rsid w:val="00994162"/>
    <w:rsid w:val="009941CD"/>
    <w:rsid w:val="009941FF"/>
    <w:rsid w:val="0099425C"/>
    <w:rsid w:val="0099429E"/>
    <w:rsid w:val="009943FF"/>
    <w:rsid w:val="0099445B"/>
    <w:rsid w:val="00994474"/>
    <w:rsid w:val="00994486"/>
    <w:rsid w:val="009944F7"/>
    <w:rsid w:val="0099457B"/>
    <w:rsid w:val="0099457C"/>
    <w:rsid w:val="009945AB"/>
    <w:rsid w:val="00994663"/>
    <w:rsid w:val="00994689"/>
    <w:rsid w:val="00994752"/>
    <w:rsid w:val="0099478F"/>
    <w:rsid w:val="009948A2"/>
    <w:rsid w:val="009948B7"/>
    <w:rsid w:val="009948E2"/>
    <w:rsid w:val="00994990"/>
    <w:rsid w:val="00994A67"/>
    <w:rsid w:val="00994AA0"/>
    <w:rsid w:val="00994BB1"/>
    <w:rsid w:val="00994C47"/>
    <w:rsid w:val="00994CC0"/>
    <w:rsid w:val="00994CE4"/>
    <w:rsid w:val="00994D8F"/>
    <w:rsid w:val="00994F17"/>
    <w:rsid w:val="0099501E"/>
    <w:rsid w:val="0099501F"/>
    <w:rsid w:val="00995176"/>
    <w:rsid w:val="0099524A"/>
    <w:rsid w:val="00995275"/>
    <w:rsid w:val="00995292"/>
    <w:rsid w:val="009952AF"/>
    <w:rsid w:val="009954A9"/>
    <w:rsid w:val="0099552F"/>
    <w:rsid w:val="009955EA"/>
    <w:rsid w:val="009956AC"/>
    <w:rsid w:val="009957A8"/>
    <w:rsid w:val="00995A53"/>
    <w:rsid w:val="00995BF7"/>
    <w:rsid w:val="00995CB6"/>
    <w:rsid w:val="00995CB8"/>
    <w:rsid w:val="00995D10"/>
    <w:rsid w:val="00995E9B"/>
    <w:rsid w:val="00995F17"/>
    <w:rsid w:val="00995F28"/>
    <w:rsid w:val="00996042"/>
    <w:rsid w:val="00996060"/>
    <w:rsid w:val="0099611B"/>
    <w:rsid w:val="009961DF"/>
    <w:rsid w:val="009962FC"/>
    <w:rsid w:val="0099638E"/>
    <w:rsid w:val="00996465"/>
    <w:rsid w:val="00996467"/>
    <w:rsid w:val="009964BC"/>
    <w:rsid w:val="009964C9"/>
    <w:rsid w:val="0099650E"/>
    <w:rsid w:val="009965CD"/>
    <w:rsid w:val="00996628"/>
    <w:rsid w:val="0099673A"/>
    <w:rsid w:val="00996740"/>
    <w:rsid w:val="009967A1"/>
    <w:rsid w:val="0099686B"/>
    <w:rsid w:val="009969AE"/>
    <w:rsid w:val="00996A00"/>
    <w:rsid w:val="00996A9B"/>
    <w:rsid w:val="00996B6F"/>
    <w:rsid w:val="00996B82"/>
    <w:rsid w:val="00996BB5"/>
    <w:rsid w:val="00996BBF"/>
    <w:rsid w:val="00996C5E"/>
    <w:rsid w:val="00996E79"/>
    <w:rsid w:val="00996F1E"/>
    <w:rsid w:val="00996F40"/>
    <w:rsid w:val="00996F9F"/>
    <w:rsid w:val="00996FA0"/>
    <w:rsid w:val="00996FEE"/>
    <w:rsid w:val="00997058"/>
    <w:rsid w:val="009970E8"/>
    <w:rsid w:val="009971EF"/>
    <w:rsid w:val="00997247"/>
    <w:rsid w:val="0099747E"/>
    <w:rsid w:val="00997488"/>
    <w:rsid w:val="009974CD"/>
    <w:rsid w:val="00997606"/>
    <w:rsid w:val="009976C2"/>
    <w:rsid w:val="009976EE"/>
    <w:rsid w:val="009977D9"/>
    <w:rsid w:val="00997844"/>
    <w:rsid w:val="00997977"/>
    <w:rsid w:val="009979C8"/>
    <w:rsid w:val="00997B07"/>
    <w:rsid w:val="00997C9F"/>
    <w:rsid w:val="00997CAD"/>
    <w:rsid w:val="00997D16"/>
    <w:rsid w:val="00997D8F"/>
    <w:rsid w:val="00997E62"/>
    <w:rsid w:val="00997F08"/>
    <w:rsid w:val="00997F74"/>
    <w:rsid w:val="009A00D5"/>
    <w:rsid w:val="009A00EF"/>
    <w:rsid w:val="009A0119"/>
    <w:rsid w:val="009A01AE"/>
    <w:rsid w:val="009A039E"/>
    <w:rsid w:val="009A041C"/>
    <w:rsid w:val="009A04AB"/>
    <w:rsid w:val="009A0552"/>
    <w:rsid w:val="009A0619"/>
    <w:rsid w:val="009A0725"/>
    <w:rsid w:val="009A0728"/>
    <w:rsid w:val="009A0747"/>
    <w:rsid w:val="009A075E"/>
    <w:rsid w:val="009A0760"/>
    <w:rsid w:val="009A0919"/>
    <w:rsid w:val="009A0B5F"/>
    <w:rsid w:val="009A0C1B"/>
    <w:rsid w:val="009A0C3C"/>
    <w:rsid w:val="009A0C3D"/>
    <w:rsid w:val="009A0DFB"/>
    <w:rsid w:val="009A1098"/>
    <w:rsid w:val="009A118B"/>
    <w:rsid w:val="009A11D4"/>
    <w:rsid w:val="009A1277"/>
    <w:rsid w:val="009A12D4"/>
    <w:rsid w:val="009A1342"/>
    <w:rsid w:val="009A1559"/>
    <w:rsid w:val="009A155F"/>
    <w:rsid w:val="009A1725"/>
    <w:rsid w:val="009A1837"/>
    <w:rsid w:val="009A1880"/>
    <w:rsid w:val="009A19A2"/>
    <w:rsid w:val="009A19D2"/>
    <w:rsid w:val="009A1A7F"/>
    <w:rsid w:val="009A1AF4"/>
    <w:rsid w:val="009A1B79"/>
    <w:rsid w:val="009A1C16"/>
    <w:rsid w:val="009A1C6E"/>
    <w:rsid w:val="009A1CB7"/>
    <w:rsid w:val="009A1DA5"/>
    <w:rsid w:val="009A1DCE"/>
    <w:rsid w:val="009A1E06"/>
    <w:rsid w:val="009A1EC8"/>
    <w:rsid w:val="009A1F00"/>
    <w:rsid w:val="009A1F0A"/>
    <w:rsid w:val="009A1F0D"/>
    <w:rsid w:val="009A1F9B"/>
    <w:rsid w:val="009A1FC2"/>
    <w:rsid w:val="009A204B"/>
    <w:rsid w:val="009A20C6"/>
    <w:rsid w:val="009A20CB"/>
    <w:rsid w:val="009A20EC"/>
    <w:rsid w:val="009A2246"/>
    <w:rsid w:val="009A225B"/>
    <w:rsid w:val="009A2335"/>
    <w:rsid w:val="009A2360"/>
    <w:rsid w:val="009A2417"/>
    <w:rsid w:val="009A2540"/>
    <w:rsid w:val="009A25C4"/>
    <w:rsid w:val="009A2707"/>
    <w:rsid w:val="009A28BC"/>
    <w:rsid w:val="009A291F"/>
    <w:rsid w:val="009A29D1"/>
    <w:rsid w:val="009A2A07"/>
    <w:rsid w:val="009A2B43"/>
    <w:rsid w:val="009A2B65"/>
    <w:rsid w:val="009A2B7F"/>
    <w:rsid w:val="009A2B98"/>
    <w:rsid w:val="009A2BD8"/>
    <w:rsid w:val="009A2BEF"/>
    <w:rsid w:val="009A2C07"/>
    <w:rsid w:val="009A2CE3"/>
    <w:rsid w:val="009A2CF4"/>
    <w:rsid w:val="009A2DCC"/>
    <w:rsid w:val="009A2DF1"/>
    <w:rsid w:val="009A2E63"/>
    <w:rsid w:val="009A2E6B"/>
    <w:rsid w:val="009A2F29"/>
    <w:rsid w:val="009A2FEE"/>
    <w:rsid w:val="009A3048"/>
    <w:rsid w:val="009A3110"/>
    <w:rsid w:val="009A3180"/>
    <w:rsid w:val="009A329C"/>
    <w:rsid w:val="009A3318"/>
    <w:rsid w:val="009A3499"/>
    <w:rsid w:val="009A3813"/>
    <w:rsid w:val="009A385C"/>
    <w:rsid w:val="009A38B7"/>
    <w:rsid w:val="009A394A"/>
    <w:rsid w:val="009A398F"/>
    <w:rsid w:val="009A39A5"/>
    <w:rsid w:val="009A3B0E"/>
    <w:rsid w:val="009A3BA7"/>
    <w:rsid w:val="009A3CE2"/>
    <w:rsid w:val="009A3E53"/>
    <w:rsid w:val="009A3E68"/>
    <w:rsid w:val="009A3F09"/>
    <w:rsid w:val="009A3FAE"/>
    <w:rsid w:val="009A4015"/>
    <w:rsid w:val="009A40A5"/>
    <w:rsid w:val="009A40C7"/>
    <w:rsid w:val="009A40F3"/>
    <w:rsid w:val="009A4155"/>
    <w:rsid w:val="009A416D"/>
    <w:rsid w:val="009A41EF"/>
    <w:rsid w:val="009A42F4"/>
    <w:rsid w:val="009A4383"/>
    <w:rsid w:val="009A43A5"/>
    <w:rsid w:val="009A43AD"/>
    <w:rsid w:val="009A440B"/>
    <w:rsid w:val="009A444D"/>
    <w:rsid w:val="009A4485"/>
    <w:rsid w:val="009A44E6"/>
    <w:rsid w:val="009A4560"/>
    <w:rsid w:val="009A45E0"/>
    <w:rsid w:val="009A4663"/>
    <w:rsid w:val="009A4682"/>
    <w:rsid w:val="009A474E"/>
    <w:rsid w:val="009A479D"/>
    <w:rsid w:val="009A47F9"/>
    <w:rsid w:val="009A4833"/>
    <w:rsid w:val="009A48D2"/>
    <w:rsid w:val="009A4963"/>
    <w:rsid w:val="009A49D8"/>
    <w:rsid w:val="009A4A7A"/>
    <w:rsid w:val="009A4CAD"/>
    <w:rsid w:val="009A4DC1"/>
    <w:rsid w:val="009A4E08"/>
    <w:rsid w:val="009A4E5C"/>
    <w:rsid w:val="009A4F12"/>
    <w:rsid w:val="009A4F66"/>
    <w:rsid w:val="009A5094"/>
    <w:rsid w:val="009A50A4"/>
    <w:rsid w:val="009A5107"/>
    <w:rsid w:val="009A51AF"/>
    <w:rsid w:val="009A51BD"/>
    <w:rsid w:val="009A51DD"/>
    <w:rsid w:val="009A5261"/>
    <w:rsid w:val="009A5290"/>
    <w:rsid w:val="009A53E6"/>
    <w:rsid w:val="009A54F3"/>
    <w:rsid w:val="009A5887"/>
    <w:rsid w:val="009A58C4"/>
    <w:rsid w:val="009A5979"/>
    <w:rsid w:val="009A59BD"/>
    <w:rsid w:val="009A59C0"/>
    <w:rsid w:val="009A5A1E"/>
    <w:rsid w:val="009A5B2B"/>
    <w:rsid w:val="009A5C21"/>
    <w:rsid w:val="009A5C81"/>
    <w:rsid w:val="009A5DFD"/>
    <w:rsid w:val="009A5E47"/>
    <w:rsid w:val="009A5EC1"/>
    <w:rsid w:val="009A6008"/>
    <w:rsid w:val="009A603B"/>
    <w:rsid w:val="009A607C"/>
    <w:rsid w:val="009A60A1"/>
    <w:rsid w:val="009A60B8"/>
    <w:rsid w:val="009A60FA"/>
    <w:rsid w:val="009A6101"/>
    <w:rsid w:val="009A6188"/>
    <w:rsid w:val="009A61D2"/>
    <w:rsid w:val="009A6200"/>
    <w:rsid w:val="009A634B"/>
    <w:rsid w:val="009A65A4"/>
    <w:rsid w:val="009A6611"/>
    <w:rsid w:val="009A6662"/>
    <w:rsid w:val="009A666C"/>
    <w:rsid w:val="009A6698"/>
    <w:rsid w:val="009A66A1"/>
    <w:rsid w:val="009A673C"/>
    <w:rsid w:val="009A67FC"/>
    <w:rsid w:val="009A68BD"/>
    <w:rsid w:val="009A68CC"/>
    <w:rsid w:val="009A69F6"/>
    <w:rsid w:val="009A6A8A"/>
    <w:rsid w:val="009A6A9F"/>
    <w:rsid w:val="009A6B8B"/>
    <w:rsid w:val="009A6BF8"/>
    <w:rsid w:val="009A6D1A"/>
    <w:rsid w:val="009A6D51"/>
    <w:rsid w:val="009A6E26"/>
    <w:rsid w:val="009A6E67"/>
    <w:rsid w:val="009A6E75"/>
    <w:rsid w:val="009A6F13"/>
    <w:rsid w:val="009A6F64"/>
    <w:rsid w:val="009A6F9D"/>
    <w:rsid w:val="009A6FCF"/>
    <w:rsid w:val="009A7010"/>
    <w:rsid w:val="009A7029"/>
    <w:rsid w:val="009A70C1"/>
    <w:rsid w:val="009A7142"/>
    <w:rsid w:val="009A7240"/>
    <w:rsid w:val="009A7317"/>
    <w:rsid w:val="009A731D"/>
    <w:rsid w:val="009A7350"/>
    <w:rsid w:val="009A73BC"/>
    <w:rsid w:val="009A73D1"/>
    <w:rsid w:val="009A73EE"/>
    <w:rsid w:val="009A7584"/>
    <w:rsid w:val="009A75C2"/>
    <w:rsid w:val="009A75C3"/>
    <w:rsid w:val="009A762D"/>
    <w:rsid w:val="009A7671"/>
    <w:rsid w:val="009A769A"/>
    <w:rsid w:val="009A7860"/>
    <w:rsid w:val="009A78B7"/>
    <w:rsid w:val="009A78BC"/>
    <w:rsid w:val="009A78EF"/>
    <w:rsid w:val="009A796F"/>
    <w:rsid w:val="009A79E7"/>
    <w:rsid w:val="009A7AF5"/>
    <w:rsid w:val="009A7B87"/>
    <w:rsid w:val="009A7E34"/>
    <w:rsid w:val="009A7E8B"/>
    <w:rsid w:val="009B005B"/>
    <w:rsid w:val="009B00B0"/>
    <w:rsid w:val="009B0172"/>
    <w:rsid w:val="009B049B"/>
    <w:rsid w:val="009B04E8"/>
    <w:rsid w:val="009B0512"/>
    <w:rsid w:val="009B054F"/>
    <w:rsid w:val="009B0575"/>
    <w:rsid w:val="009B05A8"/>
    <w:rsid w:val="009B05C3"/>
    <w:rsid w:val="009B06A2"/>
    <w:rsid w:val="009B0812"/>
    <w:rsid w:val="009B08AB"/>
    <w:rsid w:val="009B0904"/>
    <w:rsid w:val="009B094D"/>
    <w:rsid w:val="009B0995"/>
    <w:rsid w:val="009B0A8E"/>
    <w:rsid w:val="009B0A90"/>
    <w:rsid w:val="009B0B1B"/>
    <w:rsid w:val="009B0B70"/>
    <w:rsid w:val="009B0C2F"/>
    <w:rsid w:val="009B0D78"/>
    <w:rsid w:val="009B0DE0"/>
    <w:rsid w:val="009B0DFE"/>
    <w:rsid w:val="009B0E9A"/>
    <w:rsid w:val="009B0EA7"/>
    <w:rsid w:val="009B0EB6"/>
    <w:rsid w:val="009B0EF9"/>
    <w:rsid w:val="009B0F2A"/>
    <w:rsid w:val="009B0FCC"/>
    <w:rsid w:val="009B1018"/>
    <w:rsid w:val="009B110B"/>
    <w:rsid w:val="009B1136"/>
    <w:rsid w:val="009B115A"/>
    <w:rsid w:val="009B1171"/>
    <w:rsid w:val="009B1183"/>
    <w:rsid w:val="009B11D1"/>
    <w:rsid w:val="009B1200"/>
    <w:rsid w:val="009B126E"/>
    <w:rsid w:val="009B1367"/>
    <w:rsid w:val="009B1378"/>
    <w:rsid w:val="009B1387"/>
    <w:rsid w:val="009B138A"/>
    <w:rsid w:val="009B141E"/>
    <w:rsid w:val="009B15DB"/>
    <w:rsid w:val="009B165C"/>
    <w:rsid w:val="009B16C2"/>
    <w:rsid w:val="009B1775"/>
    <w:rsid w:val="009B178B"/>
    <w:rsid w:val="009B1884"/>
    <w:rsid w:val="009B1903"/>
    <w:rsid w:val="009B194A"/>
    <w:rsid w:val="009B1965"/>
    <w:rsid w:val="009B1A24"/>
    <w:rsid w:val="009B1A4E"/>
    <w:rsid w:val="009B1AD5"/>
    <w:rsid w:val="009B1AD9"/>
    <w:rsid w:val="009B1AFA"/>
    <w:rsid w:val="009B1B81"/>
    <w:rsid w:val="009B1B8E"/>
    <w:rsid w:val="009B1B91"/>
    <w:rsid w:val="009B1BD4"/>
    <w:rsid w:val="009B1C9E"/>
    <w:rsid w:val="009B1CD8"/>
    <w:rsid w:val="009B1D40"/>
    <w:rsid w:val="009B1F29"/>
    <w:rsid w:val="009B1FE4"/>
    <w:rsid w:val="009B1FEB"/>
    <w:rsid w:val="009B20B9"/>
    <w:rsid w:val="009B2120"/>
    <w:rsid w:val="009B226A"/>
    <w:rsid w:val="009B22EF"/>
    <w:rsid w:val="009B2335"/>
    <w:rsid w:val="009B2387"/>
    <w:rsid w:val="009B2413"/>
    <w:rsid w:val="009B2530"/>
    <w:rsid w:val="009B2558"/>
    <w:rsid w:val="009B255A"/>
    <w:rsid w:val="009B255B"/>
    <w:rsid w:val="009B2577"/>
    <w:rsid w:val="009B263B"/>
    <w:rsid w:val="009B268B"/>
    <w:rsid w:val="009B26FC"/>
    <w:rsid w:val="009B2799"/>
    <w:rsid w:val="009B279A"/>
    <w:rsid w:val="009B280B"/>
    <w:rsid w:val="009B2850"/>
    <w:rsid w:val="009B2875"/>
    <w:rsid w:val="009B2A08"/>
    <w:rsid w:val="009B2A3F"/>
    <w:rsid w:val="009B2B11"/>
    <w:rsid w:val="009B2B38"/>
    <w:rsid w:val="009B2BA2"/>
    <w:rsid w:val="009B2BC3"/>
    <w:rsid w:val="009B2BCC"/>
    <w:rsid w:val="009B2C34"/>
    <w:rsid w:val="009B2C82"/>
    <w:rsid w:val="009B2DCC"/>
    <w:rsid w:val="009B2DE6"/>
    <w:rsid w:val="009B2EB5"/>
    <w:rsid w:val="009B2EC2"/>
    <w:rsid w:val="009B2F52"/>
    <w:rsid w:val="009B2F8C"/>
    <w:rsid w:val="009B2FDE"/>
    <w:rsid w:val="009B304A"/>
    <w:rsid w:val="009B30A8"/>
    <w:rsid w:val="009B32B7"/>
    <w:rsid w:val="009B33ED"/>
    <w:rsid w:val="009B3434"/>
    <w:rsid w:val="009B3527"/>
    <w:rsid w:val="009B35BD"/>
    <w:rsid w:val="009B35BF"/>
    <w:rsid w:val="009B374E"/>
    <w:rsid w:val="009B3819"/>
    <w:rsid w:val="009B38C3"/>
    <w:rsid w:val="009B394E"/>
    <w:rsid w:val="009B39A5"/>
    <w:rsid w:val="009B3AAE"/>
    <w:rsid w:val="009B3BAF"/>
    <w:rsid w:val="009B3BCE"/>
    <w:rsid w:val="009B3CE3"/>
    <w:rsid w:val="009B3D1F"/>
    <w:rsid w:val="009B3D89"/>
    <w:rsid w:val="009B3EB0"/>
    <w:rsid w:val="009B3EF3"/>
    <w:rsid w:val="009B3F45"/>
    <w:rsid w:val="009B3F7A"/>
    <w:rsid w:val="009B3FAF"/>
    <w:rsid w:val="009B4029"/>
    <w:rsid w:val="009B40EA"/>
    <w:rsid w:val="009B4169"/>
    <w:rsid w:val="009B419A"/>
    <w:rsid w:val="009B41C3"/>
    <w:rsid w:val="009B4223"/>
    <w:rsid w:val="009B425F"/>
    <w:rsid w:val="009B42A7"/>
    <w:rsid w:val="009B42F7"/>
    <w:rsid w:val="009B4319"/>
    <w:rsid w:val="009B43E5"/>
    <w:rsid w:val="009B4452"/>
    <w:rsid w:val="009B44B4"/>
    <w:rsid w:val="009B453F"/>
    <w:rsid w:val="009B4556"/>
    <w:rsid w:val="009B4683"/>
    <w:rsid w:val="009B46D2"/>
    <w:rsid w:val="009B4775"/>
    <w:rsid w:val="009B47F1"/>
    <w:rsid w:val="009B4810"/>
    <w:rsid w:val="009B493A"/>
    <w:rsid w:val="009B4961"/>
    <w:rsid w:val="009B4A0B"/>
    <w:rsid w:val="009B4A39"/>
    <w:rsid w:val="009B4B35"/>
    <w:rsid w:val="009B4B7D"/>
    <w:rsid w:val="009B4CCA"/>
    <w:rsid w:val="009B4CCC"/>
    <w:rsid w:val="009B4CDE"/>
    <w:rsid w:val="009B4D00"/>
    <w:rsid w:val="009B4D4C"/>
    <w:rsid w:val="009B4E11"/>
    <w:rsid w:val="009B4F41"/>
    <w:rsid w:val="009B4F75"/>
    <w:rsid w:val="009B4FA0"/>
    <w:rsid w:val="009B5021"/>
    <w:rsid w:val="009B5030"/>
    <w:rsid w:val="009B5091"/>
    <w:rsid w:val="009B50AC"/>
    <w:rsid w:val="009B50B2"/>
    <w:rsid w:val="009B50DA"/>
    <w:rsid w:val="009B5122"/>
    <w:rsid w:val="009B5284"/>
    <w:rsid w:val="009B52FE"/>
    <w:rsid w:val="009B538D"/>
    <w:rsid w:val="009B53DF"/>
    <w:rsid w:val="009B567E"/>
    <w:rsid w:val="009B56B8"/>
    <w:rsid w:val="009B56CA"/>
    <w:rsid w:val="009B56D9"/>
    <w:rsid w:val="009B56E8"/>
    <w:rsid w:val="009B5717"/>
    <w:rsid w:val="009B5773"/>
    <w:rsid w:val="009B58F8"/>
    <w:rsid w:val="009B59D7"/>
    <w:rsid w:val="009B5AD5"/>
    <w:rsid w:val="009B5AFD"/>
    <w:rsid w:val="009B5B64"/>
    <w:rsid w:val="009B5D03"/>
    <w:rsid w:val="009B60A3"/>
    <w:rsid w:val="009B60F9"/>
    <w:rsid w:val="009B6122"/>
    <w:rsid w:val="009B61EB"/>
    <w:rsid w:val="009B61F0"/>
    <w:rsid w:val="009B6269"/>
    <w:rsid w:val="009B6271"/>
    <w:rsid w:val="009B638A"/>
    <w:rsid w:val="009B6455"/>
    <w:rsid w:val="009B647A"/>
    <w:rsid w:val="009B6646"/>
    <w:rsid w:val="009B665C"/>
    <w:rsid w:val="009B666F"/>
    <w:rsid w:val="009B6686"/>
    <w:rsid w:val="009B6781"/>
    <w:rsid w:val="009B682E"/>
    <w:rsid w:val="009B68D4"/>
    <w:rsid w:val="009B6952"/>
    <w:rsid w:val="009B6A38"/>
    <w:rsid w:val="009B70AE"/>
    <w:rsid w:val="009B713C"/>
    <w:rsid w:val="009B718A"/>
    <w:rsid w:val="009B723C"/>
    <w:rsid w:val="009B72F6"/>
    <w:rsid w:val="009B738C"/>
    <w:rsid w:val="009B75CB"/>
    <w:rsid w:val="009B7651"/>
    <w:rsid w:val="009B7839"/>
    <w:rsid w:val="009B79A0"/>
    <w:rsid w:val="009B7A09"/>
    <w:rsid w:val="009B7A7E"/>
    <w:rsid w:val="009B7A85"/>
    <w:rsid w:val="009B7B2B"/>
    <w:rsid w:val="009B7BB7"/>
    <w:rsid w:val="009B7BDD"/>
    <w:rsid w:val="009B7BFD"/>
    <w:rsid w:val="009B7C29"/>
    <w:rsid w:val="009B7CB1"/>
    <w:rsid w:val="009B7CF8"/>
    <w:rsid w:val="009B7D25"/>
    <w:rsid w:val="009B7D56"/>
    <w:rsid w:val="009B7DB0"/>
    <w:rsid w:val="009B7DE9"/>
    <w:rsid w:val="009B7EB0"/>
    <w:rsid w:val="009B7EBF"/>
    <w:rsid w:val="009B7F15"/>
    <w:rsid w:val="009B7F4C"/>
    <w:rsid w:val="009C00DE"/>
    <w:rsid w:val="009C0137"/>
    <w:rsid w:val="009C0200"/>
    <w:rsid w:val="009C02C4"/>
    <w:rsid w:val="009C0313"/>
    <w:rsid w:val="009C0390"/>
    <w:rsid w:val="009C049E"/>
    <w:rsid w:val="009C04CB"/>
    <w:rsid w:val="009C04E7"/>
    <w:rsid w:val="009C04FA"/>
    <w:rsid w:val="009C05E7"/>
    <w:rsid w:val="009C0643"/>
    <w:rsid w:val="009C0766"/>
    <w:rsid w:val="009C093A"/>
    <w:rsid w:val="009C09CA"/>
    <w:rsid w:val="009C0A62"/>
    <w:rsid w:val="009C0A90"/>
    <w:rsid w:val="009C0AA2"/>
    <w:rsid w:val="009C0AE8"/>
    <w:rsid w:val="009C0BE5"/>
    <w:rsid w:val="009C0BEC"/>
    <w:rsid w:val="009C0C2E"/>
    <w:rsid w:val="009C0D63"/>
    <w:rsid w:val="009C0E40"/>
    <w:rsid w:val="009C10E3"/>
    <w:rsid w:val="009C1189"/>
    <w:rsid w:val="009C11A9"/>
    <w:rsid w:val="009C11B8"/>
    <w:rsid w:val="009C11CB"/>
    <w:rsid w:val="009C13D7"/>
    <w:rsid w:val="009C166E"/>
    <w:rsid w:val="009C1672"/>
    <w:rsid w:val="009C1675"/>
    <w:rsid w:val="009C16B7"/>
    <w:rsid w:val="009C16BB"/>
    <w:rsid w:val="009C16CE"/>
    <w:rsid w:val="009C16F7"/>
    <w:rsid w:val="009C17E3"/>
    <w:rsid w:val="009C17FF"/>
    <w:rsid w:val="009C1979"/>
    <w:rsid w:val="009C19EF"/>
    <w:rsid w:val="009C1A83"/>
    <w:rsid w:val="009C1ABF"/>
    <w:rsid w:val="009C1C0E"/>
    <w:rsid w:val="009C1CE0"/>
    <w:rsid w:val="009C1DB8"/>
    <w:rsid w:val="009C1DD2"/>
    <w:rsid w:val="009C1DE2"/>
    <w:rsid w:val="009C1EF7"/>
    <w:rsid w:val="009C1F96"/>
    <w:rsid w:val="009C2018"/>
    <w:rsid w:val="009C2049"/>
    <w:rsid w:val="009C20CF"/>
    <w:rsid w:val="009C20D5"/>
    <w:rsid w:val="009C2224"/>
    <w:rsid w:val="009C2250"/>
    <w:rsid w:val="009C22B1"/>
    <w:rsid w:val="009C22CE"/>
    <w:rsid w:val="009C2361"/>
    <w:rsid w:val="009C23BD"/>
    <w:rsid w:val="009C2530"/>
    <w:rsid w:val="009C2531"/>
    <w:rsid w:val="009C2535"/>
    <w:rsid w:val="009C260C"/>
    <w:rsid w:val="009C26AF"/>
    <w:rsid w:val="009C26DE"/>
    <w:rsid w:val="009C2718"/>
    <w:rsid w:val="009C2727"/>
    <w:rsid w:val="009C273C"/>
    <w:rsid w:val="009C279B"/>
    <w:rsid w:val="009C2876"/>
    <w:rsid w:val="009C28E8"/>
    <w:rsid w:val="009C299A"/>
    <w:rsid w:val="009C29FC"/>
    <w:rsid w:val="009C2A26"/>
    <w:rsid w:val="009C2B52"/>
    <w:rsid w:val="009C2B59"/>
    <w:rsid w:val="009C2BE6"/>
    <w:rsid w:val="009C2C3F"/>
    <w:rsid w:val="009C2CAF"/>
    <w:rsid w:val="009C2D33"/>
    <w:rsid w:val="009C2EF4"/>
    <w:rsid w:val="009C2F40"/>
    <w:rsid w:val="009C2F6A"/>
    <w:rsid w:val="009C301F"/>
    <w:rsid w:val="009C306A"/>
    <w:rsid w:val="009C30CA"/>
    <w:rsid w:val="009C30DA"/>
    <w:rsid w:val="009C30EB"/>
    <w:rsid w:val="009C321B"/>
    <w:rsid w:val="009C331B"/>
    <w:rsid w:val="009C3359"/>
    <w:rsid w:val="009C34F1"/>
    <w:rsid w:val="009C357B"/>
    <w:rsid w:val="009C35EE"/>
    <w:rsid w:val="009C380F"/>
    <w:rsid w:val="009C382C"/>
    <w:rsid w:val="009C392C"/>
    <w:rsid w:val="009C398F"/>
    <w:rsid w:val="009C39CB"/>
    <w:rsid w:val="009C3A30"/>
    <w:rsid w:val="009C3AA4"/>
    <w:rsid w:val="009C3AF1"/>
    <w:rsid w:val="009C3B5B"/>
    <w:rsid w:val="009C3B8F"/>
    <w:rsid w:val="009C3E49"/>
    <w:rsid w:val="009C3EC7"/>
    <w:rsid w:val="009C3FF2"/>
    <w:rsid w:val="009C4094"/>
    <w:rsid w:val="009C40E0"/>
    <w:rsid w:val="009C4141"/>
    <w:rsid w:val="009C41D4"/>
    <w:rsid w:val="009C421A"/>
    <w:rsid w:val="009C4320"/>
    <w:rsid w:val="009C4380"/>
    <w:rsid w:val="009C4444"/>
    <w:rsid w:val="009C44AB"/>
    <w:rsid w:val="009C45A6"/>
    <w:rsid w:val="009C46BD"/>
    <w:rsid w:val="009C4737"/>
    <w:rsid w:val="009C475F"/>
    <w:rsid w:val="009C4809"/>
    <w:rsid w:val="009C4860"/>
    <w:rsid w:val="009C4A47"/>
    <w:rsid w:val="009C4B35"/>
    <w:rsid w:val="009C4C41"/>
    <w:rsid w:val="009C4E49"/>
    <w:rsid w:val="009C4E88"/>
    <w:rsid w:val="009C4ECA"/>
    <w:rsid w:val="009C4F1C"/>
    <w:rsid w:val="009C5018"/>
    <w:rsid w:val="009C50B4"/>
    <w:rsid w:val="009C50E9"/>
    <w:rsid w:val="009C5176"/>
    <w:rsid w:val="009C5187"/>
    <w:rsid w:val="009C528D"/>
    <w:rsid w:val="009C52F6"/>
    <w:rsid w:val="009C542F"/>
    <w:rsid w:val="009C55AE"/>
    <w:rsid w:val="009C565C"/>
    <w:rsid w:val="009C5683"/>
    <w:rsid w:val="009C5777"/>
    <w:rsid w:val="009C57E2"/>
    <w:rsid w:val="009C58EB"/>
    <w:rsid w:val="009C598F"/>
    <w:rsid w:val="009C599F"/>
    <w:rsid w:val="009C5A08"/>
    <w:rsid w:val="009C5A1C"/>
    <w:rsid w:val="009C5A22"/>
    <w:rsid w:val="009C5ACD"/>
    <w:rsid w:val="009C5C32"/>
    <w:rsid w:val="009C5C64"/>
    <w:rsid w:val="009C5C94"/>
    <w:rsid w:val="009C5CA3"/>
    <w:rsid w:val="009C5CA6"/>
    <w:rsid w:val="009C5EB2"/>
    <w:rsid w:val="009C6086"/>
    <w:rsid w:val="009C60DB"/>
    <w:rsid w:val="009C6347"/>
    <w:rsid w:val="009C63AC"/>
    <w:rsid w:val="009C6418"/>
    <w:rsid w:val="009C6510"/>
    <w:rsid w:val="009C6585"/>
    <w:rsid w:val="009C659C"/>
    <w:rsid w:val="009C660A"/>
    <w:rsid w:val="009C6641"/>
    <w:rsid w:val="009C667A"/>
    <w:rsid w:val="009C6691"/>
    <w:rsid w:val="009C6815"/>
    <w:rsid w:val="009C6891"/>
    <w:rsid w:val="009C68C6"/>
    <w:rsid w:val="009C6912"/>
    <w:rsid w:val="009C695C"/>
    <w:rsid w:val="009C6996"/>
    <w:rsid w:val="009C6ABA"/>
    <w:rsid w:val="009C6B7E"/>
    <w:rsid w:val="009C6BCF"/>
    <w:rsid w:val="009C6C49"/>
    <w:rsid w:val="009C6C63"/>
    <w:rsid w:val="009C6C78"/>
    <w:rsid w:val="009C6D12"/>
    <w:rsid w:val="009C6EF3"/>
    <w:rsid w:val="009C70AD"/>
    <w:rsid w:val="009C70D7"/>
    <w:rsid w:val="009C70EB"/>
    <w:rsid w:val="009C7176"/>
    <w:rsid w:val="009C7214"/>
    <w:rsid w:val="009C72C2"/>
    <w:rsid w:val="009C7381"/>
    <w:rsid w:val="009C7429"/>
    <w:rsid w:val="009C7484"/>
    <w:rsid w:val="009C75C4"/>
    <w:rsid w:val="009C76A7"/>
    <w:rsid w:val="009C7704"/>
    <w:rsid w:val="009C7723"/>
    <w:rsid w:val="009C772F"/>
    <w:rsid w:val="009C77D7"/>
    <w:rsid w:val="009C7894"/>
    <w:rsid w:val="009C7AAC"/>
    <w:rsid w:val="009C7B56"/>
    <w:rsid w:val="009C7B7D"/>
    <w:rsid w:val="009C7B9A"/>
    <w:rsid w:val="009C7C00"/>
    <w:rsid w:val="009C7CB0"/>
    <w:rsid w:val="009C7E2E"/>
    <w:rsid w:val="009C7F36"/>
    <w:rsid w:val="009C7FA3"/>
    <w:rsid w:val="009C7FFA"/>
    <w:rsid w:val="009D0006"/>
    <w:rsid w:val="009D006D"/>
    <w:rsid w:val="009D0273"/>
    <w:rsid w:val="009D029D"/>
    <w:rsid w:val="009D02F0"/>
    <w:rsid w:val="009D0303"/>
    <w:rsid w:val="009D0513"/>
    <w:rsid w:val="009D0709"/>
    <w:rsid w:val="009D0714"/>
    <w:rsid w:val="009D0741"/>
    <w:rsid w:val="009D079F"/>
    <w:rsid w:val="009D07E8"/>
    <w:rsid w:val="009D0854"/>
    <w:rsid w:val="009D09AF"/>
    <w:rsid w:val="009D0A71"/>
    <w:rsid w:val="009D0AB2"/>
    <w:rsid w:val="009D0C38"/>
    <w:rsid w:val="009D0CE6"/>
    <w:rsid w:val="009D0D9A"/>
    <w:rsid w:val="009D0E66"/>
    <w:rsid w:val="009D0EFE"/>
    <w:rsid w:val="009D1114"/>
    <w:rsid w:val="009D1164"/>
    <w:rsid w:val="009D11AD"/>
    <w:rsid w:val="009D12AB"/>
    <w:rsid w:val="009D1384"/>
    <w:rsid w:val="009D13A2"/>
    <w:rsid w:val="009D154F"/>
    <w:rsid w:val="009D15C0"/>
    <w:rsid w:val="009D15C5"/>
    <w:rsid w:val="009D15DC"/>
    <w:rsid w:val="009D16A9"/>
    <w:rsid w:val="009D16FB"/>
    <w:rsid w:val="009D1705"/>
    <w:rsid w:val="009D1763"/>
    <w:rsid w:val="009D17D6"/>
    <w:rsid w:val="009D1821"/>
    <w:rsid w:val="009D185A"/>
    <w:rsid w:val="009D18F0"/>
    <w:rsid w:val="009D19D0"/>
    <w:rsid w:val="009D1B55"/>
    <w:rsid w:val="009D1BC3"/>
    <w:rsid w:val="009D1D29"/>
    <w:rsid w:val="009D1DFA"/>
    <w:rsid w:val="009D1EA8"/>
    <w:rsid w:val="009D1F5F"/>
    <w:rsid w:val="009D2122"/>
    <w:rsid w:val="009D216E"/>
    <w:rsid w:val="009D21A8"/>
    <w:rsid w:val="009D21B8"/>
    <w:rsid w:val="009D22FC"/>
    <w:rsid w:val="009D230A"/>
    <w:rsid w:val="009D236D"/>
    <w:rsid w:val="009D238D"/>
    <w:rsid w:val="009D23A1"/>
    <w:rsid w:val="009D243A"/>
    <w:rsid w:val="009D244F"/>
    <w:rsid w:val="009D2462"/>
    <w:rsid w:val="009D248D"/>
    <w:rsid w:val="009D253E"/>
    <w:rsid w:val="009D2543"/>
    <w:rsid w:val="009D258A"/>
    <w:rsid w:val="009D26BD"/>
    <w:rsid w:val="009D26F2"/>
    <w:rsid w:val="009D27D6"/>
    <w:rsid w:val="009D27FD"/>
    <w:rsid w:val="009D28A0"/>
    <w:rsid w:val="009D2900"/>
    <w:rsid w:val="009D2961"/>
    <w:rsid w:val="009D296A"/>
    <w:rsid w:val="009D2A0F"/>
    <w:rsid w:val="009D2A46"/>
    <w:rsid w:val="009D2BA8"/>
    <w:rsid w:val="009D2C58"/>
    <w:rsid w:val="009D2D81"/>
    <w:rsid w:val="009D2E9A"/>
    <w:rsid w:val="009D2EB3"/>
    <w:rsid w:val="009D2F62"/>
    <w:rsid w:val="009D2FF4"/>
    <w:rsid w:val="009D31BC"/>
    <w:rsid w:val="009D31F5"/>
    <w:rsid w:val="009D3224"/>
    <w:rsid w:val="009D32AD"/>
    <w:rsid w:val="009D332F"/>
    <w:rsid w:val="009D33F4"/>
    <w:rsid w:val="009D34D1"/>
    <w:rsid w:val="009D34EB"/>
    <w:rsid w:val="009D359E"/>
    <w:rsid w:val="009D35B2"/>
    <w:rsid w:val="009D3761"/>
    <w:rsid w:val="009D383A"/>
    <w:rsid w:val="009D3906"/>
    <w:rsid w:val="009D3973"/>
    <w:rsid w:val="009D39EF"/>
    <w:rsid w:val="009D3A95"/>
    <w:rsid w:val="009D3B24"/>
    <w:rsid w:val="009D3B53"/>
    <w:rsid w:val="009D3BCA"/>
    <w:rsid w:val="009D3CBA"/>
    <w:rsid w:val="009D3CEA"/>
    <w:rsid w:val="009D3D4B"/>
    <w:rsid w:val="009D3DD6"/>
    <w:rsid w:val="009D3E22"/>
    <w:rsid w:val="009D3E7A"/>
    <w:rsid w:val="009D3E96"/>
    <w:rsid w:val="009D3F5B"/>
    <w:rsid w:val="009D3F62"/>
    <w:rsid w:val="009D402F"/>
    <w:rsid w:val="009D41C1"/>
    <w:rsid w:val="009D4250"/>
    <w:rsid w:val="009D4308"/>
    <w:rsid w:val="009D4440"/>
    <w:rsid w:val="009D448F"/>
    <w:rsid w:val="009D44D9"/>
    <w:rsid w:val="009D467B"/>
    <w:rsid w:val="009D47CB"/>
    <w:rsid w:val="009D47CF"/>
    <w:rsid w:val="009D4922"/>
    <w:rsid w:val="009D4945"/>
    <w:rsid w:val="009D49BE"/>
    <w:rsid w:val="009D4B76"/>
    <w:rsid w:val="009D4C54"/>
    <w:rsid w:val="009D4CB3"/>
    <w:rsid w:val="009D4E07"/>
    <w:rsid w:val="009D4E66"/>
    <w:rsid w:val="009D4E9E"/>
    <w:rsid w:val="009D4F3F"/>
    <w:rsid w:val="009D4FCE"/>
    <w:rsid w:val="009D4FED"/>
    <w:rsid w:val="009D5005"/>
    <w:rsid w:val="009D502B"/>
    <w:rsid w:val="009D5090"/>
    <w:rsid w:val="009D50A5"/>
    <w:rsid w:val="009D50B5"/>
    <w:rsid w:val="009D51D7"/>
    <w:rsid w:val="009D51E2"/>
    <w:rsid w:val="009D520E"/>
    <w:rsid w:val="009D5226"/>
    <w:rsid w:val="009D52EC"/>
    <w:rsid w:val="009D532B"/>
    <w:rsid w:val="009D53A8"/>
    <w:rsid w:val="009D5478"/>
    <w:rsid w:val="009D55B2"/>
    <w:rsid w:val="009D56AF"/>
    <w:rsid w:val="009D581F"/>
    <w:rsid w:val="009D590B"/>
    <w:rsid w:val="009D593C"/>
    <w:rsid w:val="009D5986"/>
    <w:rsid w:val="009D59D5"/>
    <w:rsid w:val="009D59F3"/>
    <w:rsid w:val="009D5AB2"/>
    <w:rsid w:val="009D5B89"/>
    <w:rsid w:val="009D5BE2"/>
    <w:rsid w:val="009D5C8D"/>
    <w:rsid w:val="009D5D16"/>
    <w:rsid w:val="009D5D37"/>
    <w:rsid w:val="009D5DE3"/>
    <w:rsid w:val="009D5E41"/>
    <w:rsid w:val="009D5EE4"/>
    <w:rsid w:val="009D5F96"/>
    <w:rsid w:val="009D5FCD"/>
    <w:rsid w:val="009D5FE1"/>
    <w:rsid w:val="009D607A"/>
    <w:rsid w:val="009D60C7"/>
    <w:rsid w:val="009D6107"/>
    <w:rsid w:val="009D616C"/>
    <w:rsid w:val="009D61C2"/>
    <w:rsid w:val="009D61D6"/>
    <w:rsid w:val="009D6218"/>
    <w:rsid w:val="009D6221"/>
    <w:rsid w:val="009D6275"/>
    <w:rsid w:val="009D6293"/>
    <w:rsid w:val="009D6328"/>
    <w:rsid w:val="009D6335"/>
    <w:rsid w:val="009D6476"/>
    <w:rsid w:val="009D6477"/>
    <w:rsid w:val="009D655D"/>
    <w:rsid w:val="009D657A"/>
    <w:rsid w:val="009D65A1"/>
    <w:rsid w:val="009D6618"/>
    <w:rsid w:val="009D66BE"/>
    <w:rsid w:val="009D67A4"/>
    <w:rsid w:val="009D68A3"/>
    <w:rsid w:val="009D68B7"/>
    <w:rsid w:val="009D695C"/>
    <w:rsid w:val="009D6A03"/>
    <w:rsid w:val="009D6A4A"/>
    <w:rsid w:val="009D6A6F"/>
    <w:rsid w:val="009D6A96"/>
    <w:rsid w:val="009D6B21"/>
    <w:rsid w:val="009D6B54"/>
    <w:rsid w:val="009D6BC3"/>
    <w:rsid w:val="009D6BFB"/>
    <w:rsid w:val="009D6C62"/>
    <w:rsid w:val="009D6D91"/>
    <w:rsid w:val="009D6DEC"/>
    <w:rsid w:val="009D6EEF"/>
    <w:rsid w:val="009D6FA1"/>
    <w:rsid w:val="009D6FFB"/>
    <w:rsid w:val="009D7124"/>
    <w:rsid w:val="009D7323"/>
    <w:rsid w:val="009D736C"/>
    <w:rsid w:val="009D73CF"/>
    <w:rsid w:val="009D73D4"/>
    <w:rsid w:val="009D744D"/>
    <w:rsid w:val="009D75D1"/>
    <w:rsid w:val="009D7690"/>
    <w:rsid w:val="009D7699"/>
    <w:rsid w:val="009D769C"/>
    <w:rsid w:val="009D76C4"/>
    <w:rsid w:val="009D77BF"/>
    <w:rsid w:val="009D77C8"/>
    <w:rsid w:val="009D7819"/>
    <w:rsid w:val="009D78A2"/>
    <w:rsid w:val="009D792F"/>
    <w:rsid w:val="009D7961"/>
    <w:rsid w:val="009D7A0F"/>
    <w:rsid w:val="009D7ABE"/>
    <w:rsid w:val="009D7C6B"/>
    <w:rsid w:val="009D7D79"/>
    <w:rsid w:val="009D7E60"/>
    <w:rsid w:val="009E005D"/>
    <w:rsid w:val="009E0067"/>
    <w:rsid w:val="009E00D8"/>
    <w:rsid w:val="009E0267"/>
    <w:rsid w:val="009E028D"/>
    <w:rsid w:val="009E0328"/>
    <w:rsid w:val="009E03E6"/>
    <w:rsid w:val="009E0404"/>
    <w:rsid w:val="009E049A"/>
    <w:rsid w:val="009E04CD"/>
    <w:rsid w:val="009E0643"/>
    <w:rsid w:val="009E06CF"/>
    <w:rsid w:val="009E071E"/>
    <w:rsid w:val="009E072F"/>
    <w:rsid w:val="009E0755"/>
    <w:rsid w:val="009E07D9"/>
    <w:rsid w:val="009E0886"/>
    <w:rsid w:val="009E08B0"/>
    <w:rsid w:val="009E0952"/>
    <w:rsid w:val="009E096B"/>
    <w:rsid w:val="009E09C2"/>
    <w:rsid w:val="009E09F1"/>
    <w:rsid w:val="009E0B43"/>
    <w:rsid w:val="009E0B8A"/>
    <w:rsid w:val="009E0BC6"/>
    <w:rsid w:val="009E0BEF"/>
    <w:rsid w:val="009E0C09"/>
    <w:rsid w:val="009E0D79"/>
    <w:rsid w:val="009E0DF4"/>
    <w:rsid w:val="009E0E3B"/>
    <w:rsid w:val="009E1061"/>
    <w:rsid w:val="009E118C"/>
    <w:rsid w:val="009E1308"/>
    <w:rsid w:val="009E135A"/>
    <w:rsid w:val="009E136F"/>
    <w:rsid w:val="009E14BA"/>
    <w:rsid w:val="009E167B"/>
    <w:rsid w:val="009E1710"/>
    <w:rsid w:val="009E1758"/>
    <w:rsid w:val="009E175E"/>
    <w:rsid w:val="009E18C0"/>
    <w:rsid w:val="009E197C"/>
    <w:rsid w:val="009E1A21"/>
    <w:rsid w:val="009E1A2E"/>
    <w:rsid w:val="009E1B88"/>
    <w:rsid w:val="009E1BEE"/>
    <w:rsid w:val="009E1C2F"/>
    <w:rsid w:val="009E1CA8"/>
    <w:rsid w:val="009E1CAB"/>
    <w:rsid w:val="009E1DB4"/>
    <w:rsid w:val="009E1E1E"/>
    <w:rsid w:val="009E1E20"/>
    <w:rsid w:val="009E1E25"/>
    <w:rsid w:val="009E1EA1"/>
    <w:rsid w:val="009E2093"/>
    <w:rsid w:val="009E20E6"/>
    <w:rsid w:val="009E2249"/>
    <w:rsid w:val="009E2276"/>
    <w:rsid w:val="009E2282"/>
    <w:rsid w:val="009E22D8"/>
    <w:rsid w:val="009E2322"/>
    <w:rsid w:val="009E23A5"/>
    <w:rsid w:val="009E23B2"/>
    <w:rsid w:val="009E2400"/>
    <w:rsid w:val="009E2610"/>
    <w:rsid w:val="009E2831"/>
    <w:rsid w:val="009E296E"/>
    <w:rsid w:val="009E29FB"/>
    <w:rsid w:val="009E2B01"/>
    <w:rsid w:val="009E2B5A"/>
    <w:rsid w:val="009E2BC8"/>
    <w:rsid w:val="009E2CF1"/>
    <w:rsid w:val="009E2CF2"/>
    <w:rsid w:val="009E2D09"/>
    <w:rsid w:val="009E2D23"/>
    <w:rsid w:val="009E2D67"/>
    <w:rsid w:val="009E2DA2"/>
    <w:rsid w:val="009E311E"/>
    <w:rsid w:val="009E31F9"/>
    <w:rsid w:val="009E31FF"/>
    <w:rsid w:val="009E3283"/>
    <w:rsid w:val="009E3287"/>
    <w:rsid w:val="009E32A0"/>
    <w:rsid w:val="009E3384"/>
    <w:rsid w:val="009E3471"/>
    <w:rsid w:val="009E35B9"/>
    <w:rsid w:val="009E35E9"/>
    <w:rsid w:val="009E364B"/>
    <w:rsid w:val="009E37D9"/>
    <w:rsid w:val="009E3880"/>
    <w:rsid w:val="009E394B"/>
    <w:rsid w:val="009E39BB"/>
    <w:rsid w:val="009E39F1"/>
    <w:rsid w:val="009E3B9D"/>
    <w:rsid w:val="009E3BEB"/>
    <w:rsid w:val="009E3DFE"/>
    <w:rsid w:val="009E3F5C"/>
    <w:rsid w:val="009E3F6E"/>
    <w:rsid w:val="009E3FE1"/>
    <w:rsid w:val="009E4003"/>
    <w:rsid w:val="009E4097"/>
    <w:rsid w:val="009E40BD"/>
    <w:rsid w:val="009E4188"/>
    <w:rsid w:val="009E41D3"/>
    <w:rsid w:val="009E42BD"/>
    <w:rsid w:val="009E432A"/>
    <w:rsid w:val="009E4347"/>
    <w:rsid w:val="009E4384"/>
    <w:rsid w:val="009E449E"/>
    <w:rsid w:val="009E4556"/>
    <w:rsid w:val="009E4558"/>
    <w:rsid w:val="009E45CF"/>
    <w:rsid w:val="009E4682"/>
    <w:rsid w:val="009E4843"/>
    <w:rsid w:val="009E4865"/>
    <w:rsid w:val="009E487F"/>
    <w:rsid w:val="009E48A9"/>
    <w:rsid w:val="009E48C2"/>
    <w:rsid w:val="009E4963"/>
    <w:rsid w:val="009E49B7"/>
    <w:rsid w:val="009E49C3"/>
    <w:rsid w:val="009E4A2B"/>
    <w:rsid w:val="009E4C7A"/>
    <w:rsid w:val="009E4C9E"/>
    <w:rsid w:val="009E4ECF"/>
    <w:rsid w:val="009E4F22"/>
    <w:rsid w:val="009E4F2A"/>
    <w:rsid w:val="009E4FB8"/>
    <w:rsid w:val="009E5018"/>
    <w:rsid w:val="009E518D"/>
    <w:rsid w:val="009E540A"/>
    <w:rsid w:val="009E54C2"/>
    <w:rsid w:val="009E555B"/>
    <w:rsid w:val="009E5690"/>
    <w:rsid w:val="009E56A7"/>
    <w:rsid w:val="009E56DC"/>
    <w:rsid w:val="009E575C"/>
    <w:rsid w:val="009E5951"/>
    <w:rsid w:val="009E5975"/>
    <w:rsid w:val="009E597F"/>
    <w:rsid w:val="009E59A5"/>
    <w:rsid w:val="009E59AA"/>
    <w:rsid w:val="009E59E9"/>
    <w:rsid w:val="009E5A39"/>
    <w:rsid w:val="009E5BEC"/>
    <w:rsid w:val="009E5C12"/>
    <w:rsid w:val="009E5C95"/>
    <w:rsid w:val="009E5CC1"/>
    <w:rsid w:val="009E5D46"/>
    <w:rsid w:val="009E5D4D"/>
    <w:rsid w:val="009E5F4F"/>
    <w:rsid w:val="009E6018"/>
    <w:rsid w:val="009E6060"/>
    <w:rsid w:val="009E61BD"/>
    <w:rsid w:val="009E61FC"/>
    <w:rsid w:val="009E621C"/>
    <w:rsid w:val="009E628C"/>
    <w:rsid w:val="009E62DB"/>
    <w:rsid w:val="009E63FE"/>
    <w:rsid w:val="009E6775"/>
    <w:rsid w:val="009E6794"/>
    <w:rsid w:val="009E6798"/>
    <w:rsid w:val="009E699A"/>
    <w:rsid w:val="009E6ACE"/>
    <w:rsid w:val="009E6B66"/>
    <w:rsid w:val="009E6BD6"/>
    <w:rsid w:val="009E6C47"/>
    <w:rsid w:val="009E6C75"/>
    <w:rsid w:val="009E6F38"/>
    <w:rsid w:val="009E6F89"/>
    <w:rsid w:val="009E6F8F"/>
    <w:rsid w:val="009E6FD3"/>
    <w:rsid w:val="009E72E4"/>
    <w:rsid w:val="009E7351"/>
    <w:rsid w:val="009E73E5"/>
    <w:rsid w:val="009E74EE"/>
    <w:rsid w:val="009E775C"/>
    <w:rsid w:val="009E77B8"/>
    <w:rsid w:val="009E786F"/>
    <w:rsid w:val="009E789F"/>
    <w:rsid w:val="009E78AE"/>
    <w:rsid w:val="009E7916"/>
    <w:rsid w:val="009E7A02"/>
    <w:rsid w:val="009E7A24"/>
    <w:rsid w:val="009E7A82"/>
    <w:rsid w:val="009E7B41"/>
    <w:rsid w:val="009E7BFD"/>
    <w:rsid w:val="009E7D17"/>
    <w:rsid w:val="009E7D90"/>
    <w:rsid w:val="009E7EB4"/>
    <w:rsid w:val="009F0094"/>
    <w:rsid w:val="009F00A5"/>
    <w:rsid w:val="009F023A"/>
    <w:rsid w:val="009F0342"/>
    <w:rsid w:val="009F03BC"/>
    <w:rsid w:val="009F0401"/>
    <w:rsid w:val="009F045F"/>
    <w:rsid w:val="009F04BA"/>
    <w:rsid w:val="009F04F6"/>
    <w:rsid w:val="009F0653"/>
    <w:rsid w:val="009F065D"/>
    <w:rsid w:val="009F08C0"/>
    <w:rsid w:val="009F08DB"/>
    <w:rsid w:val="009F094B"/>
    <w:rsid w:val="009F09BF"/>
    <w:rsid w:val="009F0A21"/>
    <w:rsid w:val="009F0A53"/>
    <w:rsid w:val="009F0AFB"/>
    <w:rsid w:val="009F0C51"/>
    <w:rsid w:val="009F0DF8"/>
    <w:rsid w:val="009F0E59"/>
    <w:rsid w:val="009F0EBD"/>
    <w:rsid w:val="009F0EC0"/>
    <w:rsid w:val="009F10B2"/>
    <w:rsid w:val="009F10D9"/>
    <w:rsid w:val="009F10F3"/>
    <w:rsid w:val="009F1295"/>
    <w:rsid w:val="009F1337"/>
    <w:rsid w:val="009F1409"/>
    <w:rsid w:val="009F15A5"/>
    <w:rsid w:val="009F15B5"/>
    <w:rsid w:val="009F172D"/>
    <w:rsid w:val="009F175F"/>
    <w:rsid w:val="009F18EE"/>
    <w:rsid w:val="009F190B"/>
    <w:rsid w:val="009F19F5"/>
    <w:rsid w:val="009F1A39"/>
    <w:rsid w:val="009F1A77"/>
    <w:rsid w:val="009F1CCB"/>
    <w:rsid w:val="009F1DD9"/>
    <w:rsid w:val="009F1EC8"/>
    <w:rsid w:val="009F213B"/>
    <w:rsid w:val="009F2143"/>
    <w:rsid w:val="009F216C"/>
    <w:rsid w:val="009F21FF"/>
    <w:rsid w:val="009F22FF"/>
    <w:rsid w:val="009F2309"/>
    <w:rsid w:val="009F2313"/>
    <w:rsid w:val="009F2409"/>
    <w:rsid w:val="009F24B6"/>
    <w:rsid w:val="009F25A9"/>
    <w:rsid w:val="009F2703"/>
    <w:rsid w:val="009F274C"/>
    <w:rsid w:val="009F277D"/>
    <w:rsid w:val="009F2828"/>
    <w:rsid w:val="009F29A3"/>
    <w:rsid w:val="009F2A20"/>
    <w:rsid w:val="009F2A61"/>
    <w:rsid w:val="009F2A87"/>
    <w:rsid w:val="009F2AEE"/>
    <w:rsid w:val="009F2B59"/>
    <w:rsid w:val="009F2BC0"/>
    <w:rsid w:val="009F2C1C"/>
    <w:rsid w:val="009F2D50"/>
    <w:rsid w:val="009F2D9F"/>
    <w:rsid w:val="009F2DB2"/>
    <w:rsid w:val="009F2DCA"/>
    <w:rsid w:val="009F2DD5"/>
    <w:rsid w:val="009F2E3B"/>
    <w:rsid w:val="009F2EBC"/>
    <w:rsid w:val="009F2F1C"/>
    <w:rsid w:val="009F304A"/>
    <w:rsid w:val="009F3083"/>
    <w:rsid w:val="009F312D"/>
    <w:rsid w:val="009F3164"/>
    <w:rsid w:val="009F3348"/>
    <w:rsid w:val="009F33C4"/>
    <w:rsid w:val="009F33F0"/>
    <w:rsid w:val="009F3481"/>
    <w:rsid w:val="009F357A"/>
    <w:rsid w:val="009F35A4"/>
    <w:rsid w:val="009F3601"/>
    <w:rsid w:val="009F3657"/>
    <w:rsid w:val="009F36B4"/>
    <w:rsid w:val="009F36FB"/>
    <w:rsid w:val="009F37A6"/>
    <w:rsid w:val="009F37E6"/>
    <w:rsid w:val="009F38E7"/>
    <w:rsid w:val="009F3A61"/>
    <w:rsid w:val="009F3AB3"/>
    <w:rsid w:val="009F3AD0"/>
    <w:rsid w:val="009F3CBA"/>
    <w:rsid w:val="009F3E24"/>
    <w:rsid w:val="009F41A2"/>
    <w:rsid w:val="009F4275"/>
    <w:rsid w:val="009F4288"/>
    <w:rsid w:val="009F429E"/>
    <w:rsid w:val="009F4439"/>
    <w:rsid w:val="009F4449"/>
    <w:rsid w:val="009F448F"/>
    <w:rsid w:val="009F4690"/>
    <w:rsid w:val="009F4817"/>
    <w:rsid w:val="009F481A"/>
    <w:rsid w:val="009F484C"/>
    <w:rsid w:val="009F48A7"/>
    <w:rsid w:val="009F4980"/>
    <w:rsid w:val="009F4997"/>
    <w:rsid w:val="009F49DF"/>
    <w:rsid w:val="009F49E8"/>
    <w:rsid w:val="009F4B77"/>
    <w:rsid w:val="009F4BC5"/>
    <w:rsid w:val="009F4C78"/>
    <w:rsid w:val="009F4D71"/>
    <w:rsid w:val="009F4DB2"/>
    <w:rsid w:val="009F4E06"/>
    <w:rsid w:val="009F4E14"/>
    <w:rsid w:val="009F4FF5"/>
    <w:rsid w:val="009F507D"/>
    <w:rsid w:val="009F50C5"/>
    <w:rsid w:val="009F5117"/>
    <w:rsid w:val="009F5136"/>
    <w:rsid w:val="009F528B"/>
    <w:rsid w:val="009F5310"/>
    <w:rsid w:val="009F5396"/>
    <w:rsid w:val="009F53B0"/>
    <w:rsid w:val="009F53FB"/>
    <w:rsid w:val="009F54D5"/>
    <w:rsid w:val="009F5603"/>
    <w:rsid w:val="009F5775"/>
    <w:rsid w:val="009F57BA"/>
    <w:rsid w:val="009F586C"/>
    <w:rsid w:val="009F58A8"/>
    <w:rsid w:val="009F59A6"/>
    <w:rsid w:val="009F5A14"/>
    <w:rsid w:val="009F5A77"/>
    <w:rsid w:val="009F5B92"/>
    <w:rsid w:val="009F5BCC"/>
    <w:rsid w:val="009F5BCD"/>
    <w:rsid w:val="009F5C69"/>
    <w:rsid w:val="009F605C"/>
    <w:rsid w:val="009F6078"/>
    <w:rsid w:val="009F60A2"/>
    <w:rsid w:val="009F6115"/>
    <w:rsid w:val="009F628E"/>
    <w:rsid w:val="009F62F0"/>
    <w:rsid w:val="009F6333"/>
    <w:rsid w:val="009F6407"/>
    <w:rsid w:val="009F65DD"/>
    <w:rsid w:val="009F661B"/>
    <w:rsid w:val="009F6664"/>
    <w:rsid w:val="009F66A8"/>
    <w:rsid w:val="009F67D8"/>
    <w:rsid w:val="009F67F4"/>
    <w:rsid w:val="009F6845"/>
    <w:rsid w:val="009F6877"/>
    <w:rsid w:val="009F68D9"/>
    <w:rsid w:val="009F69A8"/>
    <w:rsid w:val="009F6A2A"/>
    <w:rsid w:val="009F6A70"/>
    <w:rsid w:val="009F6B3F"/>
    <w:rsid w:val="009F6BBD"/>
    <w:rsid w:val="009F6BCA"/>
    <w:rsid w:val="009F6BF9"/>
    <w:rsid w:val="009F6DC9"/>
    <w:rsid w:val="009F6E98"/>
    <w:rsid w:val="009F707A"/>
    <w:rsid w:val="009F7113"/>
    <w:rsid w:val="009F7132"/>
    <w:rsid w:val="009F71B8"/>
    <w:rsid w:val="009F71BC"/>
    <w:rsid w:val="009F71D4"/>
    <w:rsid w:val="009F724B"/>
    <w:rsid w:val="009F7319"/>
    <w:rsid w:val="009F73A5"/>
    <w:rsid w:val="009F7453"/>
    <w:rsid w:val="009F747B"/>
    <w:rsid w:val="009F7497"/>
    <w:rsid w:val="009F754D"/>
    <w:rsid w:val="009F75A2"/>
    <w:rsid w:val="009F75BD"/>
    <w:rsid w:val="009F7655"/>
    <w:rsid w:val="009F7696"/>
    <w:rsid w:val="009F772A"/>
    <w:rsid w:val="009F7743"/>
    <w:rsid w:val="009F776A"/>
    <w:rsid w:val="009F77E6"/>
    <w:rsid w:val="009F7827"/>
    <w:rsid w:val="009F793F"/>
    <w:rsid w:val="009F79C8"/>
    <w:rsid w:val="009F79D2"/>
    <w:rsid w:val="009F7C0A"/>
    <w:rsid w:val="009F7CCB"/>
    <w:rsid w:val="009F7D5D"/>
    <w:rsid w:val="009F7E65"/>
    <w:rsid w:val="009F7F3A"/>
    <w:rsid w:val="009F7F90"/>
    <w:rsid w:val="009F7F93"/>
    <w:rsid w:val="009F7FBF"/>
    <w:rsid w:val="00A00007"/>
    <w:rsid w:val="00A000A2"/>
    <w:rsid w:val="00A000B6"/>
    <w:rsid w:val="00A00224"/>
    <w:rsid w:val="00A0026A"/>
    <w:rsid w:val="00A0026C"/>
    <w:rsid w:val="00A0030E"/>
    <w:rsid w:val="00A0032D"/>
    <w:rsid w:val="00A003B7"/>
    <w:rsid w:val="00A003FD"/>
    <w:rsid w:val="00A00422"/>
    <w:rsid w:val="00A00450"/>
    <w:rsid w:val="00A004D9"/>
    <w:rsid w:val="00A004DE"/>
    <w:rsid w:val="00A00558"/>
    <w:rsid w:val="00A0058E"/>
    <w:rsid w:val="00A005C2"/>
    <w:rsid w:val="00A005C4"/>
    <w:rsid w:val="00A006AF"/>
    <w:rsid w:val="00A006EF"/>
    <w:rsid w:val="00A007DD"/>
    <w:rsid w:val="00A0081D"/>
    <w:rsid w:val="00A008F6"/>
    <w:rsid w:val="00A00AEA"/>
    <w:rsid w:val="00A00B78"/>
    <w:rsid w:val="00A00BCD"/>
    <w:rsid w:val="00A00C16"/>
    <w:rsid w:val="00A00CC8"/>
    <w:rsid w:val="00A00ED1"/>
    <w:rsid w:val="00A00EFA"/>
    <w:rsid w:val="00A01003"/>
    <w:rsid w:val="00A01103"/>
    <w:rsid w:val="00A012F2"/>
    <w:rsid w:val="00A01348"/>
    <w:rsid w:val="00A013B4"/>
    <w:rsid w:val="00A01480"/>
    <w:rsid w:val="00A01555"/>
    <w:rsid w:val="00A0155D"/>
    <w:rsid w:val="00A015EA"/>
    <w:rsid w:val="00A01783"/>
    <w:rsid w:val="00A017C4"/>
    <w:rsid w:val="00A01807"/>
    <w:rsid w:val="00A01A04"/>
    <w:rsid w:val="00A01C69"/>
    <w:rsid w:val="00A01D11"/>
    <w:rsid w:val="00A01D2A"/>
    <w:rsid w:val="00A01D48"/>
    <w:rsid w:val="00A01E1A"/>
    <w:rsid w:val="00A01E63"/>
    <w:rsid w:val="00A01E91"/>
    <w:rsid w:val="00A01F49"/>
    <w:rsid w:val="00A01F78"/>
    <w:rsid w:val="00A01FFD"/>
    <w:rsid w:val="00A021F0"/>
    <w:rsid w:val="00A0226A"/>
    <w:rsid w:val="00A022BD"/>
    <w:rsid w:val="00A02382"/>
    <w:rsid w:val="00A024AF"/>
    <w:rsid w:val="00A02516"/>
    <w:rsid w:val="00A025AE"/>
    <w:rsid w:val="00A02878"/>
    <w:rsid w:val="00A028C3"/>
    <w:rsid w:val="00A02916"/>
    <w:rsid w:val="00A0292D"/>
    <w:rsid w:val="00A02A61"/>
    <w:rsid w:val="00A02A6E"/>
    <w:rsid w:val="00A02B36"/>
    <w:rsid w:val="00A02B37"/>
    <w:rsid w:val="00A02B9C"/>
    <w:rsid w:val="00A02BC4"/>
    <w:rsid w:val="00A02C23"/>
    <w:rsid w:val="00A02C9C"/>
    <w:rsid w:val="00A02E73"/>
    <w:rsid w:val="00A02EA3"/>
    <w:rsid w:val="00A02F3C"/>
    <w:rsid w:val="00A02F9C"/>
    <w:rsid w:val="00A02FF8"/>
    <w:rsid w:val="00A03001"/>
    <w:rsid w:val="00A031D3"/>
    <w:rsid w:val="00A031E1"/>
    <w:rsid w:val="00A031F7"/>
    <w:rsid w:val="00A0343D"/>
    <w:rsid w:val="00A03471"/>
    <w:rsid w:val="00A03590"/>
    <w:rsid w:val="00A035C7"/>
    <w:rsid w:val="00A036F7"/>
    <w:rsid w:val="00A03710"/>
    <w:rsid w:val="00A03766"/>
    <w:rsid w:val="00A0376A"/>
    <w:rsid w:val="00A037E9"/>
    <w:rsid w:val="00A03826"/>
    <w:rsid w:val="00A03933"/>
    <w:rsid w:val="00A03953"/>
    <w:rsid w:val="00A03A80"/>
    <w:rsid w:val="00A03A84"/>
    <w:rsid w:val="00A03ACD"/>
    <w:rsid w:val="00A03B29"/>
    <w:rsid w:val="00A03BFE"/>
    <w:rsid w:val="00A03C84"/>
    <w:rsid w:val="00A03DF7"/>
    <w:rsid w:val="00A03DF8"/>
    <w:rsid w:val="00A03F1C"/>
    <w:rsid w:val="00A03F87"/>
    <w:rsid w:val="00A0400D"/>
    <w:rsid w:val="00A04081"/>
    <w:rsid w:val="00A040B2"/>
    <w:rsid w:val="00A040BC"/>
    <w:rsid w:val="00A040E4"/>
    <w:rsid w:val="00A041DE"/>
    <w:rsid w:val="00A04228"/>
    <w:rsid w:val="00A04282"/>
    <w:rsid w:val="00A042F7"/>
    <w:rsid w:val="00A04339"/>
    <w:rsid w:val="00A043D1"/>
    <w:rsid w:val="00A043E2"/>
    <w:rsid w:val="00A0445E"/>
    <w:rsid w:val="00A04532"/>
    <w:rsid w:val="00A04680"/>
    <w:rsid w:val="00A04796"/>
    <w:rsid w:val="00A048EF"/>
    <w:rsid w:val="00A048FB"/>
    <w:rsid w:val="00A04916"/>
    <w:rsid w:val="00A04947"/>
    <w:rsid w:val="00A049F0"/>
    <w:rsid w:val="00A04A40"/>
    <w:rsid w:val="00A04ADF"/>
    <w:rsid w:val="00A04CAF"/>
    <w:rsid w:val="00A04CDF"/>
    <w:rsid w:val="00A04D14"/>
    <w:rsid w:val="00A04D93"/>
    <w:rsid w:val="00A04DC9"/>
    <w:rsid w:val="00A04EE5"/>
    <w:rsid w:val="00A04EEC"/>
    <w:rsid w:val="00A0503B"/>
    <w:rsid w:val="00A05064"/>
    <w:rsid w:val="00A050B9"/>
    <w:rsid w:val="00A0518E"/>
    <w:rsid w:val="00A0527E"/>
    <w:rsid w:val="00A055EF"/>
    <w:rsid w:val="00A055FD"/>
    <w:rsid w:val="00A05650"/>
    <w:rsid w:val="00A05775"/>
    <w:rsid w:val="00A05794"/>
    <w:rsid w:val="00A057EA"/>
    <w:rsid w:val="00A05811"/>
    <w:rsid w:val="00A0593E"/>
    <w:rsid w:val="00A05960"/>
    <w:rsid w:val="00A05984"/>
    <w:rsid w:val="00A05AEE"/>
    <w:rsid w:val="00A05B0C"/>
    <w:rsid w:val="00A05B87"/>
    <w:rsid w:val="00A05C26"/>
    <w:rsid w:val="00A05CA0"/>
    <w:rsid w:val="00A05DDA"/>
    <w:rsid w:val="00A05E75"/>
    <w:rsid w:val="00A05E9F"/>
    <w:rsid w:val="00A05FC7"/>
    <w:rsid w:val="00A05FF2"/>
    <w:rsid w:val="00A06080"/>
    <w:rsid w:val="00A0608C"/>
    <w:rsid w:val="00A0611F"/>
    <w:rsid w:val="00A0617A"/>
    <w:rsid w:val="00A0619B"/>
    <w:rsid w:val="00A061E9"/>
    <w:rsid w:val="00A061F0"/>
    <w:rsid w:val="00A06203"/>
    <w:rsid w:val="00A06302"/>
    <w:rsid w:val="00A06307"/>
    <w:rsid w:val="00A0649E"/>
    <w:rsid w:val="00A064EE"/>
    <w:rsid w:val="00A06625"/>
    <w:rsid w:val="00A066D0"/>
    <w:rsid w:val="00A06900"/>
    <w:rsid w:val="00A069C2"/>
    <w:rsid w:val="00A06A3A"/>
    <w:rsid w:val="00A06AD9"/>
    <w:rsid w:val="00A06C82"/>
    <w:rsid w:val="00A06C93"/>
    <w:rsid w:val="00A06E52"/>
    <w:rsid w:val="00A06E5E"/>
    <w:rsid w:val="00A06F3E"/>
    <w:rsid w:val="00A06F9B"/>
    <w:rsid w:val="00A06FCC"/>
    <w:rsid w:val="00A0706E"/>
    <w:rsid w:val="00A0707F"/>
    <w:rsid w:val="00A071D0"/>
    <w:rsid w:val="00A0724A"/>
    <w:rsid w:val="00A07357"/>
    <w:rsid w:val="00A07397"/>
    <w:rsid w:val="00A0754C"/>
    <w:rsid w:val="00A07561"/>
    <w:rsid w:val="00A07598"/>
    <w:rsid w:val="00A075D4"/>
    <w:rsid w:val="00A075DA"/>
    <w:rsid w:val="00A0778B"/>
    <w:rsid w:val="00A077AB"/>
    <w:rsid w:val="00A077F7"/>
    <w:rsid w:val="00A0781D"/>
    <w:rsid w:val="00A07929"/>
    <w:rsid w:val="00A07980"/>
    <w:rsid w:val="00A07995"/>
    <w:rsid w:val="00A079C0"/>
    <w:rsid w:val="00A07B3D"/>
    <w:rsid w:val="00A07C47"/>
    <w:rsid w:val="00A07CB2"/>
    <w:rsid w:val="00A07E3F"/>
    <w:rsid w:val="00A07EC6"/>
    <w:rsid w:val="00A07ED5"/>
    <w:rsid w:val="00A07FA9"/>
    <w:rsid w:val="00A0F6B4"/>
    <w:rsid w:val="00A100DD"/>
    <w:rsid w:val="00A10113"/>
    <w:rsid w:val="00A10275"/>
    <w:rsid w:val="00A10289"/>
    <w:rsid w:val="00A102A8"/>
    <w:rsid w:val="00A102B0"/>
    <w:rsid w:val="00A10381"/>
    <w:rsid w:val="00A1044D"/>
    <w:rsid w:val="00A104E5"/>
    <w:rsid w:val="00A10516"/>
    <w:rsid w:val="00A10656"/>
    <w:rsid w:val="00A10720"/>
    <w:rsid w:val="00A1075D"/>
    <w:rsid w:val="00A107F2"/>
    <w:rsid w:val="00A1082A"/>
    <w:rsid w:val="00A108B3"/>
    <w:rsid w:val="00A10938"/>
    <w:rsid w:val="00A10956"/>
    <w:rsid w:val="00A109A8"/>
    <w:rsid w:val="00A10B22"/>
    <w:rsid w:val="00A10B7A"/>
    <w:rsid w:val="00A10BFC"/>
    <w:rsid w:val="00A10CC4"/>
    <w:rsid w:val="00A10DF9"/>
    <w:rsid w:val="00A10F85"/>
    <w:rsid w:val="00A10FCE"/>
    <w:rsid w:val="00A110FF"/>
    <w:rsid w:val="00A1110B"/>
    <w:rsid w:val="00A11178"/>
    <w:rsid w:val="00A11344"/>
    <w:rsid w:val="00A11349"/>
    <w:rsid w:val="00A113A9"/>
    <w:rsid w:val="00A1146C"/>
    <w:rsid w:val="00A114C3"/>
    <w:rsid w:val="00A11756"/>
    <w:rsid w:val="00A117C1"/>
    <w:rsid w:val="00A1187F"/>
    <w:rsid w:val="00A11A23"/>
    <w:rsid w:val="00A11B70"/>
    <w:rsid w:val="00A11C84"/>
    <w:rsid w:val="00A11C9E"/>
    <w:rsid w:val="00A11CE3"/>
    <w:rsid w:val="00A11CF4"/>
    <w:rsid w:val="00A11D35"/>
    <w:rsid w:val="00A11D76"/>
    <w:rsid w:val="00A11EF1"/>
    <w:rsid w:val="00A11F40"/>
    <w:rsid w:val="00A11FCC"/>
    <w:rsid w:val="00A11FF5"/>
    <w:rsid w:val="00A12030"/>
    <w:rsid w:val="00A1219F"/>
    <w:rsid w:val="00A1222E"/>
    <w:rsid w:val="00A12382"/>
    <w:rsid w:val="00A123C6"/>
    <w:rsid w:val="00A12498"/>
    <w:rsid w:val="00A125C0"/>
    <w:rsid w:val="00A1270A"/>
    <w:rsid w:val="00A12719"/>
    <w:rsid w:val="00A127E8"/>
    <w:rsid w:val="00A1285B"/>
    <w:rsid w:val="00A12A66"/>
    <w:rsid w:val="00A12ADA"/>
    <w:rsid w:val="00A12BDE"/>
    <w:rsid w:val="00A12C04"/>
    <w:rsid w:val="00A12C59"/>
    <w:rsid w:val="00A12CFF"/>
    <w:rsid w:val="00A12DC8"/>
    <w:rsid w:val="00A12E09"/>
    <w:rsid w:val="00A12EBD"/>
    <w:rsid w:val="00A13067"/>
    <w:rsid w:val="00A131D6"/>
    <w:rsid w:val="00A13214"/>
    <w:rsid w:val="00A13314"/>
    <w:rsid w:val="00A1337F"/>
    <w:rsid w:val="00A1339E"/>
    <w:rsid w:val="00A133C7"/>
    <w:rsid w:val="00A13430"/>
    <w:rsid w:val="00A13442"/>
    <w:rsid w:val="00A13448"/>
    <w:rsid w:val="00A134BC"/>
    <w:rsid w:val="00A13692"/>
    <w:rsid w:val="00A136FD"/>
    <w:rsid w:val="00A13727"/>
    <w:rsid w:val="00A1377D"/>
    <w:rsid w:val="00A139C6"/>
    <w:rsid w:val="00A13CA6"/>
    <w:rsid w:val="00A13D29"/>
    <w:rsid w:val="00A13DAE"/>
    <w:rsid w:val="00A13E11"/>
    <w:rsid w:val="00A13E7D"/>
    <w:rsid w:val="00A13EF4"/>
    <w:rsid w:val="00A13EF7"/>
    <w:rsid w:val="00A13FA4"/>
    <w:rsid w:val="00A1413D"/>
    <w:rsid w:val="00A14168"/>
    <w:rsid w:val="00A1418A"/>
    <w:rsid w:val="00A142AE"/>
    <w:rsid w:val="00A142B1"/>
    <w:rsid w:val="00A1433C"/>
    <w:rsid w:val="00A143C6"/>
    <w:rsid w:val="00A14402"/>
    <w:rsid w:val="00A14409"/>
    <w:rsid w:val="00A144AB"/>
    <w:rsid w:val="00A144C9"/>
    <w:rsid w:val="00A1458D"/>
    <w:rsid w:val="00A14624"/>
    <w:rsid w:val="00A146A6"/>
    <w:rsid w:val="00A14769"/>
    <w:rsid w:val="00A149F2"/>
    <w:rsid w:val="00A14C21"/>
    <w:rsid w:val="00A14CCA"/>
    <w:rsid w:val="00A14CD2"/>
    <w:rsid w:val="00A14D4C"/>
    <w:rsid w:val="00A14D77"/>
    <w:rsid w:val="00A14DCE"/>
    <w:rsid w:val="00A14DF0"/>
    <w:rsid w:val="00A14F43"/>
    <w:rsid w:val="00A14F93"/>
    <w:rsid w:val="00A1509C"/>
    <w:rsid w:val="00A150FA"/>
    <w:rsid w:val="00A15127"/>
    <w:rsid w:val="00A15174"/>
    <w:rsid w:val="00A1521D"/>
    <w:rsid w:val="00A15240"/>
    <w:rsid w:val="00A152EA"/>
    <w:rsid w:val="00A153F3"/>
    <w:rsid w:val="00A1542C"/>
    <w:rsid w:val="00A154D2"/>
    <w:rsid w:val="00A155D2"/>
    <w:rsid w:val="00A155E5"/>
    <w:rsid w:val="00A157E3"/>
    <w:rsid w:val="00A157F6"/>
    <w:rsid w:val="00A15834"/>
    <w:rsid w:val="00A1584E"/>
    <w:rsid w:val="00A1586C"/>
    <w:rsid w:val="00A158AD"/>
    <w:rsid w:val="00A15981"/>
    <w:rsid w:val="00A15AD5"/>
    <w:rsid w:val="00A15AF3"/>
    <w:rsid w:val="00A15B24"/>
    <w:rsid w:val="00A15B9B"/>
    <w:rsid w:val="00A15BA6"/>
    <w:rsid w:val="00A15C56"/>
    <w:rsid w:val="00A15C68"/>
    <w:rsid w:val="00A15E4F"/>
    <w:rsid w:val="00A15EB7"/>
    <w:rsid w:val="00A15F0B"/>
    <w:rsid w:val="00A1600E"/>
    <w:rsid w:val="00A16033"/>
    <w:rsid w:val="00A1619E"/>
    <w:rsid w:val="00A161BD"/>
    <w:rsid w:val="00A1624C"/>
    <w:rsid w:val="00A1629C"/>
    <w:rsid w:val="00A1633A"/>
    <w:rsid w:val="00A16630"/>
    <w:rsid w:val="00A16688"/>
    <w:rsid w:val="00A166E7"/>
    <w:rsid w:val="00A16716"/>
    <w:rsid w:val="00A1678D"/>
    <w:rsid w:val="00A16791"/>
    <w:rsid w:val="00A168A6"/>
    <w:rsid w:val="00A168B1"/>
    <w:rsid w:val="00A16AC1"/>
    <w:rsid w:val="00A16AC4"/>
    <w:rsid w:val="00A16BC8"/>
    <w:rsid w:val="00A16C63"/>
    <w:rsid w:val="00A16D64"/>
    <w:rsid w:val="00A16D8A"/>
    <w:rsid w:val="00A16DD6"/>
    <w:rsid w:val="00A16DED"/>
    <w:rsid w:val="00A16E80"/>
    <w:rsid w:val="00A16EED"/>
    <w:rsid w:val="00A17092"/>
    <w:rsid w:val="00A170E8"/>
    <w:rsid w:val="00A17195"/>
    <w:rsid w:val="00A17244"/>
    <w:rsid w:val="00A172D3"/>
    <w:rsid w:val="00A17360"/>
    <w:rsid w:val="00A1739B"/>
    <w:rsid w:val="00A17498"/>
    <w:rsid w:val="00A174F0"/>
    <w:rsid w:val="00A17548"/>
    <w:rsid w:val="00A17574"/>
    <w:rsid w:val="00A17605"/>
    <w:rsid w:val="00A17658"/>
    <w:rsid w:val="00A177A6"/>
    <w:rsid w:val="00A177C0"/>
    <w:rsid w:val="00A17827"/>
    <w:rsid w:val="00A17945"/>
    <w:rsid w:val="00A17A3F"/>
    <w:rsid w:val="00A17A80"/>
    <w:rsid w:val="00A17AAB"/>
    <w:rsid w:val="00A17C04"/>
    <w:rsid w:val="00A17CA2"/>
    <w:rsid w:val="00A17CA8"/>
    <w:rsid w:val="00A17D14"/>
    <w:rsid w:val="00A17E34"/>
    <w:rsid w:val="00A17F9F"/>
    <w:rsid w:val="00A20015"/>
    <w:rsid w:val="00A200E8"/>
    <w:rsid w:val="00A20105"/>
    <w:rsid w:val="00A20121"/>
    <w:rsid w:val="00A20360"/>
    <w:rsid w:val="00A204C6"/>
    <w:rsid w:val="00A2059A"/>
    <w:rsid w:val="00A205A1"/>
    <w:rsid w:val="00A205E2"/>
    <w:rsid w:val="00A20691"/>
    <w:rsid w:val="00A20698"/>
    <w:rsid w:val="00A206F3"/>
    <w:rsid w:val="00A2075C"/>
    <w:rsid w:val="00A207CF"/>
    <w:rsid w:val="00A208AB"/>
    <w:rsid w:val="00A208B7"/>
    <w:rsid w:val="00A2093D"/>
    <w:rsid w:val="00A20991"/>
    <w:rsid w:val="00A2099D"/>
    <w:rsid w:val="00A209A0"/>
    <w:rsid w:val="00A209A7"/>
    <w:rsid w:val="00A20B67"/>
    <w:rsid w:val="00A20BBA"/>
    <w:rsid w:val="00A20C44"/>
    <w:rsid w:val="00A20C83"/>
    <w:rsid w:val="00A20CD5"/>
    <w:rsid w:val="00A20CFE"/>
    <w:rsid w:val="00A20D89"/>
    <w:rsid w:val="00A20E26"/>
    <w:rsid w:val="00A20F11"/>
    <w:rsid w:val="00A20FFB"/>
    <w:rsid w:val="00A21011"/>
    <w:rsid w:val="00A2116D"/>
    <w:rsid w:val="00A21170"/>
    <w:rsid w:val="00A2118F"/>
    <w:rsid w:val="00A2125D"/>
    <w:rsid w:val="00A21261"/>
    <w:rsid w:val="00A212AB"/>
    <w:rsid w:val="00A2131D"/>
    <w:rsid w:val="00A213EF"/>
    <w:rsid w:val="00A21554"/>
    <w:rsid w:val="00A21590"/>
    <w:rsid w:val="00A215F4"/>
    <w:rsid w:val="00A215FC"/>
    <w:rsid w:val="00A21678"/>
    <w:rsid w:val="00A2177D"/>
    <w:rsid w:val="00A21916"/>
    <w:rsid w:val="00A2194F"/>
    <w:rsid w:val="00A2195F"/>
    <w:rsid w:val="00A219EC"/>
    <w:rsid w:val="00A21B34"/>
    <w:rsid w:val="00A21B38"/>
    <w:rsid w:val="00A21B44"/>
    <w:rsid w:val="00A21CBF"/>
    <w:rsid w:val="00A21CD2"/>
    <w:rsid w:val="00A21CE9"/>
    <w:rsid w:val="00A21D26"/>
    <w:rsid w:val="00A21D61"/>
    <w:rsid w:val="00A21E50"/>
    <w:rsid w:val="00A21E9A"/>
    <w:rsid w:val="00A21F8C"/>
    <w:rsid w:val="00A21F99"/>
    <w:rsid w:val="00A22024"/>
    <w:rsid w:val="00A22050"/>
    <w:rsid w:val="00A22175"/>
    <w:rsid w:val="00A221CB"/>
    <w:rsid w:val="00A223A7"/>
    <w:rsid w:val="00A223BA"/>
    <w:rsid w:val="00A223C9"/>
    <w:rsid w:val="00A22449"/>
    <w:rsid w:val="00A224EA"/>
    <w:rsid w:val="00A22502"/>
    <w:rsid w:val="00A225BC"/>
    <w:rsid w:val="00A2261A"/>
    <w:rsid w:val="00A2262C"/>
    <w:rsid w:val="00A22637"/>
    <w:rsid w:val="00A22661"/>
    <w:rsid w:val="00A226B9"/>
    <w:rsid w:val="00A22768"/>
    <w:rsid w:val="00A227E5"/>
    <w:rsid w:val="00A2286A"/>
    <w:rsid w:val="00A22998"/>
    <w:rsid w:val="00A229E8"/>
    <w:rsid w:val="00A22A39"/>
    <w:rsid w:val="00A22A4E"/>
    <w:rsid w:val="00A22A6A"/>
    <w:rsid w:val="00A22B76"/>
    <w:rsid w:val="00A22C7E"/>
    <w:rsid w:val="00A22DE0"/>
    <w:rsid w:val="00A22E52"/>
    <w:rsid w:val="00A22FD4"/>
    <w:rsid w:val="00A23034"/>
    <w:rsid w:val="00A23042"/>
    <w:rsid w:val="00A230AE"/>
    <w:rsid w:val="00A230F3"/>
    <w:rsid w:val="00A2310B"/>
    <w:rsid w:val="00A23116"/>
    <w:rsid w:val="00A23142"/>
    <w:rsid w:val="00A23176"/>
    <w:rsid w:val="00A231EB"/>
    <w:rsid w:val="00A23217"/>
    <w:rsid w:val="00A232D1"/>
    <w:rsid w:val="00A234AF"/>
    <w:rsid w:val="00A234F9"/>
    <w:rsid w:val="00A23544"/>
    <w:rsid w:val="00A235C4"/>
    <w:rsid w:val="00A23682"/>
    <w:rsid w:val="00A2371F"/>
    <w:rsid w:val="00A23722"/>
    <w:rsid w:val="00A2375A"/>
    <w:rsid w:val="00A237AD"/>
    <w:rsid w:val="00A237C2"/>
    <w:rsid w:val="00A2382B"/>
    <w:rsid w:val="00A2390B"/>
    <w:rsid w:val="00A2398F"/>
    <w:rsid w:val="00A239AE"/>
    <w:rsid w:val="00A23A2D"/>
    <w:rsid w:val="00A23C19"/>
    <w:rsid w:val="00A23CD3"/>
    <w:rsid w:val="00A23CEA"/>
    <w:rsid w:val="00A23E15"/>
    <w:rsid w:val="00A23F98"/>
    <w:rsid w:val="00A23FB4"/>
    <w:rsid w:val="00A23FBC"/>
    <w:rsid w:val="00A24053"/>
    <w:rsid w:val="00A240CC"/>
    <w:rsid w:val="00A24169"/>
    <w:rsid w:val="00A24193"/>
    <w:rsid w:val="00A24221"/>
    <w:rsid w:val="00A2422A"/>
    <w:rsid w:val="00A243EB"/>
    <w:rsid w:val="00A24533"/>
    <w:rsid w:val="00A2453B"/>
    <w:rsid w:val="00A245A1"/>
    <w:rsid w:val="00A245AB"/>
    <w:rsid w:val="00A245FE"/>
    <w:rsid w:val="00A2463E"/>
    <w:rsid w:val="00A2468A"/>
    <w:rsid w:val="00A246A7"/>
    <w:rsid w:val="00A247A1"/>
    <w:rsid w:val="00A247A8"/>
    <w:rsid w:val="00A2489A"/>
    <w:rsid w:val="00A248B4"/>
    <w:rsid w:val="00A2496F"/>
    <w:rsid w:val="00A24A2E"/>
    <w:rsid w:val="00A24A73"/>
    <w:rsid w:val="00A24A83"/>
    <w:rsid w:val="00A24B4E"/>
    <w:rsid w:val="00A24CA0"/>
    <w:rsid w:val="00A24CF8"/>
    <w:rsid w:val="00A24D38"/>
    <w:rsid w:val="00A24D8B"/>
    <w:rsid w:val="00A24E42"/>
    <w:rsid w:val="00A25043"/>
    <w:rsid w:val="00A25127"/>
    <w:rsid w:val="00A251D5"/>
    <w:rsid w:val="00A251DC"/>
    <w:rsid w:val="00A251F3"/>
    <w:rsid w:val="00A2522D"/>
    <w:rsid w:val="00A25272"/>
    <w:rsid w:val="00A25279"/>
    <w:rsid w:val="00A252A2"/>
    <w:rsid w:val="00A2537A"/>
    <w:rsid w:val="00A254A2"/>
    <w:rsid w:val="00A2555B"/>
    <w:rsid w:val="00A25569"/>
    <w:rsid w:val="00A255A5"/>
    <w:rsid w:val="00A2567B"/>
    <w:rsid w:val="00A2569A"/>
    <w:rsid w:val="00A256C7"/>
    <w:rsid w:val="00A256D4"/>
    <w:rsid w:val="00A25700"/>
    <w:rsid w:val="00A257D5"/>
    <w:rsid w:val="00A2580D"/>
    <w:rsid w:val="00A25880"/>
    <w:rsid w:val="00A2591D"/>
    <w:rsid w:val="00A25994"/>
    <w:rsid w:val="00A259DD"/>
    <w:rsid w:val="00A259E0"/>
    <w:rsid w:val="00A25A10"/>
    <w:rsid w:val="00A25AA7"/>
    <w:rsid w:val="00A25B0B"/>
    <w:rsid w:val="00A25B1D"/>
    <w:rsid w:val="00A25B2C"/>
    <w:rsid w:val="00A25B70"/>
    <w:rsid w:val="00A25BF5"/>
    <w:rsid w:val="00A25E48"/>
    <w:rsid w:val="00A25F74"/>
    <w:rsid w:val="00A25F8F"/>
    <w:rsid w:val="00A26110"/>
    <w:rsid w:val="00A26290"/>
    <w:rsid w:val="00A26439"/>
    <w:rsid w:val="00A26472"/>
    <w:rsid w:val="00A264F6"/>
    <w:rsid w:val="00A26556"/>
    <w:rsid w:val="00A266E8"/>
    <w:rsid w:val="00A268C7"/>
    <w:rsid w:val="00A268E5"/>
    <w:rsid w:val="00A26945"/>
    <w:rsid w:val="00A269E8"/>
    <w:rsid w:val="00A26A57"/>
    <w:rsid w:val="00A26B31"/>
    <w:rsid w:val="00A26B6F"/>
    <w:rsid w:val="00A26C1F"/>
    <w:rsid w:val="00A26C65"/>
    <w:rsid w:val="00A26C98"/>
    <w:rsid w:val="00A26D09"/>
    <w:rsid w:val="00A26D96"/>
    <w:rsid w:val="00A26DA7"/>
    <w:rsid w:val="00A26E6A"/>
    <w:rsid w:val="00A2704F"/>
    <w:rsid w:val="00A2707B"/>
    <w:rsid w:val="00A271DE"/>
    <w:rsid w:val="00A27223"/>
    <w:rsid w:val="00A27226"/>
    <w:rsid w:val="00A27246"/>
    <w:rsid w:val="00A2728A"/>
    <w:rsid w:val="00A273ED"/>
    <w:rsid w:val="00A2746F"/>
    <w:rsid w:val="00A274FD"/>
    <w:rsid w:val="00A2751B"/>
    <w:rsid w:val="00A2755A"/>
    <w:rsid w:val="00A2763A"/>
    <w:rsid w:val="00A276D5"/>
    <w:rsid w:val="00A277C0"/>
    <w:rsid w:val="00A27879"/>
    <w:rsid w:val="00A2788F"/>
    <w:rsid w:val="00A27957"/>
    <w:rsid w:val="00A27A2D"/>
    <w:rsid w:val="00A27A69"/>
    <w:rsid w:val="00A27B2F"/>
    <w:rsid w:val="00A27B6E"/>
    <w:rsid w:val="00A27B80"/>
    <w:rsid w:val="00A27BC6"/>
    <w:rsid w:val="00A27C5A"/>
    <w:rsid w:val="00A27CC9"/>
    <w:rsid w:val="00A27CFC"/>
    <w:rsid w:val="00A27CFD"/>
    <w:rsid w:val="00A27E9F"/>
    <w:rsid w:val="00A27EF0"/>
    <w:rsid w:val="00A27F45"/>
    <w:rsid w:val="00A27FA9"/>
    <w:rsid w:val="00A27FB3"/>
    <w:rsid w:val="00A27FB5"/>
    <w:rsid w:val="00A30051"/>
    <w:rsid w:val="00A300A0"/>
    <w:rsid w:val="00A30117"/>
    <w:rsid w:val="00A3033C"/>
    <w:rsid w:val="00A304C3"/>
    <w:rsid w:val="00A30563"/>
    <w:rsid w:val="00A30587"/>
    <w:rsid w:val="00A30642"/>
    <w:rsid w:val="00A30690"/>
    <w:rsid w:val="00A30740"/>
    <w:rsid w:val="00A3084B"/>
    <w:rsid w:val="00A309A5"/>
    <w:rsid w:val="00A309CB"/>
    <w:rsid w:val="00A30BD4"/>
    <w:rsid w:val="00A30BD9"/>
    <w:rsid w:val="00A30CAD"/>
    <w:rsid w:val="00A30CDD"/>
    <w:rsid w:val="00A30D74"/>
    <w:rsid w:val="00A30DF5"/>
    <w:rsid w:val="00A30E25"/>
    <w:rsid w:val="00A30F21"/>
    <w:rsid w:val="00A30F9F"/>
    <w:rsid w:val="00A310F2"/>
    <w:rsid w:val="00A31152"/>
    <w:rsid w:val="00A311F0"/>
    <w:rsid w:val="00A3127D"/>
    <w:rsid w:val="00A312A8"/>
    <w:rsid w:val="00A312B6"/>
    <w:rsid w:val="00A313DC"/>
    <w:rsid w:val="00A31517"/>
    <w:rsid w:val="00A315A1"/>
    <w:rsid w:val="00A3168E"/>
    <w:rsid w:val="00A31B33"/>
    <w:rsid w:val="00A31CC0"/>
    <w:rsid w:val="00A31D0F"/>
    <w:rsid w:val="00A31D6D"/>
    <w:rsid w:val="00A31E68"/>
    <w:rsid w:val="00A31E84"/>
    <w:rsid w:val="00A31FCB"/>
    <w:rsid w:val="00A3205D"/>
    <w:rsid w:val="00A32071"/>
    <w:rsid w:val="00A32192"/>
    <w:rsid w:val="00A32197"/>
    <w:rsid w:val="00A321CC"/>
    <w:rsid w:val="00A32215"/>
    <w:rsid w:val="00A322C2"/>
    <w:rsid w:val="00A32358"/>
    <w:rsid w:val="00A32377"/>
    <w:rsid w:val="00A323F0"/>
    <w:rsid w:val="00A324DD"/>
    <w:rsid w:val="00A3257E"/>
    <w:rsid w:val="00A32582"/>
    <w:rsid w:val="00A325B4"/>
    <w:rsid w:val="00A325B6"/>
    <w:rsid w:val="00A32667"/>
    <w:rsid w:val="00A32681"/>
    <w:rsid w:val="00A326B7"/>
    <w:rsid w:val="00A32706"/>
    <w:rsid w:val="00A32786"/>
    <w:rsid w:val="00A327A6"/>
    <w:rsid w:val="00A327AC"/>
    <w:rsid w:val="00A32813"/>
    <w:rsid w:val="00A32875"/>
    <w:rsid w:val="00A32891"/>
    <w:rsid w:val="00A32897"/>
    <w:rsid w:val="00A328F7"/>
    <w:rsid w:val="00A32953"/>
    <w:rsid w:val="00A3299C"/>
    <w:rsid w:val="00A32A1B"/>
    <w:rsid w:val="00A32B99"/>
    <w:rsid w:val="00A32CAD"/>
    <w:rsid w:val="00A32D8F"/>
    <w:rsid w:val="00A32D9C"/>
    <w:rsid w:val="00A32DB7"/>
    <w:rsid w:val="00A32EB4"/>
    <w:rsid w:val="00A32F30"/>
    <w:rsid w:val="00A32F76"/>
    <w:rsid w:val="00A32F95"/>
    <w:rsid w:val="00A33044"/>
    <w:rsid w:val="00A330E1"/>
    <w:rsid w:val="00A33133"/>
    <w:rsid w:val="00A3323B"/>
    <w:rsid w:val="00A33244"/>
    <w:rsid w:val="00A33251"/>
    <w:rsid w:val="00A33254"/>
    <w:rsid w:val="00A3325E"/>
    <w:rsid w:val="00A332CC"/>
    <w:rsid w:val="00A332E1"/>
    <w:rsid w:val="00A33309"/>
    <w:rsid w:val="00A3339C"/>
    <w:rsid w:val="00A3350C"/>
    <w:rsid w:val="00A335D0"/>
    <w:rsid w:val="00A3368A"/>
    <w:rsid w:val="00A336C8"/>
    <w:rsid w:val="00A33724"/>
    <w:rsid w:val="00A33728"/>
    <w:rsid w:val="00A338FA"/>
    <w:rsid w:val="00A3393E"/>
    <w:rsid w:val="00A33A77"/>
    <w:rsid w:val="00A33A90"/>
    <w:rsid w:val="00A33AC7"/>
    <w:rsid w:val="00A33B9B"/>
    <w:rsid w:val="00A33BAE"/>
    <w:rsid w:val="00A33C16"/>
    <w:rsid w:val="00A33CFC"/>
    <w:rsid w:val="00A33D6D"/>
    <w:rsid w:val="00A33DF8"/>
    <w:rsid w:val="00A33E18"/>
    <w:rsid w:val="00A33EB8"/>
    <w:rsid w:val="00A33F0E"/>
    <w:rsid w:val="00A34120"/>
    <w:rsid w:val="00A342E9"/>
    <w:rsid w:val="00A343BF"/>
    <w:rsid w:val="00A343FB"/>
    <w:rsid w:val="00A34456"/>
    <w:rsid w:val="00A344EA"/>
    <w:rsid w:val="00A344FA"/>
    <w:rsid w:val="00A34542"/>
    <w:rsid w:val="00A345E0"/>
    <w:rsid w:val="00A345F1"/>
    <w:rsid w:val="00A34604"/>
    <w:rsid w:val="00A3461C"/>
    <w:rsid w:val="00A3466E"/>
    <w:rsid w:val="00A34796"/>
    <w:rsid w:val="00A3481C"/>
    <w:rsid w:val="00A348F1"/>
    <w:rsid w:val="00A34949"/>
    <w:rsid w:val="00A34968"/>
    <w:rsid w:val="00A349D5"/>
    <w:rsid w:val="00A34A2B"/>
    <w:rsid w:val="00A34AA1"/>
    <w:rsid w:val="00A34B22"/>
    <w:rsid w:val="00A34B43"/>
    <w:rsid w:val="00A34BAD"/>
    <w:rsid w:val="00A34C4C"/>
    <w:rsid w:val="00A34C71"/>
    <w:rsid w:val="00A34DEA"/>
    <w:rsid w:val="00A34F56"/>
    <w:rsid w:val="00A34F8E"/>
    <w:rsid w:val="00A3508B"/>
    <w:rsid w:val="00A350F4"/>
    <w:rsid w:val="00A35204"/>
    <w:rsid w:val="00A35276"/>
    <w:rsid w:val="00A352C9"/>
    <w:rsid w:val="00A352FA"/>
    <w:rsid w:val="00A3537C"/>
    <w:rsid w:val="00A353CB"/>
    <w:rsid w:val="00A353EF"/>
    <w:rsid w:val="00A35486"/>
    <w:rsid w:val="00A356BB"/>
    <w:rsid w:val="00A356F1"/>
    <w:rsid w:val="00A35767"/>
    <w:rsid w:val="00A35788"/>
    <w:rsid w:val="00A357BD"/>
    <w:rsid w:val="00A35807"/>
    <w:rsid w:val="00A35863"/>
    <w:rsid w:val="00A358FF"/>
    <w:rsid w:val="00A35984"/>
    <w:rsid w:val="00A359B7"/>
    <w:rsid w:val="00A35A1C"/>
    <w:rsid w:val="00A35A95"/>
    <w:rsid w:val="00A35B06"/>
    <w:rsid w:val="00A35BFD"/>
    <w:rsid w:val="00A35CB4"/>
    <w:rsid w:val="00A35D78"/>
    <w:rsid w:val="00A35DB3"/>
    <w:rsid w:val="00A35DF5"/>
    <w:rsid w:val="00A35E16"/>
    <w:rsid w:val="00A35E24"/>
    <w:rsid w:val="00A35F54"/>
    <w:rsid w:val="00A35F6D"/>
    <w:rsid w:val="00A36007"/>
    <w:rsid w:val="00A3601F"/>
    <w:rsid w:val="00A360BB"/>
    <w:rsid w:val="00A36150"/>
    <w:rsid w:val="00A36166"/>
    <w:rsid w:val="00A362DF"/>
    <w:rsid w:val="00A36397"/>
    <w:rsid w:val="00A3642F"/>
    <w:rsid w:val="00A3650F"/>
    <w:rsid w:val="00A36596"/>
    <w:rsid w:val="00A3660E"/>
    <w:rsid w:val="00A36782"/>
    <w:rsid w:val="00A367EF"/>
    <w:rsid w:val="00A36819"/>
    <w:rsid w:val="00A36A5A"/>
    <w:rsid w:val="00A36B23"/>
    <w:rsid w:val="00A36B99"/>
    <w:rsid w:val="00A36CA7"/>
    <w:rsid w:val="00A36D19"/>
    <w:rsid w:val="00A36D5D"/>
    <w:rsid w:val="00A36D69"/>
    <w:rsid w:val="00A36DE9"/>
    <w:rsid w:val="00A36E10"/>
    <w:rsid w:val="00A36E3C"/>
    <w:rsid w:val="00A36EB3"/>
    <w:rsid w:val="00A36F07"/>
    <w:rsid w:val="00A36F3F"/>
    <w:rsid w:val="00A36F79"/>
    <w:rsid w:val="00A36FC9"/>
    <w:rsid w:val="00A3704C"/>
    <w:rsid w:val="00A37096"/>
    <w:rsid w:val="00A370AC"/>
    <w:rsid w:val="00A370C5"/>
    <w:rsid w:val="00A3711B"/>
    <w:rsid w:val="00A37159"/>
    <w:rsid w:val="00A371F6"/>
    <w:rsid w:val="00A3731C"/>
    <w:rsid w:val="00A37412"/>
    <w:rsid w:val="00A37425"/>
    <w:rsid w:val="00A37582"/>
    <w:rsid w:val="00A37643"/>
    <w:rsid w:val="00A37738"/>
    <w:rsid w:val="00A37799"/>
    <w:rsid w:val="00A377C6"/>
    <w:rsid w:val="00A37828"/>
    <w:rsid w:val="00A378DC"/>
    <w:rsid w:val="00A3797A"/>
    <w:rsid w:val="00A379C5"/>
    <w:rsid w:val="00A37A2B"/>
    <w:rsid w:val="00A37AD1"/>
    <w:rsid w:val="00A37B2D"/>
    <w:rsid w:val="00A37B7F"/>
    <w:rsid w:val="00A37C23"/>
    <w:rsid w:val="00A37EF8"/>
    <w:rsid w:val="00A4006E"/>
    <w:rsid w:val="00A401DC"/>
    <w:rsid w:val="00A4025E"/>
    <w:rsid w:val="00A4031E"/>
    <w:rsid w:val="00A404F1"/>
    <w:rsid w:val="00A40538"/>
    <w:rsid w:val="00A4055B"/>
    <w:rsid w:val="00A407B6"/>
    <w:rsid w:val="00A40843"/>
    <w:rsid w:val="00A4084A"/>
    <w:rsid w:val="00A40A67"/>
    <w:rsid w:val="00A40A84"/>
    <w:rsid w:val="00A40AA0"/>
    <w:rsid w:val="00A40AA6"/>
    <w:rsid w:val="00A40ACD"/>
    <w:rsid w:val="00A40ADE"/>
    <w:rsid w:val="00A40AFC"/>
    <w:rsid w:val="00A40B1F"/>
    <w:rsid w:val="00A40B8A"/>
    <w:rsid w:val="00A40BE2"/>
    <w:rsid w:val="00A40CFE"/>
    <w:rsid w:val="00A40D42"/>
    <w:rsid w:val="00A40E7D"/>
    <w:rsid w:val="00A40EAD"/>
    <w:rsid w:val="00A4108F"/>
    <w:rsid w:val="00A410A6"/>
    <w:rsid w:val="00A41174"/>
    <w:rsid w:val="00A41186"/>
    <w:rsid w:val="00A4118E"/>
    <w:rsid w:val="00A411C8"/>
    <w:rsid w:val="00A411E7"/>
    <w:rsid w:val="00A411F4"/>
    <w:rsid w:val="00A4124D"/>
    <w:rsid w:val="00A412FA"/>
    <w:rsid w:val="00A41320"/>
    <w:rsid w:val="00A41427"/>
    <w:rsid w:val="00A41489"/>
    <w:rsid w:val="00A415FB"/>
    <w:rsid w:val="00A415FE"/>
    <w:rsid w:val="00A4163E"/>
    <w:rsid w:val="00A4172D"/>
    <w:rsid w:val="00A41858"/>
    <w:rsid w:val="00A418E4"/>
    <w:rsid w:val="00A41B9D"/>
    <w:rsid w:val="00A41CE3"/>
    <w:rsid w:val="00A41D22"/>
    <w:rsid w:val="00A41E10"/>
    <w:rsid w:val="00A41E44"/>
    <w:rsid w:val="00A41EB3"/>
    <w:rsid w:val="00A41F26"/>
    <w:rsid w:val="00A41FA2"/>
    <w:rsid w:val="00A4207B"/>
    <w:rsid w:val="00A420ED"/>
    <w:rsid w:val="00A420EE"/>
    <w:rsid w:val="00A421D8"/>
    <w:rsid w:val="00A421EE"/>
    <w:rsid w:val="00A421F4"/>
    <w:rsid w:val="00A4223B"/>
    <w:rsid w:val="00A4224C"/>
    <w:rsid w:val="00A4260F"/>
    <w:rsid w:val="00A426B6"/>
    <w:rsid w:val="00A426C1"/>
    <w:rsid w:val="00A42748"/>
    <w:rsid w:val="00A42780"/>
    <w:rsid w:val="00A4292E"/>
    <w:rsid w:val="00A42A72"/>
    <w:rsid w:val="00A42A77"/>
    <w:rsid w:val="00A42C33"/>
    <w:rsid w:val="00A42C7A"/>
    <w:rsid w:val="00A42C7E"/>
    <w:rsid w:val="00A42D52"/>
    <w:rsid w:val="00A42DB7"/>
    <w:rsid w:val="00A42E38"/>
    <w:rsid w:val="00A42E61"/>
    <w:rsid w:val="00A42EF5"/>
    <w:rsid w:val="00A42EF6"/>
    <w:rsid w:val="00A42EFA"/>
    <w:rsid w:val="00A42FC9"/>
    <w:rsid w:val="00A43001"/>
    <w:rsid w:val="00A4303C"/>
    <w:rsid w:val="00A43086"/>
    <w:rsid w:val="00A43138"/>
    <w:rsid w:val="00A43296"/>
    <w:rsid w:val="00A43333"/>
    <w:rsid w:val="00A43335"/>
    <w:rsid w:val="00A4347A"/>
    <w:rsid w:val="00A434A6"/>
    <w:rsid w:val="00A43622"/>
    <w:rsid w:val="00A43641"/>
    <w:rsid w:val="00A43691"/>
    <w:rsid w:val="00A436B7"/>
    <w:rsid w:val="00A43774"/>
    <w:rsid w:val="00A437F0"/>
    <w:rsid w:val="00A437F3"/>
    <w:rsid w:val="00A4391A"/>
    <w:rsid w:val="00A43B77"/>
    <w:rsid w:val="00A43BAF"/>
    <w:rsid w:val="00A43C0F"/>
    <w:rsid w:val="00A43D48"/>
    <w:rsid w:val="00A43DDC"/>
    <w:rsid w:val="00A43E10"/>
    <w:rsid w:val="00A43E3A"/>
    <w:rsid w:val="00A43EAF"/>
    <w:rsid w:val="00A44041"/>
    <w:rsid w:val="00A440BC"/>
    <w:rsid w:val="00A44102"/>
    <w:rsid w:val="00A441AC"/>
    <w:rsid w:val="00A44218"/>
    <w:rsid w:val="00A442AB"/>
    <w:rsid w:val="00A442F1"/>
    <w:rsid w:val="00A4441D"/>
    <w:rsid w:val="00A444A8"/>
    <w:rsid w:val="00A44509"/>
    <w:rsid w:val="00A446C5"/>
    <w:rsid w:val="00A446E1"/>
    <w:rsid w:val="00A44759"/>
    <w:rsid w:val="00A4483D"/>
    <w:rsid w:val="00A4487B"/>
    <w:rsid w:val="00A448C4"/>
    <w:rsid w:val="00A449F6"/>
    <w:rsid w:val="00A44A64"/>
    <w:rsid w:val="00A44AB6"/>
    <w:rsid w:val="00A44AB7"/>
    <w:rsid w:val="00A44ACD"/>
    <w:rsid w:val="00A44B0D"/>
    <w:rsid w:val="00A44B1C"/>
    <w:rsid w:val="00A44BD6"/>
    <w:rsid w:val="00A44BEE"/>
    <w:rsid w:val="00A44BFC"/>
    <w:rsid w:val="00A44CB4"/>
    <w:rsid w:val="00A44CE6"/>
    <w:rsid w:val="00A44F42"/>
    <w:rsid w:val="00A44FCF"/>
    <w:rsid w:val="00A44FD5"/>
    <w:rsid w:val="00A4500A"/>
    <w:rsid w:val="00A450C3"/>
    <w:rsid w:val="00A450CF"/>
    <w:rsid w:val="00A450D1"/>
    <w:rsid w:val="00A450FF"/>
    <w:rsid w:val="00A45119"/>
    <w:rsid w:val="00A4518F"/>
    <w:rsid w:val="00A453FD"/>
    <w:rsid w:val="00A45458"/>
    <w:rsid w:val="00A45465"/>
    <w:rsid w:val="00A455C3"/>
    <w:rsid w:val="00A455F0"/>
    <w:rsid w:val="00A45668"/>
    <w:rsid w:val="00A4587D"/>
    <w:rsid w:val="00A45991"/>
    <w:rsid w:val="00A459B6"/>
    <w:rsid w:val="00A45A29"/>
    <w:rsid w:val="00A45CAB"/>
    <w:rsid w:val="00A45CC8"/>
    <w:rsid w:val="00A45D44"/>
    <w:rsid w:val="00A45E1F"/>
    <w:rsid w:val="00A45F9D"/>
    <w:rsid w:val="00A46018"/>
    <w:rsid w:val="00A46079"/>
    <w:rsid w:val="00A46163"/>
    <w:rsid w:val="00A461A2"/>
    <w:rsid w:val="00A4628D"/>
    <w:rsid w:val="00A462E4"/>
    <w:rsid w:val="00A462E6"/>
    <w:rsid w:val="00A462EB"/>
    <w:rsid w:val="00A46354"/>
    <w:rsid w:val="00A464BE"/>
    <w:rsid w:val="00A465B8"/>
    <w:rsid w:val="00A4663B"/>
    <w:rsid w:val="00A46646"/>
    <w:rsid w:val="00A46665"/>
    <w:rsid w:val="00A466FC"/>
    <w:rsid w:val="00A46700"/>
    <w:rsid w:val="00A46768"/>
    <w:rsid w:val="00A467A9"/>
    <w:rsid w:val="00A4683B"/>
    <w:rsid w:val="00A469B0"/>
    <w:rsid w:val="00A46BC2"/>
    <w:rsid w:val="00A46C00"/>
    <w:rsid w:val="00A46C3E"/>
    <w:rsid w:val="00A46D10"/>
    <w:rsid w:val="00A46DAE"/>
    <w:rsid w:val="00A46DE0"/>
    <w:rsid w:val="00A46FA5"/>
    <w:rsid w:val="00A4705C"/>
    <w:rsid w:val="00A47076"/>
    <w:rsid w:val="00A47099"/>
    <w:rsid w:val="00A470EE"/>
    <w:rsid w:val="00A47147"/>
    <w:rsid w:val="00A47210"/>
    <w:rsid w:val="00A47325"/>
    <w:rsid w:val="00A4734D"/>
    <w:rsid w:val="00A4739B"/>
    <w:rsid w:val="00A47454"/>
    <w:rsid w:val="00A474AA"/>
    <w:rsid w:val="00A4756F"/>
    <w:rsid w:val="00A47647"/>
    <w:rsid w:val="00A47672"/>
    <w:rsid w:val="00A4770E"/>
    <w:rsid w:val="00A47762"/>
    <w:rsid w:val="00A4778A"/>
    <w:rsid w:val="00A477C9"/>
    <w:rsid w:val="00A47A0D"/>
    <w:rsid w:val="00A47A3B"/>
    <w:rsid w:val="00A47BA6"/>
    <w:rsid w:val="00A47BFD"/>
    <w:rsid w:val="00A47C42"/>
    <w:rsid w:val="00A47D0F"/>
    <w:rsid w:val="00A47E71"/>
    <w:rsid w:val="00A47EC0"/>
    <w:rsid w:val="00A47EE7"/>
    <w:rsid w:val="00A5000F"/>
    <w:rsid w:val="00A501AF"/>
    <w:rsid w:val="00A50266"/>
    <w:rsid w:val="00A5029B"/>
    <w:rsid w:val="00A502AE"/>
    <w:rsid w:val="00A502F3"/>
    <w:rsid w:val="00A5041D"/>
    <w:rsid w:val="00A50446"/>
    <w:rsid w:val="00A50507"/>
    <w:rsid w:val="00A5065E"/>
    <w:rsid w:val="00A506C6"/>
    <w:rsid w:val="00A507AD"/>
    <w:rsid w:val="00A507CA"/>
    <w:rsid w:val="00A50819"/>
    <w:rsid w:val="00A509BC"/>
    <w:rsid w:val="00A509FE"/>
    <w:rsid w:val="00A50A39"/>
    <w:rsid w:val="00A50ABC"/>
    <w:rsid w:val="00A50B6A"/>
    <w:rsid w:val="00A50B6F"/>
    <w:rsid w:val="00A50B92"/>
    <w:rsid w:val="00A50CA4"/>
    <w:rsid w:val="00A50CC5"/>
    <w:rsid w:val="00A50D2E"/>
    <w:rsid w:val="00A50D8E"/>
    <w:rsid w:val="00A50DDB"/>
    <w:rsid w:val="00A50EF4"/>
    <w:rsid w:val="00A50F16"/>
    <w:rsid w:val="00A50F30"/>
    <w:rsid w:val="00A50F85"/>
    <w:rsid w:val="00A50FB3"/>
    <w:rsid w:val="00A51006"/>
    <w:rsid w:val="00A510A0"/>
    <w:rsid w:val="00A5110E"/>
    <w:rsid w:val="00A51132"/>
    <w:rsid w:val="00A51203"/>
    <w:rsid w:val="00A512A3"/>
    <w:rsid w:val="00A512E5"/>
    <w:rsid w:val="00A512F6"/>
    <w:rsid w:val="00A5131A"/>
    <w:rsid w:val="00A51333"/>
    <w:rsid w:val="00A51425"/>
    <w:rsid w:val="00A514BE"/>
    <w:rsid w:val="00A514F1"/>
    <w:rsid w:val="00A51687"/>
    <w:rsid w:val="00A516C7"/>
    <w:rsid w:val="00A516C8"/>
    <w:rsid w:val="00A51829"/>
    <w:rsid w:val="00A518A4"/>
    <w:rsid w:val="00A518D8"/>
    <w:rsid w:val="00A519B0"/>
    <w:rsid w:val="00A519B5"/>
    <w:rsid w:val="00A519C5"/>
    <w:rsid w:val="00A51A70"/>
    <w:rsid w:val="00A51B32"/>
    <w:rsid w:val="00A51BA2"/>
    <w:rsid w:val="00A51BB5"/>
    <w:rsid w:val="00A51BE2"/>
    <w:rsid w:val="00A51CD5"/>
    <w:rsid w:val="00A51CE3"/>
    <w:rsid w:val="00A51D1A"/>
    <w:rsid w:val="00A51F68"/>
    <w:rsid w:val="00A520A0"/>
    <w:rsid w:val="00A520A3"/>
    <w:rsid w:val="00A520FE"/>
    <w:rsid w:val="00A5219D"/>
    <w:rsid w:val="00A521C7"/>
    <w:rsid w:val="00A52244"/>
    <w:rsid w:val="00A5228D"/>
    <w:rsid w:val="00A522E6"/>
    <w:rsid w:val="00A524F0"/>
    <w:rsid w:val="00A5266C"/>
    <w:rsid w:val="00A5272B"/>
    <w:rsid w:val="00A528E6"/>
    <w:rsid w:val="00A529BB"/>
    <w:rsid w:val="00A52A69"/>
    <w:rsid w:val="00A52A9D"/>
    <w:rsid w:val="00A52AC8"/>
    <w:rsid w:val="00A52B31"/>
    <w:rsid w:val="00A52CA5"/>
    <w:rsid w:val="00A52CA7"/>
    <w:rsid w:val="00A52CC5"/>
    <w:rsid w:val="00A52EED"/>
    <w:rsid w:val="00A52F36"/>
    <w:rsid w:val="00A52F51"/>
    <w:rsid w:val="00A53089"/>
    <w:rsid w:val="00A530A8"/>
    <w:rsid w:val="00A53102"/>
    <w:rsid w:val="00A53137"/>
    <w:rsid w:val="00A531B9"/>
    <w:rsid w:val="00A5328B"/>
    <w:rsid w:val="00A532CB"/>
    <w:rsid w:val="00A532F9"/>
    <w:rsid w:val="00A53389"/>
    <w:rsid w:val="00A533F3"/>
    <w:rsid w:val="00A5352D"/>
    <w:rsid w:val="00A535D3"/>
    <w:rsid w:val="00A53614"/>
    <w:rsid w:val="00A53620"/>
    <w:rsid w:val="00A53631"/>
    <w:rsid w:val="00A53715"/>
    <w:rsid w:val="00A537AA"/>
    <w:rsid w:val="00A537BE"/>
    <w:rsid w:val="00A53943"/>
    <w:rsid w:val="00A53944"/>
    <w:rsid w:val="00A539A4"/>
    <w:rsid w:val="00A539D3"/>
    <w:rsid w:val="00A539F5"/>
    <w:rsid w:val="00A53A0D"/>
    <w:rsid w:val="00A53A5A"/>
    <w:rsid w:val="00A53A7E"/>
    <w:rsid w:val="00A53B6E"/>
    <w:rsid w:val="00A53BA1"/>
    <w:rsid w:val="00A53BA9"/>
    <w:rsid w:val="00A53CF4"/>
    <w:rsid w:val="00A53DC6"/>
    <w:rsid w:val="00A53DF8"/>
    <w:rsid w:val="00A53E8D"/>
    <w:rsid w:val="00A53F4B"/>
    <w:rsid w:val="00A53FF1"/>
    <w:rsid w:val="00A53FF9"/>
    <w:rsid w:val="00A54143"/>
    <w:rsid w:val="00A5418B"/>
    <w:rsid w:val="00A541B4"/>
    <w:rsid w:val="00A541E4"/>
    <w:rsid w:val="00A5422A"/>
    <w:rsid w:val="00A542AA"/>
    <w:rsid w:val="00A542DD"/>
    <w:rsid w:val="00A542ED"/>
    <w:rsid w:val="00A542F3"/>
    <w:rsid w:val="00A5444D"/>
    <w:rsid w:val="00A54493"/>
    <w:rsid w:val="00A545AB"/>
    <w:rsid w:val="00A5460D"/>
    <w:rsid w:val="00A5477B"/>
    <w:rsid w:val="00A5488B"/>
    <w:rsid w:val="00A54992"/>
    <w:rsid w:val="00A54B14"/>
    <w:rsid w:val="00A54B55"/>
    <w:rsid w:val="00A54BF4"/>
    <w:rsid w:val="00A54CBC"/>
    <w:rsid w:val="00A54CCF"/>
    <w:rsid w:val="00A54CF7"/>
    <w:rsid w:val="00A54D62"/>
    <w:rsid w:val="00A54DC9"/>
    <w:rsid w:val="00A54DD2"/>
    <w:rsid w:val="00A54EEF"/>
    <w:rsid w:val="00A54F93"/>
    <w:rsid w:val="00A54FFA"/>
    <w:rsid w:val="00A55058"/>
    <w:rsid w:val="00A55209"/>
    <w:rsid w:val="00A55241"/>
    <w:rsid w:val="00A552D8"/>
    <w:rsid w:val="00A5534B"/>
    <w:rsid w:val="00A5546E"/>
    <w:rsid w:val="00A554A1"/>
    <w:rsid w:val="00A55543"/>
    <w:rsid w:val="00A55591"/>
    <w:rsid w:val="00A5565A"/>
    <w:rsid w:val="00A55763"/>
    <w:rsid w:val="00A5579A"/>
    <w:rsid w:val="00A5580E"/>
    <w:rsid w:val="00A5585C"/>
    <w:rsid w:val="00A5587F"/>
    <w:rsid w:val="00A558FA"/>
    <w:rsid w:val="00A55A0E"/>
    <w:rsid w:val="00A55A30"/>
    <w:rsid w:val="00A55B14"/>
    <w:rsid w:val="00A55B90"/>
    <w:rsid w:val="00A55D1E"/>
    <w:rsid w:val="00A55D58"/>
    <w:rsid w:val="00A55D8E"/>
    <w:rsid w:val="00A55EB9"/>
    <w:rsid w:val="00A55F68"/>
    <w:rsid w:val="00A55F74"/>
    <w:rsid w:val="00A55F7C"/>
    <w:rsid w:val="00A55F7F"/>
    <w:rsid w:val="00A55FFB"/>
    <w:rsid w:val="00A560DC"/>
    <w:rsid w:val="00A560F7"/>
    <w:rsid w:val="00A5619C"/>
    <w:rsid w:val="00A561E4"/>
    <w:rsid w:val="00A56245"/>
    <w:rsid w:val="00A562DE"/>
    <w:rsid w:val="00A5632C"/>
    <w:rsid w:val="00A56386"/>
    <w:rsid w:val="00A5644F"/>
    <w:rsid w:val="00A5648C"/>
    <w:rsid w:val="00A5659B"/>
    <w:rsid w:val="00A566FD"/>
    <w:rsid w:val="00A56835"/>
    <w:rsid w:val="00A56853"/>
    <w:rsid w:val="00A568C1"/>
    <w:rsid w:val="00A56958"/>
    <w:rsid w:val="00A569A6"/>
    <w:rsid w:val="00A569BD"/>
    <w:rsid w:val="00A56A4D"/>
    <w:rsid w:val="00A56A8F"/>
    <w:rsid w:val="00A56AE2"/>
    <w:rsid w:val="00A56AF6"/>
    <w:rsid w:val="00A56B26"/>
    <w:rsid w:val="00A56BDE"/>
    <w:rsid w:val="00A56C16"/>
    <w:rsid w:val="00A56C1E"/>
    <w:rsid w:val="00A56CCC"/>
    <w:rsid w:val="00A56CDE"/>
    <w:rsid w:val="00A56D71"/>
    <w:rsid w:val="00A56E35"/>
    <w:rsid w:val="00A56E42"/>
    <w:rsid w:val="00A570D6"/>
    <w:rsid w:val="00A57180"/>
    <w:rsid w:val="00A571FE"/>
    <w:rsid w:val="00A57220"/>
    <w:rsid w:val="00A57241"/>
    <w:rsid w:val="00A572E0"/>
    <w:rsid w:val="00A572EC"/>
    <w:rsid w:val="00A572F9"/>
    <w:rsid w:val="00A57473"/>
    <w:rsid w:val="00A574C0"/>
    <w:rsid w:val="00A57521"/>
    <w:rsid w:val="00A5755F"/>
    <w:rsid w:val="00A575D3"/>
    <w:rsid w:val="00A57667"/>
    <w:rsid w:val="00A57758"/>
    <w:rsid w:val="00A57766"/>
    <w:rsid w:val="00A577A9"/>
    <w:rsid w:val="00A577B3"/>
    <w:rsid w:val="00A577DE"/>
    <w:rsid w:val="00A57807"/>
    <w:rsid w:val="00A57861"/>
    <w:rsid w:val="00A578B5"/>
    <w:rsid w:val="00A57916"/>
    <w:rsid w:val="00A57AEF"/>
    <w:rsid w:val="00A57BA7"/>
    <w:rsid w:val="00A57BFD"/>
    <w:rsid w:val="00A57D1F"/>
    <w:rsid w:val="00A57D22"/>
    <w:rsid w:val="00A57DBC"/>
    <w:rsid w:val="00A57F09"/>
    <w:rsid w:val="00A600DB"/>
    <w:rsid w:val="00A600EA"/>
    <w:rsid w:val="00A6015F"/>
    <w:rsid w:val="00A601D4"/>
    <w:rsid w:val="00A60332"/>
    <w:rsid w:val="00A60371"/>
    <w:rsid w:val="00A603D6"/>
    <w:rsid w:val="00A604FE"/>
    <w:rsid w:val="00A605BF"/>
    <w:rsid w:val="00A6063E"/>
    <w:rsid w:val="00A6072D"/>
    <w:rsid w:val="00A60743"/>
    <w:rsid w:val="00A6076C"/>
    <w:rsid w:val="00A607EC"/>
    <w:rsid w:val="00A60849"/>
    <w:rsid w:val="00A60871"/>
    <w:rsid w:val="00A609B0"/>
    <w:rsid w:val="00A60A61"/>
    <w:rsid w:val="00A60A70"/>
    <w:rsid w:val="00A60AAB"/>
    <w:rsid w:val="00A60AAC"/>
    <w:rsid w:val="00A60AFC"/>
    <w:rsid w:val="00A60DF9"/>
    <w:rsid w:val="00A60E27"/>
    <w:rsid w:val="00A60E3B"/>
    <w:rsid w:val="00A60EAE"/>
    <w:rsid w:val="00A60FDE"/>
    <w:rsid w:val="00A610D4"/>
    <w:rsid w:val="00A6123A"/>
    <w:rsid w:val="00A612D5"/>
    <w:rsid w:val="00A61320"/>
    <w:rsid w:val="00A61398"/>
    <w:rsid w:val="00A613DD"/>
    <w:rsid w:val="00A61400"/>
    <w:rsid w:val="00A6148F"/>
    <w:rsid w:val="00A61498"/>
    <w:rsid w:val="00A614F7"/>
    <w:rsid w:val="00A61514"/>
    <w:rsid w:val="00A6151C"/>
    <w:rsid w:val="00A61607"/>
    <w:rsid w:val="00A616CC"/>
    <w:rsid w:val="00A6181A"/>
    <w:rsid w:val="00A618DF"/>
    <w:rsid w:val="00A61911"/>
    <w:rsid w:val="00A619CA"/>
    <w:rsid w:val="00A61A8B"/>
    <w:rsid w:val="00A61B20"/>
    <w:rsid w:val="00A61B4C"/>
    <w:rsid w:val="00A61C86"/>
    <w:rsid w:val="00A61CE3"/>
    <w:rsid w:val="00A61E8F"/>
    <w:rsid w:val="00A61EA8"/>
    <w:rsid w:val="00A61EB9"/>
    <w:rsid w:val="00A61EFF"/>
    <w:rsid w:val="00A62052"/>
    <w:rsid w:val="00A620B4"/>
    <w:rsid w:val="00A620FC"/>
    <w:rsid w:val="00A6216B"/>
    <w:rsid w:val="00A6223A"/>
    <w:rsid w:val="00A6226F"/>
    <w:rsid w:val="00A6233D"/>
    <w:rsid w:val="00A62353"/>
    <w:rsid w:val="00A62383"/>
    <w:rsid w:val="00A62587"/>
    <w:rsid w:val="00A6279A"/>
    <w:rsid w:val="00A62814"/>
    <w:rsid w:val="00A628CC"/>
    <w:rsid w:val="00A628E2"/>
    <w:rsid w:val="00A62A83"/>
    <w:rsid w:val="00A62B9E"/>
    <w:rsid w:val="00A62D8F"/>
    <w:rsid w:val="00A62DD9"/>
    <w:rsid w:val="00A62DEC"/>
    <w:rsid w:val="00A62F59"/>
    <w:rsid w:val="00A630E2"/>
    <w:rsid w:val="00A6313D"/>
    <w:rsid w:val="00A6325B"/>
    <w:rsid w:val="00A6333B"/>
    <w:rsid w:val="00A633DF"/>
    <w:rsid w:val="00A633F9"/>
    <w:rsid w:val="00A63571"/>
    <w:rsid w:val="00A63581"/>
    <w:rsid w:val="00A63652"/>
    <w:rsid w:val="00A63706"/>
    <w:rsid w:val="00A637EE"/>
    <w:rsid w:val="00A63882"/>
    <w:rsid w:val="00A63B01"/>
    <w:rsid w:val="00A63CC7"/>
    <w:rsid w:val="00A63CCC"/>
    <w:rsid w:val="00A63CF3"/>
    <w:rsid w:val="00A63D1D"/>
    <w:rsid w:val="00A63E46"/>
    <w:rsid w:val="00A63E98"/>
    <w:rsid w:val="00A63FFD"/>
    <w:rsid w:val="00A6413E"/>
    <w:rsid w:val="00A6416A"/>
    <w:rsid w:val="00A64211"/>
    <w:rsid w:val="00A6433D"/>
    <w:rsid w:val="00A64428"/>
    <w:rsid w:val="00A64451"/>
    <w:rsid w:val="00A644EB"/>
    <w:rsid w:val="00A646CA"/>
    <w:rsid w:val="00A646F3"/>
    <w:rsid w:val="00A6483F"/>
    <w:rsid w:val="00A648A7"/>
    <w:rsid w:val="00A648CF"/>
    <w:rsid w:val="00A64963"/>
    <w:rsid w:val="00A6499D"/>
    <w:rsid w:val="00A64A20"/>
    <w:rsid w:val="00A64A4C"/>
    <w:rsid w:val="00A64ABB"/>
    <w:rsid w:val="00A64AD8"/>
    <w:rsid w:val="00A64B35"/>
    <w:rsid w:val="00A64B45"/>
    <w:rsid w:val="00A64BA4"/>
    <w:rsid w:val="00A64C5D"/>
    <w:rsid w:val="00A64CD4"/>
    <w:rsid w:val="00A64DF5"/>
    <w:rsid w:val="00A64E56"/>
    <w:rsid w:val="00A64EA2"/>
    <w:rsid w:val="00A64FBF"/>
    <w:rsid w:val="00A65072"/>
    <w:rsid w:val="00A65138"/>
    <w:rsid w:val="00A651EE"/>
    <w:rsid w:val="00A6522F"/>
    <w:rsid w:val="00A6531F"/>
    <w:rsid w:val="00A65328"/>
    <w:rsid w:val="00A6547B"/>
    <w:rsid w:val="00A654AF"/>
    <w:rsid w:val="00A654FD"/>
    <w:rsid w:val="00A65790"/>
    <w:rsid w:val="00A657E2"/>
    <w:rsid w:val="00A657E5"/>
    <w:rsid w:val="00A657ED"/>
    <w:rsid w:val="00A65A23"/>
    <w:rsid w:val="00A65A81"/>
    <w:rsid w:val="00A65A89"/>
    <w:rsid w:val="00A65AA8"/>
    <w:rsid w:val="00A65AC6"/>
    <w:rsid w:val="00A65C0B"/>
    <w:rsid w:val="00A65C5A"/>
    <w:rsid w:val="00A65CC5"/>
    <w:rsid w:val="00A65CDB"/>
    <w:rsid w:val="00A65E0A"/>
    <w:rsid w:val="00A65E39"/>
    <w:rsid w:val="00A65F6E"/>
    <w:rsid w:val="00A65FBE"/>
    <w:rsid w:val="00A65FF9"/>
    <w:rsid w:val="00A66032"/>
    <w:rsid w:val="00A66052"/>
    <w:rsid w:val="00A6607D"/>
    <w:rsid w:val="00A6613D"/>
    <w:rsid w:val="00A6623F"/>
    <w:rsid w:val="00A6626A"/>
    <w:rsid w:val="00A662F8"/>
    <w:rsid w:val="00A66435"/>
    <w:rsid w:val="00A66459"/>
    <w:rsid w:val="00A66580"/>
    <w:rsid w:val="00A6667A"/>
    <w:rsid w:val="00A66712"/>
    <w:rsid w:val="00A667D5"/>
    <w:rsid w:val="00A6680B"/>
    <w:rsid w:val="00A66825"/>
    <w:rsid w:val="00A66924"/>
    <w:rsid w:val="00A6692B"/>
    <w:rsid w:val="00A66950"/>
    <w:rsid w:val="00A6695F"/>
    <w:rsid w:val="00A66964"/>
    <w:rsid w:val="00A66A06"/>
    <w:rsid w:val="00A66A5E"/>
    <w:rsid w:val="00A66A92"/>
    <w:rsid w:val="00A66AA8"/>
    <w:rsid w:val="00A66AD1"/>
    <w:rsid w:val="00A66C5E"/>
    <w:rsid w:val="00A66CBA"/>
    <w:rsid w:val="00A66D0E"/>
    <w:rsid w:val="00A66D68"/>
    <w:rsid w:val="00A66E23"/>
    <w:rsid w:val="00A66E8E"/>
    <w:rsid w:val="00A66E95"/>
    <w:rsid w:val="00A66EC0"/>
    <w:rsid w:val="00A66EFE"/>
    <w:rsid w:val="00A66F12"/>
    <w:rsid w:val="00A67003"/>
    <w:rsid w:val="00A670F9"/>
    <w:rsid w:val="00A6715E"/>
    <w:rsid w:val="00A672F1"/>
    <w:rsid w:val="00A6733D"/>
    <w:rsid w:val="00A6736F"/>
    <w:rsid w:val="00A673BF"/>
    <w:rsid w:val="00A674D6"/>
    <w:rsid w:val="00A6753A"/>
    <w:rsid w:val="00A67550"/>
    <w:rsid w:val="00A67602"/>
    <w:rsid w:val="00A676FD"/>
    <w:rsid w:val="00A677D9"/>
    <w:rsid w:val="00A677E2"/>
    <w:rsid w:val="00A677ED"/>
    <w:rsid w:val="00A67958"/>
    <w:rsid w:val="00A67A6E"/>
    <w:rsid w:val="00A67A82"/>
    <w:rsid w:val="00A67A87"/>
    <w:rsid w:val="00A67AFB"/>
    <w:rsid w:val="00A67B8B"/>
    <w:rsid w:val="00A67BBD"/>
    <w:rsid w:val="00A67DF3"/>
    <w:rsid w:val="00A67E1D"/>
    <w:rsid w:val="00A67E39"/>
    <w:rsid w:val="00A67E3D"/>
    <w:rsid w:val="00A67F95"/>
    <w:rsid w:val="00A67FD1"/>
    <w:rsid w:val="00A7002F"/>
    <w:rsid w:val="00A700CB"/>
    <w:rsid w:val="00A70251"/>
    <w:rsid w:val="00A702B7"/>
    <w:rsid w:val="00A702E1"/>
    <w:rsid w:val="00A702F6"/>
    <w:rsid w:val="00A70315"/>
    <w:rsid w:val="00A703B8"/>
    <w:rsid w:val="00A703CE"/>
    <w:rsid w:val="00A703DB"/>
    <w:rsid w:val="00A703FC"/>
    <w:rsid w:val="00A704C0"/>
    <w:rsid w:val="00A704F1"/>
    <w:rsid w:val="00A7075B"/>
    <w:rsid w:val="00A70948"/>
    <w:rsid w:val="00A7096B"/>
    <w:rsid w:val="00A709B4"/>
    <w:rsid w:val="00A70A15"/>
    <w:rsid w:val="00A70BCE"/>
    <w:rsid w:val="00A70C92"/>
    <w:rsid w:val="00A70CB1"/>
    <w:rsid w:val="00A70D78"/>
    <w:rsid w:val="00A70DE2"/>
    <w:rsid w:val="00A70DE8"/>
    <w:rsid w:val="00A70DFF"/>
    <w:rsid w:val="00A70E83"/>
    <w:rsid w:val="00A70EF3"/>
    <w:rsid w:val="00A70F53"/>
    <w:rsid w:val="00A70FAE"/>
    <w:rsid w:val="00A70FC2"/>
    <w:rsid w:val="00A71000"/>
    <w:rsid w:val="00A71017"/>
    <w:rsid w:val="00A71045"/>
    <w:rsid w:val="00A710A3"/>
    <w:rsid w:val="00A711DA"/>
    <w:rsid w:val="00A711E0"/>
    <w:rsid w:val="00A7126E"/>
    <w:rsid w:val="00A712B2"/>
    <w:rsid w:val="00A712B5"/>
    <w:rsid w:val="00A71385"/>
    <w:rsid w:val="00A71423"/>
    <w:rsid w:val="00A7143B"/>
    <w:rsid w:val="00A7143D"/>
    <w:rsid w:val="00A71487"/>
    <w:rsid w:val="00A716EA"/>
    <w:rsid w:val="00A7173C"/>
    <w:rsid w:val="00A71786"/>
    <w:rsid w:val="00A717EB"/>
    <w:rsid w:val="00A71804"/>
    <w:rsid w:val="00A7180A"/>
    <w:rsid w:val="00A7180B"/>
    <w:rsid w:val="00A71941"/>
    <w:rsid w:val="00A71971"/>
    <w:rsid w:val="00A71B32"/>
    <w:rsid w:val="00A71B79"/>
    <w:rsid w:val="00A71BFE"/>
    <w:rsid w:val="00A71CCD"/>
    <w:rsid w:val="00A71F6C"/>
    <w:rsid w:val="00A71FA4"/>
    <w:rsid w:val="00A71FAD"/>
    <w:rsid w:val="00A72270"/>
    <w:rsid w:val="00A722CD"/>
    <w:rsid w:val="00A722E0"/>
    <w:rsid w:val="00A72541"/>
    <w:rsid w:val="00A72603"/>
    <w:rsid w:val="00A7265A"/>
    <w:rsid w:val="00A726FF"/>
    <w:rsid w:val="00A72764"/>
    <w:rsid w:val="00A72871"/>
    <w:rsid w:val="00A72A95"/>
    <w:rsid w:val="00A72AF4"/>
    <w:rsid w:val="00A72CC9"/>
    <w:rsid w:val="00A72D98"/>
    <w:rsid w:val="00A72DAB"/>
    <w:rsid w:val="00A72DF4"/>
    <w:rsid w:val="00A72EAC"/>
    <w:rsid w:val="00A72F10"/>
    <w:rsid w:val="00A72F15"/>
    <w:rsid w:val="00A72F4A"/>
    <w:rsid w:val="00A73026"/>
    <w:rsid w:val="00A73050"/>
    <w:rsid w:val="00A730E5"/>
    <w:rsid w:val="00A73217"/>
    <w:rsid w:val="00A732CD"/>
    <w:rsid w:val="00A7338C"/>
    <w:rsid w:val="00A73406"/>
    <w:rsid w:val="00A7341D"/>
    <w:rsid w:val="00A734BB"/>
    <w:rsid w:val="00A73582"/>
    <w:rsid w:val="00A7363B"/>
    <w:rsid w:val="00A736B8"/>
    <w:rsid w:val="00A7377B"/>
    <w:rsid w:val="00A737CE"/>
    <w:rsid w:val="00A737E1"/>
    <w:rsid w:val="00A7385C"/>
    <w:rsid w:val="00A73931"/>
    <w:rsid w:val="00A73A2F"/>
    <w:rsid w:val="00A73AC3"/>
    <w:rsid w:val="00A73AD5"/>
    <w:rsid w:val="00A73B44"/>
    <w:rsid w:val="00A73B5E"/>
    <w:rsid w:val="00A73B90"/>
    <w:rsid w:val="00A73C09"/>
    <w:rsid w:val="00A73C29"/>
    <w:rsid w:val="00A73CF0"/>
    <w:rsid w:val="00A73D0D"/>
    <w:rsid w:val="00A73D58"/>
    <w:rsid w:val="00A73E96"/>
    <w:rsid w:val="00A73F7F"/>
    <w:rsid w:val="00A73FC4"/>
    <w:rsid w:val="00A74027"/>
    <w:rsid w:val="00A740AB"/>
    <w:rsid w:val="00A740C5"/>
    <w:rsid w:val="00A740E0"/>
    <w:rsid w:val="00A7417D"/>
    <w:rsid w:val="00A74181"/>
    <w:rsid w:val="00A741D1"/>
    <w:rsid w:val="00A742DD"/>
    <w:rsid w:val="00A7442A"/>
    <w:rsid w:val="00A744A4"/>
    <w:rsid w:val="00A744AD"/>
    <w:rsid w:val="00A7450B"/>
    <w:rsid w:val="00A74538"/>
    <w:rsid w:val="00A7454C"/>
    <w:rsid w:val="00A7457E"/>
    <w:rsid w:val="00A74688"/>
    <w:rsid w:val="00A746D0"/>
    <w:rsid w:val="00A7480B"/>
    <w:rsid w:val="00A748D7"/>
    <w:rsid w:val="00A7495D"/>
    <w:rsid w:val="00A74A19"/>
    <w:rsid w:val="00A74B06"/>
    <w:rsid w:val="00A74CBD"/>
    <w:rsid w:val="00A74D73"/>
    <w:rsid w:val="00A74DFF"/>
    <w:rsid w:val="00A74EED"/>
    <w:rsid w:val="00A74F45"/>
    <w:rsid w:val="00A75050"/>
    <w:rsid w:val="00A750C0"/>
    <w:rsid w:val="00A75134"/>
    <w:rsid w:val="00A751AF"/>
    <w:rsid w:val="00A752AE"/>
    <w:rsid w:val="00A752DB"/>
    <w:rsid w:val="00A75386"/>
    <w:rsid w:val="00A7538D"/>
    <w:rsid w:val="00A7543B"/>
    <w:rsid w:val="00A75537"/>
    <w:rsid w:val="00A755F0"/>
    <w:rsid w:val="00A75639"/>
    <w:rsid w:val="00A7569B"/>
    <w:rsid w:val="00A756AE"/>
    <w:rsid w:val="00A756BD"/>
    <w:rsid w:val="00A757BF"/>
    <w:rsid w:val="00A757DD"/>
    <w:rsid w:val="00A75802"/>
    <w:rsid w:val="00A75925"/>
    <w:rsid w:val="00A75A4E"/>
    <w:rsid w:val="00A75AEA"/>
    <w:rsid w:val="00A75B22"/>
    <w:rsid w:val="00A75B33"/>
    <w:rsid w:val="00A75CA6"/>
    <w:rsid w:val="00A75CDF"/>
    <w:rsid w:val="00A75EE5"/>
    <w:rsid w:val="00A75F58"/>
    <w:rsid w:val="00A75F98"/>
    <w:rsid w:val="00A76020"/>
    <w:rsid w:val="00A76022"/>
    <w:rsid w:val="00A76106"/>
    <w:rsid w:val="00A76121"/>
    <w:rsid w:val="00A76130"/>
    <w:rsid w:val="00A7614C"/>
    <w:rsid w:val="00A76193"/>
    <w:rsid w:val="00A76199"/>
    <w:rsid w:val="00A761C8"/>
    <w:rsid w:val="00A7620B"/>
    <w:rsid w:val="00A76223"/>
    <w:rsid w:val="00A76230"/>
    <w:rsid w:val="00A76327"/>
    <w:rsid w:val="00A76329"/>
    <w:rsid w:val="00A7641F"/>
    <w:rsid w:val="00A7645D"/>
    <w:rsid w:val="00A7646D"/>
    <w:rsid w:val="00A7650F"/>
    <w:rsid w:val="00A76510"/>
    <w:rsid w:val="00A765D1"/>
    <w:rsid w:val="00A7665D"/>
    <w:rsid w:val="00A766D5"/>
    <w:rsid w:val="00A76746"/>
    <w:rsid w:val="00A767EB"/>
    <w:rsid w:val="00A7687F"/>
    <w:rsid w:val="00A768A8"/>
    <w:rsid w:val="00A76941"/>
    <w:rsid w:val="00A769BC"/>
    <w:rsid w:val="00A769CE"/>
    <w:rsid w:val="00A76A42"/>
    <w:rsid w:val="00A76B23"/>
    <w:rsid w:val="00A76C93"/>
    <w:rsid w:val="00A76D0D"/>
    <w:rsid w:val="00A76F0B"/>
    <w:rsid w:val="00A76F0C"/>
    <w:rsid w:val="00A76F71"/>
    <w:rsid w:val="00A76FEA"/>
    <w:rsid w:val="00A771EE"/>
    <w:rsid w:val="00A77263"/>
    <w:rsid w:val="00A772FE"/>
    <w:rsid w:val="00A77389"/>
    <w:rsid w:val="00A773A2"/>
    <w:rsid w:val="00A7752A"/>
    <w:rsid w:val="00A775BB"/>
    <w:rsid w:val="00A7777D"/>
    <w:rsid w:val="00A777DE"/>
    <w:rsid w:val="00A77864"/>
    <w:rsid w:val="00A77899"/>
    <w:rsid w:val="00A77995"/>
    <w:rsid w:val="00A77B16"/>
    <w:rsid w:val="00A77D43"/>
    <w:rsid w:val="00A77D60"/>
    <w:rsid w:val="00A77EDC"/>
    <w:rsid w:val="00A800AB"/>
    <w:rsid w:val="00A801FF"/>
    <w:rsid w:val="00A802C0"/>
    <w:rsid w:val="00A802DF"/>
    <w:rsid w:val="00A803D3"/>
    <w:rsid w:val="00A8043F"/>
    <w:rsid w:val="00A80455"/>
    <w:rsid w:val="00A8046B"/>
    <w:rsid w:val="00A80471"/>
    <w:rsid w:val="00A804C7"/>
    <w:rsid w:val="00A80602"/>
    <w:rsid w:val="00A80662"/>
    <w:rsid w:val="00A80751"/>
    <w:rsid w:val="00A809BE"/>
    <w:rsid w:val="00A80AC4"/>
    <w:rsid w:val="00A80B6B"/>
    <w:rsid w:val="00A80BA6"/>
    <w:rsid w:val="00A80C14"/>
    <w:rsid w:val="00A80CCB"/>
    <w:rsid w:val="00A80D5F"/>
    <w:rsid w:val="00A80DA5"/>
    <w:rsid w:val="00A80EAD"/>
    <w:rsid w:val="00A81021"/>
    <w:rsid w:val="00A810C5"/>
    <w:rsid w:val="00A811B8"/>
    <w:rsid w:val="00A811EA"/>
    <w:rsid w:val="00A81236"/>
    <w:rsid w:val="00A812A2"/>
    <w:rsid w:val="00A812DF"/>
    <w:rsid w:val="00A8132F"/>
    <w:rsid w:val="00A8135B"/>
    <w:rsid w:val="00A814B7"/>
    <w:rsid w:val="00A81509"/>
    <w:rsid w:val="00A81576"/>
    <w:rsid w:val="00A81580"/>
    <w:rsid w:val="00A815A6"/>
    <w:rsid w:val="00A81623"/>
    <w:rsid w:val="00A8171C"/>
    <w:rsid w:val="00A8175E"/>
    <w:rsid w:val="00A81771"/>
    <w:rsid w:val="00A817D0"/>
    <w:rsid w:val="00A818BD"/>
    <w:rsid w:val="00A818C4"/>
    <w:rsid w:val="00A8199E"/>
    <w:rsid w:val="00A81A32"/>
    <w:rsid w:val="00A81C79"/>
    <w:rsid w:val="00A81F06"/>
    <w:rsid w:val="00A81F49"/>
    <w:rsid w:val="00A81F5C"/>
    <w:rsid w:val="00A81F8B"/>
    <w:rsid w:val="00A820E9"/>
    <w:rsid w:val="00A82188"/>
    <w:rsid w:val="00A8237E"/>
    <w:rsid w:val="00A824C2"/>
    <w:rsid w:val="00A8284B"/>
    <w:rsid w:val="00A828BD"/>
    <w:rsid w:val="00A8299D"/>
    <w:rsid w:val="00A829FA"/>
    <w:rsid w:val="00A82A1E"/>
    <w:rsid w:val="00A82A20"/>
    <w:rsid w:val="00A82B53"/>
    <w:rsid w:val="00A82B84"/>
    <w:rsid w:val="00A82CAA"/>
    <w:rsid w:val="00A82CD8"/>
    <w:rsid w:val="00A82D9B"/>
    <w:rsid w:val="00A82D9D"/>
    <w:rsid w:val="00A82F63"/>
    <w:rsid w:val="00A82F68"/>
    <w:rsid w:val="00A82F99"/>
    <w:rsid w:val="00A82FA4"/>
    <w:rsid w:val="00A83024"/>
    <w:rsid w:val="00A8304B"/>
    <w:rsid w:val="00A830B7"/>
    <w:rsid w:val="00A830C8"/>
    <w:rsid w:val="00A83167"/>
    <w:rsid w:val="00A8322C"/>
    <w:rsid w:val="00A832C7"/>
    <w:rsid w:val="00A8358A"/>
    <w:rsid w:val="00A83594"/>
    <w:rsid w:val="00A835E3"/>
    <w:rsid w:val="00A836EA"/>
    <w:rsid w:val="00A8389A"/>
    <w:rsid w:val="00A838DC"/>
    <w:rsid w:val="00A83949"/>
    <w:rsid w:val="00A83C61"/>
    <w:rsid w:val="00A83CFC"/>
    <w:rsid w:val="00A83D70"/>
    <w:rsid w:val="00A83DB9"/>
    <w:rsid w:val="00A83ECB"/>
    <w:rsid w:val="00A84056"/>
    <w:rsid w:val="00A84074"/>
    <w:rsid w:val="00A84173"/>
    <w:rsid w:val="00A84213"/>
    <w:rsid w:val="00A842EA"/>
    <w:rsid w:val="00A84332"/>
    <w:rsid w:val="00A843FA"/>
    <w:rsid w:val="00A844DF"/>
    <w:rsid w:val="00A84573"/>
    <w:rsid w:val="00A84682"/>
    <w:rsid w:val="00A846A6"/>
    <w:rsid w:val="00A846C5"/>
    <w:rsid w:val="00A84806"/>
    <w:rsid w:val="00A849BA"/>
    <w:rsid w:val="00A84A0A"/>
    <w:rsid w:val="00A84B98"/>
    <w:rsid w:val="00A84BAE"/>
    <w:rsid w:val="00A84BF4"/>
    <w:rsid w:val="00A84C5B"/>
    <w:rsid w:val="00A84D04"/>
    <w:rsid w:val="00A84DE9"/>
    <w:rsid w:val="00A84EE2"/>
    <w:rsid w:val="00A85072"/>
    <w:rsid w:val="00A85082"/>
    <w:rsid w:val="00A85086"/>
    <w:rsid w:val="00A850B3"/>
    <w:rsid w:val="00A850BD"/>
    <w:rsid w:val="00A850C3"/>
    <w:rsid w:val="00A850E0"/>
    <w:rsid w:val="00A854AB"/>
    <w:rsid w:val="00A85502"/>
    <w:rsid w:val="00A85536"/>
    <w:rsid w:val="00A85599"/>
    <w:rsid w:val="00A856A5"/>
    <w:rsid w:val="00A8570A"/>
    <w:rsid w:val="00A85866"/>
    <w:rsid w:val="00A858EC"/>
    <w:rsid w:val="00A85962"/>
    <w:rsid w:val="00A85A50"/>
    <w:rsid w:val="00A85AAC"/>
    <w:rsid w:val="00A85B16"/>
    <w:rsid w:val="00A85C0C"/>
    <w:rsid w:val="00A85D0C"/>
    <w:rsid w:val="00A85D0E"/>
    <w:rsid w:val="00A85D7F"/>
    <w:rsid w:val="00A85DA9"/>
    <w:rsid w:val="00A85DB0"/>
    <w:rsid w:val="00A85DFB"/>
    <w:rsid w:val="00A85E2E"/>
    <w:rsid w:val="00A86089"/>
    <w:rsid w:val="00A860DB"/>
    <w:rsid w:val="00A861B9"/>
    <w:rsid w:val="00A863DB"/>
    <w:rsid w:val="00A863E5"/>
    <w:rsid w:val="00A86420"/>
    <w:rsid w:val="00A8642E"/>
    <w:rsid w:val="00A864E1"/>
    <w:rsid w:val="00A86592"/>
    <w:rsid w:val="00A865D8"/>
    <w:rsid w:val="00A865E6"/>
    <w:rsid w:val="00A866A8"/>
    <w:rsid w:val="00A86716"/>
    <w:rsid w:val="00A867B7"/>
    <w:rsid w:val="00A867BC"/>
    <w:rsid w:val="00A867C1"/>
    <w:rsid w:val="00A868CB"/>
    <w:rsid w:val="00A8695A"/>
    <w:rsid w:val="00A8696B"/>
    <w:rsid w:val="00A869B7"/>
    <w:rsid w:val="00A869CC"/>
    <w:rsid w:val="00A86A80"/>
    <w:rsid w:val="00A86AA5"/>
    <w:rsid w:val="00A86AC5"/>
    <w:rsid w:val="00A86AFA"/>
    <w:rsid w:val="00A86B7D"/>
    <w:rsid w:val="00A86BC3"/>
    <w:rsid w:val="00A86BCF"/>
    <w:rsid w:val="00A86C1B"/>
    <w:rsid w:val="00A86C26"/>
    <w:rsid w:val="00A86C65"/>
    <w:rsid w:val="00A86C73"/>
    <w:rsid w:val="00A86D43"/>
    <w:rsid w:val="00A86DF6"/>
    <w:rsid w:val="00A86E4D"/>
    <w:rsid w:val="00A86E86"/>
    <w:rsid w:val="00A86EA0"/>
    <w:rsid w:val="00A86F7E"/>
    <w:rsid w:val="00A86FC6"/>
    <w:rsid w:val="00A8722C"/>
    <w:rsid w:val="00A8724D"/>
    <w:rsid w:val="00A87283"/>
    <w:rsid w:val="00A8728B"/>
    <w:rsid w:val="00A872BF"/>
    <w:rsid w:val="00A872C8"/>
    <w:rsid w:val="00A87413"/>
    <w:rsid w:val="00A874E8"/>
    <w:rsid w:val="00A874F9"/>
    <w:rsid w:val="00A8750F"/>
    <w:rsid w:val="00A87588"/>
    <w:rsid w:val="00A8761E"/>
    <w:rsid w:val="00A876E8"/>
    <w:rsid w:val="00A87754"/>
    <w:rsid w:val="00A8786B"/>
    <w:rsid w:val="00A87879"/>
    <w:rsid w:val="00A87898"/>
    <w:rsid w:val="00A87983"/>
    <w:rsid w:val="00A87A4A"/>
    <w:rsid w:val="00A87A67"/>
    <w:rsid w:val="00A87C30"/>
    <w:rsid w:val="00A87D32"/>
    <w:rsid w:val="00A87EC6"/>
    <w:rsid w:val="00A87FBA"/>
    <w:rsid w:val="00A90019"/>
    <w:rsid w:val="00A90046"/>
    <w:rsid w:val="00A90051"/>
    <w:rsid w:val="00A90060"/>
    <w:rsid w:val="00A90133"/>
    <w:rsid w:val="00A9029E"/>
    <w:rsid w:val="00A902E1"/>
    <w:rsid w:val="00A90373"/>
    <w:rsid w:val="00A90540"/>
    <w:rsid w:val="00A906A9"/>
    <w:rsid w:val="00A90739"/>
    <w:rsid w:val="00A907A6"/>
    <w:rsid w:val="00A90827"/>
    <w:rsid w:val="00A90876"/>
    <w:rsid w:val="00A90962"/>
    <w:rsid w:val="00A909C2"/>
    <w:rsid w:val="00A90B67"/>
    <w:rsid w:val="00A90CD3"/>
    <w:rsid w:val="00A90D0A"/>
    <w:rsid w:val="00A90D63"/>
    <w:rsid w:val="00A90D67"/>
    <w:rsid w:val="00A90E5C"/>
    <w:rsid w:val="00A90ED5"/>
    <w:rsid w:val="00A90EF8"/>
    <w:rsid w:val="00A90F44"/>
    <w:rsid w:val="00A90F92"/>
    <w:rsid w:val="00A90FD0"/>
    <w:rsid w:val="00A90FFA"/>
    <w:rsid w:val="00A90FFE"/>
    <w:rsid w:val="00A910D2"/>
    <w:rsid w:val="00A9115D"/>
    <w:rsid w:val="00A912E4"/>
    <w:rsid w:val="00A91363"/>
    <w:rsid w:val="00A913DC"/>
    <w:rsid w:val="00A91498"/>
    <w:rsid w:val="00A91548"/>
    <w:rsid w:val="00A915EB"/>
    <w:rsid w:val="00A91676"/>
    <w:rsid w:val="00A91678"/>
    <w:rsid w:val="00A91695"/>
    <w:rsid w:val="00A91735"/>
    <w:rsid w:val="00A91784"/>
    <w:rsid w:val="00A918F9"/>
    <w:rsid w:val="00A91987"/>
    <w:rsid w:val="00A919A7"/>
    <w:rsid w:val="00A919D6"/>
    <w:rsid w:val="00A91A67"/>
    <w:rsid w:val="00A91AA7"/>
    <w:rsid w:val="00A91B65"/>
    <w:rsid w:val="00A91D3C"/>
    <w:rsid w:val="00A91D43"/>
    <w:rsid w:val="00A91DC6"/>
    <w:rsid w:val="00A91E25"/>
    <w:rsid w:val="00A91EF6"/>
    <w:rsid w:val="00A91F63"/>
    <w:rsid w:val="00A92087"/>
    <w:rsid w:val="00A921BC"/>
    <w:rsid w:val="00A921D9"/>
    <w:rsid w:val="00A92238"/>
    <w:rsid w:val="00A922D7"/>
    <w:rsid w:val="00A92356"/>
    <w:rsid w:val="00A92375"/>
    <w:rsid w:val="00A92458"/>
    <w:rsid w:val="00A9246A"/>
    <w:rsid w:val="00A92532"/>
    <w:rsid w:val="00A92573"/>
    <w:rsid w:val="00A925FD"/>
    <w:rsid w:val="00A926C2"/>
    <w:rsid w:val="00A928F9"/>
    <w:rsid w:val="00A92905"/>
    <w:rsid w:val="00A929A3"/>
    <w:rsid w:val="00A92A05"/>
    <w:rsid w:val="00A92A1B"/>
    <w:rsid w:val="00A92B20"/>
    <w:rsid w:val="00A92BA0"/>
    <w:rsid w:val="00A92BA5"/>
    <w:rsid w:val="00A92BDD"/>
    <w:rsid w:val="00A92C70"/>
    <w:rsid w:val="00A92C7A"/>
    <w:rsid w:val="00A92DAD"/>
    <w:rsid w:val="00A92E1C"/>
    <w:rsid w:val="00A92F23"/>
    <w:rsid w:val="00A92FE7"/>
    <w:rsid w:val="00A930ED"/>
    <w:rsid w:val="00A930FF"/>
    <w:rsid w:val="00A931B0"/>
    <w:rsid w:val="00A93256"/>
    <w:rsid w:val="00A93379"/>
    <w:rsid w:val="00A933CF"/>
    <w:rsid w:val="00A934FA"/>
    <w:rsid w:val="00A9366F"/>
    <w:rsid w:val="00A9376C"/>
    <w:rsid w:val="00A93802"/>
    <w:rsid w:val="00A93817"/>
    <w:rsid w:val="00A939F5"/>
    <w:rsid w:val="00A93B66"/>
    <w:rsid w:val="00A93C17"/>
    <w:rsid w:val="00A93D68"/>
    <w:rsid w:val="00A93E1A"/>
    <w:rsid w:val="00A93E71"/>
    <w:rsid w:val="00A93F14"/>
    <w:rsid w:val="00A93F69"/>
    <w:rsid w:val="00A9414A"/>
    <w:rsid w:val="00A9431E"/>
    <w:rsid w:val="00A9434C"/>
    <w:rsid w:val="00A943EA"/>
    <w:rsid w:val="00A944D8"/>
    <w:rsid w:val="00A945BA"/>
    <w:rsid w:val="00A94762"/>
    <w:rsid w:val="00A947A4"/>
    <w:rsid w:val="00A948C3"/>
    <w:rsid w:val="00A948F8"/>
    <w:rsid w:val="00A94A11"/>
    <w:rsid w:val="00A94ABC"/>
    <w:rsid w:val="00A94ADC"/>
    <w:rsid w:val="00A94B3C"/>
    <w:rsid w:val="00A94B6B"/>
    <w:rsid w:val="00A94C28"/>
    <w:rsid w:val="00A94CE2"/>
    <w:rsid w:val="00A94D35"/>
    <w:rsid w:val="00A94EBC"/>
    <w:rsid w:val="00A94F0E"/>
    <w:rsid w:val="00A94F2E"/>
    <w:rsid w:val="00A94F48"/>
    <w:rsid w:val="00A9501F"/>
    <w:rsid w:val="00A95104"/>
    <w:rsid w:val="00A95186"/>
    <w:rsid w:val="00A951DC"/>
    <w:rsid w:val="00A951E5"/>
    <w:rsid w:val="00A9523D"/>
    <w:rsid w:val="00A95291"/>
    <w:rsid w:val="00A9531F"/>
    <w:rsid w:val="00A95365"/>
    <w:rsid w:val="00A95373"/>
    <w:rsid w:val="00A95380"/>
    <w:rsid w:val="00A9541F"/>
    <w:rsid w:val="00A9542C"/>
    <w:rsid w:val="00A95508"/>
    <w:rsid w:val="00A95524"/>
    <w:rsid w:val="00A95592"/>
    <w:rsid w:val="00A95650"/>
    <w:rsid w:val="00A957F5"/>
    <w:rsid w:val="00A9596A"/>
    <w:rsid w:val="00A959D2"/>
    <w:rsid w:val="00A95AEB"/>
    <w:rsid w:val="00A95B21"/>
    <w:rsid w:val="00A95B4A"/>
    <w:rsid w:val="00A95B6A"/>
    <w:rsid w:val="00A95C70"/>
    <w:rsid w:val="00A95C89"/>
    <w:rsid w:val="00A95CF7"/>
    <w:rsid w:val="00A95E1F"/>
    <w:rsid w:val="00A95E67"/>
    <w:rsid w:val="00A95FD3"/>
    <w:rsid w:val="00A9602F"/>
    <w:rsid w:val="00A9607E"/>
    <w:rsid w:val="00A9607F"/>
    <w:rsid w:val="00A96080"/>
    <w:rsid w:val="00A962BA"/>
    <w:rsid w:val="00A962C4"/>
    <w:rsid w:val="00A9631A"/>
    <w:rsid w:val="00A9632A"/>
    <w:rsid w:val="00A963D1"/>
    <w:rsid w:val="00A963D9"/>
    <w:rsid w:val="00A96417"/>
    <w:rsid w:val="00A9646C"/>
    <w:rsid w:val="00A96633"/>
    <w:rsid w:val="00A9676E"/>
    <w:rsid w:val="00A96852"/>
    <w:rsid w:val="00A96878"/>
    <w:rsid w:val="00A968E6"/>
    <w:rsid w:val="00A969BA"/>
    <w:rsid w:val="00A969C7"/>
    <w:rsid w:val="00A96AA1"/>
    <w:rsid w:val="00A96AD0"/>
    <w:rsid w:val="00A96B4B"/>
    <w:rsid w:val="00A96B58"/>
    <w:rsid w:val="00A96B8B"/>
    <w:rsid w:val="00A96BBD"/>
    <w:rsid w:val="00A96C04"/>
    <w:rsid w:val="00A96CB0"/>
    <w:rsid w:val="00A96D98"/>
    <w:rsid w:val="00A96DA3"/>
    <w:rsid w:val="00A96DCC"/>
    <w:rsid w:val="00A96E40"/>
    <w:rsid w:val="00A96E69"/>
    <w:rsid w:val="00A96EE0"/>
    <w:rsid w:val="00A96F2E"/>
    <w:rsid w:val="00A96FAD"/>
    <w:rsid w:val="00A97077"/>
    <w:rsid w:val="00A97093"/>
    <w:rsid w:val="00A97179"/>
    <w:rsid w:val="00A973D1"/>
    <w:rsid w:val="00A97465"/>
    <w:rsid w:val="00A9758D"/>
    <w:rsid w:val="00A975D3"/>
    <w:rsid w:val="00A9761F"/>
    <w:rsid w:val="00A97620"/>
    <w:rsid w:val="00A97643"/>
    <w:rsid w:val="00A9764D"/>
    <w:rsid w:val="00A97682"/>
    <w:rsid w:val="00A97683"/>
    <w:rsid w:val="00A97694"/>
    <w:rsid w:val="00A976A0"/>
    <w:rsid w:val="00A97727"/>
    <w:rsid w:val="00A9779C"/>
    <w:rsid w:val="00A977DA"/>
    <w:rsid w:val="00A9797C"/>
    <w:rsid w:val="00A979A6"/>
    <w:rsid w:val="00A979BB"/>
    <w:rsid w:val="00A97A0B"/>
    <w:rsid w:val="00A97A13"/>
    <w:rsid w:val="00A97A76"/>
    <w:rsid w:val="00A97BA1"/>
    <w:rsid w:val="00A97C2F"/>
    <w:rsid w:val="00A97D20"/>
    <w:rsid w:val="00A97D2E"/>
    <w:rsid w:val="00A97E49"/>
    <w:rsid w:val="00A97FAE"/>
    <w:rsid w:val="00AA003F"/>
    <w:rsid w:val="00AA0086"/>
    <w:rsid w:val="00AA015F"/>
    <w:rsid w:val="00AA016D"/>
    <w:rsid w:val="00AA0249"/>
    <w:rsid w:val="00AA0264"/>
    <w:rsid w:val="00AA02C0"/>
    <w:rsid w:val="00AA0409"/>
    <w:rsid w:val="00AA0475"/>
    <w:rsid w:val="00AA049B"/>
    <w:rsid w:val="00AA04F2"/>
    <w:rsid w:val="00AA0544"/>
    <w:rsid w:val="00AA0582"/>
    <w:rsid w:val="00AA05D6"/>
    <w:rsid w:val="00AA061A"/>
    <w:rsid w:val="00AA068E"/>
    <w:rsid w:val="00AA0909"/>
    <w:rsid w:val="00AA0ADE"/>
    <w:rsid w:val="00AA0B9E"/>
    <w:rsid w:val="00AA0E54"/>
    <w:rsid w:val="00AA0E6A"/>
    <w:rsid w:val="00AA0F0B"/>
    <w:rsid w:val="00AA0F48"/>
    <w:rsid w:val="00AA1000"/>
    <w:rsid w:val="00AA1065"/>
    <w:rsid w:val="00AA1087"/>
    <w:rsid w:val="00AA11A3"/>
    <w:rsid w:val="00AA11F2"/>
    <w:rsid w:val="00AA120B"/>
    <w:rsid w:val="00AA1311"/>
    <w:rsid w:val="00AA1417"/>
    <w:rsid w:val="00AA1453"/>
    <w:rsid w:val="00AA14F0"/>
    <w:rsid w:val="00AA1540"/>
    <w:rsid w:val="00AA15DC"/>
    <w:rsid w:val="00AA1659"/>
    <w:rsid w:val="00AA1688"/>
    <w:rsid w:val="00AA1709"/>
    <w:rsid w:val="00AA17ED"/>
    <w:rsid w:val="00AA17F8"/>
    <w:rsid w:val="00AA1821"/>
    <w:rsid w:val="00AA182E"/>
    <w:rsid w:val="00AA184F"/>
    <w:rsid w:val="00AA189B"/>
    <w:rsid w:val="00AA1935"/>
    <w:rsid w:val="00AA1969"/>
    <w:rsid w:val="00AA1A64"/>
    <w:rsid w:val="00AA1A72"/>
    <w:rsid w:val="00AA1A73"/>
    <w:rsid w:val="00AA1A9D"/>
    <w:rsid w:val="00AA1B14"/>
    <w:rsid w:val="00AA1B4A"/>
    <w:rsid w:val="00AA1BE6"/>
    <w:rsid w:val="00AA1C14"/>
    <w:rsid w:val="00AA1CF3"/>
    <w:rsid w:val="00AA1D11"/>
    <w:rsid w:val="00AA1D57"/>
    <w:rsid w:val="00AA1D79"/>
    <w:rsid w:val="00AA1D9C"/>
    <w:rsid w:val="00AA1DC3"/>
    <w:rsid w:val="00AA1FCF"/>
    <w:rsid w:val="00AA2067"/>
    <w:rsid w:val="00AA2288"/>
    <w:rsid w:val="00AA2383"/>
    <w:rsid w:val="00AA247C"/>
    <w:rsid w:val="00AA24FD"/>
    <w:rsid w:val="00AA250C"/>
    <w:rsid w:val="00AA25E9"/>
    <w:rsid w:val="00AA262C"/>
    <w:rsid w:val="00AA2644"/>
    <w:rsid w:val="00AA26D6"/>
    <w:rsid w:val="00AA26FE"/>
    <w:rsid w:val="00AA2726"/>
    <w:rsid w:val="00AA2761"/>
    <w:rsid w:val="00AA279A"/>
    <w:rsid w:val="00AA2811"/>
    <w:rsid w:val="00AA281E"/>
    <w:rsid w:val="00AA282B"/>
    <w:rsid w:val="00AA28A3"/>
    <w:rsid w:val="00AA28D6"/>
    <w:rsid w:val="00AA294A"/>
    <w:rsid w:val="00AA29A1"/>
    <w:rsid w:val="00AA2AA9"/>
    <w:rsid w:val="00AA2BCA"/>
    <w:rsid w:val="00AA2BE3"/>
    <w:rsid w:val="00AA2CF4"/>
    <w:rsid w:val="00AA2D6C"/>
    <w:rsid w:val="00AA2D78"/>
    <w:rsid w:val="00AA2DF2"/>
    <w:rsid w:val="00AA3014"/>
    <w:rsid w:val="00AA30FF"/>
    <w:rsid w:val="00AA3209"/>
    <w:rsid w:val="00AA3230"/>
    <w:rsid w:val="00AA3330"/>
    <w:rsid w:val="00AA342F"/>
    <w:rsid w:val="00AA34E3"/>
    <w:rsid w:val="00AA3532"/>
    <w:rsid w:val="00AA3590"/>
    <w:rsid w:val="00AA365F"/>
    <w:rsid w:val="00AA3855"/>
    <w:rsid w:val="00AA38F5"/>
    <w:rsid w:val="00AA391F"/>
    <w:rsid w:val="00AA3999"/>
    <w:rsid w:val="00AA3A1A"/>
    <w:rsid w:val="00AA3A35"/>
    <w:rsid w:val="00AA3AD3"/>
    <w:rsid w:val="00AA3BAF"/>
    <w:rsid w:val="00AA3BC2"/>
    <w:rsid w:val="00AA3CBA"/>
    <w:rsid w:val="00AA3CF1"/>
    <w:rsid w:val="00AA3D3F"/>
    <w:rsid w:val="00AA3DFF"/>
    <w:rsid w:val="00AA3F51"/>
    <w:rsid w:val="00AA4009"/>
    <w:rsid w:val="00AA4075"/>
    <w:rsid w:val="00AA4081"/>
    <w:rsid w:val="00AA4101"/>
    <w:rsid w:val="00AA4120"/>
    <w:rsid w:val="00AA431B"/>
    <w:rsid w:val="00AA438C"/>
    <w:rsid w:val="00AA439D"/>
    <w:rsid w:val="00AA446B"/>
    <w:rsid w:val="00AA46F0"/>
    <w:rsid w:val="00AA475A"/>
    <w:rsid w:val="00AA482B"/>
    <w:rsid w:val="00AA4A12"/>
    <w:rsid w:val="00AA4A29"/>
    <w:rsid w:val="00AA4B31"/>
    <w:rsid w:val="00AA4C37"/>
    <w:rsid w:val="00AA4CD4"/>
    <w:rsid w:val="00AA4CDA"/>
    <w:rsid w:val="00AA4D4B"/>
    <w:rsid w:val="00AA4D79"/>
    <w:rsid w:val="00AA4E6E"/>
    <w:rsid w:val="00AA4F6B"/>
    <w:rsid w:val="00AA501E"/>
    <w:rsid w:val="00AA5036"/>
    <w:rsid w:val="00AA5064"/>
    <w:rsid w:val="00AA506E"/>
    <w:rsid w:val="00AA50CD"/>
    <w:rsid w:val="00AA50DF"/>
    <w:rsid w:val="00AA5197"/>
    <w:rsid w:val="00AA51B1"/>
    <w:rsid w:val="00AA51BA"/>
    <w:rsid w:val="00AA5203"/>
    <w:rsid w:val="00AA525E"/>
    <w:rsid w:val="00AA52B0"/>
    <w:rsid w:val="00AA5406"/>
    <w:rsid w:val="00AA543A"/>
    <w:rsid w:val="00AA5634"/>
    <w:rsid w:val="00AA5742"/>
    <w:rsid w:val="00AA57B9"/>
    <w:rsid w:val="00AA57CF"/>
    <w:rsid w:val="00AA58A8"/>
    <w:rsid w:val="00AA58FA"/>
    <w:rsid w:val="00AA5980"/>
    <w:rsid w:val="00AA59A3"/>
    <w:rsid w:val="00AA59F3"/>
    <w:rsid w:val="00AA5A30"/>
    <w:rsid w:val="00AA5A37"/>
    <w:rsid w:val="00AA5B71"/>
    <w:rsid w:val="00AA5C29"/>
    <w:rsid w:val="00AA5C37"/>
    <w:rsid w:val="00AA5D9B"/>
    <w:rsid w:val="00AA5DD0"/>
    <w:rsid w:val="00AA5EAF"/>
    <w:rsid w:val="00AA5F9F"/>
    <w:rsid w:val="00AA5FEE"/>
    <w:rsid w:val="00AA60E9"/>
    <w:rsid w:val="00AA610A"/>
    <w:rsid w:val="00AA6170"/>
    <w:rsid w:val="00AA63F1"/>
    <w:rsid w:val="00AA6431"/>
    <w:rsid w:val="00AA6469"/>
    <w:rsid w:val="00AA6489"/>
    <w:rsid w:val="00AA6513"/>
    <w:rsid w:val="00AA6518"/>
    <w:rsid w:val="00AA66F9"/>
    <w:rsid w:val="00AA67DC"/>
    <w:rsid w:val="00AA6839"/>
    <w:rsid w:val="00AA6954"/>
    <w:rsid w:val="00AA69DA"/>
    <w:rsid w:val="00AA6B69"/>
    <w:rsid w:val="00AA6C8C"/>
    <w:rsid w:val="00AA6DE1"/>
    <w:rsid w:val="00AA6E40"/>
    <w:rsid w:val="00AA6EA2"/>
    <w:rsid w:val="00AA6EB4"/>
    <w:rsid w:val="00AA6EF8"/>
    <w:rsid w:val="00AA6F56"/>
    <w:rsid w:val="00AA6F75"/>
    <w:rsid w:val="00AA7083"/>
    <w:rsid w:val="00AA70A1"/>
    <w:rsid w:val="00AA7102"/>
    <w:rsid w:val="00AA713C"/>
    <w:rsid w:val="00AA713E"/>
    <w:rsid w:val="00AA71FF"/>
    <w:rsid w:val="00AA7588"/>
    <w:rsid w:val="00AA758F"/>
    <w:rsid w:val="00AA7621"/>
    <w:rsid w:val="00AA762E"/>
    <w:rsid w:val="00AA7713"/>
    <w:rsid w:val="00AA7769"/>
    <w:rsid w:val="00AA77E6"/>
    <w:rsid w:val="00AA7910"/>
    <w:rsid w:val="00AA7A0B"/>
    <w:rsid w:val="00AA7A67"/>
    <w:rsid w:val="00AA7AB8"/>
    <w:rsid w:val="00AA7B37"/>
    <w:rsid w:val="00AA7B60"/>
    <w:rsid w:val="00AA7BEE"/>
    <w:rsid w:val="00AA7C6A"/>
    <w:rsid w:val="00AA7D9D"/>
    <w:rsid w:val="00AA7F13"/>
    <w:rsid w:val="00AB0109"/>
    <w:rsid w:val="00AB0171"/>
    <w:rsid w:val="00AB0300"/>
    <w:rsid w:val="00AB031D"/>
    <w:rsid w:val="00AB0423"/>
    <w:rsid w:val="00AB04DF"/>
    <w:rsid w:val="00AB0559"/>
    <w:rsid w:val="00AB065A"/>
    <w:rsid w:val="00AB08E5"/>
    <w:rsid w:val="00AB091C"/>
    <w:rsid w:val="00AB099D"/>
    <w:rsid w:val="00AB0A08"/>
    <w:rsid w:val="00AB0B6D"/>
    <w:rsid w:val="00AB0BD2"/>
    <w:rsid w:val="00AB0CBC"/>
    <w:rsid w:val="00AB0D12"/>
    <w:rsid w:val="00AB0D31"/>
    <w:rsid w:val="00AB0D87"/>
    <w:rsid w:val="00AB0F35"/>
    <w:rsid w:val="00AB1052"/>
    <w:rsid w:val="00AB10CD"/>
    <w:rsid w:val="00AB1287"/>
    <w:rsid w:val="00AB12D3"/>
    <w:rsid w:val="00AB1317"/>
    <w:rsid w:val="00AB134E"/>
    <w:rsid w:val="00AB13CC"/>
    <w:rsid w:val="00AB1453"/>
    <w:rsid w:val="00AB152E"/>
    <w:rsid w:val="00AB1536"/>
    <w:rsid w:val="00AB15CD"/>
    <w:rsid w:val="00AB15FD"/>
    <w:rsid w:val="00AB1606"/>
    <w:rsid w:val="00AB165C"/>
    <w:rsid w:val="00AB1661"/>
    <w:rsid w:val="00AB16DF"/>
    <w:rsid w:val="00AB171E"/>
    <w:rsid w:val="00AB18C8"/>
    <w:rsid w:val="00AB1A19"/>
    <w:rsid w:val="00AB1AEE"/>
    <w:rsid w:val="00AB1B81"/>
    <w:rsid w:val="00AB1BC7"/>
    <w:rsid w:val="00AB1BCB"/>
    <w:rsid w:val="00AB1D24"/>
    <w:rsid w:val="00AB1FDA"/>
    <w:rsid w:val="00AB1FF3"/>
    <w:rsid w:val="00AB2212"/>
    <w:rsid w:val="00AB222E"/>
    <w:rsid w:val="00AB223A"/>
    <w:rsid w:val="00AB22DE"/>
    <w:rsid w:val="00AB238F"/>
    <w:rsid w:val="00AB2393"/>
    <w:rsid w:val="00AB276B"/>
    <w:rsid w:val="00AB27BE"/>
    <w:rsid w:val="00AB27EB"/>
    <w:rsid w:val="00AB2807"/>
    <w:rsid w:val="00AB287B"/>
    <w:rsid w:val="00AB28E2"/>
    <w:rsid w:val="00AB29B0"/>
    <w:rsid w:val="00AB2A9B"/>
    <w:rsid w:val="00AB2AB3"/>
    <w:rsid w:val="00AB2B00"/>
    <w:rsid w:val="00AB2B81"/>
    <w:rsid w:val="00AB2C0C"/>
    <w:rsid w:val="00AB2C31"/>
    <w:rsid w:val="00AB2DCE"/>
    <w:rsid w:val="00AB2DF3"/>
    <w:rsid w:val="00AB2E99"/>
    <w:rsid w:val="00AB2F09"/>
    <w:rsid w:val="00AB306E"/>
    <w:rsid w:val="00AB3186"/>
    <w:rsid w:val="00AB3347"/>
    <w:rsid w:val="00AB336A"/>
    <w:rsid w:val="00AB3428"/>
    <w:rsid w:val="00AB34C5"/>
    <w:rsid w:val="00AB34F4"/>
    <w:rsid w:val="00AB35CF"/>
    <w:rsid w:val="00AB3666"/>
    <w:rsid w:val="00AB36A4"/>
    <w:rsid w:val="00AB36C7"/>
    <w:rsid w:val="00AB39A3"/>
    <w:rsid w:val="00AB39CD"/>
    <w:rsid w:val="00AB3A26"/>
    <w:rsid w:val="00AB3A3D"/>
    <w:rsid w:val="00AB3AEF"/>
    <w:rsid w:val="00AB3B26"/>
    <w:rsid w:val="00AB3DB5"/>
    <w:rsid w:val="00AB3DF2"/>
    <w:rsid w:val="00AB3E01"/>
    <w:rsid w:val="00AB3E02"/>
    <w:rsid w:val="00AB3E63"/>
    <w:rsid w:val="00AB3F98"/>
    <w:rsid w:val="00AB3FB5"/>
    <w:rsid w:val="00AB408C"/>
    <w:rsid w:val="00AB40BC"/>
    <w:rsid w:val="00AB40C3"/>
    <w:rsid w:val="00AB41E8"/>
    <w:rsid w:val="00AB42E2"/>
    <w:rsid w:val="00AB4322"/>
    <w:rsid w:val="00AB438D"/>
    <w:rsid w:val="00AB43A7"/>
    <w:rsid w:val="00AB43EA"/>
    <w:rsid w:val="00AB4485"/>
    <w:rsid w:val="00AB45D3"/>
    <w:rsid w:val="00AB4626"/>
    <w:rsid w:val="00AB463C"/>
    <w:rsid w:val="00AB4664"/>
    <w:rsid w:val="00AB4798"/>
    <w:rsid w:val="00AB47D6"/>
    <w:rsid w:val="00AB4810"/>
    <w:rsid w:val="00AB48B8"/>
    <w:rsid w:val="00AB48E9"/>
    <w:rsid w:val="00AB498B"/>
    <w:rsid w:val="00AB4A85"/>
    <w:rsid w:val="00AB4C3F"/>
    <w:rsid w:val="00AB4CB7"/>
    <w:rsid w:val="00AB4D5E"/>
    <w:rsid w:val="00AB4DA4"/>
    <w:rsid w:val="00AB4DB0"/>
    <w:rsid w:val="00AB4E9E"/>
    <w:rsid w:val="00AB4EC8"/>
    <w:rsid w:val="00AB4F89"/>
    <w:rsid w:val="00AB50CC"/>
    <w:rsid w:val="00AB5101"/>
    <w:rsid w:val="00AB527E"/>
    <w:rsid w:val="00AB52BB"/>
    <w:rsid w:val="00AB52C0"/>
    <w:rsid w:val="00AB5410"/>
    <w:rsid w:val="00AB5504"/>
    <w:rsid w:val="00AB55D0"/>
    <w:rsid w:val="00AB55FA"/>
    <w:rsid w:val="00AB568C"/>
    <w:rsid w:val="00AB57AC"/>
    <w:rsid w:val="00AB57C5"/>
    <w:rsid w:val="00AB57E1"/>
    <w:rsid w:val="00AB5897"/>
    <w:rsid w:val="00AB5911"/>
    <w:rsid w:val="00AB592B"/>
    <w:rsid w:val="00AB5B1D"/>
    <w:rsid w:val="00AB5B27"/>
    <w:rsid w:val="00AB5BC8"/>
    <w:rsid w:val="00AB5C0C"/>
    <w:rsid w:val="00AB5CC8"/>
    <w:rsid w:val="00AB5D0A"/>
    <w:rsid w:val="00AB5D38"/>
    <w:rsid w:val="00AB5D79"/>
    <w:rsid w:val="00AB5E3D"/>
    <w:rsid w:val="00AB5F69"/>
    <w:rsid w:val="00AB5FB8"/>
    <w:rsid w:val="00AB5FEB"/>
    <w:rsid w:val="00AB6058"/>
    <w:rsid w:val="00AB6077"/>
    <w:rsid w:val="00AB615B"/>
    <w:rsid w:val="00AB61D6"/>
    <w:rsid w:val="00AB63CD"/>
    <w:rsid w:val="00AB643B"/>
    <w:rsid w:val="00AB64D3"/>
    <w:rsid w:val="00AB6530"/>
    <w:rsid w:val="00AB6558"/>
    <w:rsid w:val="00AB656F"/>
    <w:rsid w:val="00AB65B9"/>
    <w:rsid w:val="00AB6615"/>
    <w:rsid w:val="00AB6701"/>
    <w:rsid w:val="00AB6875"/>
    <w:rsid w:val="00AB6A03"/>
    <w:rsid w:val="00AB6AC4"/>
    <w:rsid w:val="00AB6B5F"/>
    <w:rsid w:val="00AB6CDD"/>
    <w:rsid w:val="00AB6D7D"/>
    <w:rsid w:val="00AB6E15"/>
    <w:rsid w:val="00AB6E26"/>
    <w:rsid w:val="00AB6F09"/>
    <w:rsid w:val="00AB6FE2"/>
    <w:rsid w:val="00AB7089"/>
    <w:rsid w:val="00AB70F1"/>
    <w:rsid w:val="00AB722A"/>
    <w:rsid w:val="00AB72AE"/>
    <w:rsid w:val="00AB73A3"/>
    <w:rsid w:val="00AB73E3"/>
    <w:rsid w:val="00AB7401"/>
    <w:rsid w:val="00AB751F"/>
    <w:rsid w:val="00AB7564"/>
    <w:rsid w:val="00AB75B3"/>
    <w:rsid w:val="00AB7614"/>
    <w:rsid w:val="00AB7624"/>
    <w:rsid w:val="00AB7708"/>
    <w:rsid w:val="00AB7836"/>
    <w:rsid w:val="00AB7872"/>
    <w:rsid w:val="00AB78AF"/>
    <w:rsid w:val="00AB78E4"/>
    <w:rsid w:val="00AB7947"/>
    <w:rsid w:val="00AB79A6"/>
    <w:rsid w:val="00AB7AFE"/>
    <w:rsid w:val="00AB7C38"/>
    <w:rsid w:val="00AB7C7D"/>
    <w:rsid w:val="00AB7CE1"/>
    <w:rsid w:val="00AB7CFE"/>
    <w:rsid w:val="00AB7DCF"/>
    <w:rsid w:val="00AC0060"/>
    <w:rsid w:val="00AC0204"/>
    <w:rsid w:val="00AC0370"/>
    <w:rsid w:val="00AC04CA"/>
    <w:rsid w:val="00AC05E6"/>
    <w:rsid w:val="00AC0732"/>
    <w:rsid w:val="00AC07EA"/>
    <w:rsid w:val="00AC07ED"/>
    <w:rsid w:val="00AC085D"/>
    <w:rsid w:val="00AC0862"/>
    <w:rsid w:val="00AC0931"/>
    <w:rsid w:val="00AC09B0"/>
    <w:rsid w:val="00AC0A23"/>
    <w:rsid w:val="00AC0ABE"/>
    <w:rsid w:val="00AC0C71"/>
    <w:rsid w:val="00AC0D0C"/>
    <w:rsid w:val="00AC0D43"/>
    <w:rsid w:val="00AC0E00"/>
    <w:rsid w:val="00AC0E4A"/>
    <w:rsid w:val="00AC0E9F"/>
    <w:rsid w:val="00AC0EB4"/>
    <w:rsid w:val="00AC0F78"/>
    <w:rsid w:val="00AC1064"/>
    <w:rsid w:val="00AC123D"/>
    <w:rsid w:val="00AC1281"/>
    <w:rsid w:val="00AC13CA"/>
    <w:rsid w:val="00AC1421"/>
    <w:rsid w:val="00AC1496"/>
    <w:rsid w:val="00AC15AF"/>
    <w:rsid w:val="00AC16C3"/>
    <w:rsid w:val="00AC1810"/>
    <w:rsid w:val="00AC183A"/>
    <w:rsid w:val="00AC1A52"/>
    <w:rsid w:val="00AC1CF0"/>
    <w:rsid w:val="00AC1CF7"/>
    <w:rsid w:val="00AC1D09"/>
    <w:rsid w:val="00AC1EA4"/>
    <w:rsid w:val="00AC1EB4"/>
    <w:rsid w:val="00AC1F21"/>
    <w:rsid w:val="00AC1F39"/>
    <w:rsid w:val="00AC1FE6"/>
    <w:rsid w:val="00AC1FF6"/>
    <w:rsid w:val="00AC208D"/>
    <w:rsid w:val="00AC21DD"/>
    <w:rsid w:val="00AC22A7"/>
    <w:rsid w:val="00AC22BE"/>
    <w:rsid w:val="00AC22C5"/>
    <w:rsid w:val="00AC22E9"/>
    <w:rsid w:val="00AC23FF"/>
    <w:rsid w:val="00AC247E"/>
    <w:rsid w:val="00AC258D"/>
    <w:rsid w:val="00AC25E3"/>
    <w:rsid w:val="00AC2620"/>
    <w:rsid w:val="00AC2667"/>
    <w:rsid w:val="00AC266A"/>
    <w:rsid w:val="00AC267C"/>
    <w:rsid w:val="00AC270F"/>
    <w:rsid w:val="00AC276B"/>
    <w:rsid w:val="00AC2789"/>
    <w:rsid w:val="00AC27A0"/>
    <w:rsid w:val="00AC27B6"/>
    <w:rsid w:val="00AC27BD"/>
    <w:rsid w:val="00AC27F8"/>
    <w:rsid w:val="00AC2927"/>
    <w:rsid w:val="00AC2B91"/>
    <w:rsid w:val="00AC2CAA"/>
    <w:rsid w:val="00AC2D0A"/>
    <w:rsid w:val="00AC2D96"/>
    <w:rsid w:val="00AC2DBD"/>
    <w:rsid w:val="00AC2E4C"/>
    <w:rsid w:val="00AC2EE0"/>
    <w:rsid w:val="00AC2F18"/>
    <w:rsid w:val="00AC2F62"/>
    <w:rsid w:val="00AC2F9D"/>
    <w:rsid w:val="00AC30D4"/>
    <w:rsid w:val="00AC3170"/>
    <w:rsid w:val="00AC317F"/>
    <w:rsid w:val="00AC3187"/>
    <w:rsid w:val="00AC31A8"/>
    <w:rsid w:val="00AC31C6"/>
    <w:rsid w:val="00AC31FB"/>
    <w:rsid w:val="00AC3227"/>
    <w:rsid w:val="00AC3325"/>
    <w:rsid w:val="00AC33C8"/>
    <w:rsid w:val="00AC3459"/>
    <w:rsid w:val="00AC34C2"/>
    <w:rsid w:val="00AC36B4"/>
    <w:rsid w:val="00AC377F"/>
    <w:rsid w:val="00AC384D"/>
    <w:rsid w:val="00AC387D"/>
    <w:rsid w:val="00AC38C4"/>
    <w:rsid w:val="00AC39A4"/>
    <w:rsid w:val="00AC39E4"/>
    <w:rsid w:val="00AC3A29"/>
    <w:rsid w:val="00AC3A72"/>
    <w:rsid w:val="00AC3ACE"/>
    <w:rsid w:val="00AC3B20"/>
    <w:rsid w:val="00AC3C09"/>
    <w:rsid w:val="00AC3C3F"/>
    <w:rsid w:val="00AC3D86"/>
    <w:rsid w:val="00AC3DD0"/>
    <w:rsid w:val="00AC3F3A"/>
    <w:rsid w:val="00AC4135"/>
    <w:rsid w:val="00AC428C"/>
    <w:rsid w:val="00AC43EF"/>
    <w:rsid w:val="00AC4508"/>
    <w:rsid w:val="00AC4601"/>
    <w:rsid w:val="00AC463A"/>
    <w:rsid w:val="00AC47B7"/>
    <w:rsid w:val="00AC47BF"/>
    <w:rsid w:val="00AC47E3"/>
    <w:rsid w:val="00AC483E"/>
    <w:rsid w:val="00AC4948"/>
    <w:rsid w:val="00AC4967"/>
    <w:rsid w:val="00AC4B32"/>
    <w:rsid w:val="00AC4C28"/>
    <w:rsid w:val="00AC4C36"/>
    <w:rsid w:val="00AC4D0F"/>
    <w:rsid w:val="00AC4DC4"/>
    <w:rsid w:val="00AC4E25"/>
    <w:rsid w:val="00AC5123"/>
    <w:rsid w:val="00AC5263"/>
    <w:rsid w:val="00AC529B"/>
    <w:rsid w:val="00AC52E4"/>
    <w:rsid w:val="00AC5366"/>
    <w:rsid w:val="00AC54D9"/>
    <w:rsid w:val="00AC54FB"/>
    <w:rsid w:val="00AC559F"/>
    <w:rsid w:val="00AC55FF"/>
    <w:rsid w:val="00AC5687"/>
    <w:rsid w:val="00AC56D2"/>
    <w:rsid w:val="00AC5760"/>
    <w:rsid w:val="00AC5981"/>
    <w:rsid w:val="00AC5ABC"/>
    <w:rsid w:val="00AC5B4F"/>
    <w:rsid w:val="00AC5BB4"/>
    <w:rsid w:val="00AC5CE8"/>
    <w:rsid w:val="00AC5F44"/>
    <w:rsid w:val="00AC5F65"/>
    <w:rsid w:val="00AC6091"/>
    <w:rsid w:val="00AC60EA"/>
    <w:rsid w:val="00AC628C"/>
    <w:rsid w:val="00AC62C8"/>
    <w:rsid w:val="00AC636B"/>
    <w:rsid w:val="00AC63DC"/>
    <w:rsid w:val="00AC63E5"/>
    <w:rsid w:val="00AC644C"/>
    <w:rsid w:val="00AC645D"/>
    <w:rsid w:val="00AC6493"/>
    <w:rsid w:val="00AC649B"/>
    <w:rsid w:val="00AC64A6"/>
    <w:rsid w:val="00AC6519"/>
    <w:rsid w:val="00AC6666"/>
    <w:rsid w:val="00AC667E"/>
    <w:rsid w:val="00AC66AA"/>
    <w:rsid w:val="00AC66F1"/>
    <w:rsid w:val="00AC678B"/>
    <w:rsid w:val="00AC67E9"/>
    <w:rsid w:val="00AC689E"/>
    <w:rsid w:val="00AC68FA"/>
    <w:rsid w:val="00AC6921"/>
    <w:rsid w:val="00AC696E"/>
    <w:rsid w:val="00AC6977"/>
    <w:rsid w:val="00AC69D7"/>
    <w:rsid w:val="00AC6A6B"/>
    <w:rsid w:val="00AC6B7E"/>
    <w:rsid w:val="00AC6BF6"/>
    <w:rsid w:val="00AC6C5D"/>
    <w:rsid w:val="00AC6C89"/>
    <w:rsid w:val="00AC6D02"/>
    <w:rsid w:val="00AC6D9A"/>
    <w:rsid w:val="00AC6E16"/>
    <w:rsid w:val="00AC6F62"/>
    <w:rsid w:val="00AC7051"/>
    <w:rsid w:val="00AC7102"/>
    <w:rsid w:val="00AC7115"/>
    <w:rsid w:val="00AC712B"/>
    <w:rsid w:val="00AC7156"/>
    <w:rsid w:val="00AC7247"/>
    <w:rsid w:val="00AC73E4"/>
    <w:rsid w:val="00AC7415"/>
    <w:rsid w:val="00AC7467"/>
    <w:rsid w:val="00AC75D0"/>
    <w:rsid w:val="00AC7621"/>
    <w:rsid w:val="00AC7675"/>
    <w:rsid w:val="00AC77BA"/>
    <w:rsid w:val="00AC7833"/>
    <w:rsid w:val="00AC784B"/>
    <w:rsid w:val="00AC7ADC"/>
    <w:rsid w:val="00AC7B07"/>
    <w:rsid w:val="00AC7B10"/>
    <w:rsid w:val="00AC7B5B"/>
    <w:rsid w:val="00AC7B69"/>
    <w:rsid w:val="00AC7BC8"/>
    <w:rsid w:val="00AC7C0A"/>
    <w:rsid w:val="00AC7C8C"/>
    <w:rsid w:val="00AC7C94"/>
    <w:rsid w:val="00AC7CFE"/>
    <w:rsid w:val="00AC7D02"/>
    <w:rsid w:val="00AC7D0C"/>
    <w:rsid w:val="00AC7DB8"/>
    <w:rsid w:val="00AC7E9D"/>
    <w:rsid w:val="00AC7F4A"/>
    <w:rsid w:val="00AC7F53"/>
    <w:rsid w:val="00AC7F65"/>
    <w:rsid w:val="00AD0061"/>
    <w:rsid w:val="00AD008F"/>
    <w:rsid w:val="00AD00CF"/>
    <w:rsid w:val="00AD013B"/>
    <w:rsid w:val="00AD0253"/>
    <w:rsid w:val="00AD0328"/>
    <w:rsid w:val="00AD032A"/>
    <w:rsid w:val="00AD03FF"/>
    <w:rsid w:val="00AD04EA"/>
    <w:rsid w:val="00AD04EF"/>
    <w:rsid w:val="00AD05C7"/>
    <w:rsid w:val="00AD077B"/>
    <w:rsid w:val="00AD08AB"/>
    <w:rsid w:val="00AD0962"/>
    <w:rsid w:val="00AD0A0C"/>
    <w:rsid w:val="00AD0AF5"/>
    <w:rsid w:val="00AD0B16"/>
    <w:rsid w:val="00AD0C11"/>
    <w:rsid w:val="00AD0E6F"/>
    <w:rsid w:val="00AD0FF3"/>
    <w:rsid w:val="00AD0FF9"/>
    <w:rsid w:val="00AD105F"/>
    <w:rsid w:val="00AD10C2"/>
    <w:rsid w:val="00AD111A"/>
    <w:rsid w:val="00AD1303"/>
    <w:rsid w:val="00AD136B"/>
    <w:rsid w:val="00AD1411"/>
    <w:rsid w:val="00AD1453"/>
    <w:rsid w:val="00AD146C"/>
    <w:rsid w:val="00AD15F1"/>
    <w:rsid w:val="00AD181C"/>
    <w:rsid w:val="00AD1915"/>
    <w:rsid w:val="00AD19E2"/>
    <w:rsid w:val="00AD19F2"/>
    <w:rsid w:val="00AD1AF6"/>
    <w:rsid w:val="00AD1B7B"/>
    <w:rsid w:val="00AD1C5D"/>
    <w:rsid w:val="00AD1CC4"/>
    <w:rsid w:val="00AD1D75"/>
    <w:rsid w:val="00AD1F37"/>
    <w:rsid w:val="00AD1F63"/>
    <w:rsid w:val="00AD1F96"/>
    <w:rsid w:val="00AD1FD9"/>
    <w:rsid w:val="00AD1FEB"/>
    <w:rsid w:val="00AD212F"/>
    <w:rsid w:val="00AD2183"/>
    <w:rsid w:val="00AD22B0"/>
    <w:rsid w:val="00AD22EE"/>
    <w:rsid w:val="00AD230D"/>
    <w:rsid w:val="00AD2391"/>
    <w:rsid w:val="00AD24AC"/>
    <w:rsid w:val="00AD2557"/>
    <w:rsid w:val="00AD257D"/>
    <w:rsid w:val="00AD25C3"/>
    <w:rsid w:val="00AD25C5"/>
    <w:rsid w:val="00AD25F5"/>
    <w:rsid w:val="00AD25F6"/>
    <w:rsid w:val="00AD260D"/>
    <w:rsid w:val="00AD2635"/>
    <w:rsid w:val="00AD27DA"/>
    <w:rsid w:val="00AD281C"/>
    <w:rsid w:val="00AD286D"/>
    <w:rsid w:val="00AD289C"/>
    <w:rsid w:val="00AD295F"/>
    <w:rsid w:val="00AD29B7"/>
    <w:rsid w:val="00AD2BE6"/>
    <w:rsid w:val="00AD2C3C"/>
    <w:rsid w:val="00AD2C44"/>
    <w:rsid w:val="00AD2D45"/>
    <w:rsid w:val="00AD2E20"/>
    <w:rsid w:val="00AD2E7E"/>
    <w:rsid w:val="00AD2F0D"/>
    <w:rsid w:val="00AD2F29"/>
    <w:rsid w:val="00AD2F56"/>
    <w:rsid w:val="00AD3091"/>
    <w:rsid w:val="00AD30A3"/>
    <w:rsid w:val="00AD30AD"/>
    <w:rsid w:val="00AD30DD"/>
    <w:rsid w:val="00AD31C1"/>
    <w:rsid w:val="00AD3309"/>
    <w:rsid w:val="00AD3317"/>
    <w:rsid w:val="00AD33C7"/>
    <w:rsid w:val="00AD33E1"/>
    <w:rsid w:val="00AD342B"/>
    <w:rsid w:val="00AD3443"/>
    <w:rsid w:val="00AD3450"/>
    <w:rsid w:val="00AD3495"/>
    <w:rsid w:val="00AD3740"/>
    <w:rsid w:val="00AD38CE"/>
    <w:rsid w:val="00AD3906"/>
    <w:rsid w:val="00AD394C"/>
    <w:rsid w:val="00AD3952"/>
    <w:rsid w:val="00AD3976"/>
    <w:rsid w:val="00AD3AFE"/>
    <w:rsid w:val="00AD3B2F"/>
    <w:rsid w:val="00AD3B6F"/>
    <w:rsid w:val="00AD3B71"/>
    <w:rsid w:val="00AD3BEA"/>
    <w:rsid w:val="00AD3BFA"/>
    <w:rsid w:val="00AD3CC2"/>
    <w:rsid w:val="00AD3D6F"/>
    <w:rsid w:val="00AD3DFC"/>
    <w:rsid w:val="00AD3F8B"/>
    <w:rsid w:val="00AD4160"/>
    <w:rsid w:val="00AD420C"/>
    <w:rsid w:val="00AD42B3"/>
    <w:rsid w:val="00AD436B"/>
    <w:rsid w:val="00AD4416"/>
    <w:rsid w:val="00AD446C"/>
    <w:rsid w:val="00AD4515"/>
    <w:rsid w:val="00AD4546"/>
    <w:rsid w:val="00AD4688"/>
    <w:rsid w:val="00AD4738"/>
    <w:rsid w:val="00AD4868"/>
    <w:rsid w:val="00AD486F"/>
    <w:rsid w:val="00AD494A"/>
    <w:rsid w:val="00AD49D5"/>
    <w:rsid w:val="00AD4A27"/>
    <w:rsid w:val="00AD4B46"/>
    <w:rsid w:val="00AD4B5D"/>
    <w:rsid w:val="00AD4C25"/>
    <w:rsid w:val="00AD4D87"/>
    <w:rsid w:val="00AD4DB3"/>
    <w:rsid w:val="00AD4E44"/>
    <w:rsid w:val="00AD4EE6"/>
    <w:rsid w:val="00AD4F38"/>
    <w:rsid w:val="00AD500D"/>
    <w:rsid w:val="00AD50AD"/>
    <w:rsid w:val="00AD510C"/>
    <w:rsid w:val="00AD5168"/>
    <w:rsid w:val="00AD5288"/>
    <w:rsid w:val="00AD531E"/>
    <w:rsid w:val="00AD53E3"/>
    <w:rsid w:val="00AD54BC"/>
    <w:rsid w:val="00AD566A"/>
    <w:rsid w:val="00AD5767"/>
    <w:rsid w:val="00AD587A"/>
    <w:rsid w:val="00AD5889"/>
    <w:rsid w:val="00AD590F"/>
    <w:rsid w:val="00AD593B"/>
    <w:rsid w:val="00AD59D9"/>
    <w:rsid w:val="00AD5AFD"/>
    <w:rsid w:val="00AD5CF2"/>
    <w:rsid w:val="00AD5E2E"/>
    <w:rsid w:val="00AD5EAC"/>
    <w:rsid w:val="00AD5EC4"/>
    <w:rsid w:val="00AD6045"/>
    <w:rsid w:val="00AD607F"/>
    <w:rsid w:val="00AD60DC"/>
    <w:rsid w:val="00AD61AB"/>
    <w:rsid w:val="00AD6372"/>
    <w:rsid w:val="00AD650D"/>
    <w:rsid w:val="00AD652F"/>
    <w:rsid w:val="00AD6568"/>
    <w:rsid w:val="00AD66B2"/>
    <w:rsid w:val="00AD66F9"/>
    <w:rsid w:val="00AD6748"/>
    <w:rsid w:val="00AD674C"/>
    <w:rsid w:val="00AD67F2"/>
    <w:rsid w:val="00AD6848"/>
    <w:rsid w:val="00AD68D5"/>
    <w:rsid w:val="00AD6AF5"/>
    <w:rsid w:val="00AD6B34"/>
    <w:rsid w:val="00AD6B97"/>
    <w:rsid w:val="00AD6BD4"/>
    <w:rsid w:val="00AD6CBE"/>
    <w:rsid w:val="00AD6D14"/>
    <w:rsid w:val="00AD6D96"/>
    <w:rsid w:val="00AD6E5B"/>
    <w:rsid w:val="00AD703C"/>
    <w:rsid w:val="00AD7040"/>
    <w:rsid w:val="00AD7072"/>
    <w:rsid w:val="00AD7113"/>
    <w:rsid w:val="00AD7143"/>
    <w:rsid w:val="00AD714C"/>
    <w:rsid w:val="00AD7157"/>
    <w:rsid w:val="00AD71F7"/>
    <w:rsid w:val="00AD722D"/>
    <w:rsid w:val="00AD727C"/>
    <w:rsid w:val="00AD7321"/>
    <w:rsid w:val="00AD73C4"/>
    <w:rsid w:val="00AD7413"/>
    <w:rsid w:val="00AD761B"/>
    <w:rsid w:val="00AD776A"/>
    <w:rsid w:val="00AD7775"/>
    <w:rsid w:val="00AD7781"/>
    <w:rsid w:val="00AD77DB"/>
    <w:rsid w:val="00AD78B0"/>
    <w:rsid w:val="00AD78B1"/>
    <w:rsid w:val="00AD7960"/>
    <w:rsid w:val="00AD7A44"/>
    <w:rsid w:val="00AD7A7F"/>
    <w:rsid w:val="00AD7A9C"/>
    <w:rsid w:val="00AD7B5E"/>
    <w:rsid w:val="00AD7BF7"/>
    <w:rsid w:val="00AD7C1B"/>
    <w:rsid w:val="00AD7CEB"/>
    <w:rsid w:val="00AD7D98"/>
    <w:rsid w:val="00AD7EDE"/>
    <w:rsid w:val="00AE00C6"/>
    <w:rsid w:val="00AE0172"/>
    <w:rsid w:val="00AE02C0"/>
    <w:rsid w:val="00AE0392"/>
    <w:rsid w:val="00AE03BE"/>
    <w:rsid w:val="00AE03C2"/>
    <w:rsid w:val="00AE03EB"/>
    <w:rsid w:val="00AE0422"/>
    <w:rsid w:val="00AE042D"/>
    <w:rsid w:val="00AE05E9"/>
    <w:rsid w:val="00AE068D"/>
    <w:rsid w:val="00AE069C"/>
    <w:rsid w:val="00AE06F5"/>
    <w:rsid w:val="00AE071F"/>
    <w:rsid w:val="00AE073C"/>
    <w:rsid w:val="00AE0798"/>
    <w:rsid w:val="00AE0802"/>
    <w:rsid w:val="00AE0946"/>
    <w:rsid w:val="00AE0D4D"/>
    <w:rsid w:val="00AE0F15"/>
    <w:rsid w:val="00AE0F4A"/>
    <w:rsid w:val="00AE0FE7"/>
    <w:rsid w:val="00AE100B"/>
    <w:rsid w:val="00AE116D"/>
    <w:rsid w:val="00AE11AA"/>
    <w:rsid w:val="00AE12FE"/>
    <w:rsid w:val="00AE1354"/>
    <w:rsid w:val="00AE1374"/>
    <w:rsid w:val="00AE137E"/>
    <w:rsid w:val="00AE13DE"/>
    <w:rsid w:val="00AE14CD"/>
    <w:rsid w:val="00AE1590"/>
    <w:rsid w:val="00AE1744"/>
    <w:rsid w:val="00AE1845"/>
    <w:rsid w:val="00AE18A3"/>
    <w:rsid w:val="00AE18B0"/>
    <w:rsid w:val="00AE18B1"/>
    <w:rsid w:val="00AE1957"/>
    <w:rsid w:val="00AE19AB"/>
    <w:rsid w:val="00AE1A2A"/>
    <w:rsid w:val="00AE1A5C"/>
    <w:rsid w:val="00AE1A61"/>
    <w:rsid w:val="00AE1A83"/>
    <w:rsid w:val="00AE1B62"/>
    <w:rsid w:val="00AE1C57"/>
    <w:rsid w:val="00AE1DBC"/>
    <w:rsid w:val="00AE1E0C"/>
    <w:rsid w:val="00AE1E4D"/>
    <w:rsid w:val="00AE1EC1"/>
    <w:rsid w:val="00AE1EC2"/>
    <w:rsid w:val="00AE1ED5"/>
    <w:rsid w:val="00AE1FC2"/>
    <w:rsid w:val="00AE20DC"/>
    <w:rsid w:val="00AE2156"/>
    <w:rsid w:val="00AE2185"/>
    <w:rsid w:val="00AE2197"/>
    <w:rsid w:val="00AE2263"/>
    <w:rsid w:val="00AE22DF"/>
    <w:rsid w:val="00AE22FC"/>
    <w:rsid w:val="00AE236E"/>
    <w:rsid w:val="00AE2554"/>
    <w:rsid w:val="00AE257A"/>
    <w:rsid w:val="00AE2613"/>
    <w:rsid w:val="00AE261F"/>
    <w:rsid w:val="00AE262F"/>
    <w:rsid w:val="00AE27BA"/>
    <w:rsid w:val="00AE282A"/>
    <w:rsid w:val="00AE28E3"/>
    <w:rsid w:val="00AE2978"/>
    <w:rsid w:val="00AE2A38"/>
    <w:rsid w:val="00AE2B00"/>
    <w:rsid w:val="00AE2B2D"/>
    <w:rsid w:val="00AE2B3D"/>
    <w:rsid w:val="00AE2B62"/>
    <w:rsid w:val="00AE2BB5"/>
    <w:rsid w:val="00AE2BE9"/>
    <w:rsid w:val="00AE2C0B"/>
    <w:rsid w:val="00AE2D13"/>
    <w:rsid w:val="00AE2D66"/>
    <w:rsid w:val="00AE2E3F"/>
    <w:rsid w:val="00AE2E47"/>
    <w:rsid w:val="00AE2F92"/>
    <w:rsid w:val="00AE2F9E"/>
    <w:rsid w:val="00AE31C7"/>
    <w:rsid w:val="00AE3402"/>
    <w:rsid w:val="00AE35FA"/>
    <w:rsid w:val="00AE3636"/>
    <w:rsid w:val="00AE3704"/>
    <w:rsid w:val="00AE37C9"/>
    <w:rsid w:val="00AE37D5"/>
    <w:rsid w:val="00AE3884"/>
    <w:rsid w:val="00AE3957"/>
    <w:rsid w:val="00AE397C"/>
    <w:rsid w:val="00AE39E9"/>
    <w:rsid w:val="00AE3AB3"/>
    <w:rsid w:val="00AE3AC7"/>
    <w:rsid w:val="00AE3B1C"/>
    <w:rsid w:val="00AE3B34"/>
    <w:rsid w:val="00AE3BFA"/>
    <w:rsid w:val="00AE3C09"/>
    <w:rsid w:val="00AE3D13"/>
    <w:rsid w:val="00AE3D5F"/>
    <w:rsid w:val="00AE3E34"/>
    <w:rsid w:val="00AE3E77"/>
    <w:rsid w:val="00AE415A"/>
    <w:rsid w:val="00AE4179"/>
    <w:rsid w:val="00AE427B"/>
    <w:rsid w:val="00AE441C"/>
    <w:rsid w:val="00AE442F"/>
    <w:rsid w:val="00AE44BC"/>
    <w:rsid w:val="00AE4667"/>
    <w:rsid w:val="00AE4737"/>
    <w:rsid w:val="00AE474D"/>
    <w:rsid w:val="00AE476A"/>
    <w:rsid w:val="00AE47D3"/>
    <w:rsid w:val="00AE47E5"/>
    <w:rsid w:val="00AE4809"/>
    <w:rsid w:val="00AE480F"/>
    <w:rsid w:val="00AE4836"/>
    <w:rsid w:val="00AE48D1"/>
    <w:rsid w:val="00AE48F4"/>
    <w:rsid w:val="00AE4935"/>
    <w:rsid w:val="00AE4AD0"/>
    <w:rsid w:val="00AE4B29"/>
    <w:rsid w:val="00AE4BA1"/>
    <w:rsid w:val="00AE4C25"/>
    <w:rsid w:val="00AE4C2D"/>
    <w:rsid w:val="00AE4C6B"/>
    <w:rsid w:val="00AE4CB7"/>
    <w:rsid w:val="00AE4CEE"/>
    <w:rsid w:val="00AE4CFB"/>
    <w:rsid w:val="00AE4D63"/>
    <w:rsid w:val="00AE4E15"/>
    <w:rsid w:val="00AE4E2B"/>
    <w:rsid w:val="00AE4E75"/>
    <w:rsid w:val="00AE512E"/>
    <w:rsid w:val="00AE5144"/>
    <w:rsid w:val="00AE5163"/>
    <w:rsid w:val="00AE51C2"/>
    <w:rsid w:val="00AE5230"/>
    <w:rsid w:val="00AE523C"/>
    <w:rsid w:val="00AE523F"/>
    <w:rsid w:val="00AE5274"/>
    <w:rsid w:val="00AE527D"/>
    <w:rsid w:val="00AE52F8"/>
    <w:rsid w:val="00AE5305"/>
    <w:rsid w:val="00AE532C"/>
    <w:rsid w:val="00AE53DA"/>
    <w:rsid w:val="00AE561E"/>
    <w:rsid w:val="00AE56C8"/>
    <w:rsid w:val="00AE56D8"/>
    <w:rsid w:val="00AE5876"/>
    <w:rsid w:val="00AE5897"/>
    <w:rsid w:val="00AE58E7"/>
    <w:rsid w:val="00AE591F"/>
    <w:rsid w:val="00AE59EF"/>
    <w:rsid w:val="00AE5A37"/>
    <w:rsid w:val="00AE5AC5"/>
    <w:rsid w:val="00AE5B9F"/>
    <w:rsid w:val="00AE5C89"/>
    <w:rsid w:val="00AE5E3D"/>
    <w:rsid w:val="00AE5E52"/>
    <w:rsid w:val="00AE5EF3"/>
    <w:rsid w:val="00AE5FFB"/>
    <w:rsid w:val="00AE61A1"/>
    <w:rsid w:val="00AE61B4"/>
    <w:rsid w:val="00AE6224"/>
    <w:rsid w:val="00AE632E"/>
    <w:rsid w:val="00AE6333"/>
    <w:rsid w:val="00AE63F1"/>
    <w:rsid w:val="00AE64C9"/>
    <w:rsid w:val="00AE6502"/>
    <w:rsid w:val="00AE6580"/>
    <w:rsid w:val="00AE669D"/>
    <w:rsid w:val="00AE67B6"/>
    <w:rsid w:val="00AE689E"/>
    <w:rsid w:val="00AE6A4A"/>
    <w:rsid w:val="00AE6BF2"/>
    <w:rsid w:val="00AE6BF6"/>
    <w:rsid w:val="00AE6CB5"/>
    <w:rsid w:val="00AE6D2D"/>
    <w:rsid w:val="00AE6D6B"/>
    <w:rsid w:val="00AE6EB4"/>
    <w:rsid w:val="00AE6F29"/>
    <w:rsid w:val="00AE7017"/>
    <w:rsid w:val="00AE7136"/>
    <w:rsid w:val="00AE7195"/>
    <w:rsid w:val="00AE719D"/>
    <w:rsid w:val="00AE73C9"/>
    <w:rsid w:val="00AE7413"/>
    <w:rsid w:val="00AE7432"/>
    <w:rsid w:val="00AE743E"/>
    <w:rsid w:val="00AE74D3"/>
    <w:rsid w:val="00AE7504"/>
    <w:rsid w:val="00AE75B1"/>
    <w:rsid w:val="00AE75E0"/>
    <w:rsid w:val="00AE7601"/>
    <w:rsid w:val="00AE77B2"/>
    <w:rsid w:val="00AE77EB"/>
    <w:rsid w:val="00AE780D"/>
    <w:rsid w:val="00AE78F6"/>
    <w:rsid w:val="00AE7927"/>
    <w:rsid w:val="00AE79D1"/>
    <w:rsid w:val="00AE79EE"/>
    <w:rsid w:val="00AE7AA9"/>
    <w:rsid w:val="00AE7AAB"/>
    <w:rsid w:val="00AE7B63"/>
    <w:rsid w:val="00AE7BB7"/>
    <w:rsid w:val="00AE7C99"/>
    <w:rsid w:val="00AE7E4A"/>
    <w:rsid w:val="00AF001A"/>
    <w:rsid w:val="00AF007B"/>
    <w:rsid w:val="00AF00C5"/>
    <w:rsid w:val="00AF01FE"/>
    <w:rsid w:val="00AF025A"/>
    <w:rsid w:val="00AF027D"/>
    <w:rsid w:val="00AF02E1"/>
    <w:rsid w:val="00AF03BD"/>
    <w:rsid w:val="00AF044F"/>
    <w:rsid w:val="00AF04DA"/>
    <w:rsid w:val="00AF04E8"/>
    <w:rsid w:val="00AF0579"/>
    <w:rsid w:val="00AF061A"/>
    <w:rsid w:val="00AF063A"/>
    <w:rsid w:val="00AF0714"/>
    <w:rsid w:val="00AF078F"/>
    <w:rsid w:val="00AF07A9"/>
    <w:rsid w:val="00AF07FF"/>
    <w:rsid w:val="00AF0849"/>
    <w:rsid w:val="00AF0876"/>
    <w:rsid w:val="00AF088B"/>
    <w:rsid w:val="00AF091F"/>
    <w:rsid w:val="00AF093C"/>
    <w:rsid w:val="00AF0972"/>
    <w:rsid w:val="00AF09EE"/>
    <w:rsid w:val="00AF0A24"/>
    <w:rsid w:val="00AF0A56"/>
    <w:rsid w:val="00AF0A96"/>
    <w:rsid w:val="00AF0B27"/>
    <w:rsid w:val="00AF0BC5"/>
    <w:rsid w:val="00AF0C02"/>
    <w:rsid w:val="00AF0EAE"/>
    <w:rsid w:val="00AF0FFE"/>
    <w:rsid w:val="00AF1044"/>
    <w:rsid w:val="00AF104E"/>
    <w:rsid w:val="00AF1076"/>
    <w:rsid w:val="00AF1292"/>
    <w:rsid w:val="00AF130E"/>
    <w:rsid w:val="00AF13CF"/>
    <w:rsid w:val="00AF1478"/>
    <w:rsid w:val="00AF14D8"/>
    <w:rsid w:val="00AF14F7"/>
    <w:rsid w:val="00AF155C"/>
    <w:rsid w:val="00AF157E"/>
    <w:rsid w:val="00AF1756"/>
    <w:rsid w:val="00AF1892"/>
    <w:rsid w:val="00AF19CE"/>
    <w:rsid w:val="00AF1AD9"/>
    <w:rsid w:val="00AF1B25"/>
    <w:rsid w:val="00AF1BE8"/>
    <w:rsid w:val="00AF1C33"/>
    <w:rsid w:val="00AF1CBB"/>
    <w:rsid w:val="00AF1D43"/>
    <w:rsid w:val="00AF1E35"/>
    <w:rsid w:val="00AF1E5C"/>
    <w:rsid w:val="00AF1E64"/>
    <w:rsid w:val="00AF1F37"/>
    <w:rsid w:val="00AF1F4E"/>
    <w:rsid w:val="00AF1F5D"/>
    <w:rsid w:val="00AF1FC5"/>
    <w:rsid w:val="00AF201D"/>
    <w:rsid w:val="00AF2082"/>
    <w:rsid w:val="00AF2098"/>
    <w:rsid w:val="00AF209F"/>
    <w:rsid w:val="00AF20F3"/>
    <w:rsid w:val="00AF210F"/>
    <w:rsid w:val="00AF2151"/>
    <w:rsid w:val="00AF221F"/>
    <w:rsid w:val="00AF2275"/>
    <w:rsid w:val="00AF2336"/>
    <w:rsid w:val="00AF2338"/>
    <w:rsid w:val="00AF2433"/>
    <w:rsid w:val="00AF24AB"/>
    <w:rsid w:val="00AF25BF"/>
    <w:rsid w:val="00AF25F6"/>
    <w:rsid w:val="00AF2623"/>
    <w:rsid w:val="00AF26FC"/>
    <w:rsid w:val="00AF2760"/>
    <w:rsid w:val="00AF2790"/>
    <w:rsid w:val="00AF284F"/>
    <w:rsid w:val="00AF28C8"/>
    <w:rsid w:val="00AF2965"/>
    <w:rsid w:val="00AF29ED"/>
    <w:rsid w:val="00AF2AB3"/>
    <w:rsid w:val="00AF2B04"/>
    <w:rsid w:val="00AF2B8A"/>
    <w:rsid w:val="00AF2BBC"/>
    <w:rsid w:val="00AF2C69"/>
    <w:rsid w:val="00AF2D4B"/>
    <w:rsid w:val="00AF2DE3"/>
    <w:rsid w:val="00AF2DE4"/>
    <w:rsid w:val="00AF2E7B"/>
    <w:rsid w:val="00AF2E9F"/>
    <w:rsid w:val="00AF2F51"/>
    <w:rsid w:val="00AF31B5"/>
    <w:rsid w:val="00AF31BA"/>
    <w:rsid w:val="00AF31C4"/>
    <w:rsid w:val="00AF3223"/>
    <w:rsid w:val="00AF32DD"/>
    <w:rsid w:val="00AF3311"/>
    <w:rsid w:val="00AF3313"/>
    <w:rsid w:val="00AF3328"/>
    <w:rsid w:val="00AF3430"/>
    <w:rsid w:val="00AF34BA"/>
    <w:rsid w:val="00AF35DF"/>
    <w:rsid w:val="00AF35F1"/>
    <w:rsid w:val="00AF3601"/>
    <w:rsid w:val="00AF36B2"/>
    <w:rsid w:val="00AF36CA"/>
    <w:rsid w:val="00AF3708"/>
    <w:rsid w:val="00AF37D1"/>
    <w:rsid w:val="00AF3866"/>
    <w:rsid w:val="00AF38B5"/>
    <w:rsid w:val="00AF3966"/>
    <w:rsid w:val="00AF399A"/>
    <w:rsid w:val="00AF39A5"/>
    <w:rsid w:val="00AF39FB"/>
    <w:rsid w:val="00AF3A6A"/>
    <w:rsid w:val="00AF3ACB"/>
    <w:rsid w:val="00AF3B37"/>
    <w:rsid w:val="00AF3B3C"/>
    <w:rsid w:val="00AF3C66"/>
    <w:rsid w:val="00AF3CB2"/>
    <w:rsid w:val="00AF3CD0"/>
    <w:rsid w:val="00AF3DEB"/>
    <w:rsid w:val="00AF3E79"/>
    <w:rsid w:val="00AF3EF1"/>
    <w:rsid w:val="00AF3F58"/>
    <w:rsid w:val="00AF3F79"/>
    <w:rsid w:val="00AF3F7E"/>
    <w:rsid w:val="00AF404E"/>
    <w:rsid w:val="00AF4076"/>
    <w:rsid w:val="00AF4091"/>
    <w:rsid w:val="00AF40C0"/>
    <w:rsid w:val="00AF40FF"/>
    <w:rsid w:val="00AF4101"/>
    <w:rsid w:val="00AF413F"/>
    <w:rsid w:val="00AF4156"/>
    <w:rsid w:val="00AF416B"/>
    <w:rsid w:val="00AF41DB"/>
    <w:rsid w:val="00AF41E0"/>
    <w:rsid w:val="00AF421D"/>
    <w:rsid w:val="00AF4246"/>
    <w:rsid w:val="00AF4261"/>
    <w:rsid w:val="00AF42EB"/>
    <w:rsid w:val="00AF430A"/>
    <w:rsid w:val="00AF434E"/>
    <w:rsid w:val="00AF436C"/>
    <w:rsid w:val="00AF4383"/>
    <w:rsid w:val="00AF43A6"/>
    <w:rsid w:val="00AF43CF"/>
    <w:rsid w:val="00AF43F3"/>
    <w:rsid w:val="00AF442A"/>
    <w:rsid w:val="00AF4438"/>
    <w:rsid w:val="00AF44FB"/>
    <w:rsid w:val="00AF4576"/>
    <w:rsid w:val="00AF45B2"/>
    <w:rsid w:val="00AF476F"/>
    <w:rsid w:val="00AF4770"/>
    <w:rsid w:val="00AF4835"/>
    <w:rsid w:val="00AF4896"/>
    <w:rsid w:val="00AF4966"/>
    <w:rsid w:val="00AF49DB"/>
    <w:rsid w:val="00AF4AA8"/>
    <w:rsid w:val="00AF4B25"/>
    <w:rsid w:val="00AF4C15"/>
    <w:rsid w:val="00AF4C86"/>
    <w:rsid w:val="00AF4CD1"/>
    <w:rsid w:val="00AF4CEC"/>
    <w:rsid w:val="00AF4DBB"/>
    <w:rsid w:val="00AF4DDD"/>
    <w:rsid w:val="00AF4F1B"/>
    <w:rsid w:val="00AF4FA3"/>
    <w:rsid w:val="00AF4FF8"/>
    <w:rsid w:val="00AF506A"/>
    <w:rsid w:val="00AF50C8"/>
    <w:rsid w:val="00AF51CA"/>
    <w:rsid w:val="00AF5263"/>
    <w:rsid w:val="00AF5290"/>
    <w:rsid w:val="00AF5291"/>
    <w:rsid w:val="00AF5400"/>
    <w:rsid w:val="00AF5418"/>
    <w:rsid w:val="00AF547F"/>
    <w:rsid w:val="00AF54C1"/>
    <w:rsid w:val="00AF5505"/>
    <w:rsid w:val="00AF5738"/>
    <w:rsid w:val="00AF5813"/>
    <w:rsid w:val="00AF584B"/>
    <w:rsid w:val="00AF5879"/>
    <w:rsid w:val="00AF59AF"/>
    <w:rsid w:val="00AF5A7C"/>
    <w:rsid w:val="00AF5AD0"/>
    <w:rsid w:val="00AF5AD2"/>
    <w:rsid w:val="00AF5AD7"/>
    <w:rsid w:val="00AF5C03"/>
    <w:rsid w:val="00AF5C12"/>
    <w:rsid w:val="00AF5C31"/>
    <w:rsid w:val="00AF5C45"/>
    <w:rsid w:val="00AF5C78"/>
    <w:rsid w:val="00AF5CF1"/>
    <w:rsid w:val="00AF5D35"/>
    <w:rsid w:val="00AF5E0C"/>
    <w:rsid w:val="00AF5E9F"/>
    <w:rsid w:val="00AF6035"/>
    <w:rsid w:val="00AF606F"/>
    <w:rsid w:val="00AF612A"/>
    <w:rsid w:val="00AF61E9"/>
    <w:rsid w:val="00AF622D"/>
    <w:rsid w:val="00AF624B"/>
    <w:rsid w:val="00AF6341"/>
    <w:rsid w:val="00AF636C"/>
    <w:rsid w:val="00AF64A5"/>
    <w:rsid w:val="00AF64E9"/>
    <w:rsid w:val="00AF6505"/>
    <w:rsid w:val="00AF6558"/>
    <w:rsid w:val="00AF656D"/>
    <w:rsid w:val="00AF65CE"/>
    <w:rsid w:val="00AF6607"/>
    <w:rsid w:val="00AF6656"/>
    <w:rsid w:val="00AF6736"/>
    <w:rsid w:val="00AF67D4"/>
    <w:rsid w:val="00AF68BB"/>
    <w:rsid w:val="00AF69BD"/>
    <w:rsid w:val="00AF6A50"/>
    <w:rsid w:val="00AF6B2D"/>
    <w:rsid w:val="00AF6BDE"/>
    <w:rsid w:val="00AF6C1F"/>
    <w:rsid w:val="00AF6D8D"/>
    <w:rsid w:val="00AF6DFA"/>
    <w:rsid w:val="00AF6EB8"/>
    <w:rsid w:val="00AF6ED5"/>
    <w:rsid w:val="00AF6EDC"/>
    <w:rsid w:val="00AF6F39"/>
    <w:rsid w:val="00AF6F4B"/>
    <w:rsid w:val="00AF6FF9"/>
    <w:rsid w:val="00AF7012"/>
    <w:rsid w:val="00AF701F"/>
    <w:rsid w:val="00AF7039"/>
    <w:rsid w:val="00AF703D"/>
    <w:rsid w:val="00AF7065"/>
    <w:rsid w:val="00AF7230"/>
    <w:rsid w:val="00AF7440"/>
    <w:rsid w:val="00AF7562"/>
    <w:rsid w:val="00AF75D5"/>
    <w:rsid w:val="00AF7660"/>
    <w:rsid w:val="00AF76B5"/>
    <w:rsid w:val="00AF782A"/>
    <w:rsid w:val="00AF7857"/>
    <w:rsid w:val="00AF788E"/>
    <w:rsid w:val="00AF78DB"/>
    <w:rsid w:val="00AF7AC5"/>
    <w:rsid w:val="00AF7B27"/>
    <w:rsid w:val="00AF7BDB"/>
    <w:rsid w:val="00AF7C1E"/>
    <w:rsid w:val="00AF7CC4"/>
    <w:rsid w:val="00AF7D1A"/>
    <w:rsid w:val="00AF7D23"/>
    <w:rsid w:val="00AF7D2F"/>
    <w:rsid w:val="00AF7D40"/>
    <w:rsid w:val="00AF7DE0"/>
    <w:rsid w:val="00AF7F88"/>
    <w:rsid w:val="00AF7FBF"/>
    <w:rsid w:val="00B0004B"/>
    <w:rsid w:val="00B000BB"/>
    <w:rsid w:val="00B00114"/>
    <w:rsid w:val="00B00255"/>
    <w:rsid w:val="00B00263"/>
    <w:rsid w:val="00B00363"/>
    <w:rsid w:val="00B003F6"/>
    <w:rsid w:val="00B0040D"/>
    <w:rsid w:val="00B0050C"/>
    <w:rsid w:val="00B00557"/>
    <w:rsid w:val="00B00628"/>
    <w:rsid w:val="00B00659"/>
    <w:rsid w:val="00B007E4"/>
    <w:rsid w:val="00B00880"/>
    <w:rsid w:val="00B0089C"/>
    <w:rsid w:val="00B00997"/>
    <w:rsid w:val="00B009A8"/>
    <w:rsid w:val="00B00ADE"/>
    <w:rsid w:val="00B00C15"/>
    <w:rsid w:val="00B00C25"/>
    <w:rsid w:val="00B00C8C"/>
    <w:rsid w:val="00B00D0B"/>
    <w:rsid w:val="00B00D5C"/>
    <w:rsid w:val="00B00E74"/>
    <w:rsid w:val="00B00EC7"/>
    <w:rsid w:val="00B00FA7"/>
    <w:rsid w:val="00B01033"/>
    <w:rsid w:val="00B010E0"/>
    <w:rsid w:val="00B010E5"/>
    <w:rsid w:val="00B01117"/>
    <w:rsid w:val="00B01130"/>
    <w:rsid w:val="00B0127C"/>
    <w:rsid w:val="00B012B7"/>
    <w:rsid w:val="00B01310"/>
    <w:rsid w:val="00B01329"/>
    <w:rsid w:val="00B01360"/>
    <w:rsid w:val="00B014A5"/>
    <w:rsid w:val="00B014BE"/>
    <w:rsid w:val="00B014D7"/>
    <w:rsid w:val="00B0150C"/>
    <w:rsid w:val="00B01533"/>
    <w:rsid w:val="00B01606"/>
    <w:rsid w:val="00B0161F"/>
    <w:rsid w:val="00B0168A"/>
    <w:rsid w:val="00B017D5"/>
    <w:rsid w:val="00B017F7"/>
    <w:rsid w:val="00B01806"/>
    <w:rsid w:val="00B0182E"/>
    <w:rsid w:val="00B01838"/>
    <w:rsid w:val="00B018D1"/>
    <w:rsid w:val="00B01960"/>
    <w:rsid w:val="00B01971"/>
    <w:rsid w:val="00B01B99"/>
    <w:rsid w:val="00B01BD3"/>
    <w:rsid w:val="00B01C7F"/>
    <w:rsid w:val="00B01F2F"/>
    <w:rsid w:val="00B01F3D"/>
    <w:rsid w:val="00B0209B"/>
    <w:rsid w:val="00B020E0"/>
    <w:rsid w:val="00B022A0"/>
    <w:rsid w:val="00B02369"/>
    <w:rsid w:val="00B02489"/>
    <w:rsid w:val="00B024B1"/>
    <w:rsid w:val="00B02579"/>
    <w:rsid w:val="00B026D1"/>
    <w:rsid w:val="00B02864"/>
    <w:rsid w:val="00B028D4"/>
    <w:rsid w:val="00B028D8"/>
    <w:rsid w:val="00B028E3"/>
    <w:rsid w:val="00B028EE"/>
    <w:rsid w:val="00B02939"/>
    <w:rsid w:val="00B0294D"/>
    <w:rsid w:val="00B02961"/>
    <w:rsid w:val="00B02A81"/>
    <w:rsid w:val="00B02C14"/>
    <w:rsid w:val="00B02C53"/>
    <w:rsid w:val="00B02C5B"/>
    <w:rsid w:val="00B02CCD"/>
    <w:rsid w:val="00B02CE5"/>
    <w:rsid w:val="00B0303D"/>
    <w:rsid w:val="00B031DA"/>
    <w:rsid w:val="00B032DE"/>
    <w:rsid w:val="00B03305"/>
    <w:rsid w:val="00B033AF"/>
    <w:rsid w:val="00B034FC"/>
    <w:rsid w:val="00B035D5"/>
    <w:rsid w:val="00B03632"/>
    <w:rsid w:val="00B03668"/>
    <w:rsid w:val="00B037D0"/>
    <w:rsid w:val="00B03871"/>
    <w:rsid w:val="00B0391A"/>
    <w:rsid w:val="00B0399E"/>
    <w:rsid w:val="00B03A17"/>
    <w:rsid w:val="00B03AB2"/>
    <w:rsid w:val="00B03ABA"/>
    <w:rsid w:val="00B03BD1"/>
    <w:rsid w:val="00B03C12"/>
    <w:rsid w:val="00B03C34"/>
    <w:rsid w:val="00B03CA1"/>
    <w:rsid w:val="00B03CAD"/>
    <w:rsid w:val="00B03D34"/>
    <w:rsid w:val="00B03D59"/>
    <w:rsid w:val="00B03E28"/>
    <w:rsid w:val="00B03EA2"/>
    <w:rsid w:val="00B03EF1"/>
    <w:rsid w:val="00B04068"/>
    <w:rsid w:val="00B0406B"/>
    <w:rsid w:val="00B0407D"/>
    <w:rsid w:val="00B0412F"/>
    <w:rsid w:val="00B04156"/>
    <w:rsid w:val="00B04176"/>
    <w:rsid w:val="00B0421D"/>
    <w:rsid w:val="00B0446C"/>
    <w:rsid w:val="00B04638"/>
    <w:rsid w:val="00B04654"/>
    <w:rsid w:val="00B047D2"/>
    <w:rsid w:val="00B04826"/>
    <w:rsid w:val="00B048F1"/>
    <w:rsid w:val="00B049A4"/>
    <w:rsid w:val="00B04A1E"/>
    <w:rsid w:val="00B04A8B"/>
    <w:rsid w:val="00B04B0D"/>
    <w:rsid w:val="00B04B5C"/>
    <w:rsid w:val="00B04D08"/>
    <w:rsid w:val="00B04E09"/>
    <w:rsid w:val="00B04E39"/>
    <w:rsid w:val="00B04F6E"/>
    <w:rsid w:val="00B04F9C"/>
    <w:rsid w:val="00B04FFF"/>
    <w:rsid w:val="00B050D5"/>
    <w:rsid w:val="00B05278"/>
    <w:rsid w:val="00B052DE"/>
    <w:rsid w:val="00B05345"/>
    <w:rsid w:val="00B0536A"/>
    <w:rsid w:val="00B05525"/>
    <w:rsid w:val="00B055B6"/>
    <w:rsid w:val="00B05646"/>
    <w:rsid w:val="00B05663"/>
    <w:rsid w:val="00B056C5"/>
    <w:rsid w:val="00B057C4"/>
    <w:rsid w:val="00B057FF"/>
    <w:rsid w:val="00B05929"/>
    <w:rsid w:val="00B0597E"/>
    <w:rsid w:val="00B059BB"/>
    <w:rsid w:val="00B05A37"/>
    <w:rsid w:val="00B05A90"/>
    <w:rsid w:val="00B05C00"/>
    <w:rsid w:val="00B05C96"/>
    <w:rsid w:val="00B05CF2"/>
    <w:rsid w:val="00B05D00"/>
    <w:rsid w:val="00B05E10"/>
    <w:rsid w:val="00B05F09"/>
    <w:rsid w:val="00B05F2D"/>
    <w:rsid w:val="00B05FC4"/>
    <w:rsid w:val="00B05FD8"/>
    <w:rsid w:val="00B0601F"/>
    <w:rsid w:val="00B060BA"/>
    <w:rsid w:val="00B06160"/>
    <w:rsid w:val="00B06272"/>
    <w:rsid w:val="00B06289"/>
    <w:rsid w:val="00B062C9"/>
    <w:rsid w:val="00B0631B"/>
    <w:rsid w:val="00B06350"/>
    <w:rsid w:val="00B06365"/>
    <w:rsid w:val="00B063AF"/>
    <w:rsid w:val="00B0649D"/>
    <w:rsid w:val="00B064B7"/>
    <w:rsid w:val="00B06561"/>
    <w:rsid w:val="00B065DD"/>
    <w:rsid w:val="00B06628"/>
    <w:rsid w:val="00B06681"/>
    <w:rsid w:val="00B066A3"/>
    <w:rsid w:val="00B06744"/>
    <w:rsid w:val="00B06890"/>
    <w:rsid w:val="00B069B7"/>
    <w:rsid w:val="00B069FE"/>
    <w:rsid w:val="00B06A1D"/>
    <w:rsid w:val="00B06BA8"/>
    <w:rsid w:val="00B06DA1"/>
    <w:rsid w:val="00B06DD2"/>
    <w:rsid w:val="00B06E77"/>
    <w:rsid w:val="00B06FBC"/>
    <w:rsid w:val="00B07280"/>
    <w:rsid w:val="00B073D6"/>
    <w:rsid w:val="00B0740F"/>
    <w:rsid w:val="00B0745E"/>
    <w:rsid w:val="00B074B4"/>
    <w:rsid w:val="00B075F8"/>
    <w:rsid w:val="00B076CD"/>
    <w:rsid w:val="00B0775A"/>
    <w:rsid w:val="00B07847"/>
    <w:rsid w:val="00B07ADB"/>
    <w:rsid w:val="00B07B4B"/>
    <w:rsid w:val="00B07B54"/>
    <w:rsid w:val="00B07B6C"/>
    <w:rsid w:val="00B07B8A"/>
    <w:rsid w:val="00B07C9F"/>
    <w:rsid w:val="00B07D1B"/>
    <w:rsid w:val="00B07D97"/>
    <w:rsid w:val="00B07EF0"/>
    <w:rsid w:val="00B07FEA"/>
    <w:rsid w:val="00B07FF1"/>
    <w:rsid w:val="00B1000C"/>
    <w:rsid w:val="00B100BB"/>
    <w:rsid w:val="00B100D5"/>
    <w:rsid w:val="00B1010F"/>
    <w:rsid w:val="00B10117"/>
    <w:rsid w:val="00B101BB"/>
    <w:rsid w:val="00B10289"/>
    <w:rsid w:val="00B10311"/>
    <w:rsid w:val="00B1038C"/>
    <w:rsid w:val="00B103B8"/>
    <w:rsid w:val="00B103C8"/>
    <w:rsid w:val="00B103D3"/>
    <w:rsid w:val="00B103EB"/>
    <w:rsid w:val="00B104B0"/>
    <w:rsid w:val="00B104C6"/>
    <w:rsid w:val="00B104D6"/>
    <w:rsid w:val="00B1063C"/>
    <w:rsid w:val="00B10662"/>
    <w:rsid w:val="00B106BE"/>
    <w:rsid w:val="00B106DA"/>
    <w:rsid w:val="00B10793"/>
    <w:rsid w:val="00B107DA"/>
    <w:rsid w:val="00B107E3"/>
    <w:rsid w:val="00B10810"/>
    <w:rsid w:val="00B10881"/>
    <w:rsid w:val="00B1095E"/>
    <w:rsid w:val="00B10964"/>
    <w:rsid w:val="00B109C7"/>
    <w:rsid w:val="00B10A1E"/>
    <w:rsid w:val="00B10AE1"/>
    <w:rsid w:val="00B10B73"/>
    <w:rsid w:val="00B10B76"/>
    <w:rsid w:val="00B10B89"/>
    <w:rsid w:val="00B10B8B"/>
    <w:rsid w:val="00B10BD0"/>
    <w:rsid w:val="00B10CEB"/>
    <w:rsid w:val="00B10D07"/>
    <w:rsid w:val="00B10D77"/>
    <w:rsid w:val="00B10D7E"/>
    <w:rsid w:val="00B10DE3"/>
    <w:rsid w:val="00B10F47"/>
    <w:rsid w:val="00B10FDA"/>
    <w:rsid w:val="00B11010"/>
    <w:rsid w:val="00B11102"/>
    <w:rsid w:val="00B11130"/>
    <w:rsid w:val="00B111CD"/>
    <w:rsid w:val="00B112B3"/>
    <w:rsid w:val="00B116ED"/>
    <w:rsid w:val="00B117C2"/>
    <w:rsid w:val="00B117C4"/>
    <w:rsid w:val="00B1186F"/>
    <w:rsid w:val="00B118D6"/>
    <w:rsid w:val="00B119F5"/>
    <w:rsid w:val="00B11A31"/>
    <w:rsid w:val="00B11A6B"/>
    <w:rsid w:val="00B11AFE"/>
    <w:rsid w:val="00B11B3C"/>
    <w:rsid w:val="00B11C25"/>
    <w:rsid w:val="00B11DE7"/>
    <w:rsid w:val="00B11F91"/>
    <w:rsid w:val="00B1201C"/>
    <w:rsid w:val="00B12181"/>
    <w:rsid w:val="00B121E7"/>
    <w:rsid w:val="00B122C8"/>
    <w:rsid w:val="00B12301"/>
    <w:rsid w:val="00B1239D"/>
    <w:rsid w:val="00B12536"/>
    <w:rsid w:val="00B12594"/>
    <w:rsid w:val="00B12618"/>
    <w:rsid w:val="00B12713"/>
    <w:rsid w:val="00B127DE"/>
    <w:rsid w:val="00B127EF"/>
    <w:rsid w:val="00B12856"/>
    <w:rsid w:val="00B12890"/>
    <w:rsid w:val="00B12991"/>
    <w:rsid w:val="00B129A0"/>
    <w:rsid w:val="00B129C7"/>
    <w:rsid w:val="00B129E4"/>
    <w:rsid w:val="00B129FC"/>
    <w:rsid w:val="00B12A85"/>
    <w:rsid w:val="00B12B9B"/>
    <w:rsid w:val="00B12C57"/>
    <w:rsid w:val="00B12CD8"/>
    <w:rsid w:val="00B12DC3"/>
    <w:rsid w:val="00B12DC8"/>
    <w:rsid w:val="00B12E85"/>
    <w:rsid w:val="00B12F5A"/>
    <w:rsid w:val="00B12F79"/>
    <w:rsid w:val="00B12FFC"/>
    <w:rsid w:val="00B1309E"/>
    <w:rsid w:val="00B1314E"/>
    <w:rsid w:val="00B131C6"/>
    <w:rsid w:val="00B13267"/>
    <w:rsid w:val="00B13389"/>
    <w:rsid w:val="00B133F3"/>
    <w:rsid w:val="00B133F6"/>
    <w:rsid w:val="00B13475"/>
    <w:rsid w:val="00B13538"/>
    <w:rsid w:val="00B135B0"/>
    <w:rsid w:val="00B13624"/>
    <w:rsid w:val="00B1376B"/>
    <w:rsid w:val="00B137A8"/>
    <w:rsid w:val="00B139F0"/>
    <w:rsid w:val="00B13AAA"/>
    <w:rsid w:val="00B13AF3"/>
    <w:rsid w:val="00B13B98"/>
    <w:rsid w:val="00B13DEF"/>
    <w:rsid w:val="00B13E4A"/>
    <w:rsid w:val="00B13E72"/>
    <w:rsid w:val="00B13E74"/>
    <w:rsid w:val="00B13FC6"/>
    <w:rsid w:val="00B13FD3"/>
    <w:rsid w:val="00B1407C"/>
    <w:rsid w:val="00B141C2"/>
    <w:rsid w:val="00B142DA"/>
    <w:rsid w:val="00B14361"/>
    <w:rsid w:val="00B14380"/>
    <w:rsid w:val="00B1439A"/>
    <w:rsid w:val="00B144D8"/>
    <w:rsid w:val="00B1450D"/>
    <w:rsid w:val="00B14698"/>
    <w:rsid w:val="00B146FF"/>
    <w:rsid w:val="00B14716"/>
    <w:rsid w:val="00B14799"/>
    <w:rsid w:val="00B148CF"/>
    <w:rsid w:val="00B148E0"/>
    <w:rsid w:val="00B1495A"/>
    <w:rsid w:val="00B14970"/>
    <w:rsid w:val="00B149A4"/>
    <w:rsid w:val="00B149D3"/>
    <w:rsid w:val="00B14A19"/>
    <w:rsid w:val="00B14A36"/>
    <w:rsid w:val="00B14A69"/>
    <w:rsid w:val="00B14BC7"/>
    <w:rsid w:val="00B14CC6"/>
    <w:rsid w:val="00B14CF5"/>
    <w:rsid w:val="00B14D2C"/>
    <w:rsid w:val="00B14DA3"/>
    <w:rsid w:val="00B14DE3"/>
    <w:rsid w:val="00B14E65"/>
    <w:rsid w:val="00B14F73"/>
    <w:rsid w:val="00B14F90"/>
    <w:rsid w:val="00B14FA8"/>
    <w:rsid w:val="00B14FAC"/>
    <w:rsid w:val="00B15078"/>
    <w:rsid w:val="00B1511E"/>
    <w:rsid w:val="00B15146"/>
    <w:rsid w:val="00B15147"/>
    <w:rsid w:val="00B15189"/>
    <w:rsid w:val="00B151D8"/>
    <w:rsid w:val="00B1520D"/>
    <w:rsid w:val="00B152DC"/>
    <w:rsid w:val="00B15541"/>
    <w:rsid w:val="00B1556A"/>
    <w:rsid w:val="00B15588"/>
    <w:rsid w:val="00B15644"/>
    <w:rsid w:val="00B15686"/>
    <w:rsid w:val="00B1589E"/>
    <w:rsid w:val="00B15928"/>
    <w:rsid w:val="00B159A1"/>
    <w:rsid w:val="00B15B18"/>
    <w:rsid w:val="00B15B1E"/>
    <w:rsid w:val="00B15C10"/>
    <w:rsid w:val="00B15CE7"/>
    <w:rsid w:val="00B15D15"/>
    <w:rsid w:val="00B15D74"/>
    <w:rsid w:val="00B15DA9"/>
    <w:rsid w:val="00B15DED"/>
    <w:rsid w:val="00B15EA0"/>
    <w:rsid w:val="00B1607E"/>
    <w:rsid w:val="00B1614A"/>
    <w:rsid w:val="00B1614C"/>
    <w:rsid w:val="00B163B9"/>
    <w:rsid w:val="00B16402"/>
    <w:rsid w:val="00B16439"/>
    <w:rsid w:val="00B165A4"/>
    <w:rsid w:val="00B165C7"/>
    <w:rsid w:val="00B167D8"/>
    <w:rsid w:val="00B167EB"/>
    <w:rsid w:val="00B16806"/>
    <w:rsid w:val="00B16824"/>
    <w:rsid w:val="00B16A7D"/>
    <w:rsid w:val="00B16AB9"/>
    <w:rsid w:val="00B16B67"/>
    <w:rsid w:val="00B16B7B"/>
    <w:rsid w:val="00B16CD5"/>
    <w:rsid w:val="00B16DC5"/>
    <w:rsid w:val="00B16E1D"/>
    <w:rsid w:val="00B16ED4"/>
    <w:rsid w:val="00B16FA7"/>
    <w:rsid w:val="00B16FB2"/>
    <w:rsid w:val="00B16FC9"/>
    <w:rsid w:val="00B17027"/>
    <w:rsid w:val="00B17060"/>
    <w:rsid w:val="00B170CD"/>
    <w:rsid w:val="00B170DE"/>
    <w:rsid w:val="00B17107"/>
    <w:rsid w:val="00B17192"/>
    <w:rsid w:val="00B171D4"/>
    <w:rsid w:val="00B17201"/>
    <w:rsid w:val="00B1721B"/>
    <w:rsid w:val="00B17241"/>
    <w:rsid w:val="00B1727F"/>
    <w:rsid w:val="00B17329"/>
    <w:rsid w:val="00B174B1"/>
    <w:rsid w:val="00B174D4"/>
    <w:rsid w:val="00B17501"/>
    <w:rsid w:val="00B17546"/>
    <w:rsid w:val="00B1769B"/>
    <w:rsid w:val="00B176D9"/>
    <w:rsid w:val="00B17720"/>
    <w:rsid w:val="00B17878"/>
    <w:rsid w:val="00B17890"/>
    <w:rsid w:val="00B178A1"/>
    <w:rsid w:val="00B17986"/>
    <w:rsid w:val="00B17ABE"/>
    <w:rsid w:val="00B17AFD"/>
    <w:rsid w:val="00B17B1A"/>
    <w:rsid w:val="00B17B81"/>
    <w:rsid w:val="00B17BB8"/>
    <w:rsid w:val="00B17C29"/>
    <w:rsid w:val="00B17CC3"/>
    <w:rsid w:val="00B17CCA"/>
    <w:rsid w:val="00B17E15"/>
    <w:rsid w:val="00B17E41"/>
    <w:rsid w:val="00B17EE5"/>
    <w:rsid w:val="00B2027E"/>
    <w:rsid w:val="00B20301"/>
    <w:rsid w:val="00B20399"/>
    <w:rsid w:val="00B203AC"/>
    <w:rsid w:val="00B203BA"/>
    <w:rsid w:val="00B2048E"/>
    <w:rsid w:val="00B204C6"/>
    <w:rsid w:val="00B2058A"/>
    <w:rsid w:val="00B205B6"/>
    <w:rsid w:val="00B205B8"/>
    <w:rsid w:val="00B205C4"/>
    <w:rsid w:val="00B205FB"/>
    <w:rsid w:val="00B206E9"/>
    <w:rsid w:val="00B2081A"/>
    <w:rsid w:val="00B20873"/>
    <w:rsid w:val="00B208FC"/>
    <w:rsid w:val="00B2090E"/>
    <w:rsid w:val="00B20AD7"/>
    <w:rsid w:val="00B20C15"/>
    <w:rsid w:val="00B20C56"/>
    <w:rsid w:val="00B20C8C"/>
    <w:rsid w:val="00B20CEF"/>
    <w:rsid w:val="00B20DDA"/>
    <w:rsid w:val="00B20DF1"/>
    <w:rsid w:val="00B20FA6"/>
    <w:rsid w:val="00B2105C"/>
    <w:rsid w:val="00B21060"/>
    <w:rsid w:val="00B21075"/>
    <w:rsid w:val="00B21153"/>
    <w:rsid w:val="00B212AE"/>
    <w:rsid w:val="00B213D6"/>
    <w:rsid w:val="00B21474"/>
    <w:rsid w:val="00B21583"/>
    <w:rsid w:val="00B217FF"/>
    <w:rsid w:val="00B2185F"/>
    <w:rsid w:val="00B218E2"/>
    <w:rsid w:val="00B218E5"/>
    <w:rsid w:val="00B21958"/>
    <w:rsid w:val="00B21AEE"/>
    <w:rsid w:val="00B21BE7"/>
    <w:rsid w:val="00B21BEB"/>
    <w:rsid w:val="00B21C57"/>
    <w:rsid w:val="00B21D26"/>
    <w:rsid w:val="00B21D2C"/>
    <w:rsid w:val="00B21E6A"/>
    <w:rsid w:val="00B21EF7"/>
    <w:rsid w:val="00B21F92"/>
    <w:rsid w:val="00B220B0"/>
    <w:rsid w:val="00B2213E"/>
    <w:rsid w:val="00B221FE"/>
    <w:rsid w:val="00B222C3"/>
    <w:rsid w:val="00B2230E"/>
    <w:rsid w:val="00B2240A"/>
    <w:rsid w:val="00B2244F"/>
    <w:rsid w:val="00B224D5"/>
    <w:rsid w:val="00B22509"/>
    <w:rsid w:val="00B225D3"/>
    <w:rsid w:val="00B22615"/>
    <w:rsid w:val="00B2262B"/>
    <w:rsid w:val="00B22641"/>
    <w:rsid w:val="00B22677"/>
    <w:rsid w:val="00B22707"/>
    <w:rsid w:val="00B2284E"/>
    <w:rsid w:val="00B22851"/>
    <w:rsid w:val="00B22AFC"/>
    <w:rsid w:val="00B22B13"/>
    <w:rsid w:val="00B22C2B"/>
    <w:rsid w:val="00B22C88"/>
    <w:rsid w:val="00B22D9D"/>
    <w:rsid w:val="00B22DAC"/>
    <w:rsid w:val="00B22F62"/>
    <w:rsid w:val="00B22FD3"/>
    <w:rsid w:val="00B23046"/>
    <w:rsid w:val="00B23071"/>
    <w:rsid w:val="00B2308B"/>
    <w:rsid w:val="00B230F2"/>
    <w:rsid w:val="00B231D2"/>
    <w:rsid w:val="00B23248"/>
    <w:rsid w:val="00B232B9"/>
    <w:rsid w:val="00B232E6"/>
    <w:rsid w:val="00B232F4"/>
    <w:rsid w:val="00B23333"/>
    <w:rsid w:val="00B23347"/>
    <w:rsid w:val="00B233AB"/>
    <w:rsid w:val="00B233BF"/>
    <w:rsid w:val="00B233C0"/>
    <w:rsid w:val="00B234E8"/>
    <w:rsid w:val="00B235C0"/>
    <w:rsid w:val="00B237F7"/>
    <w:rsid w:val="00B23824"/>
    <w:rsid w:val="00B23943"/>
    <w:rsid w:val="00B23A57"/>
    <w:rsid w:val="00B23A60"/>
    <w:rsid w:val="00B23AD5"/>
    <w:rsid w:val="00B23B10"/>
    <w:rsid w:val="00B23BEE"/>
    <w:rsid w:val="00B23CBC"/>
    <w:rsid w:val="00B23E18"/>
    <w:rsid w:val="00B23ED6"/>
    <w:rsid w:val="00B23ED7"/>
    <w:rsid w:val="00B2407A"/>
    <w:rsid w:val="00B2410F"/>
    <w:rsid w:val="00B24130"/>
    <w:rsid w:val="00B242E6"/>
    <w:rsid w:val="00B24310"/>
    <w:rsid w:val="00B243E9"/>
    <w:rsid w:val="00B244D6"/>
    <w:rsid w:val="00B244DF"/>
    <w:rsid w:val="00B24572"/>
    <w:rsid w:val="00B245BF"/>
    <w:rsid w:val="00B246A7"/>
    <w:rsid w:val="00B2473D"/>
    <w:rsid w:val="00B24780"/>
    <w:rsid w:val="00B2483D"/>
    <w:rsid w:val="00B24893"/>
    <w:rsid w:val="00B24985"/>
    <w:rsid w:val="00B249E0"/>
    <w:rsid w:val="00B24A80"/>
    <w:rsid w:val="00B24AC1"/>
    <w:rsid w:val="00B24C43"/>
    <w:rsid w:val="00B24C6D"/>
    <w:rsid w:val="00B24CB3"/>
    <w:rsid w:val="00B24DD3"/>
    <w:rsid w:val="00B24E24"/>
    <w:rsid w:val="00B24FF4"/>
    <w:rsid w:val="00B25026"/>
    <w:rsid w:val="00B250F7"/>
    <w:rsid w:val="00B250FD"/>
    <w:rsid w:val="00B251E9"/>
    <w:rsid w:val="00B2521F"/>
    <w:rsid w:val="00B25291"/>
    <w:rsid w:val="00B252B6"/>
    <w:rsid w:val="00B252FF"/>
    <w:rsid w:val="00B253FE"/>
    <w:rsid w:val="00B2554D"/>
    <w:rsid w:val="00B25590"/>
    <w:rsid w:val="00B255D1"/>
    <w:rsid w:val="00B255F5"/>
    <w:rsid w:val="00B25640"/>
    <w:rsid w:val="00B2571F"/>
    <w:rsid w:val="00B257A4"/>
    <w:rsid w:val="00B257C2"/>
    <w:rsid w:val="00B2583B"/>
    <w:rsid w:val="00B25858"/>
    <w:rsid w:val="00B2588E"/>
    <w:rsid w:val="00B25969"/>
    <w:rsid w:val="00B25A25"/>
    <w:rsid w:val="00B25A7A"/>
    <w:rsid w:val="00B25BD7"/>
    <w:rsid w:val="00B25C42"/>
    <w:rsid w:val="00B25D40"/>
    <w:rsid w:val="00B25E1D"/>
    <w:rsid w:val="00B25E58"/>
    <w:rsid w:val="00B25EC6"/>
    <w:rsid w:val="00B25F65"/>
    <w:rsid w:val="00B25FD9"/>
    <w:rsid w:val="00B260F7"/>
    <w:rsid w:val="00B26199"/>
    <w:rsid w:val="00B26322"/>
    <w:rsid w:val="00B26391"/>
    <w:rsid w:val="00B26572"/>
    <w:rsid w:val="00B26610"/>
    <w:rsid w:val="00B26624"/>
    <w:rsid w:val="00B266FB"/>
    <w:rsid w:val="00B2674F"/>
    <w:rsid w:val="00B26922"/>
    <w:rsid w:val="00B26986"/>
    <w:rsid w:val="00B269ED"/>
    <w:rsid w:val="00B26A0D"/>
    <w:rsid w:val="00B26C94"/>
    <w:rsid w:val="00B26C97"/>
    <w:rsid w:val="00B26D34"/>
    <w:rsid w:val="00B26E34"/>
    <w:rsid w:val="00B26E3F"/>
    <w:rsid w:val="00B26E66"/>
    <w:rsid w:val="00B26F3D"/>
    <w:rsid w:val="00B26FBD"/>
    <w:rsid w:val="00B27197"/>
    <w:rsid w:val="00B27291"/>
    <w:rsid w:val="00B27587"/>
    <w:rsid w:val="00B275B1"/>
    <w:rsid w:val="00B278A9"/>
    <w:rsid w:val="00B278FA"/>
    <w:rsid w:val="00B27918"/>
    <w:rsid w:val="00B279CC"/>
    <w:rsid w:val="00B27C15"/>
    <w:rsid w:val="00B27CA2"/>
    <w:rsid w:val="00B27D0C"/>
    <w:rsid w:val="00B27E04"/>
    <w:rsid w:val="00B27E3C"/>
    <w:rsid w:val="00B27EAC"/>
    <w:rsid w:val="00B27FD2"/>
    <w:rsid w:val="00B3010C"/>
    <w:rsid w:val="00B3016C"/>
    <w:rsid w:val="00B301AB"/>
    <w:rsid w:val="00B302C1"/>
    <w:rsid w:val="00B302C4"/>
    <w:rsid w:val="00B3033C"/>
    <w:rsid w:val="00B30397"/>
    <w:rsid w:val="00B3043B"/>
    <w:rsid w:val="00B30471"/>
    <w:rsid w:val="00B30538"/>
    <w:rsid w:val="00B3056E"/>
    <w:rsid w:val="00B305D3"/>
    <w:rsid w:val="00B3061D"/>
    <w:rsid w:val="00B30644"/>
    <w:rsid w:val="00B30656"/>
    <w:rsid w:val="00B3073D"/>
    <w:rsid w:val="00B30832"/>
    <w:rsid w:val="00B308F6"/>
    <w:rsid w:val="00B30963"/>
    <w:rsid w:val="00B30A8C"/>
    <w:rsid w:val="00B30DBA"/>
    <w:rsid w:val="00B30F35"/>
    <w:rsid w:val="00B30F9C"/>
    <w:rsid w:val="00B30FD3"/>
    <w:rsid w:val="00B30FF0"/>
    <w:rsid w:val="00B310C5"/>
    <w:rsid w:val="00B31129"/>
    <w:rsid w:val="00B31133"/>
    <w:rsid w:val="00B31276"/>
    <w:rsid w:val="00B312F0"/>
    <w:rsid w:val="00B31314"/>
    <w:rsid w:val="00B31376"/>
    <w:rsid w:val="00B3147D"/>
    <w:rsid w:val="00B315D8"/>
    <w:rsid w:val="00B316D4"/>
    <w:rsid w:val="00B31719"/>
    <w:rsid w:val="00B31720"/>
    <w:rsid w:val="00B317E6"/>
    <w:rsid w:val="00B317ED"/>
    <w:rsid w:val="00B31A21"/>
    <w:rsid w:val="00B31A34"/>
    <w:rsid w:val="00B31A67"/>
    <w:rsid w:val="00B31AA7"/>
    <w:rsid w:val="00B31B1C"/>
    <w:rsid w:val="00B31C27"/>
    <w:rsid w:val="00B31D10"/>
    <w:rsid w:val="00B31D2E"/>
    <w:rsid w:val="00B31EE6"/>
    <w:rsid w:val="00B31EF9"/>
    <w:rsid w:val="00B31F09"/>
    <w:rsid w:val="00B31F38"/>
    <w:rsid w:val="00B31F8F"/>
    <w:rsid w:val="00B3202B"/>
    <w:rsid w:val="00B320F9"/>
    <w:rsid w:val="00B321A2"/>
    <w:rsid w:val="00B3224E"/>
    <w:rsid w:val="00B32296"/>
    <w:rsid w:val="00B322F0"/>
    <w:rsid w:val="00B3244D"/>
    <w:rsid w:val="00B324A1"/>
    <w:rsid w:val="00B325D6"/>
    <w:rsid w:val="00B3262A"/>
    <w:rsid w:val="00B3262B"/>
    <w:rsid w:val="00B326DC"/>
    <w:rsid w:val="00B32725"/>
    <w:rsid w:val="00B3275A"/>
    <w:rsid w:val="00B327CC"/>
    <w:rsid w:val="00B32805"/>
    <w:rsid w:val="00B32868"/>
    <w:rsid w:val="00B32A0B"/>
    <w:rsid w:val="00B32AAB"/>
    <w:rsid w:val="00B32AB5"/>
    <w:rsid w:val="00B32AD0"/>
    <w:rsid w:val="00B32B60"/>
    <w:rsid w:val="00B32B61"/>
    <w:rsid w:val="00B32CA1"/>
    <w:rsid w:val="00B32D18"/>
    <w:rsid w:val="00B32D27"/>
    <w:rsid w:val="00B32E1B"/>
    <w:rsid w:val="00B32E3E"/>
    <w:rsid w:val="00B32F19"/>
    <w:rsid w:val="00B33032"/>
    <w:rsid w:val="00B3319E"/>
    <w:rsid w:val="00B331E3"/>
    <w:rsid w:val="00B33259"/>
    <w:rsid w:val="00B33282"/>
    <w:rsid w:val="00B332D7"/>
    <w:rsid w:val="00B33399"/>
    <w:rsid w:val="00B337C5"/>
    <w:rsid w:val="00B338BD"/>
    <w:rsid w:val="00B339C5"/>
    <w:rsid w:val="00B339CB"/>
    <w:rsid w:val="00B33A14"/>
    <w:rsid w:val="00B33A86"/>
    <w:rsid w:val="00B33ACD"/>
    <w:rsid w:val="00B33B50"/>
    <w:rsid w:val="00B33B82"/>
    <w:rsid w:val="00B33BFF"/>
    <w:rsid w:val="00B33CF3"/>
    <w:rsid w:val="00B33D74"/>
    <w:rsid w:val="00B33DA6"/>
    <w:rsid w:val="00B33DE2"/>
    <w:rsid w:val="00B33E3D"/>
    <w:rsid w:val="00B33E60"/>
    <w:rsid w:val="00B33E86"/>
    <w:rsid w:val="00B33F70"/>
    <w:rsid w:val="00B33F86"/>
    <w:rsid w:val="00B3407D"/>
    <w:rsid w:val="00B340A8"/>
    <w:rsid w:val="00B340E7"/>
    <w:rsid w:val="00B340FB"/>
    <w:rsid w:val="00B3419D"/>
    <w:rsid w:val="00B341AB"/>
    <w:rsid w:val="00B34379"/>
    <w:rsid w:val="00B343F3"/>
    <w:rsid w:val="00B3449E"/>
    <w:rsid w:val="00B344AA"/>
    <w:rsid w:val="00B34520"/>
    <w:rsid w:val="00B34545"/>
    <w:rsid w:val="00B34582"/>
    <w:rsid w:val="00B345B0"/>
    <w:rsid w:val="00B3466D"/>
    <w:rsid w:val="00B34715"/>
    <w:rsid w:val="00B3472F"/>
    <w:rsid w:val="00B347D2"/>
    <w:rsid w:val="00B348A2"/>
    <w:rsid w:val="00B34924"/>
    <w:rsid w:val="00B349D2"/>
    <w:rsid w:val="00B34B88"/>
    <w:rsid w:val="00B34BED"/>
    <w:rsid w:val="00B34C49"/>
    <w:rsid w:val="00B34F8F"/>
    <w:rsid w:val="00B3503A"/>
    <w:rsid w:val="00B3508F"/>
    <w:rsid w:val="00B351F7"/>
    <w:rsid w:val="00B35307"/>
    <w:rsid w:val="00B3531F"/>
    <w:rsid w:val="00B35345"/>
    <w:rsid w:val="00B35439"/>
    <w:rsid w:val="00B354AC"/>
    <w:rsid w:val="00B355B2"/>
    <w:rsid w:val="00B355BE"/>
    <w:rsid w:val="00B35615"/>
    <w:rsid w:val="00B356A0"/>
    <w:rsid w:val="00B356B1"/>
    <w:rsid w:val="00B35717"/>
    <w:rsid w:val="00B35755"/>
    <w:rsid w:val="00B357C9"/>
    <w:rsid w:val="00B357E6"/>
    <w:rsid w:val="00B35851"/>
    <w:rsid w:val="00B359EF"/>
    <w:rsid w:val="00B35A64"/>
    <w:rsid w:val="00B35A8D"/>
    <w:rsid w:val="00B35AE1"/>
    <w:rsid w:val="00B35B4F"/>
    <w:rsid w:val="00B35C08"/>
    <w:rsid w:val="00B35C0E"/>
    <w:rsid w:val="00B35C2D"/>
    <w:rsid w:val="00B35C3C"/>
    <w:rsid w:val="00B35C9C"/>
    <w:rsid w:val="00B35D8B"/>
    <w:rsid w:val="00B35D9C"/>
    <w:rsid w:val="00B35DB9"/>
    <w:rsid w:val="00B35E19"/>
    <w:rsid w:val="00B35E74"/>
    <w:rsid w:val="00B35EB7"/>
    <w:rsid w:val="00B35ED6"/>
    <w:rsid w:val="00B360A5"/>
    <w:rsid w:val="00B360A8"/>
    <w:rsid w:val="00B3612A"/>
    <w:rsid w:val="00B3618E"/>
    <w:rsid w:val="00B361F6"/>
    <w:rsid w:val="00B36233"/>
    <w:rsid w:val="00B36335"/>
    <w:rsid w:val="00B36352"/>
    <w:rsid w:val="00B36387"/>
    <w:rsid w:val="00B363B1"/>
    <w:rsid w:val="00B3640C"/>
    <w:rsid w:val="00B36468"/>
    <w:rsid w:val="00B3647A"/>
    <w:rsid w:val="00B36493"/>
    <w:rsid w:val="00B36640"/>
    <w:rsid w:val="00B36724"/>
    <w:rsid w:val="00B36847"/>
    <w:rsid w:val="00B36892"/>
    <w:rsid w:val="00B3698B"/>
    <w:rsid w:val="00B369C9"/>
    <w:rsid w:val="00B36AFA"/>
    <w:rsid w:val="00B36BF7"/>
    <w:rsid w:val="00B36C04"/>
    <w:rsid w:val="00B36C2C"/>
    <w:rsid w:val="00B36C36"/>
    <w:rsid w:val="00B36D7A"/>
    <w:rsid w:val="00B36D7C"/>
    <w:rsid w:val="00B36DAB"/>
    <w:rsid w:val="00B36E9B"/>
    <w:rsid w:val="00B36FA7"/>
    <w:rsid w:val="00B36FBF"/>
    <w:rsid w:val="00B37019"/>
    <w:rsid w:val="00B3705D"/>
    <w:rsid w:val="00B370D6"/>
    <w:rsid w:val="00B37106"/>
    <w:rsid w:val="00B371CE"/>
    <w:rsid w:val="00B37281"/>
    <w:rsid w:val="00B37291"/>
    <w:rsid w:val="00B372A9"/>
    <w:rsid w:val="00B372EE"/>
    <w:rsid w:val="00B37486"/>
    <w:rsid w:val="00B375A6"/>
    <w:rsid w:val="00B3766F"/>
    <w:rsid w:val="00B37732"/>
    <w:rsid w:val="00B377A0"/>
    <w:rsid w:val="00B377EE"/>
    <w:rsid w:val="00B37865"/>
    <w:rsid w:val="00B378C6"/>
    <w:rsid w:val="00B378DE"/>
    <w:rsid w:val="00B37913"/>
    <w:rsid w:val="00B3795A"/>
    <w:rsid w:val="00B3795C"/>
    <w:rsid w:val="00B37976"/>
    <w:rsid w:val="00B379DE"/>
    <w:rsid w:val="00B37A07"/>
    <w:rsid w:val="00B37A46"/>
    <w:rsid w:val="00B37A8A"/>
    <w:rsid w:val="00B37AC6"/>
    <w:rsid w:val="00B37AF6"/>
    <w:rsid w:val="00B37B3F"/>
    <w:rsid w:val="00B37B9E"/>
    <w:rsid w:val="00B37BA4"/>
    <w:rsid w:val="00B37C88"/>
    <w:rsid w:val="00B37CAC"/>
    <w:rsid w:val="00B37CCC"/>
    <w:rsid w:val="00B37D9F"/>
    <w:rsid w:val="00B37E38"/>
    <w:rsid w:val="00B37E9B"/>
    <w:rsid w:val="00B37EB3"/>
    <w:rsid w:val="00B37F7E"/>
    <w:rsid w:val="00B40081"/>
    <w:rsid w:val="00B400B0"/>
    <w:rsid w:val="00B40184"/>
    <w:rsid w:val="00B4018F"/>
    <w:rsid w:val="00B40388"/>
    <w:rsid w:val="00B403DE"/>
    <w:rsid w:val="00B40449"/>
    <w:rsid w:val="00B40587"/>
    <w:rsid w:val="00B406C4"/>
    <w:rsid w:val="00B406E0"/>
    <w:rsid w:val="00B408AE"/>
    <w:rsid w:val="00B408CA"/>
    <w:rsid w:val="00B40A76"/>
    <w:rsid w:val="00B40C01"/>
    <w:rsid w:val="00B40D1F"/>
    <w:rsid w:val="00B40D79"/>
    <w:rsid w:val="00B40E85"/>
    <w:rsid w:val="00B4102A"/>
    <w:rsid w:val="00B4109E"/>
    <w:rsid w:val="00B4110E"/>
    <w:rsid w:val="00B41344"/>
    <w:rsid w:val="00B41402"/>
    <w:rsid w:val="00B41412"/>
    <w:rsid w:val="00B4149E"/>
    <w:rsid w:val="00B4151A"/>
    <w:rsid w:val="00B41542"/>
    <w:rsid w:val="00B415C9"/>
    <w:rsid w:val="00B4161F"/>
    <w:rsid w:val="00B41704"/>
    <w:rsid w:val="00B41709"/>
    <w:rsid w:val="00B418FA"/>
    <w:rsid w:val="00B41B2D"/>
    <w:rsid w:val="00B41C13"/>
    <w:rsid w:val="00B41D4B"/>
    <w:rsid w:val="00B41D67"/>
    <w:rsid w:val="00B41D73"/>
    <w:rsid w:val="00B41DA2"/>
    <w:rsid w:val="00B42009"/>
    <w:rsid w:val="00B42094"/>
    <w:rsid w:val="00B420FD"/>
    <w:rsid w:val="00B421A1"/>
    <w:rsid w:val="00B421F9"/>
    <w:rsid w:val="00B422FD"/>
    <w:rsid w:val="00B4231A"/>
    <w:rsid w:val="00B425C1"/>
    <w:rsid w:val="00B425DD"/>
    <w:rsid w:val="00B4260A"/>
    <w:rsid w:val="00B42774"/>
    <w:rsid w:val="00B428B2"/>
    <w:rsid w:val="00B42994"/>
    <w:rsid w:val="00B42B59"/>
    <w:rsid w:val="00B42BF3"/>
    <w:rsid w:val="00B42C1B"/>
    <w:rsid w:val="00B42C22"/>
    <w:rsid w:val="00B42C4B"/>
    <w:rsid w:val="00B42C77"/>
    <w:rsid w:val="00B42DB7"/>
    <w:rsid w:val="00B42E1E"/>
    <w:rsid w:val="00B42E8B"/>
    <w:rsid w:val="00B42F8A"/>
    <w:rsid w:val="00B43024"/>
    <w:rsid w:val="00B430EF"/>
    <w:rsid w:val="00B4326E"/>
    <w:rsid w:val="00B432F6"/>
    <w:rsid w:val="00B433BD"/>
    <w:rsid w:val="00B433DE"/>
    <w:rsid w:val="00B434FE"/>
    <w:rsid w:val="00B4354B"/>
    <w:rsid w:val="00B43566"/>
    <w:rsid w:val="00B4361E"/>
    <w:rsid w:val="00B43623"/>
    <w:rsid w:val="00B43853"/>
    <w:rsid w:val="00B4385B"/>
    <w:rsid w:val="00B438E3"/>
    <w:rsid w:val="00B43993"/>
    <w:rsid w:val="00B43B83"/>
    <w:rsid w:val="00B43C0E"/>
    <w:rsid w:val="00B43D0A"/>
    <w:rsid w:val="00B43D11"/>
    <w:rsid w:val="00B43D65"/>
    <w:rsid w:val="00B43D9C"/>
    <w:rsid w:val="00B43F1B"/>
    <w:rsid w:val="00B43F35"/>
    <w:rsid w:val="00B43F66"/>
    <w:rsid w:val="00B440C1"/>
    <w:rsid w:val="00B44137"/>
    <w:rsid w:val="00B44298"/>
    <w:rsid w:val="00B4445A"/>
    <w:rsid w:val="00B445A6"/>
    <w:rsid w:val="00B447F6"/>
    <w:rsid w:val="00B4486C"/>
    <w:rsid w:val="00B448C2"/>
    <w:rsid w:val="00B44954"/>
    <w:rsid w:val="00B44981"/>
    <w:rsid w:val="00B449B1"/>
    <w:rsid w:val="00B44AF1"/>
    <w:rsid w:val="00B44B32"/>
    <w:rsid w:val="00B44B5C"/>
    <w:rsid w:val="00B44BEF"/>
    <w:rsid w:val="00B44C10"/>
    <w:rsid w:val="00B44CEF"/>
    <w:rsid w:val="00B44DDC"/>
    <w:rsid w:val="00B450D6"/>
    <w:rsid w:val="00B4526E"/>
    <w:rsid w:val="00B45406"/>
    <w:rsid w:val="00B45435"/>
    <w:rsid w:val="00B454C7"/>
    <w:rsid w:val="00B454E5"/>
    <w:rsid w:val="00B45565"/>
    <w:rsid w:val="00B4556A"/>
    <w:rsid w:val="00B455E7"/>
    <w:rsid w:val="00B4568F"/>
    <w:rsid w:val="00B45827"/>
    <w:rsid w:val="00B4587B"/>
    <w:rsid w:val="00B4588F"/>
    <w:rsid w:val="00B459C7"/>
    <w:rsid w:val="00B45A43"/>
    <w:rsid w:val="00B45AF4"/>
    <w:rsid w:val="00B45B1A"/>
    <w:rsid w:val="00B45B20"/>
    <w:rsid w:val="00B45B54"/>
    <w:rsid w:val="00B45B8D"/>
    <w:rsid w:val="00B45C5D"/>
    <w:rsid w:val="00B45CBA"/>
    <w:rsid w:val="00B45D75"/>
    <w:rsid w:val="00B45E4A"/>
    <w:rsid w:val="00B45E86"/>
    <w:rsid w:val="00B45ECC"/>
    <w:rsid w:val="00B45F90"/>
    <w:rsid w:val="00B45F94"/>
    <w:rsid w:val="00B461BF"/>
    <w:rsid w:val="00B46234"/>
    <w:rsid w:val="00B4623B"/>
    <w:rsid w:val="00B4636D"/>
    <w:rsid w:val="00B4641D"/>
    <w:rsid w:val="00B46489"/>
    <w:rsid w:val="00B464FE"/>
    <w:rsid w:val="00B46591"/>
    <w:rsid w:val="00B465D1"/>
    <w:rsid w:val="00B46716"/>
    <w:rsid w:val="00B4671D"/>
    <w:rsid w:val="00B46739"/>
    <w:rsid w:val="00B46836"/>
    <w:rsid w:val="00B469BE"/>
    <w:rsid w:val="00B46A71"/>
    <w:rsid w:val="00B46ACF"/>
    <w:rsid w:val="00B46AE3"/>
    <w:rsid w:val="00B46BC4"/>
    <w:rsid w:val="00B46C4F"/>
    <w:rsid w:val="00B46C6E"/>
    <w:rsid w:val="00B46C7F"/>
    <w:rsid w:val="00B46D0A"/>
    <w:rsid w:val="00B46D69"/>
    <w:rsid w:val="00B46D73"/>
    <w:rsid w:val="00B46DE7"/>
    <w:rsid w:val="00B46E45"/>
    <w:rsid w:val="00B46E46"/>
    <w:rsid w:val="00B46F2E"/>
    <w:rsid w:val="00B46F4D"/>
    <w:rsid w:val="00B46F7E"/>
    <w:rsid w:val="00B46FB9"/>
    <w:rsid w:val="00B4705B"/>
    <w:rsid w:val="00B471E5"/>
    <w:rsid w:val="00B471F6"/>
    <w:rsid w:val="00B471F7"/>
    <w:rsid w:val="00B4722F"/>
    <w:rsid w:val="00B4729A"/>
    <w:rsid w:val="00B4736D"/>
    <w:rsid w:val="00B473D6"/>
    <w:rsid w:val="00B47462"/>
    <w:rsid w:val="00B47592"/>
    <w:rsid w:val="00B475E6"/>
    <w:rsid w:val="00B4762E"/>
    <w:rsid w:val="00B47674"/>
    <w:rsid w:val="00B47760"/>
    <w:rsid w:val="00B4794E"/>
    <w:rsid w:val="00B4796A"/>
    <w:rsid w:val="00B479B5"/>
    <w:rsid w:val="00B47A23"/>
    <w:rsid w:val="00B47A94"/>
    <w:rsid w:val="00B47A9E"/>
    <w:rsid w:val="00B47B76"/>
    <w:rsid w:val="00B47C53"/>
    <w:rsid w:val="00B47C76"/>
    <w:rsid w:val="00B47DCE"/>
    <w:rsid w:val="00B47E22"/>
    <w:rsid w:val="00B500AC"/>
    <w:rsid w:val="00B500DB"/>
    <w:rsid w:val="00B500EC"/>
    <w:rsid w:val="00B50136"/>
    <w:rsid w:val="00B501F0"/>
    <w:rsid w:val="00B5026B"/>
    <w:rsid w:val="00B50298"/>
    <w:rsid w:val="00B503C5"/>
    <w:rsid w:val="00B5056C"/>
    <w:rsid w:val="00B5057E"/>
    <w:rsid w:val="00B50583"/>
    <w:rsid w:val="00B50666"/>
    <w:rsid w:val="00B50814"/>
    <w:rsid w:val="00B50825"/>
    <w:rsid w:val="00B5083D"/>
    <w:rsid w:val="00B5084D"/>
    <w:rsid w:val="00B50910"/>
    <w:rsid w:val="00B5092B"/>
    <w:rsid w:val="00B5093A"/>
    <w:rsid w:val="00B509DB"/>
    <w:rsid w:val="00B50ADF"/>
    <w:rsid w:val="00B50B18"/>
    <w:rsid w:val="00B50BC4"/>
    <w:rsid w:val="00B50C2E"/>
    <w:rsid w:val="00B50C7C"/>
    <w:rsid w:val="00B50E72"/>
    <w:rsid w:val="00B50ED7"/>
    <w:rsid w:val="00B50EEA"/>
    <w:rsid w:val="00B50FA8"/>
    <w:rsid w:val="00B50FCB"/>
    <w:rsid w:val="00B51019"/>
    <w:rsid w:val="00B510C5"/>
    <w:rsid w:val="00B5110C"/>
    <w:rsid w:val="00B5118F"/>
    <w:rsid w:val="00B51221"/>
    <w:rsid w:val="00B5123D"/>
    <w:rsid w:val="00B51268"/>
    <w:rsid w:val="00B5135D"/>
    <w:rsid w:val="00B5136E"/>
    <w:rsid w:val="00B5138E"/>
    <w:rsid w:val="00B513B0"/>
    <w:rsid w:val="00B51425"/>
    <w:rsid w:val="00B5143E"/>
    <w:rsid w:val="00B51508"/>
    <w:rsid w:val="00B51524"/>
    <w:rsid w:val="00B5159C"/>
    <w:rsid w:val="00B51707"/>
    <w:rsid w:val="00B518A5"/>
    <w:rsid w:val="00B518FB"/>
    <w:rsid w:val="00B51A46"/>
    <w:rsid w:val="00B51AFA"/>
    <w:rsid w:val="00B51BA8"/>
    <w:rsid w:val="00B51BEA"/>
    <w:rsid w:val="00B51C06"/>
    <w:rsid w:val="00B51D32"/>
    <w:rsid w:val="00B51D3B"/>
    <w:rsid w:val="00B51D9A"/>
    <w:rsid w:val="00B51DFE"/>
    <w:rsid w:val="00B51E8A"/>
    <w:rsid w:val="00B51EC0"/>
    <w:rsid w:val="00B51EEC"/>
    <w:rsid w:val="00B51EF3"/>
    <w:rsid w:val="00B51F27"/>
    <w:rsid w:val="00B52078"/>
    <w:rsid w:val="00B521F5"/>
    <w:rsid w:val="00B5228B"/>
    <w:rsid w:val="00B52297"/>
    <w:rsid w:val="00B52453"/>
    <w:rsid w:val="00B524CD"/>
    <w:rsid w:val="00B525E7"/>
    <w:rsid w:val="00B5264A"/>
    <w:rsid w:val="00B526C0"/>
    <w:rsid w:val="00B526E5"/>
    <w:rsid w:val="00B526FD"/>
    <w:rsid w:val="00B5273D"/>
    <w:rsid w:val="00B52877"/>
    <w:rsid w:val="00B52933"/>
    <w:rsid w:val="00B52AB9"/>
    <w:rsid w:val="00B52AFB"/>
    <w:rsid w:val="00B52B08"/>
    <w:rsid w:val="00B52B2F"/>
    <w:rsid w:val="00B52B9D"/>
    <w:rsid w:val="00B52BCE"/>
    <w:rsid w:val="00B52C4E"/>
    <w:rsid w:val="00B52C70"/>
    <w:rsid w:val="00B52CC7"/>
    <w:rsid w:val="00B52CF9"/>
    <w:rsid w:val="00B52D07"/>
    <w:rsid w:val="00B52D57"/>
    <w:rsid w:val="00B52D58"/>
    <w:rsid w:val="00B52DF1"/>
    <w:rsid w:val="00B52E0D"/>
    <w:rsid w:val="00B52E24"/>
    <w:rsid w:val="00B52F65"/>
    <w:rsid w:val="00B52FD9"/>
    <w:rsid w:val="00B53015"/>
    <w:rsid w:val="00B5303B"/>
    <w:rsid w:val="00B530FF"/>
    <w:rsid w:val="00B53109"/>
    <w:rsid w:val="00B532A6"/>
    <w:rsid w:val="00B53396"/>
    <w:rsid w:val="00B533D3"/>
    <w:rsid w:val="00B533FE"/>
    <w:rsid w:val="00B5340C"/>
    <w:rsid w:val="00B53470"/>
    <w:rsid w:val="00B5350C"/>
    <w:rsid w:val="00B535CD"/>
    <w:rsid w:val="00B5362C"/>
    <w:rsid w:val="00B53687"/>
    <w:rsid w:val="00B537ED"/>
    <w:rsid w:val="00B53892"/>
    <w:rsid w:val="00B5390D"/>
    <w:rsid w:val="00B539DC"/>
    <w:rsid w:val="00B539F2"/>
    <w:rsid w:val="00B53A55"/>
    <w:rsid w:val="00B53A8A"/>
    <w:rsid w:val="00B53CE0"/>
    <w:rsid w:val="00B53CE9"/>
    <w:rsid w:val="00B53D3D"/>
    <w:rsid w:val="00B53D56"/>
    <w:rsid w:val="00B53E39"/>
    <w:rsid w:val="00B53E3C"/>
    <w:rsid w:val="00B53EA4"/>
    <w:rsid w:val="00B53F91"/>
    <w:rsid w:val="00B53FDD"/>
    <w:rsid w:val="00B540F8"/>
    <w:rsid w:val="00B54153"/>
    <w:rsid w:val="00B541C6"/>
    <w:rsid w:val="00B5421E"/>
    <w:rsid w:val="00B54239"/>
    <w:rsid w:val="00B5429F"/>
    <w:rsid w:val="00B54343"/>
    <w:rsid w:val="00B54429"/>
    <w:rsid w:val="00B5451C"/>
    <w:rsid w:val="00B54521"/>
    <w:rsid w:val="00B545E1"/>
    <w:rsid w:val="00B54665"/>
    <w:rsid w:val="00B54762"/>
    <w:rsid w:val="00B547A0"/>
    <w:rsid w:val="00B547D3"/>
    <w:rsid w:val="00B548AF"/>
    <w:rsid w:val="00B54940"/>
    <w:rsid w:val="00B54AC7"/>
    <w:rsid w:val="00B54AF9"/>
    <w:rsid w:val="00B54C16"/>
    <w:rsid w:val="00B54D22"/>
    <w:rsid w:val="00B54D72"/>
    <w:rsid w:val="00B54D88"/>
    <w:rsid w:val="00B54DB3"/>
    <w:rsid w:val="00B54E7A"/>
    <w:rsid w:val="00B54F30"/>
    <w:rsid w:val="00B54F98"/>
    <w:rsid w:val="00B5507E"/>
    <w:rsid w:val="00B55170"/>
    <w:rsid w:val="00B55200"/>
    <w:rsid w:val="00B55236"/>
    <w:rsid w:val="00B55239"/>
    <w:rsid w:val="00B5527A"/>
    <w:rsid w:val="00B552CE"/>
    <w:rsid w:val="00B552F0"/>
    <w:rsid w:val="00B55441"/>
    <w:rsid w:val="00B55462"/>
    <w:rsid w:val="00B554A7"/>
    <w:rsid w:val="00B554AD"/>
    <w:rsid w:val="00B554BB"/>
    <w:rsid w:val="00B554F5"/>
    <w:rsid w:val="00B55578"/>
    <w:rsid w:val="00B55645"/>
    <w:rsid w:val="00B556A2"/>
    <w:rsid w:val="00B556D1"/>
    <w:rsid w:val="00B55744"/>
    <w:rsid w:val="00B5577B"/>
    <w:rsid w:val="00B55781"/>
    <w:rsid w:val="00B557D7"/>
    <w:rsid w:val="00B5582F"/>
    <w:rsid w:val="00B5589D"/>
    <w:rsid w:val="00B5595C"/>
    <w:rsid w:val="00B55A25"/>
    <w:rsid w:val="00B55A9C"/>
    <w:rsid w:val="00B55BCA"/>
    <w:rsid w:val="00B55CFD"/>
    <w:rsid w:val="00B55D43"/>
    <w:rsid w:val="00B55DD3"/>
    <w:rsid w:val="00B55E4F"/>
    <w:rsid w:val="00B55F30"/>
    <w:rsid w:val="00B55F7E"/>
    <w:rsid w:val="00B56082"/>
    <w:rsid w:val="00B560A7"/>
    <w:rsid w:val="00B56175"/>
    <w:rsid w:val="00B56217"/>
    <w:rsid w:val="00B562A5"/>
    <w:rsid w:val="00B562B2"/>
    <w:rsid w:val="00B562C4"/>
    <w:rsid w:val="00B5631D"/>
    <w:rsid w:val="00B564A2"/>
    <w:rsid w:val="00B56600"/>
    <w:rsid w:val="00B56643"/>
    <w:rsid w:val="00B56765"/>
    <w:rsid w:val="00B5677A"/>
    <w:rsid w:val="00B5690A"/>
    <w:rsid w:val="00B5693C"/>
    <w:rsid w:val="00B56997"/>
    <w:rsid w:val="00B56B9E"/>
    <w:rsid w:val="00B56C51"/>
    <w:rsid w:val="00B56CC7"/>
    <w:rsid w:val="00B56D2D"/>
    <w:rsid w:val="00B56D54"/>
    <w:rsid w:val="00B56E4F"/>
    <w:rsid w:val="00B56E7D"/>
    <w:rsid w:val="00B56EF1"/>
    <w:rsid w:val="00B5704C"/>
    <w:rsid w:val="00B5710C"/>
    <w:rsid w:val="00B57150"/>
    <w:rsid w:val="00B571CD"/>
    <w:rsid w:val="00B57208"/>
    <w:rsid w:val="00B5725F"/>
    <w:rsid w:val="00B57286"/>
    <w:rsid w:val="00B572DB"/>
    <w:rsid w:val="00B5730E"/>
    <w:rsid w:val="00B57465"/>
    <w:rsid w:val="00B574F1"/>
    <w:rsid w:val="00B574FB"/>
    <w:rsid w:val="00B5752D"/>
    <w:rsid w:val="00B57548"/>
    <w:rsid w:val="00B575ED"/>
    <w:rsid w:val="00B576BF"/>
    <w:rsid w:val="00B57736"/>
    <w:rsid w:val="00B577CA"/>
    <w:rsid w:val="00B578B9"/>
    <w:rsid w:val="00B57982"/>
    <w:rsid w:val="00B579A3"/>
    <w:rsid w:val="00B579BA"/>
    <w:rsid w:val="00B579F0"/>
    <w:rsid w:val="00B57A61"/>
    <w:rsid w:val="00B57AB8"/>
    <w:rsid w:val="00B57BEA"/>
    <w:rsid w:val="00B57BF6"/>
    <w:rsid w:val="00B57C0C"/>
    <w:rsid w:val="00B57D8D"/>
    <w:rsid w:val="00B57D90"/>
    <w:rsid w:val="00B57DD4"/>
    <w:rsid w:val="00B57E88"/>
    <w:rsid w:val="00B57F03"/>
    <w:rsid w:val="00B57F4C"/>
    <w:rsid w:val="00B57FA0"/>
    <w:rsid w:val="00B6009D"/>
    <w:rsid w:val="00B600BE"/>
    <w:rsid w:val="00B601AB"/>
    <w:rsid w:val="00B60234"/>
    <w:rsid w:val="00B6042E"/>
    <w:rsid w:val="00B6055A"/>
    <w:rsid w:val="00B605FA"/>
    <w:rsid w:val="00B606FB"/>
    <w:rsid w:val="00B60710"/>
    <w:rsid w:val="00B60717"/>
    <w:rsid w:val="00B60740"/>
    <w:rsid w:val="00B6076C"/>
    <w:rsid w:val="00B60783"/>
    <w:rsid w:val="00B608E0"/>
    <w:rsid w:val="00B60971"/>
    <w:rsid w:val="00B609FE"/>
    <w:rsid w:val="00B60A3F"/>
    <w:rsid w:val="00B60A9B"/>
    <w:rsid w:val="00B60AB4"/>
    <w:rsid w:val="00B60B52"/>
    <w:rsid w:val="00B60B62"/>
    <w:rsid w:val="00B60BB1"/>
    <w:rsid w:val="00B60BC3"/>
    <w:rsid w:val="00B60C03"/>
    <w:rsid w:val="00B60CCC"/>
    <w:rsid w:val="00B60D72"/>
    <w:rsid w:val="00B60E2E"/>
    <w:rsid w:val="00B60E85"/>
    <w:rsid w:val="00B60EB6"/>
    <w:rsid w:val="00B60EC7"/>
    <w:rsid w:val="00B60EE1"/>
    <w:rsid w:val="00B610EE"/>
    <w:rsid w:val="00B611A3"/>
    <w:rsid w:val="00B611D9"/>
    <w:rsid w:val="00B612D4"/>
    <w:rsid w:val="00B613A9"/>
    <w:rsid w:val="00B613EA"/>
    <w:rsid w:val="00B61504"/>
    <w:rsid w:val="00B615AC"/>
    <w:rsid w:val="00B615AE"/>
    <w:rsid w:val="00B6175A"/>
    <w:rsid w:val="00B6175C"/>
    <w:rsid w:val="00B617AD"/>
    <w:rsid w:val="00B6183E"/>
    <w:rsid w:val="00B618A7"/>
    <w:rsid w:val="00B61925"/>
    <w:rsid w:val="00B61A2C"/>
    <w:rsid w:val="00B61BEC"/>
    <w:rsid w:val="00B61C1B"/>
    <w:rsid w:val="00B61C32"/>
    <w:rsid w:val="00B61D0F"/>
    <w:rsid w:val="00B61D5D"/>
    <w:rsid w:val="00B61D92"/>
    <w:rsid w:val="00B61DCE"/>
    <w:rsid w:val="00B61E1A"/>
    <w:rsid w:val="00B61FB9"/>
    <w:rsid w:val="00B6203A"/>
    <w:rsid w:val="00B62121"/>
    <w:rsid w:val="00B62140"/>
    <w:rsid w:val="00B62198"/>
    <w:rsid w:val="00B621B8"/>
    <w:rsid w:val="00B621CA"/>
    <w:rsid w:val="00B621D5"/>
    <w:rsid w:val="00B621DF"/>
    <w:rsid w:val="00B622BC"/>
    <w:rsid w:val="00B622CE"/>
    <w:rsid w:val="00B62365"/>
    <w:rsid w:val="00B624F0"/>
    <w:rsid w:val="00B6259E"/>
    <w:rsid w:val="00B627CF"/>
    <w:rsid w:val="00B628EB"/>
    <w:rsid w:val="00B62961"/>
    <w:rsid w:val="00B629A9"/>
    <w:rsid w:val="00B62A6D"/>
    <w:rsid w:val="00B62C2A"/>
    <w:rsid w:val="00B62C91"/>
    <w:rsid w:val="00B62D20"/>
    <w:rsid w:val="00B62E3C"/>
    <w:rsid w:val="00B62EB8"/>
    <w:rsid w:val="00B62EB9"/>
    <w:rsid w:val="00B62EEA"/>
    <w:rsid w:val="00B62F8E"/>
    <w:rsid w:val="00B62FCA"/>
    <w:rsid w:val="00B6307A"/>
    <w:rsid w:val="00B630CD"/>
    <w:rsid w:val="00B630DE"/>
    <w:rsid w:val="00B631F6"/>
    <w:rsid w:val="00B63245"/>
    <w:rsid w:val="00B632E0"/>
    <w:rsid w:val="00B6339C"/>
    <w:rsid w:val="00B63467"/>
    <w:rsid w:val="00B6351A"/>
    <w:rsid w:val="00B6358D"/>
    <w:rsid w:val="00B635FA"/>
    <w:rsid w:val="00B63670"/>
    <w:rsid w:val="00B6368A"/>
    <w:rsid w:val="00B6371E"/>
    <w:rsid w:val="00B637E8"/>
    <w:rsid w:val="00B63826"/>
    <w:rsid w:val="00B6383E"/>
    <w:rsid w:val="00B63897"/>
    <w:rsid w:val="00B6391A"/>
    <w:rsid w:val="00B6398E"/>
    <w:rsid w:val="00B6399B"/>
    <w:rsid w:val="00B63A79"/>
    <w:rsid w:val="00B63AF7"/>
    <w:rsid w:val="00B63B9D"/>
    <w:rsid w:val="00B63BA2"/>
    <w:rsid w:val="00B63BD4"/>
    <w:rsid w:val="00B63BE1"/>
    <w:rsid w:val="00B63C2B"/>
    <w:rsid w:val="00B63C35"/>
    <w:rsid w:val="00B63DA5"/>
    <w:rsid w:val="00B63FD2"/>
    <w:rsid w:val="00B6400F"/>
    <w:rsid w:val="00B640A5"/>
    <w:rsid w:val="00B640F5"/>
    <w:rsid w:val="00B6412C"/>
    <w:rsid w:val="00B64169"/>
    <w:rsid w:val="00B64203"/>
    <w:rsid w:val="00B64319"/>
    <w:rsid w:val="00B644FB"/>
    <w:rsid w:val="00B64561"/>
    <w:rsid w:val="00B64563"/>
    <w:rsid w:val="00B64627"/>
    <w:rsid w:val="00B646A8"/>
    <w:rsid w:val="00B64712"/>
    <w:rsid w:val="00B6474C"/>
    <w:rsid w:val="00B647BA"/>
    <w:rsid w:val="00B64852"/>
    <w:rsid w:val="00B64861"/>
    <w:rsid w:val="00B64904"/>
    <w:rsid w:val="00B64A07"/>
    <w:rsid w:val="00B64B23"/>
    <w:rsid w:val="00B64D26"/>
    <w:rsid w:val="00B64F8A"/>
    <w:rsid w:val="00B6511A"/>
    <w:rsid w:val="00B6512F"/>
    <w:rsid w:val="00B65261"/>
    <w:rsid w:val="00B65276"/>
    <w:rsid w:val="00B653E8"/>
    <w:rsid w:val="00B65479"/>
    <w:rsid w:val="00B65516"/>
    <w:rsid w:val="00B655E0"/>
    <w:rsid w:val="00B65680"/>
    <w:rsid w:val="00B656F0"/>
    <w:rsid w:val="00B6571A"/>
    <w:rsid w:val="00B6573F"/>
    <w:rsid w:val="00B6579A"/>
    <w:rsid w:val="00B658D0"/>
    <w:rsid w:val="00B6591D"/>
    <w:rsid w:val="00B65937"/>
    <w:rsid w:val="00B659F5"/>
    <w:rsid w:val="00B65A73"/>
    <w:rsid w:val="00B65AAF"/>
    <w:rsid w:val="00B65C28"/>
    <w:rsid w:val="00B65CE5"/>
    <w:rsid w:val="00B65CEB"/>
    <w:rsid w:val="00B65D83"/>
    <w:rsid w:val="00B65DB6"/>
    <w:rsid w:val="00B65E44"/>
    <w:rsid w:val="00B65E77"/>
    <w:rsid w:val="00B65F07"/>
    <w:rsid w:val="00B65F6F"/>
    <w:rsid w:val="00B65F72"/>
    <w:rsid w:val="00B660AB"/>
    <w:rsid w:val="00B66135"/>
    <w:rsid w:val="00B661F7"/>
    <w:rsid w:val="00B6629F"/>
    <w:rsid w:val="00B66452"/>
    <w:rsid w:val="00B6647C"/>
    <w:rsid w:val="00B6649C"/>
    <w:rsid w:val="00B664BA"/>
    <w:rsid w:val="00B66530"/>
    <w:rsid w:val="00B665A9"/>
    <w:rsid w:val="00B66603"/>
    <w:rsid w:val="00B66631"/>
    <w:rsid w:val="00B66674"/>
    <w:rsid w:val="00B6669F"/>
    <w:rsid w:val="00B667C0"/>
    <w:rsid w:val="00B66860"/>
    <w:rsid w:val="00B66861"/>
    <w:rsid w:val="00B66971"/>
    <w:rsid w:val="00B669EE"/>
    <w:rsid w:val="00B66AB4"/>
    <w:rsid w:val="00B66B5F"/>
    <w:rsid w:val="00B66C14"/>
    <w:rsid w:val="00B66C4B"/>
    <w:rsid w:val="00B66C5D"/>
    <w:rsid w:val="00B66D22"/>
    <w:rsid w:val="00B66D85"/>
    <w:rsid w:val="00B66DAC"/>
    <w:rsid w:val="00B66DF4"/>
    <w:rsid w:val="00B66F28"/>
    <w:rsid w:val="00B66FEC"/>
    <w:rsid w:val="00B6704B"/>
    <w:rsid w:val="00B6713E"/>
    <w:rsid w:val="00B67159"/>
    <w:rsid w:val="00B6716D"/>
    <w:rsid w:val="00B67195"/>
    <w:rsid w:val="00B6732E"/>
    <w:rsid w:val="00B6734E"/>
    <w:rsid w:val="00B67373"/>
    <w:rsid w:val="00B67380"/>
    <w:rsid w:val="00B673D1"/>
    <w:rsid w:val="00B67683"/>
    <w:rsid w:val="00B676EC"/>
    <w:rsid w:val="00B67717"/>
    <w:rsid w:val="00B67744"/>
    <w:rsid w:val="00B6776B"/>
    <w:rsid w:val="00B6778C"/>
    <w:rsid w:val="00B67B87"/>
    <w:rsid w:val="00B67BB3"/>
    <w:rsid w:val="00B67C0B"/>
    <w:rsid w:val="00B67CB0"/>
    <w:rsid w:val="00B67CB4"/>
    <w:rsid w:val="00B67D04"/>
    <w:rsid w:val="00B67D25"/>
    <w:rsid w:val="00B67D31"/>
    <w:rsid w:val="00B67D46"/>
    <w:rsid w:val="00B67E68"/>
    <w:rsid w:val="00B67E7D"/>
    <w:rsid w:val="00B67E86"/>
    <w:rsid w:val="00B67F73"/>
    <w:rsid w:val="00B67FA3"/>
    <w:rsid w:val="00B67FCA"/>
    <w:rsid w:val="00B70090"/>
    <w:rsid w:val="00B7009C"/>
    <w:rsid w:val="00B700E1"/>
    <w:rsid w:val="00B70165"/>
    <w:rsid w:val="00B7025A"/>
    <w:rsid w:val="00B70420"/>
    <w:rsid w:val="00B70474"/>
    <w:rsid w:val="00B70510"/>
    <w:rsid w:val="00B70514"/>
    <w:rsid w:val="00B705ED"/>
    <w:rsid w:val="00B707D7"/>
    <w:rsid w:val="00B708D9"/>
    <w:rsid w:val="00B708F6"/>
    <w:rsid w:val="00B70953"/>
    <w:rsid w:val="00B70AD6"/>
    <w:rsid w:val="00B70C72"/>
    <w:rsid w:val="00B70C74"/>
    <w:rsid w:val="00B70D23"/>
    <w:rsid w:val="00B70E19"/>
    <w:rsid w:val="00B70E6C"/>
    <w:rsid w:val="00B70E78"/>
    <w:rsid w:val="00B70EF1"/>
    <w:rsid w:val="00B70FE2"/>
    <w:rsid w:val="00B71058"/>
    <w:rsid w:val="00B7123C"/>
    <w:rsid w:val="00B7137B"/>
    <w:rsid w:val="00B713AE"/>
    <w:rsid w:val="00B715DC"/>
    <w:rsid w:val="00B7169B"/>
    <w:rsid w:val="00B717B8"/>
    <w:rsid w:val="00B71869"/>
    <w:rsid w:val="00B71AEE"/>
    <w:rsid w:val="00B71AF2"/>
    <w:rsid w:val="00B71B84"/>
    <w:rsid w:val="00B71C0E"/>
    <w:rsid w:val="00B71C16"/>
    <w:rsid w:val="00B71C30"/>
    <w:rsid w:val="00B71C52"/>
    <w:rsid w:val="00B71D43"/>
    <w:rsid w:val="00B71D78"/>
    <w:rsid w:val="00B71DC9"/>
    <w:rsid w:val="00B71E13"/>
    <w:rsid w:val="00B71E22"/>
    <w:rsid w:val="00B71E9E"/>
    <w:rsid w:val="00B71F9D"/>
    <w:rsid w:val="00B72001"/>
    <w:rsid w:val="00B7203B"/>
    <w:rsid w:val="00B7205A"/>
    <w:rsid w:val="00B720F9"/>
    <w:rsid w:val="00B720FF"/>
    <w:rsid w:val="00B721B9"/>
    <w:rsid w:val="00B7220A"/>
    <w:rsid w:val="00B7227A"/>
    <w:rsid w:val="00B72371"/>
    <w:rsid w:val="00B7247A"/>
    <w:rsid w:val="00B72492"/>
    <w:rsid w:val="00B724A0"/>
    <w:rsid w:val="00B724FA"/>
    <w:rsid w:val="00B72566"/>
    <w:rsid w:val="00B72623"/>
    <w:rsid w:val="00B726FB"/>
    <w:rsid w:val="00B72727"/>
    <w:rsid w:val="00B7286B"/>
    <w:rsid w:val="00B72896"/>
    <w:rsid w:val="00B72AB5"/>
    <w:rsid w:val="00B72AEF"/>
    <w:rsid w:val="00B72C42"/>
    <w:rsid w:val="00B72C77"/>
    <w:rsid w:val="00B72C82"/>
    <w:rsid w:val="00B72C8F"/>
    <w:rsid w:val="00B72E0A"/>
    <w:rsid w:val="00B72E55"/>
    <w:rsid w:val="00B72E67"/>
    <w:rsid w:val="00B72F0C"/>
    <w:rsid w:val="00B72F27"/>
    <w:rsid w:val="00B7302A"/>
    <w:rsid w:val="00B73043"/>
    <w:rsid w:val="00B73055"/>
    <w:rsid w:val="00B73069"/>
    <w:rsid w:val="00B730CA"/>
    <w:rsid w:val="00B73109"/>
    <w:rsid w:val="00B7322F"/>
    <w:rsid w:val="00B732CF"/>
    <w:rsid w:val="00B732E8"/>
    <w:rsid w:val="00B732EA"/>
    <w:rsid w:val="00B73302"/>
    <w:rsid w:val="00B7333A"/>
    <w:rsid w:val="00B73628"/>
    <w:rsid w:val="00B738E6"/>
    <w:rsid w:val="00B73910"/>
    <w:rsid w:val="00B73A36"/>
    <w:rsid w:val="00B73A3A"/>
    <w:rsid w:val="00B73A62"/>
    <w:rsid w:val="00B73AE8"/>
    <w:rsid w:val="00B73B17"/>
    <w:rsid w:val="00B73B77"/>
    <w:rsid w:val="00B73C12"/>
    <w:rsid w:val="00B73C7F"/>
    <w:rsid w:val="00B73D54"/>
    <w:rsid w:val="00B73E12"/>
    <w:rsid w:val="00B73E8A"/>
    <w:rsid w:val="00B73EBD"/>
    <w:rsid w:val="00B73ED9"/>
    <w:rsid w:val="00B74016"/>
    <w:rsid w:val="00B740B7"/>
    <w:rsid w:val="00B741EC"/>
    <w:rsid w:val="00B741F6"/>
    <w:rsid w:val="00B74230"/>
    <w:rsid w:val="00B743B1"/>
    <w:rsid w:val="00B743E9"/>
    <w:rsid w:val="00B74548"/>
    <w:rsid w:val="00B745B9"/>
    <w:rsid w:val="00B745FA"/>
    <w:rsid w:val="00B746F5"/>
    <w:rsid w:val="00B74751"/>
    <w:rsid w:val="00B7475B"/>
    <w:rsid w:val="00B747DE"/>
    <w:rsid w:val="00B7486B"/>
    <w:rsid w:val="00B748A1"/>
    <w:rsid w:val="00B748F0"/>
    <w:rsid w:val="00B74AA2"/>
    <w:rsid w:val="00B74AD2"/>
    <w:rsid w:val="00B74B59"/>
    <w:rsid w:val="00B74BA8"/>
    <w:rsid w:val="00B74BA9"/>
    <w:rsid w:val="00B74BC0"/>
    <w:rsid w:val="00B74C02"/>
    <w:rsid w:val="00B74C74"/>
    <w:rsid w:val="00B74C88"/>
    <w:rsid w:val="00B74CE5"/>
    <w:rsid w:val="00B74CEE"/>
    <w:rsid w:val="00B74DF9"/>
    <w:rsid w:val="00B74E5F"/>
    <w:rsid w:val="00B750C9"/>
    <w:rsid w:val="00B750D6"/>
    <w:rsid w:val="00B750E1"/>
    <w:rsid w:val="00B75116"/>
    <w:rsid w:val="00B75121"/>
    <w:rsid w:val="00B75133"/>
    <w:rsid w:val="00B75187"/>
    <w:rsid w:val="00B751D2"/>
    <w:rsid w:val="00B75253"/>
    <w:rsid w:val="00B75421"/>
    <w:rsid w:val="00B7545F"/>
    <w:rsid w:val="00B754F9"/>
    <w:rsid w:val="00B7552B"/>
    <w:rsid w:val="00B7554F"/>
    <w:rsid w:val="00B75720"/>
    <w:rsid w:val="00B7584A"/>
    <w:rsid w:val="00B75850"/>
    <w:rsid w:val="00B75866"/>
    <w:rsid w:val="00B75890"/>
    <w:rsid w:val="00B7593D"/>
    <w:rsid w:val="00B75954"/>
    <w:rsid w:val="00B75AC1"/>
    <w:rsid w:val="00B75B05"/>
    <w:rsid w:val="00B75C80"/>
    <w:rsid w:val="00B75CF2"/>
    <w:rsid w:val="00B75D1F"/>
    <w:rsid w:val="00B75D44"/>
    <w:rsid w:val="00B75E78"/>
    <w:rsid w:val="00B75E9F"/>
    <w:rsid w:val="00B75FA3"/>
    <w:rsid w:val="00B76017"/>
    <w:rsid w:val="00B7609F"/>
    <w:rsid w:val="00B760C7"/>
    <w:rsid w:val="00B76237"/>
    <w:rsid w:val="00B76296"/>
    <w:rsid w:val="00B76487"/>
    <w:rsid w:val="00B76491"/>
    <w:rsid w:val="00B764E0"/>
    <w:rsid w:val="00B76575"/>
    <w:rsid w:val="00B76628"/>
    <w:rsid w:val="00B7668B"/>
    <w:rsid w:val="00B7668C"/>
    <w:rsid w:val="00B76820"/>
    <w:rsid w:val="00B76931"/>
    <w:rsid w:val="00B76C62"/>
    <w:rsid w:val="00B76F10"/>
    <w:rsid w:val="00B76F4E"/>
    <w:rsid w:val="00B76F59"/>
    <w:rsid w:val="00B7700B"/>
    <w:rsid w:val="00B77066"/>
    <w:rsid w:val="00B77147"/>
    <w:rsid w:val="00B77151"/>
    <w:rsid w:val="00B77234"/>
    <w:rsid w:val="00B772A3"/>
    <w:rsid w:val="00B77328"/>
    <w:rsid w:val="00B773B4"/>
    <w:rsid w:val="00B7751C"/>
    <w:rsid w:val="00B7752A"/>
    <w:rsid w:val="00B7754B"/>
    <w:rsid w:val="00B775A1"/>
    <w:rsid w:val="00B7760F"/>
    <w:rsid w:val="00B77666"/>
    <w:rsid w:val="00B7767D"/>
    <w:rsid w:val="00B777DE"/>
    <w:rsid w:val="00B7787F"/>
    <w:rsid w:val="00B778D6"/>
    <w:rsid w:val="00B77967"/>
    <w:rsid w:val="00B779D6"/>
    <w:rsid w:val="00B77A11"/>
    <w:rsid w:val="00B77A92"/>
    <w:rsid w:val="00B77A94"/>
    <w:rsid w:val="00B77AE0"/>
    <w:rsid w:val="00B77B37"/>
    <w:rsid w:val="00B77BB5"/>
    <w:rsid w:val="00B77C23"/>
    <w:rsid w:val="00B77C65"/>
    <w:rsid w:val="00B77DED"/>
    <w:rsid w:val="00B77F28"/>
    <w:rsid w:val="00B77F2A"/>
    <w:rsid w:val="00B77FA6"/>
    <w:rsid w:val="00B80032"/>
    <w:rsid w:val="00B80042"/>
    <w:rsid w:val="00B801EA"/>
    <w:rsid w:val="00B80261"/>
    <w:rsid w:val="00B802B2"/>
    <w:rsid w:val="00B803D9"/>
    <w:rsid w:val="00B80417"/>
    <w:rsid w:val="00B8045D"/>
    <w:rsid w:val="00B8060C"/>
    <w:rsid w:val="00B80705"/>
    <w:rsid w:val="00B8091E"/>
    <w:rsid w:val="00B809A4"/>
    <w:rsid w:val="00B80A20"/>
    <w:rsid w:val="00B80AB4"/>
    <w:rsid w:val="00B80BD7"/>
    <w:rsid w:val="00B80C70"/>
    <w:rsid w:val="00B80CDF"/>
    <w:rsid w:val="00B80D31"/>
    <w:rsid w:val="00B80D8F"/>
    <w:rsid w:val="00B80EBC"/>
    <w:rsid w:val="00B80F0C"/>
    <w:rsid w:val="00B80F91"/>
    <w:rsid w:val="00B80FBE"/>
    <w:rsid w:val="00B81075"/>
    <w:rsid w:val="00B81182"/>
    <w:rsid w:val="00B81248"/>
    <w:rsid w:val="00B8131E"/>
    <w:rsid w:val="00B81371"/>
    <w:rsid w:val="00B81397"/>
    <w:rsid w:val="00B8158B"/>
    <w:rsid w:val="00B815A1"/>
    <w:rsid w:val="00B815BC"/>
    <w:rsid w:val="00B815DA"/>
    <w:rsid w:val="00B81745"/>
    <w:rsid w:val="00B81775"/>
    <w:rsid w:val="00B8187D"/>
    <w:rsid w:val="00B8197E"/>
    <w:rsid w:val="00B819E2"/>
    <w:rsid w:val="00B81A2C"/>
    <w:rsid w:val="00B81B1B"/>
    <w:rsid w:val="00B81C30"/>
    <w:rsid w:val="00B81CD7"/>
    <w:rsid w:val="00B81CE1"/>
    <w:rsid w:val="00B81D60"/>
    <w:rsid w:val="00B81DE0"/>
    <w:rsid w:val="00B81E56"/>
    <w:rsid w:val="00B81E86"/>
    <w:rsid w:val="00B81FED"/>
    <w:rsid w:val="00B82028"/>
    <w:rsid w:val="00B8204F"/>
    <w:rsid w:val="00B82083"/>
    <w:rsid w:val="00B820D3"/>
    <w:rsid w:val="00B8212A"/>
    <w:rsid w:val="00B82204"/>
    <w:rsid w:val="00B822BA"/>
    <w:rsid w:val="00B82359"/>
    <w:rsid w:val="00B8245C"/>
    <w:rsid w:val="00B82593"/>
    <w:rsid w:val="00B826B5"/>
    <w:rsid w:val="00B82738"/>
    <w:rsid w:val="00B827A8"/>
    <w:rsid w:val="00B827AD"/>
    <w:rsid w:val="00B82844"/>
    <w:rsid w:val="00B8290C"/>
    <w:rsid w:val="00B82B12"/>
    <w:rsid w:val="00B82B14"/>
    <w:rsid w:val="00B82B1C"/>
    <w:rsid w:val="00B82C85"/>
    <w:rsid w:val="00B82CE5"/>
    <w:rsid w:val="00B82DA9"/>
    <w:rsid w:val="00B82F46"/>
    <w:rsid w:val="00B82FEE"/>
    <w:rsid w:val="00B83066"/>
    <w:rsid w:val="00B830F1"/>
    <w:rsid w:val="00B83559"/>
    <w:rsid w:val="00B8357D"/>
    <w:rsid w:val="00B835A1"/>
    <w:rsid w:val="00B836FA"/>
    <w:rsid w:val="00B83709"/>
    <w:rsid w:val="00B83745"/>
    <w:rsid w:val="00B837F9"/>
    <w:rsid w:val="00B838CB"/>
    <w:rsid w:val="00B839D7"/>
    <w:rsid w:val="00B83AD0"/>
    <w:rsid w:val="00B83B2A"/>
    <w:rsid w:val="00B83B48"/>
    <w:rsid w:val="00B83D51"/>
    <w:rsid w:val="00B83DA4"/>
    <w:rsid w:val="00B83DED"/>
    <w:rsid w:val="00B83EE1"/>
    <w:rsid w:val="00B83EEA"/>
    <w:rsid w:val="00B83FFE"/>
    <w:rsid w:val="00B84010"/>
    <w:rsid w:val="00B84062"/>
    <w:rsid w:val="00B8425F"/>
    <w:rsid w:val="00B84271"/>
    <w:rsid w:val="00B8427E"/>
    <w:rsid w:val="00B84280"/>
    <w:rsid w:val="00B842FD"/>
    <w:rsid w:val="00B84478"/>
    <w:rsid w:val="00B844BA"/>
    <w:rsid w:val="00B84517"/>
    <w:rsid w:val="00B8452C"/>
    <w:rsid w:val="00B845B5"/>
    <w:rsid w:val="00B84728"/>
    <w:rsid w:val="00B84799"/>
    <w:rsid w:val="00B8479B"/>
    <w:rsid w:val="00B847D9"/>
    <w:rsid w:val="00B84849"/>
    <w:rsid w:val="00B848E5"/>
    <w:rsid w:val="00B848EF"/>
    <w:rsid w:val="00B84C33"/>
    <w:rsid w:val="00B84DCF"/>
    <w:rsid w:val="00B84E9E"/>
    <w:rsid w:val="00B84EE1"/>
    <w:rsid w:val="00B84F18"/>
    <w:rsid w:val="00B84F44"/>
    <w:rsid w:val="00B84F4C"/>
    <w:rsid w:val="00B84F8A"/>
    <w:rsid w:val="00B85049"/>
    <w:rsid w:val="00B85081"/>
    <w:rsid w:val="00B851E5"/>
    <w:rsid w:val="00B851FC"/>
    <w:rsid w:val="00B85259"/>
    <w:rsid w:val="00B853D9"/>
    <w:rsid w:val="00B8543E"/>
    <w:rsid w:val="00B85481"/>
    <w:rsid w:val="00B85489"/>
    <w:rsid w:val="00B85505"/>
    <w:rsid w:val="00B8573D"/>
    <w:rsid w:val="00B857D0"/>
    <w:rsid w:val="00B857EF"/>
    <w:rsid w:val="00B85858"/>
    <w:rsid w:val="00B85A7F"/>
    <w:rsid w:val="00B85AF7"/>
    <w:rsid w:val="00B85C46"/>
    <w:rsid w:val="00B85C67"/>
    <w:rsid w:val="00B85DA3"/>
    <w:rsid w:val="00B85DBE"/>
    <w:rsid w:val="00B85DF0"/>
    <w:rsid w:val="00B85EB6"/>
    <w:rsid w:val="00B85FDD"/>
    <w:rsid w:val="00B8604B"/>
    <w:rsid w:val="00B86299"/>
    <w:rsid w:val="00B86337"/>
    <w:rsid w:val="00B8635B"/>
    <w:rsid w:val="00B863D1"/>
    <w:rsid w:val="00B86453"/>
    <w:rsid w:val="00B864B1"/>
    <w:rsid w:val="00B86589"/>
    <w:rsid w:val="00B86615"/>
    <w:rsid w:val="00B86619"/>
    <w:rsid w:val="00B86862"/>
    <w:rsid w:val="00B86878"/>
    <w:rsid w:val="00B86947"/>
    <w:rsid w:val="00B86985"/>
    <w:rsid w:val="00B869CE"/>
    <w:rsid w:val="00B86A2A"/>
    <w:rsid w:val="00B86AF8"/>
    <w:rsid w:val="00B86AF9"/>
    <w:rsid w:val="00B86B32"/>
    <w:rsid w:val="00B86C2C"/>
    <w:rsid w:val="00B86CEF"/>
    <w:rsid w:val="00B86D74"/>
    <w:rsid w:val="00B86E5D"/>
    <w:rsid w:val="00B86E80"/>
    <w:rsid w:val="00B86FEA"/>
    <w:rsid w:val="00B87069"/>
    <w:rsid w:val="00B870D2"/>
    <w:rsid w:val="00B87109"/>
    <w:rsid w:val="00B871D3"/>
    <w:rsid w:val="00B87218"/>
    <w:rsid w:val="00B8724B"/>
    <w:rsid w:val="00B872B3"/>
    <w:rsid w:val="00B872B5"/>
    <w:rsid w:val="00B8731A"/>
    <w:rsid w:val="00B87341"/>
    <w:rsid w:val="00B87488"/>
    <w:rsid w:val="00B87500"/>
    <w:rsid w:val="00B87595"/>
    <w:rsid w:val="00B876D9"/>
    <w:rsid w:val="00B8777F"/>
    <w:rsid w:val="00B877B7"/>
    <w:rsid w:val="00B87864"/>
    <w:rsid w:val="00B8789C"/>
    <w:rsid w:val="00B878D2"/>
    <w:rsid w:val="00B878EA"/>
    <w:rsid w:val="00B87915"/>
    <w:rsid w:val="00B87A76"/>
    <w:rsid w:val="00B87AAA"/>
    <w:rsid w:val="00B87AC4"/>
    <w:rsid w:val="00B87CA3"/>
    <w:rsid w:val="00B87CCC"/>
    <w:rsid w:val="00B87CE1"/>
    <w:rsid w:val="00B87D9F"/>
    <w:rsid w:val="00B87DF8"/>
    <w:rsid w:val="00B87EBC"/>
    <w:rsid w:val="00B87F3A"/>
    <w:rsid w:val="00B87FB0"/>
    <w:rsid w:val="00B90052"/>
    <w:rsid w:val="00B90101"/>
    <w:rsid w:val="00B90116"/>
    <w:rsid w:val="00B90139"/>
    <w:rsid w:val="00B901AC"/>
    <w:rsid w:val="00B9036E"/>
    <w:rsid w:val="00B90437"/>
    <w:rsid w:val="00B90464"/>
    <w:rsid w:val="00B904D3"/>
    <w:rsid w:val="00B904FC"/>
    <w:rsid w:val="00B90642"/>
    <w:rsid w:val="00B9079E"/>
    <w:rsid w:val="00B9095D"/>
    <w:rsid w:val="00B9099B"/>
    <w:rsid w:val="00B909CC"/>
    <w:rsid w:val="00B909E7"/>
    <w:rsid w:val="00B90A37"/>
    <w:rsid w:val="00B90A77"/>
    <w:rsid w:val="00B90AAB"/>
    <w:rsid w:val="00B90B2E"/>
    <w:rsid w:val="00B90B66"/>
    <w:rsid w:val="00B90BEC"/>
    <w:rsid w:val="00B90CB3"/>
    <w:rsid w:val="00B90D33"/>
    <w:rsid w:val="00B90DD8"/>
    <w:rsid w:val="00B90DDE"/>
    <w:rsid w:val="00B90EEA"/>
    <w:rsid w:val="00B90F26"/>
    <w:rsid w:val="00B910A4"/>
    <w:rsid w:val="00B91107"/>
    <w:rsid w:val="00B91119"/>
    <w:rsid w:val="00B91129"/>
    <w:rsid w:val="00B913E1"/>
    <w:rsid w:val="00B913EE"/>
    <w:rsid w:val="00B91482"/>
    <w:rsid w:val="00B914B1"/>
    <w:rsid w:val="00B914ED"/>
    <w:rsid w:val="00B91564"/>
    <w:rsid w:val="00B915E9"/>
    <w:rsid w:val="00B9174B"/>
    <w:rsid w:val="00B91772"/>
    <w:rsid w:val="00B917AC"/>
    <w:rsid w:val="00B917D3"/>
    <w:rsid w:val="00B9191C"/>
    <w:rsid w:val="00B9195A"/>
    <w:rsid w:val="00B91997"/>
    <w:rsid w:val="00B9199D"/>
    <w:rsid w:val="00B91AC8"/>
    <w:rsid w:val="00B91B49"/>
    <w:rsid w:val="00B91BA1"/>
    <w:rsid w:val="00B91E07"/>
    <w:rsid w:val="00B91E33"/>
    <w:rsid w:val="00B9203B"/>
    <w:rsid w:val="00B92076"/>
    <w:rsid w:val="00B92150"/>
    <w:rsid w:val="00B9226A"/>
    <w:rsid w:val="00B9249C"/>
    <w:rsid w:val="00B92524"/>
    <w:rsid w:val="00B92595"/>
    <w:rsid w:val="00B926A8"/>
    <w:rsid w:val="00B926E1"/>
    <w:rsid w:val="00B92721"/>
    <w:rsid w:val="00B92746"/>
    <w:rsid w:val="00B9279E"/>
    <w:rsid w:val="00B92933"/>
    <w:rsid w:val="00B929D2"/>
    <w:rsid w:val="00B929F5"/>
    <w:rsid w:val="00B92AE4"/>
    <w:rsid w:val="00B92AEA"/>
    <w:rsid w:val="00B92B00"/>
    <w:rsid w:val="00B92BC2"/>
    <w:rsid w:val="00B92C96"/>
    <w:rsid w:val="00B92D3E"/>
    <w:rsid w:val="00B92DDD"/>
    <w:rsid w:val="00B92E3F"/>
    <w:rsid w:val="00B92EBA"/>
    <w:rsid w:val="00B92EE4"/>
    <w:rsid w:val="00B9314A"/>
    <w:rsid w:val="00B931D0"/>
    <w:rsid w:val="00B932B3"/>
    <w:rsid w:val="00B93402"/>
    <w:rsid w:val="00B93472"/>
    <w:rsid w:val="00B934DB"/>
    <w:rsid w:val="00B93672"/>
    <w:rsid w:val="00B93693"/>
    <w:rsid w:val="00B936A0"/>
    <w:rsid w:val="00B93807"/>
    <w:rsid w:val="00B9386B"/>
    <w:rsid w:val="00B9390C"/>
    <w:rsid w:val="00B9393F"/>
    <w:rsid w:val="00B93AE5"/>
    <w:rsid w:val="00B93B5E"/>
    <w:rsid w:val="00B93B91"/>
    <w:rsid w:val="00B93C2D"/>
    <w:rsid w:val="00B93CF5"/>
    <w:rsid w:val="00B93D2D"/>
    <w:rsid w:val="00B93EC5"/>
    <w:rsid w:val="00B93F4D"/>
    <w:rsid w:val="00B93FFE"/>
    <w:rsid w:val="00B94377"/>
    <w:rsid w:val="00B9444D"/>
    <w:rsid w:val="00B94611"/>
    <w:rsid w:val="00B94754"/>
    <w:rsid w:val="00B94880"/>
    <w:rsid w:val="00B948EC"/>
    <w:rsid w:val="00B9497C"/>
    <w:rsid w:val="00B94C0E"/>
    <w:rsid w:val="00B94DFE"/>
    <w:rsid w:val="00B94EC3"/>
    <w:rsid w:val="00B94EFE"/>
    <w:rsid w:val="00B94F47"/>
    <w:rsid w:val="00B94F95"/>
    <w:rsid w:val="00B94FE8"/>
    <w:rsid w:val="00B951A6"/>
    <w:rsid w:val="00B9521C"/>
    <w:rsid w:val="00B9522C"/>
    <w:rsid w:val="00B952BC"/>
    <w:rsid w:val="00B952E0"/>
    <w:rsid w:val="00B95366"/>
    <w:rsid w:val="00B95375"/>
    <w:rsid w:val="00B953D3"/>
    <w:rsid w:val="00B95437"/>
    <w:rsid w:val="00B954BB"/>
    <w:rsid w:val="00B955EE"/>
    <w:rsid w:val="00B955FF"/>
    <w:rsid w:val="00B95666"/>
    <w:rsid w:val="00B956E4"/>
    <w:rsid w:val="00B95824"/>
    <w:rsid w:val="00B9593A"/>
    <w:rsid w:val="00B95A98"/>
    <w:rsid w:val="00B95A9F"/>
    <w:rsid w:val="00B95ADC"/>
    <w:rsid w:val="00B95B0A"/>
    <w:rsid w:val="00B95CE8"/>
    <w:rsid w:val="00B95D46"/>
    <w:rsid w:val="00B95D56"/>
    <w:rsid w:val="00B95E96"/>
    <w:rsid w:val="00B95EA5"/>
    <w:rsid w:val="00B960CE"/>
    <w:rsid w:val="00B96136"/>
    <w:rsid w:val="00B961D8"/>
    <w:rsid w:val="00B96206"/>
    <w:rsid w:val="00B9638B"/>
    <w:rsid w:val="00B963C3"/>
    <w:rsid w:val="00B96402"/>
    <w:rsid w:val="00B96516"/>
    <w:rsid w:val="00B965AD"/>
    <w:rsid w:val="00B9663A"/>
    <w:rsid w:val="00B9666C"/>
    <w:rsid w:val="00B9667B"/>
    <w:rsid w:val="00B9670A"/>
    <w:rsid w:val="00B96750"/>
    <w:rsid w:val="00B9676A"/>
    <w:rsid w:val="00B968C3"/>
    <w:rsid w:val="00B96933"/>
    <w:rsid w:val="00B969B1"/>
    <w:rsid w:val="00B969D6"/>
    <w:rsid w:val="00B96A0E"/>
    <w:rsid w:val="00B96D05"/>
    <w:rsid w:val="00B96E7A"/>
    <w:rsid w:val="00B970D3"/>
    <w:rsid w:val="00B97146"/>
    <w:rsid w:val="00B97148"/>
    <w:rsid w:val="00B9714D"/>
    <w:rsid w:val="00B971D8"/>
    <w:rsid w:val="00B971E7"/>
    <w:rsid w:val="00B9729A"/>
    <w:rsid w:val="00B97315"/>
    <w:rsid w:val="00B973CA"/>
    <w:rsid w:val="00B9741A"/>
    <w:rsid w:val="00B974D1"/>
    <w:rsid w:val="00B974EE"/>
    <w:rsid w:val="00B97502"/>
    <w:rsid w:val="00B975D0"/>
    <w:rsid w:val="00B97616"/>
    <w:rsid w:val="00B976E4"/>
    <w:rsid w:val="00B97708"/>
    <w:rsid w:val="00B9774D"/>
    <w:rsid w:val="00B9777D"/>
    <w:rsid w:val="00B9780B"/>
    <w:rsid w:val="00B9781D"/>
    <w:rsid w:val="00B978CD"/>
    <w:rsid w:val="00B97A32"/>
    <w:rsid w:val="00B97ACE"/>
    <w:rsid w:val="00B97D82"/>
    <w:rsid w:val="00B97E52"/>
    <w:rsid w:val="00B97E62"/>
    <w:rsid w:val="00B97E6E"/>
    <w:rsid w:val="00B97EC7"/>
    <w:rsid w:val="00B97FE5"/>
    <w:rsid w:val="00BA00CF"/>
    <w:rsid w:val="00BA019F"/>
    <w:rsid w:val="00BA01C8"/>
    <w:rsid w:val="00BA0238"/>
    <w:rsid w:val="00BA0353"/>
    <w:rsid w:val="00BA039B"/>
    <w:rsid w:val="00BA03E6"/>
    <w:rsid w:val="00BA048E"/>
    <w:rsid w:val="00BA0578"/>
    <w:rsid w:val="00BA0665"/>
    <w:rsid w:val="00BA06BB"/>
    <w:rsid w:val="00BA0745"/>
    <w:rsid w:val="00BA09E6"/>
    <w:rsid w:val="00BA0A00"/>
    <w:rsid w:val="00BA0C4F"/>
    <w:rsid w:val="00BA0CDE"/>
    <w:rsid w:val="00BA0D1C"/>
    <w:rsid w:val="00BA0D4C"/>
    <w:rsid w:val="00BA0D6C"/>
    <w:rsid w:val="00BA0D7D"/>
    <w:rsid w:val="00BA0DF1"/>
    <w:rsid w:val="00BA0E0C"/>
    <w:rsid w:val="00BA0E30"/>
    <w:rsid w:val="00BA0EA1"/>
    <w:rsid w:val="00BA0F30"/>
    <w:rsid w:val="00BA0F5D"/>
    <w:rsid w:val="00BA0F73"/>
    <w:rsid w:val="00BA0FE9"/>
    <w:rsid w:val="00BA100B"/>
    <w:rsid w:val="00BA10EB"/>
    <w:rsid w:val="00BA1171"/>
    <w:rsid w:val="00BA11A5"/>
    <w:rsid w:val="00BA11F5"/>
    <w:rsid w:val="00BA12A9"/>
    <w:rsid w:val="00BA12B4"/>
    <w:rsid w:val="00BA1331"/>
    <w:rsid w:val="00BA1374"/>
    <w:rsid w:val="00BA13A2"/>
    <w:rsid w:val="00BA13FB"/>
    <w:rsid w:val="00BA156B"/>
    <w:rsid w:val="00BA15D5"/>
    <w:rsid w:val="00BA1685"/>
    <w:rsid w:val="00BA16A0"/>
    <w:rsid w:val="00BA170E"/>
    <w:rsid w:val="00BA179E"/>
    <w:rsid w:val="00BA184C"/>
    <w:rsid w:val="00BA185B"/>
    <w:rsid w:val="00BA18EB"/>
    <w:rsid w:val="00BA1A09"/>
    <w:rsid w:val="00BA1A40"/>
    <w:rsid w:val="00BA1A82"/>
    <w:rsid w:val="00BA1AAE"/>
    <w:rsid w:val="00BA1C37"/>
    <w:rsid w:val="00BA1C8F"/>
    <w:rsid w:val="00BA1CAB"/>
    <w:rsid w:val="00BA1DA6"/>
    <w:rsid w:val="00BA1DD9"/>
    <w:rsid w:val="00BA1E31"/>
    <w:rsid w:val="00BA1E35"/>
    <w:rsid w:val="00BA1ECA"/>
    <w:rsid w:val="00BA1F2A"/>
    <w:rsid w:val="00BA1F8C"/>
    <w:rsid w:val="00BA217E"/>
    <w:rsid w:val="00BA21C8"/>
    <w:rsid w:val="00BA2214"/>
    <w:rsid w:val="00BA2295"/>
    <w:rsid w:val="00BA22CC"/>
    <w:rsid w:val="00BA22DE"/>
    <w:rsid w:val="00BA238E"/>
    <w:rsid w:val="00BA24A5"/>
    <w:rsid w:val="00BA26A2"/>
    <w:rsid w:val="00BA26B8"/>
    <w:rsid w:val="00BA26EE"/>
    <w:rsid w:val="00BA275F"/>
    <w:rsid w:val="00BA2774"/>
    <w:rsid w:val="00BA2830"/>
    <w:rsid w:val="00BA287C"/>
    <w:rsid w:val="00BA29DB"/>
    <w:rsid w:val="00BA2B5E"/>
    <w:rsid w:val="00BA2B67"/>
    <w:rsid w:val="00BA2B75"/>
    <w:rsid w:val="00BA2BCC"/>
    <w:rsid w:val="00BA2BFC"/>
    <w:rsid w:val="00BA2C07"/>
    <w:rsid w:val="00BA2C76"/>
    <w:rsid w:val="00BA2D09"/>
    <w:rsid w:val="00BA2D91"/>
    <w:rsid w:val="00BA2DB4"/>
    <w:rsid w:val="00BA2E36"/>
    <w:rsid w:val="00BA2E6B"/>
    <w:rsid w:val="00BA2E89"/>
    <w:rsid w:val="00BA2F9C"/>
    <w:rsid w:val="00BA30B3"/>
    <w:rsid w:val="00BA31BD"/>
    <w:rsid w:val="00BA3218"/>
    <w:rsid w:val="00BA369C"/>
    <w:rsid w:val="00BA376A"/>
    <w:rsid w:val="00BA37D7"/>
    <w:rsid w:val="00BA37F4"/>
    <w:rsid w:val="00BA385A"/>
    <w:rsid w:val="00BA3866"/>
    <w:rsid w:val="00BA38CC"/>
    <w:rsid w:val="00BA38DD"/>
    <w:rsid w:val="00BA394C"/>
    <w:rsid w:val="00BA39A1"/>
    <w:rsid w:val="00BA3B01"/>
    <w:rsid w:val="00BA3BE6"/>
    <w:rsid w:val="00BA3DC0"/>
    <w:rsid w:val="00BA3DFC"/>
    <w:rsid w:val="00BA3F1F"/>
    <w:rsid w:val="00BA3FD5"/>
    <w:rsid w:val="00BA40A6"/>
    <w:rsid w:val="00BA41E3"/>
    <w:rsid w:val="00BA4218"/>
    <w:rsid w:val="00BA426E"/>
    <w:rsid w:val="00BA42C6"/>
    <w:rsid w:val="00BA439F"/>
    <w:rsid w:val="00BA43A0"/>
    <w:rsid w:val="00BA43CF"/>
    <w:rsid w:val="00BA4563"/>
    <w:rsid w:val="00BA45F8"/>
    <w:rsid w:val="00BA469C"/>
    <w:rsid w:val="00BA470B"/>
    <w:rsid w:val="00BA49C2"/>
    <w:rsid w:val="00BA4A53"/>
    <w:rsid w:val="00BA4A5C"/>
    <w:rsid w:val="00BA4A7F"/>
    <w:rsid w:val="00BA4BA2"/>
    <w:rsid w:val="00BA4BC0"/>
    <w:rsid w:val="00BA4BEB"/>
    <w:rsid w:val="00BA4CC5"/>
    <w:rsid w:val="00BA4D25"/>
    <w:rsid w:val="00BA4D9B"/>
    <w:rsid w:val="00BA4DFD"/>
    <w:rsid w:val="00BA4E43"/>
    <w:rsid w:val="00BA4E56"/>
    <w:rsid w:val="00BA4FB2"/>
    <w:rsid w:val="00BA50E0"/>
    <w:rsid w:val="00BA5124"/>
    <w:rsid w:val="00BA517F"/>
    <w:rsid w:val="00BA520F"/>
    <w:rsid w:val="00BA528E"/>
    <w:rsid w:val="00BA52B0"/>
    <w:rsid w:val="00BA52C2"/>
    <w:rsid w:val="00BA5360"/>
    <w:rsid w:val="00BA536B"/>
    <w:rsid w:val="00BA53EB"/>
    <w:rsid w:val="00BA5422"/>
    <w:rsid w:val="00BA5457"/>
    <w:rsid w:val="00BA55CE"/>
    <w:rsid w:val="00BA56B6"/>
    <w:rsid w:val="00BA56FD"/>
    <w:rsid w:val="00BA5704"/>
    <w:rsid w:val="00BA5776"/>
    <w:rsid w:val="00BA5793"/>
    <w:rsid w:val="00BA57E0"/>
    <w:rsid w:val="00BA5A00"/>
    <w:rsid w:val="00BA5A2A"/>
    <w:rsid w:val="00BA5A82"/>
    <w:rsid w:val="00BA5CC2"/>
    <w:rsid w:val="00BA5E46"/>
    <w:rsid w:val="00BA5EF9"/>
    <w:rsid w:val="00BA5FC2"/>
    <w:rsid w:val="00BA6042"/>
    <w:rsid w:val="00BA616A"/>
    <w:rsid w:val="00BA6199"/>
    <w:rsid w:val="00BA62A1"/>
    <w:rsid w:val="00BA6300"/>
    <w:rsid w:val="00BA6314"/>
    <w:rsid w:val="00BA638C"/>
    <w:rsid w:val="00BA6417"/>
    <w:rsid w:val="00BA642A"/>
    <w:rsid w:val="00BA64D6"/>
    <w:rsid w:val="00BA6537"/>
    <w:rsid w:val="00BA6566"/>
    <w:rsid w:val="00BA679B"/>
    <w:rsid w:val="00BA67D8"/>
    <w:rsid w:val="00BA6816"/>
    <w:rsid w:val="00BA68D1"/>
    <w:rsid w:val="00BA69A7"/>
    <w:rsid w:val="00BA6A55"/>
    <w:rsid w:val="00BA6BBA"/>
    <w:rsid w:val="00BA6C77"/>
    <w:rsid w:val="00BA6CEB"/>
    <w:rsid w:val="00BA6CFE"/>
    <w:rsid w:val="00BA6D97"/>
    <w:rsid w:val="00BA6E46"/>
    <w:rsid w:val="00BA6EBB"/>
    <w:rsid w:val="00BA6EE4"/>
    <w:rsid w:val="00BA6F13"/>
    <w:rsid w:val="00BA702B"/>
    <w:rsid w:val="00BA70B7"/>
    <w:rsid w:val="00BA70D6"/>
    <w:rsid w:val="00BA711F"/>
    <w:rsid w:val="00BA715C"/>
    <w:rsid w:val="00BA72AE"/>
    <w:rsid w:val="00BA7337"/>
    <w:rsid w:val="00BA7343"/>
    <w:rsid w:val="00BA73EF"/>
    <w:rsid w:val="00BA74A8"/>
    <w:rsid w:val="00BA74A9"/>
    <w:rsid w:val="00BA7564"/>
    <w:rsid w:val="00BA7585"/>
    <w:rsid w:val="00BA7827"/>
    <w:rsid w:val="00BA786C"/>
    <w:rsid w:val="00BA7960"/>
    <w:rsid w:val="00BA79AC"/>
    <w:rsid w:val="00BA79C9"/>
    <w:rsid w:val="00BA7A8B"/>
    <w:rsid w:val="00BA7AF8"/>
    <w:rsid w:val="00BA7BC3"/>
    <w:rsid w:val="00BA7C13"/>
    <w:rsid w:val="00BA7C1A"/>
    <w:rsid w:val="00BA7CDB"/>
    <w:rsid w:val="00BA7E72"/>
    <w:rsid w:val="00BA7E79"/>
    <w:rsid w:val="00BA7EA7"/>
    <w:rsid w:val="00BA7F0D"/>
    <w:rsid w:val="00BA7F1C"/>
    <w:rsid w:val="00BA7FB1"/>
    <w:rsid w:val="00BB003B"/>
    <w:rsid w:val="00BB0062"/>
    <w:rsid w:val="00BB0135"/>
    <w:rsid w:val="00BB0222"/>
    <w:rsid w:val="00BB0262"/>
    <w:rsid w:val="00BB028A"/>
    <w:rsid w:val="00BB0367"/>
    <w:rsid w:val="00BB039B"/>
    <w:rsid w:val="00BB03E5"/>
    <w:rsid w:val="00BB042F"/>
    <w:rsid w:val="00BB046F"/>
    <w:rsid w:val="00BB04D4"/>
    <w:rsid w:val="00BB050B"/>
    <w:rsid w:val="00BB054E"/>
    <w:rsid w:val="00BB065D"/>
    <w:rsid w:val="00BB06BC"/>
    <w:rsid w:val="00BB0820"/>
    <w:rsid w:val="00BB08E7"/>
    <w:rsid w:val="00BB098A"/>
    <w:rsid w:val="00BB0999"/>
    <w:rsid w:val="00BB09A5"/>
    <w:rsid w:val="00BB0AC1"/>
    <w:rsid w:val="00BB0B81"/>
    <w:rsid w:val="00BB0BCF"/>
    <w:rsid w:val="00BB0BF6"/>
    <w:rsid w:val="00BB0C03"/>
    <w:rsid w:val="00BB0D09"/>
    <w:rsid w:val="00BB0D85"/>
    <w:rsid w:val="00BB0DF6"/>
    <w:rsid w:val="00BB0DF7"/>
    <w:rsid w:val="00BB0E6F"/>
    <w:rsid w:val="00BB0E9B"/>
    <w:rsid w:val="00BB0F0D"/>
    <w:rsid w:val="00BB0F32"/>
    <w:rsid w:val="00BB0F78"/>
    <w:rsid w:val="00BB10A7"/>
    <w:rsid w:val="00BB1127"/>
    <w:rsid w:val="00BB1173"/>
    <w:rsid w:val="00BB11B1"/>
    <w:rsid w:val="00BB11C7"/>
    <w:rsid w:val="00BB122D"/>
    <w:rsid w:val="00BB128E"/>
    <w:rsid w:val="00BB1328"/>
    <w:rsid w:val="00BB13DB"/>
    <w:rsid w:val="00BB14F0"/>
    <w:rsid w:val="00BB157E"/>
    <w:rsid w:val="00BB1582"/>
    <w:rsid w:val="00BB15AC"/>
    <w:rsid w:val="00BB168B"/>
    <w:rsid w:val="00BB16E0"/>
    <w:rsid w:val="00BB16E8"/>
    <w:rsid w:val="00BB16FF"/>
    <w:rsid w:val="00BB17C0"/>
    <w:rsid w:val="00BB17F8"/>
    <w:rsid w:val="00BB17FB"/>
    <w:rsid w:val="00BB18A3"/>
    <w:rsid w:val="00BB19FA"/>
    <w:rsid w:val="00BB1AB2"/>
    <w:rsid w:val="00BB1AD8"/>
    <w:rsid w:val="00BB1B2A"/>
    <w:rsid w:val="00BB1B3D"/>
    <w:rsid w:val="00BB1B5D"/>
    <w:rsid w:val="00BB1BD7"/>
    <w:rsid w:val="00BB1C59"/>
    <w:rsid w:val="00BB1E2D"/>
    <w:rsid w:val="00BB1EBE"/>
    <w:rsid w:val="00BB1EC3"/>
    <w:rsid w:val="00BB1FA6"/>
    <w:rsid w:val="00BB1FBB"/>
    <w:rsid w:val="00BB20E0"/>
    <w:rsid w:val="00BB20EE"/>
    <w:rsid w:val="00BB216A"/>
    <w:rsid w:val="00BB216D"/>
    <w:rsid w:val="00BB218A"/>
    <w:rsid w:val="00BB2190"/>
    <w:rsid w:val="00BB21D6"/>
    <w:rsid w:val="00BB226B"/>
    <w:rsid w:val="00BB226D"/>
    <w:rsid w:val="00BB22F6"/>
    <w:rsid w:val="00BB2337"/>
    <w:rsid w:val="00BB233E"/>
    <w:rsid w:val="00BB23C2"/>
    <w:rsid w:val="00BB2491"/>
    <w:rsid w:val="00BB24B8"/>
    <w:rsid w:val="00BB24C1"/>
    <w:rsid w:val="00BB24E3"/>
    <w:rsid w:val="00BB2510"/>
    <w:rsid w:val="00BB252D"/>
    <w:rsid w:val="00BB2588"/>
    <w:rsid w:val="00BB25BD"/>
    <w:rsid w:val="00BB2611"/>
    <w:rsid w:val="00BB26D9"/>
    <w:rsid w:val="00BB27CA"/>
    <w:rsid w:val="00BB29A7"/>
    <w:rsid w:val="00BB2A3C"/>
    <w:rsid w:val="00BB2A5A"/>
    <w:rsid w:val="00BB2ACD"/>
    <w:rsid w:val="00BB2C27"/>
    <w:rsid w:val="00BB2C49"/>
    <w:rsid w:val="00BB2E81"/>
    <w:rsid w:val="00BB2F75"/>
    <w:rsid w:val="00BB2F9F"/>
    <w:rsid w:val="00BB3005"/>
    <w:rsid w:val="00BB3017"/>
    <w:rsid w:val="00BB30A5"/>
    <w:rsid w:val="00BB3169"/>
    <w:rsid w:val="00BB3188"/>
    <w:rsid w:val="00BB3262"/>
    <w:rsid w:val="00BB3366"/>
    <w:rsid w:val="00BB339A"/>
    <w:rsid w:val="00BB33EC"/>
    <w:rsid w:val="00BB34B7"/>
    <w:rsid w:val="00BB35DA"/>
    <w:rsid w:val="00BB381C"/>
    <w:rsid w:val="00BB3A50"/>
    <w:rsid w:val="00BB3AB8"/>
    <w:rsid w:val="00BB3AFF"/>
    <w:rsid w:val="00BB3B26"/>
    <w:rsid w:val="00BB3B3D"/>
    <w:rsid w:val="00BB3B64"/>
    <w:rsid w:val="00BB3BD7"/>
    <w:rsid w:val="00BB3C33"/>
    <w:rsid w:val="00BB3C86"/>
    <w:rsid w:val="00BB3D05"/>
    <w:rsid w:val="00BB3D17"/>
    <w:rsid w:val="00BB3D38"/>
    <w:rsid w:val="00BB3D9B"/>
    <w:rsid w:val="00BB3EF1"/>
    <w:rsid w:val="00BB3F07"/>
    <w:rsid w:val="00BB3F16"/>
    <w:rsid w:val="00BB4065"/>
    <w:rsid w:val="00BB41AA"/>
    <w:rsid w:val="00BB4380"/>
    <w:rsid w:val="00BB4397"/>
    <w:rsid w:val="00BB43A7"/>
    <w:rsid w:val="00BB43E0"/>
    <w:rsid w:val="00BB441B"/>
    <w:rsid w:val="00BB4450"/>
    <w:rsid w:val="00BB454C"/>
    <w:rsid w:val="00BB45A6"/>
    <w:rsid w:val="00BB45C5"/>
    <w:rsid w:val="00BB46E0"/>
    <w:rsid w:val="00BB4764"/>
    <w:rsid w:val="00BB4788"/>
    <w:rsid w:val="00BB47F4"/>
    <w:rsid w:val="00BB4915"/>
    <w:rsid w:val="00BB49CA"/>
    <w:rsid w:val="00BB49DF"/>
    <w:rsid w:val="00BB4A88"/>
    <w:rsid w:val="00BB4A8A"/>
    <w:rsid w:val="00BB4B6A"/>
    <w:rsid w:val="00BB4C89"/>
    <w:rsid w:val="00BB4CE5"/>
    <w:rsid w:val="00BB4D8E"/>
    <w:rsid w:val="00BB4E93"/>
    <w:rsid w:val="00BB4F14"/>
    <w:rsid w:val="00BB5144"/>
    <w:rsid w:val="00BB5160"/>
    <w:rsid w:val="00BB5188"/>
    <w:rsid w:val="00BB5201"/>
    <w:rsid w:val="00BB53CD"/>
    <w:rsid w:val="00BB53E5"/>
    <w:rsid w:val="00BB5436"/>
    <w:rsid w:val="00BB551D"/>
    <w:rsid w:val="00BB55C1"/>
    <w:rsid w:val="00BB55EE"/>
    <w:rsid w:val="00BB55FC"/>
    <w:rsid w:val="00BB568E"/>
    <w:rsid w:val="00BB56B0"/>
    <w:rsid w:val="00BB56C7"/>
    <w:rsid w:val="00BB5726"/>
    <w:rsid w:val="00BB5728"/>
    <w:rsid w:val="00BB57D1"/>
    <w:rsid w:val="00BB5847"/>
    <w:rsid w:val="00BB58F0"/>
    <w:rsid w:val="00BB594E"/>
    <w:rsid w:val="00BB5B3E"/>
    <w:rsid w:val="00BB5DAE"/>
    <w:rsid w:val="00BB5DF9"/>
    <w:rsid w:val="00BB5F02"/>
    <w:rsid w:val="00BB5F0C"/>
    <w:rsid w:val="00BB6041"/>
    <w:rsid w:val="00BB60CD"/>
    <w:rsid w:val="00BB6129"/>
    <w:rsid w:val="00BB61A6"/>
    <w:rsid w:val="00BB626B"/>
    <w:rsid w:val="00BB639B"/>
    <w:rsid w:val="00BB6526"/>
    <w:rsid w:val="00BB676B"/>
    <w:rsid w:val="00BB67AE"/>
    <w:rsid w:val="00BB67C6"/>
    <w:rsid w:val="00BB6818"/>
    <w:rsid w:val="00BB6A51"/>
    <w:rsid w:val="00BB6A71"/>
    <w:rsid w:val="00BB6B14"/>
    <w:rsid w:val="00BB6B5F"/>
    <w:rsid w:val="00BB6B81"/>
    <w:rsid w:val="00BB6D2E"/>
    <w:rsid w:val="00BB6D37"/>
    <w:rsid w:val="00BB6D59"/>
    <w:rsid w:val="00BB6DCE"/>
    <w:rsid w:val="00BB6E0F"/>
    <w:rsid w:val="00BB7141"/>
    <w:rsid w:val="00BB72FE"/>
    <w:rsid w:val="00BB7323"/>
    <w:rsid w:val="00BB73D0"/>
    <w:rsid w:val="00BB7442"/>
    <w:rsid w:val="00BB745F"/>
    <w:rsid w:val="00BB74AC"/>
    <w:rsid w:val="00BB7776"/>
    <w:rsid w:val="00BB77EF"/>
    <w:rsid w:val="00BB7819"/>
    <w:rsid w:val="00BB7872"/>
    <w:rsid w:val="00BB78C9"/>
    <w:rsid w:val="00BB79FF"/>
    <w:rsid w:val="00BB7A38"/>
    <w:rsid w:val="00BB7A4D"/>
    <w:rsid w:val="00BB7A56"/>
    <w:rsid w:val="00BB7A8C"/>
    <w:rsid w:val="00BB7AA5"/>
    <w:rsid w:val="00BB7B49"/>
    <w:rsid w:val="00BB7B79"/>
    <w:rsid w:val="00BB7BA8"/>
    <w:rsid w:val="00BB7D40"/>
    <w:rsid w:val="00BB7DEE"/>
    <w:rsid w:val="00BB7E2A"/>
    <w:rsid w:val="00BB7EDA"/>
    <w:rsid w:val="00BB7EDC"/>
    <w:rsid w:val="00BB7FD4"/>
    <w:rsid w:val="00BC0131"/>
    <w:rsid w:val="00BC0175"/>
    <w:rsid w:val="00BC0182"/>
    <w:rsid w:val="00BC018C"/>
    <w:rsid w:val="00BC01B0"/>
    <w:rsid w:val="00BC0203"/>
    <w:rsid w:val="00BC0248"/>
    <w:rsid w:val="00BC0338"/>
    <w:rsid w:val="00BC049F"/>
    <w:rsid w:val="00BC05F5"/>
    <w:rsid w:val="00BC0853"/>
    <w:rsid w:val="00BC090D"/>
    <w:rsid w:val="00BC098A"/>
    <w:rsid w:val="00BC09DB"/>
    <w:rsid w:val="00BC0A1C"/>
    <w:rsid w:val="00BC0A32"/>
    <w:rsid w:val="00BC0A54"/>
    <w:rsid w:val="00BC0A9C"/>
    <w:rsid w:val="00BC0B17"/>
    <w:rsid w:val="00BC0B45"/>
    <w:rsid w:val="00BC0C5E"/>
    <w:rsid w:val="00BC0E8A"/>
    <w:rsid w:val="00BC0F4F"/>
    <w:rsid w:val="00BC0F87"/>
    <w:rsid w:val="00BC104B"/>
    <w:rsid w:val="00BC105A"/>
    <w:rsid w:val="00BC10A9"/>
    <w:rsid w:val="00BC10AF"/>
    <w:rsid w:val="00BC10D6"/>
    <w:rsid w:val="00BC117C"/>
    <w:rsid w:val="00BC11AE"/>
    <w:rsid w:val="00BC11B1"/>
    <w:rsid w:val="00BC1216"/>
    <w:rsid w:val="00BC121E"/>
    <w:rsid w:val="00BC1246"/>
    <w:rsid w:val="00BC1256"/>
    <w:rsid w:val="00BC12E2"/>
    <w:rsid w:val="00BC13D6"/>
    <w:rsid w:val="00BC1429"/>
    <w:rsid w:val="00BC142A"/>
    <w:rsid w:val="00BC150E"/>
    <w:rsid w:val="00BC16C5"/>
    <w:rsid w:val="00BC170B"/>
    <w:rsid w:val="00BC174F"/>
    <w:rsid w:val="00BC184C"/>
    <w:rsid w:val="00BC18F2"/>
    <w:rsid w:val="00BC1940"/>
    <w:rsid w:val="00BC19C2"/>
    <w:rsid w:val="00BC1A06"/>
    <w:rsid w:val="00BC1A0E"/>
    <w:rsid w:val="00BC1B1D"/>
    <w:rsid w:val="00BC1BB2"/>
    <w:rsid w:val="00BC1CAB"/>
    <w:rsid w:val="00BC1D05"/>
    <w:rsid w:val="00BC1D74"/>
    <w:rsid w:val="00BC1E16"/>
    <w:rsid w:val="00BC1E26"/>
    <w:rsid w:val="00BC1F59"/>
    <w:rsid w:val="00BC1F77"/>
    <w:rsid w:val="00BC1F84"/>
    <w:rsid w:val="00BC2044"/>
    <w:rsid w:val="00BC2096"/>
    <w:rsid w:val="00BC20A0"/>
    <w:rsid w:val="00BC2197"/>
    <w:rsid w:val="00BC2267"/>
    <w:rsid w:val="00BC22E2"/>
    <w:rsid w:val="00BC22F6"/>
    <w:rsid w:val="00BC2342"/>
    <w:rsid w:val="00BC240D"/>
    <w:rsid w:val="00BC2467"/>
    <w:rsid w:val="00BC247E"/>
    <w:rsid w:val="00BC2590"/>
    <w:rsid w:val="00BC26D2"/>
    <w:rsid w:val="00BC271D"/>
    <w:rsid w:val="00BC2844"/>
    <w:rsid w:val="00BC28F8"/>
    <w:rsid w:val="00BC299C"/>
    <w:rsid w:val="00BC2A36"/>
    <w:rsid w:val="00BC2A3E"/>
    <w:rsid w:val="00BC2A8C"/>
    <w:rsid w:val="00BC2BBC"/>
    <w:rsid w:val="00BC2BD1"/>
    <w:rsid w:val="00BC2BF8"/>
    <w:rsid w:val="00BC2C10"/>
    <w:rsid w:val="00BC2C29"/>
    <w:rsid w:val="00BC2C45"/>
    <w:rsid w:val="00BC2D7F"/>
    <w:rsid w:val="00BC2F80"/>
    <w:rsid w:val="00BC2FAE"/>
    <w:rsid w:val="00BC300C"/>
    <w:rsid w:val="00BC303C"/>
    <w:rsid w:val="00BC30E2"/>
    <w:rsid w:val="00BC317B"/>
    <w:rsid w:val="00BC31ED"/>
    <w:rsid w:val="00BC3313"/>
    <w:rsid w:val="00BC3355"/>
    <w:rsid w:val="00BC33AD"/>
    <w:rsid w:val="00BC34C2"/>
    <w:rsid w:val="00BC35EA"/>
    <w:rsid w:val="00BC37A4"/>
    <w:rsid w:val="00BC3847"/>
    <w:rsid w:val="00BC38F0"/>
    <w:rsid w:val="00BC3994"/>
    <w:rsid w:val="00BC39B7"/>
    <w:rsid w:val="00BC3A0E"/>
    <w:rsid w:val="00BC3A1E"/>
    <w:rsid w:val="00BC3A6C"/>
    <w:rsid w:val="00BC3AE3"/>
    <w:rsid w:val="00BC3AEE"/>
    <w:rsid w:val="00BC3B5D"/>
    <w:rsid w:val="00BC3C73"/>
    <w:rsid w:val="00BC3D39"/>
    <w:rsid w:val="00BC3D44"/>
    <w:rsid w:val="00BC3D6B"/>
    <w:rsid w:val="00BC3D84"/>
    <w:rsid w:val="00BC3DB9"/>
    <w:rsid w:val="00BC3DF3"/>
    <w:rsid w:val="00BC3E0E"/>
    <w:rsid w:val="00BC3F44"/>
    <w:rsid w:val="00BC3F61"/>
    <w:rsid w:val="00BC3F96"/>
    <w:rsid w:val="00BC3FB3"/>
    <w:rsid w:val="00BC405E"/>
    <w:rsid w:val="00BC409B"/>
    <w:rsid w:val="00BC417A"/>
    <w:rsid w:val="00BC427A"/>
    <w:rsid w:val="00BC43C7"/>
    <w:rsid w:val="00BC4434"/>
    <w:rsid w:val="00BC443C"/>
    <w:rsid w:val="00BC44BA"/>
    <w:rsid w:val="00BC44BD"/>
    <w:rsid w:val="00BC44BE"/>
    <w:rsid w:val="00BC4564"/>
    <w:rsid w:val="00BC4654"/>
    <w:rsid w:val="00BC46F0"/>
    <w:rsid w:val="00BC4701"/>
    <w:rsid w:val="00BC47EC"/>
    <w:rsid w:val="00BC481E"/>
    <w:rsid w:val="00BC4913"/>
    <w:rsid w:val="00BC4938"/>
    <w:rsid w:val="00BC4946"/>
    <w:rsid w:val="00BC4B0B"/>
    <w:rsid w:val="00BC4B75"/>
    <w:rsid w:val="00BC4C0D"/>
    <w:rsid w:val="00BC4C73"/>
    <w:rsid w:val="00BC4CF4"/>
    <w:rsid w:val="00BC4CFE"/>
    <w:rsid w:val="00BC4D01"/>
    <w:rsid w:val="00BC4D1B"/>
    <w:rsid w:val="00BC4E13"/>
    <w:rsid w:val="00BC4EA4"/>
    <w:rsid w:val="00BC4F80"/>
    <w:rsid w:val="00BC4F84"/>
    <w:rsid w:val="00BC4FCD"/>
    <w:rsid w:val="00BC50BB"/>
    <w:rsid w:val="00BC51A3"/>
    <w:rsid w:val="00BC5272"/>
    <w:rsid w:val="00BC5282"/>
    <w:rsid w:val="00BC52B0"/>
    <w:rsid w:val="00BC5321"/>
    <w:rsid w:val="00BC532A"/>
    <w:rsid w:val="00BC5442"/>
    <w:rsid w:val="00BC54A9"/>
    <w:rsid w:val="00BC54AE"/>
    <w:rsid w:val="00BC54D2"/>
    <w:rsid w:val="00BC54F0"/>
    <w:rsid w:val="00BC5527"/>
    <w:rsid w:val="00BC569C"/>
    <w:rsid w:val="00BC5794"/>
    <w:rsid w:val="00BC5866"/>
    <w:rsid w:val="00BC5880"/>
    <w:rsid w:val="00BC59C6"/>
    <w:rsid w:val="00BC5B71"/>
    <w:rsid w:val="00BC5B73"/>
    <w:rsid w:val="00BC5CAC"/>
    <w:rsid w:val="00BC5D35"/>
    <w:rsid w:val="00BC5D3D"/>
    <w:rsid w:val="00BC5D4D"/>
    <w:rsid w:val="00BC5D64"/>
    <w:rsid w:val="00BC5E92"/>
    <w:rsid w:val="00BC5F28"/>
    <w:rsid w:val="00BC60CD"/>
    <w:rsid w:val="00BC6148"/>
    <w:rsid w:val="00BC61B1"/>
    <w:rsid w:val="00BC6251"/>
    <w:rsid w:val="00BC6283"/>
    <w:rsid w:val="00BC636E"/>
    <w:rsid w:val="00BC63F9"/>
    <w:rsid w:val="00BC643F"/>
    <w:rsid w:val="00BC647C"/>
    <w:rsid w:val="00BC6491"/>
    <w:rsid w:val="00BC6494"/>
    <w:rsid w:val="00BC6562"/>
    <w:rsid w:val="00BC6609"/>
    <w:rsid w:val="00BC66CA"/>
    <w:rsid w:val="00BC672F"/>
    <w:rsid w:val="00BC6743"/>
    <w:rsid w:val="00BC67ED"/>
    <w:rsid w:val="00BC6806"/>
    <w:rsid w:val="00BC68BB"/>
    <w:rsid w:val="00BC68CB"/>
    <w:rsid w:val="00BC68D9"/>
    <w:rsid w:val="00BC69E1"/>
    <w:rsid w:val="00BC6A20"/>
    <w:rsid w:val="00BC6A9E"/>
    <w:rsid w:val="00BC6AAF"/>
    <w:rsid w:val="00BC6B8B"/>
    <w:rsid w:val="00BC6BAA"/>
    <w:rsid w:val="00BC6C94"/>
    <w:rsid w:val="00BC6DB4"/>
    <w:rsid w:val="00BC6E2A"/>
    <w:rsid w:val="00BC6E70"/>
    <w:rsid w:val="00BC6F3D"/>
    <w:rsid w:val="00BC6F80"/>
    <w:rsid w:val="00BC6FA7"/>
    <w:rsid w:val="00BC7082"/>
    <w:rsid w:val="00BC71A9"/>
    <w:rsid w:val="00BC720F"/>
    <w:rsid w:val="00BC7268"/>
    <w:rsid w:val="00BC72D5"/>
    <w:rsid w:val="00BC7364"/>
    <w:rsid w:val="00BC73D3"/>
    <w:rsid w:val="00BC740C"/>
    <w:rsid w:val="00BC7478"/>
    <w:rsid w:val="00BC748E"/>
    <w:rsid w:val="00BC74DE"/>
    <w:rsid w:val="00BC74F9"/>
    <w:rsid w:val="00BC7663"/>
    <w:rsid w:val="00BC7759"/>
    <w:rsid w:val="00BC77DB"/>
    <w:rsid w:val="00BC78ED"/>
    <w:rsid w:val="00BC7A57"/>
    <w:rsid w:val="00BC7AE2"/>
    <w:rsid w:val="00BC7B73"/>
    <w:rsid w:val="00BC7D8A"/>
    <w:rsid w:val="00BC7E58"/>
    <w:rsid w:val="00BC7F8E"/>
    <w:rsid w:val="00BD009C"/>
    <w:rsid w:val="00BD00BF"/>
    <w:rsid w:val="00BD019A"/>
    <w:rsid w:val="00BD01EF"/>
    <w:rsid w:val="00BD047F"/>
    <w:rsid w:val="00BD04E4"/>
    <w:rsid w:val="00BD0697"/>
    <w:rsid w:val="00BD0786"/>
    <w:rsid w:val="00BD078C"/>
    <w:rsid w:val="00BD0899"/>
    <w:rsid w:val="00BD089B"/>
    <w:rsid w:val="00BD08C0"/>
    <w:rsid w:val="00BD08C9"/>
    <w:rsid w:val="00BD09B1"/>
    <w:rsid w:val="00BD0A99"/>
    <w:rsid w:val="00BD0D96"/>
    <w:rsid w:val="00BD0F74"/>
    <w:rsid w:val="00BD1007"/>
    <w:rsid w:val="00BD1158"/>
    <w:rsid w:val="00BD119F"/>
    <w:rsid w:val="00BD126D"/>
    <w:rsid w:val="00BD1282"/>
    <w:rsid w:val="00BD1340"/>
    <w:rsid w:val="00BD13AA"/>
    <w:rsid w:val="00BD15BB"/>
    <w:rsid w:val="00BD15D5"/>
    <w:rsid w:val="00BD16A2"/>
    <w:rsid w:val="00BD1910"/>
    <w:rsid w:val="00BD193C"/>
    <w:rsid w:val="00BD19E0"/>
    <w:rsid w:val="00BD19E6"/>
    <w:rsid w:val="00BD1AC1"/>
    <w:rsid w:val="00BD1B82"/>
    <w:rsid w:val="00BD1C59"/>
    <w:rsid w:val="00BD1CFC"/>
    <w:rsid w:val="00BD1D5B"/>
    <w:rsid w:val="00BD1EBF"/>
    <w:rsid w:val="00BD1EC7"/>
    <w:rsid w:val="00BD1F39"/>
    <w:rsid w:val="00BD1F4F"/>
    <w:rsid w:val="00BD1F5F"/>
    <w:rsid w:val="00BD1F88"/>
    <w:rsid w:val="00BD20B4"/>
    <w:rsid w:val="00BD20E4"/>
    <w:rsid w:val="00BD20E6"/>
    <w:rsid w:val="00BD22BA"/>
    <w:rsid w:val="00BD22C2"/>
    <w:rsid w:val="00BD22ED"/>
    <w:rsid w:val="00BD234B"/>
    <w:rsid w:val="00BD2367"/>
    <w:rsid w:val="00BD264B"/>
    <w:rsid w:val="00BD266A"/>
    <w:rsid w:val="00BD278F"/>
    <w:rsid w:val="00BD27C5"/>
    <w:rsid w:val="00BD27D5"/>
    <w:rsid w:val="00BD27E1"/>
    <w:rsid w:val="00BD290E"/>
    <w:rsid w:val="00BD292C"/>
    <w:rsid w:val="00BD2A01"/>
    <w:rsid w:val="00BD2A63"/>
    <w:rsid w:val="00BD2CFB"/>
    <w:rsid w:val="00BD2D03"/>
    <w:rsid w:val="00BD2DE1"/>
    <w:rsid w:val="00BD2EBB"/>
    <w:rsid w:val="00BD2F88"/>
    <w:rsid w:val="00BD3015"/>
    <w:rsid w:val="00BD306D"/>
    <w:rsid w:val="00BD33C0"/>
    <w:rsid w:val="00BD3430"/>
    <w:rsid w:val="00BD34D7"/>
    <w:rsid w:val="00BD3522"/>
    <w:rsid w:val="00BD356A"/>
    <w:rsid w:val="00BD3574"/>
    <w:rsid w:val="00BD372C"/>
    <w:rsid w:val="00BD385E"/>
    <w:rsid w:val="00BD3A07"/>
    <w:rsid w:val="00BD3A0B"/>
    <w:rsid w:val="00BD3A2C"/>
    <w:rsid w:val="00BD3A47"/>
    <w:rsid w:val="00BD3A80"/>
    <w:rsid w:val="00BD3A81"/>
    <w:rsid w:val="00BD3B3F"/>
    <w:rsid w:val="00BD3BDE"/>
    <w:rsid w:val="00BD3C77"/>
    <w:rsid w:val="00BD3DD3"/>
    <w:rsid w:val="00BD3FD3"/>
    <w:rsid w:val="00BD4006"/>
    <w:rsid w:val="00BD40BE"/>
    <w:rsid w:val="00BD421D"/>
    <w:rsid w:val="00BD4252"/>
    <w:rsid w:val="00BD42AF"/>
    <w:rsid w:val="00BD42D5"/>
    <w:rsid w:val="00BD43AC"/>
    <w:rsid w:val="00BD43B6"/>
    <w:rsid w:val="00BD43FC"/>
    <w:rsid w:val="00BD46F0"/>
    <w:rsid w:val="00BD4774"/>
    <w:rsid w:val="00BD4792"/>
    <w:rsid w:val="00BD4857"/>
    <w:rsid w:val="00BD48E4"/>
    <w:rsid w:val="00BD48F6"/>
    <w:rsid w:val="00BD495D"/>
    <w:rsid w:val="00BD49FA"/>
    <w:rsid w:val="00BD4A1E"/>
    <w:rsid w:val="00BD4AFF"/>
    <w:rsid w:val="00BD4B88"/>
    <w:rsid w:val="00BD4C9D"/>
    <w:rsid w:val="00BD4CF7"/>
    <w:rsid w:val="00BD4DCF"/>
    <w:rsid w:val="00BD4E31"/>
    <w:rsid w:val="00BD4E39"/>
    <w:rsid w:val="00BD4EEB"/>
    <w:rsid w:val="00BD4EF9"/>
    <w:rsid w:val="00BD4F84"/>
    <w:rsid w:val="00BD5011"/>
    <w:rsid w:val="00BD50D8"/>
    <w:rsid w:val="00BD50F4"/>
    <w:rsid w:val="00BD50FF"/>
    <w:rsid w:val="00BD52FF"/>
    <w:rsid w:val="00BD5355"/>
    <w:rsid w:val="00BD5396"/>
    <w:rsid w:val="00BD5481"/>
    <w:rsid w:val="00BD5658"/>
    <w:rsid w:val="00BD5696"/>
    <w:rsid w:val="00BD57C8"/>
    <w:rsid w:val="00BD5A47"/>
    <w:rsid w:val="00BD5AB7"/>
    <w:rsid w:val="00BD5AEB"/>
    <w:rsid w:val="00BD5B4B"/>
    <w:rsid w:val="00BD5B7B"/>
    <w:rsid w:val="00BD5BEF"/>
    <w:rsid w:val="00BD5BFB"/>
    <w:rsid w:val="00BD5C21"/>
    <w:rsid w:val="00BD5E2F"/>
    <w:rsid w:val="00BD5EE0"/>
    <w:rsid w:val="00BD5F12"/>
    <w:rsid w:val="00BD5F7D"/>
    <w:rsid w:val="00BD5FDD"/>
    <w:rsid w:val="00BD60CF"/>
    <w:rsid w:val="00BD6201"/>
    <w:rsid w:val="00BD63DF"/>
    <w:rsid w:val="00BD640A"/>
    <w:rsid w:val="00BD6426"/>
    <w:rsid w:val="00BD6560"/>
    <w:rsid w:val="00BD65B5"/>
    <w:rsid w:val="00BD6794"/>
    <w:rsid w:val="00BD67E9"/>
    <w:rsid w:val="00BD6842"/>
    <w:rsid w:val="00BD696B"/>
    <w:rsid w:val="00BD69AA"/>
    <w:rsid w:val="00BD6C63"/>
    <w:rsid w:val="00BD6C7C"/>
    <w:rsid w:val="00BD6DD5"/>
    <w:rsid w:val="00BD6E3A"/>
    <w:rsid w:val="00BD6E4F"/>
    <w:rsid w:val="00BD6EF6"/>
    <w:rsid w:val="00BD6F59"/>
    <w:rsid w:val="00BD71E4"/>
    <w:rsid w:val="00BD7381"/>
    <w:rsid w:val="00BD73B5"/>
    <w:rsid w:val="00BD7406"/>
    <w:rsid w:val="00BD7486"/>
    <w:rsid w:val="00BD74F7"/>
    <w:rsid w:val="00BD761D"/>
    <w:rsid w:val="00BD767E"/>
    <w:rsid w:val="00BD76C6"/>
    <w:rsid w:val="00BD7704"/>
    <w:rsid w:val="00BD7727"/>
    <w:rsid w:val="00BD789D"/>
    <w:rsid w:val="00BD7943"/>
    <w:rsid w:val="00BD7BB9"/>
    <w:rsid w:val="00BD7CA1"/>
    <w:rsid w:val="00BD7DC3"/>
    <w:rsid w:val="00BD7E97"/>
    <w:rsid w:val="00BD7F4A"/>
    <w:rsid w:val="00BE00AA"/>
    <w:rsid w:val="00BE01EE"/>
    <w:rsid w:val="00BE02C6"/>
    <w:rsid w:val="00BE02C8"/>
    <w:rsid w:val="00BE02EC"/>
    <w:rsid w:val="00BE0372"/>
    <w:rsid w:val="00BE03C3"/>
    <w:rsid w:val="00BE041B"/>
    <w:rsid w:val="00BE043A"/>
    <w:rsid w:val="00BE053A"/>
    <w:rsid w:val="00BE054C"/>
    <w:rsid w:val="00BE058B"/>
    <w:rsid w:val="00BE05C9"/>
    <w:rsid w:val="00BE05CF"/>
    <w:rsid w:val="00BE05E7"/>
    <w:rsid w:val="00BE0731"/>
    <w:rsid w:val="00BE07DE"/>
    <w:rsid w:val="00BE0809"/>
    <w:rsid w:val="00BE088C"/>
    <w:rsid w:val="00BE0929"/>
    <w:rsid w:val="00BE0937"/>
    <w:rsid w:val="00BE0959"/>
    <w:rsid w:val="00BE0A53"/>
    <w:rsid w:val="00BE0AF1"/>
    <w:rsid w:val="00BE0C1F"/>
    <w:rsid w:val="00BE0C40"/>
    <w:rsid w:val="00BE0C62"/>
    <w:rsid w:val="00BE0CE3"/>
    <w:rsid w:val="00BE0D97"/>
    <w:rsid w:val="00BE0EA5"/>
    <w:rsid w:val="00BE0FC3"/>
    <w:rsid w:val="00BE0FE9"/>
    <w:rsid w:val="00BE105E"/>
    <w:rsid w:val="00BE1072"/>
    <w:rsid w:val="00BE1095"/>
    <w:rsid w:val="00BE1130"/>
    <w:rsid w:val="00BE1144"/>
    <w:rsid w:val="00BE1175"/>
    <w:rsid w:val="00BE11F7"/>
    <w:rsid w:val="00BE1272"/>
    <w:rsid w:val="00BE132B"/>
    <w:rsid w:val="00BE1377"/>
    <w:rsid w:val="00BE1382"/>
    <w:rsid w:val="00BE138B"/>
    <w:rsid w:val="00BE139F"/>
    <w:rsid w:val="00BE156A"/>
    <w:rsid w:val="00BE1580"/>
    <w:rsid w:val="00BE1582"/>
    <w:rsid w:val="00BE15F1"/>
    <w:rsid w:val="00BE1610"/>
    <w:rsid w:val="00BE16D1"/>
    <w:rsid w:val="00BE16E2"/>
    <w:rsid w:val="00BE16F7"/>
    <w:rsid w:val="00BE1701"/>
    <w:rsid w:val="00BE174C"/>
    <w:rsid w:val="00BE1770"/>
    <w:rsid w:val="00BE17BD"/>
    <w:rsid w:val="00BE1818"/>
    <w:rsid w:val="00BE1886"/>
    <w:rsid w:val="00BE196E"/>
    <w:rsid w:val="00BE19C8"/>
    <w:rsid w:val="00BE1B0F"/>
    <w:rsid w:val="00BE1C08"/>
    <w:rsid w:val="00BE1C26"/>
    <w:rsid w:val="00BE1C9D"/>
    <w:rsid w:val="00BE1D54"/>
    <w:rsid w:val="00BE1E55"/>
    <w:rsid w:val="00BE1F82"/>
    <w:rsid w:val="00BE212F"/>
    <w:rsid w:val="00BE21FF"/>
    <w:rsid w:val="00BE2231"/>
    <w:rsid w:val="00BE229C"/>
    <w:rsid w:val="00BE237B"/>
    <w:rsid w:val="00BE23E1"/>
    <w:rsid w:val="00BE23FF"/>
    <w:rsid w:val="00BE2413"/>
    <w:rsid w:val="00BE255E"/>
    <w:rsid w:val="00BE2742"/>
    <w:rsid w:val="00BE280E"/>
    <w:rsid w:val="00BE2951"/>
    <w:rsid w:val="00BE297D"/>
    <w:rsid w:val="00BE29B0"/>
    <w:rsid w:val="00BE29C6"/>
    <w:rsid w:val="00BE2C66"/>
    <w:rsid w:val="00BE2CE2"/>
    <w:rsid w:val="00BE2DE2"/>
    <w:rsid w:val="00BE2E36"/>
    <w:rsid w:val="00BE2EE8"/>
    <w:rsid w:val="00BE2F83"/>
    <w:rsid w:val="00BE3042"/>
    <w:rsid w:val="00BE3067"/>
    <w:rsid w:val="00BE31F6"/>
    <w:rsid w:val="00BE3259"/>
    <w:rsid w:val="00BE32B2"/>
    <w:rsid w:val="00BE3313"/>
    <w:rsid w:val="00BE3317"/>
    <w:rsid w:val="00BE3337"/>
    <w:rsid w:val="00BE334A"/>
    <w:rsid w:val="00BE3384"/>
    <w:rsid w:val="00BE33A7"/>
    <w:rsid w:val="00BE3413"/>
    <w:rsid w:val="00BE343A"/>
    <w:rsid w:val="00BE34DE"/>
    <w:rsid w:val="00BE3702"/>
    <w:rsid w:val="00BE386A"/>
    <w:rsid w:val="00BE38A8"/>
    <w:rsid w:val="00BE38E9"/>
    <w:rsid w:val="00BE39DB"/>
    <w:rsid w:val="00BE3A7B"/>
    <w:rsid w:val="00BE3AC4"/>
    <w:rsid w:val="00BE3CCE"/>
    <w:rsid w:val="00BE3EE9"/>
    <w:rsid w:val="00BE3F48"/>
    <w:rsid w:val="00BE4134"/>
    <w:rsid w:val="00BE413B"/>
    <w:rsid w:val="00BE4237"/>
    <w:rsid w:val="00BE4591"/>
    <w:rsid w:val="00BE4655"/>
    <w:rsid w:val="00BE4770"/>
    <w:rsid w:val="00BE494A"/>
    <w:rsid w:val="00BE495B"/>
    <w:rsid w:val="00BE499B"/>
    <w:rsid w:val="00BE49EA"/>
    <w:rsid w:val="00BE4A3C"/>
    <w:rsid w:val="00BE4AAB"/>
    <w:rsid w:val="00BE4BD1"/>
    <w:rsid w:val="00BE4C66"/>
    <w:rsid w:val="00BE4CEE"/>
    <w:rsid w:val="00BE4D8B"/>
    <w:rsid w:val="00BE4E28"/>
    <w:rsid w:val="00BE4E46"/>
    <w:rsid w:val="00BE4E84"/>
    <w:rsid w:val="00BE4E89"/>
    <w:rsid w:val="00BE4F94"/>
    <w:rsid w:val="00BE502A"/>
    <w:rsid w:val="00BE50A5"/>
    <w:rsid w:val="00BE514D"/>
    <w:rsid w:val="00BE5206"/>
    <w:rsid w:val="00BE5335"/>
    <w:rsid w:val="00BE5409"/>
    <w:rsid w:val="00BE5419"/>
    <w:rsid w:val="00BE541D"/>
    <w:rsid w:val="00BE542B"/>
    <w:rsid w:val="00BE546B"/>
    <w:rsid w:val="00BE5518"/>
    <w:rsid w:val="00BE554E"/>
    <w:rsid w:val="00BE55ED"/>
    <w:rsid w:val="00BE5632"/>
    <w:rsid w:val="00BE5668"/>
    <w:rsid w:val="00BE56DA"/>
    <w:rsid w:val="00BE5728"/>
    <w:rsid w:val="00BE587A"/>
    <w:rsid w:val="00BE5936"/>
    <w:rsid w:val="00BE593B"/>
    <w:rsid w:val="00BE5944"/>
    <w:rsid w:val="00BE5947"/>
    <w:rsid w:val="00BE5A4C"/>
    <w:rsid w:val="00BE5BF1"/>
    <w:rsid w:val="00BE5C3C"/>
    <w:rsid w:val="00BE5C80"/>
    <w:rsid w:val="00BE5D08"/>
    <w:rsid w:val="00BE5F1A"/>
    <w:rsid w:val="00BE5F78"/>
    <w:rsid w:val="00BE6005"/>
    <w:rsid w:val="00BE600A"/>
    <w:rsid w:val="00BE601B"/>
    <w:rsid w:val="00BE61EB"/>
    <w:rsid w:val="00BE6256"/>
    <w:rsid w:val="00BE63DF"/>
    <w:rsid w:val="00BE64FC"/>
    <w:rsid w:val="00BE657D"/>
    <w:rsid w:val="00BE65A4"/>
    <w:rsid w:val="00BE65E8"/>
    <w:rsid w:val="00BE66E7"/>
    <w:rsid w:val="00BE6890"/>
    <w:rsid w:val="00BE6945"/>
    <w:rsid w:val="00BE6985"/>
    <w:rsid w:val="00BE6AA8"/>
    <w:rsid w:val="00BE6B5A"/>
    <w:rsid w:val="00BE6D5E"/>
    <w:rsid w:val="00BE6D95"/>
    <w:rsid w:val="00BE6F36"/>
    <w:rsid w:val="00BE7010"/>
    <w:rsid w:val="00BE7200"/>
    <w:rsid w:val="00BE72BB"/>
    <w:rsid w:val="00BE7326"/>
    <w:rsid w:val="00BE733D"/>
    <w:rsid w:val="00BE73BC"/>
    <w:rsid w:val="00BE73C3"/>
    <w:rsid w:val="00BE7413"/>
    <w:rsid w:val="00BE74C7"/>
    <w:rsid w:val="00BE74FD"/>
    <w:rsid w:val="00BE765F"/>
    <w:rsid w:val="00BE7685"/>
    <w:rsid w:val="00BE76D5"/>
    <w:rsid w:val="00BE7724"/>
    <w:rsid w:val="00BE77CD"/>
    <w:rsid w:val="00BE7B27"/>
    <w:rsid w:val="00BE7B6C"/>
    <w:rsid w:val="00BE7CDC"/>
    <w:rsid w:val="00BE7CEB"/>
    <w:rsid w:val="00BE7D57"/>
    <w:rsid w:val="00BE7F26"/>
    <w:rsid w:val="00BE7F73"/>
    <w:rsid w:val="00BE7FDA"/>
    <w:rsid w:val="00BF0121"/>
    <w:rsid w:val="00BF02A4"/>
    <w:rsid w:val="00BF033E"/>
    <w:rsid w:val="00BF040A"/>
    <w:rsid w:val="00BF0447"/>
    <w:rsid w:val="00BF055D"/>
    <w:rsid w:val="00BF0563"/>
    <w:rsid w:val="00BF0584"/>
    <w:rsid w:val="00BF0618"/>
    <w:rsid w:val="00BF06D9"/>
    <w:rsid w:val="00BF075B"/>
    <w:rsid w:val="00BF0779"/>
    <w:rsid w:val="00BF0780"/>
    <w:rsid w:val="00BF0787"/>
    <w:rsid w:val="00BF0803"/>
    <w:rsid w:val="00BF08C4"/>
    <w:rsid w:val="00BF0986"/>
    <w:rsid w:val="00BF0A16"/>
    <w:rsid w:val="00BF0A6E"/>
    <w:rsid w:val="00BF0ABD"/>
    <w:rsid w:val="00BF0B11"/>
    <w:rsid w:val="00BF0B5F"/>
    <w:rsid w:val="00BF0B98"/>
    <w:rsid w:val="00BF0BB1"/>
    <w:rsid w:val="00BF0CAE"/>
    <w:rsid w:val="00BF0CD1"/>
    <w:rsid w:val="00BF0D5D"/>
    <w:rsid w:val="00BF0FF9"/>
    <w:rsid w:val="00BF1214"/>
    <w:rsid w:val="00BF1239"/>
    <w:rsid w:val="00BF1285"/>
    <w:rsid w:val="00BF136F"/>
    <w:rsid w:val="00BF1372"/>
    <w:rsid w:val="00BF153B"/>
    <w:rsid w:val="00BF16A5"/>
    <w:rsid w:val="00BF174B"/>
    <w:rsid w:val="00BF1894"/>
    <w:rsid w:val="00BF190D"/>
    <w:rsid w:val="00BF19AF"/>
    <w:rsid w:val="00BF19C5"/>
    <w:rsid w:val="00BF19DE"/>
    <w:rsid w:val="00BF1A08"/>
    <w:rsid w:val="00BF1AEA"/>
    <w:rsid w:val="00BF1B96"/>
    <w:rsid w:val="00BF1C89"/>
    <w:rsid w:val="00BF1CB6"/>
    <w:rsid w:val="00BF1D93"/>
    <w:rsid w:val="00BF1E4B"/>
    <w:rsid w:val="00BF1FC5"/>
    <w:rsid w:val="00BF2039"/>
    <w:rsid w:val="00BF2065"/>
    <w:rsid w:val="00BF20C2"/>
    <w:rsid w:val="00BF2165"/>
    <w:rsid w:val="00BF22AF"/>
    <w:rsid w:val="00BF22DE"/>
    <w:rsid w:val="00BF2362"/>
    <w:rsid w:val="00BF2375"/>
    <w:rsid w:val="00BF23B1"/>
    <w:rsid w:val="00BF2452"/>
    <w:rsid w:val="00BF271C"/>
    <w:rsid w:val="00BF274A"/>
    <w:rsid w:val="00BF27C6"/>
    <w:rsid w:val="00BF2801"/>
    <w:rsid w:val="00BF2803"/>
    <w:rsid w:val="00BF2860"/>
    <w:rsid w:val="00BF295E"/>
    <w:rsid w:val="00BF29D6"/>
    <w:rsid w:val="00BF2CF1"/>
    <w:rsid w:val="00BF2F7F"/>
    <w:rsid w:val="00BF30BA"/>
    <w:rsid w:val="00BF31AA"/>
    <w:rsid w:val="00BF3323"/>
    <w:rsid w:val="00BF342F"/>
    <w:rsid w:val="00BF34EA"/>
    <w:rsid w:val="00BF35B2"/>
    <w:rsid w:val="00BF36D9"/>
    <w:rsid w:val="00BF3766"/>
    <w:rsid w:val="00BF37BD"/>
    <w:rsid w:val="00BF387D"/>
    <w:rsid w:val="00BF38E5"/>
    <w:rsid w:val="00BF390E"/>
    <w:rsid w:val="00BF3BEF"/>
    <w:rsid w:val="00BF3DE4"/>
    <w:rsid w:val="00BF3E10"/>
    <w:rsid w:val="00BF3E1C"/>
    <w:rsid w:val="00BF3E90"/>
    <w:rsid w:val="00BF3F34"/>
    <w:rsid w:val="00BF3F98"/>
    <w:rsid w:val="00BF4071"/>
    <w:rsid w:val="00BF4106"/>
    <w:rsid w:val="00BF4174"/>
    <w:rsid w:val="00BF41FE"/>
    <w:rsid w:val="00BF4201"/>
    <w:rsid w:val="00BF4373"/>
    <w:rsid w:val="00BF43B4"/>
    <w:rsid w:val="00BF4593"/>
    <w:rsid w:val="00BF46E0"/>
    <w:rsid w:val="00BF46F7"/>
    <w:rsid w:val="00BF4710"/>
    <w:rsid w:val="00BF4734"/>
    <w:rsid w:val="00BF486E"/>
    <w:rsid w:val="00BF48BA"/>
    <w:rsid w:val="00BF492E"/>
    <w:rsid w:val="00BF4968"/>
    <w:rsid w:val="00BF49CB"/>
    <w:rsid w:val="00BF4A85"/>
    <w:rsid w:val="00BF4B03"/>
    <w:rsid w:val="00BF4B68"/>
    <w:rsid w:val="00BF4BE2"/>
    <w:rsid w:val="00BF4BFC"/>
    <w:rsid w:val="00BF4CF7"/>
    <w:rsid w:val="00BF4D4A"/>
    <w:rsid w:val="00BF4D70"/>
    <w:rsid w:val="00BF4E70"/>
    <w:rsid w:val="00BF4EF6"/>
    <w:rsid w:val="00BF4F02"/>
    <w:rsid w:val="00BF4F1A"/>
    <w:rsid w:val="00BF4F4D"/>
    <w:rsid w:val="00BF5003"/>
    <w:rsid w:val="00BF500C"/>
    <w:rsid w:val="00BF503B"/>
    <w:rsid w:val="00BF535A"/>
    <w:rsid w:val="00BF53B1"/>
    <w:rsid w:val="00BF5495"/>
    <w:rsid w:val="00BF54A3"/>
    <w:rsid w:val="00BF5792"/>
    <w:rsid w:val="00BF5952"/>
    <w:rsid w:val="00BF5AD2"/>
    <w:rsid w:val="00BF5BCE"/>
    <w:rsid w:val="00BF5C65"/>
    <w:rsid w:val="00BF5D21"/>
    <w:rsid w:val="00BF5E20"/>
    <w:rsid w:val="00BF5F50"/>
    <w:rsid w:val="00BF5FE1"/>
    <w:rsid w:val="00BF60BD"/>
    <w:rsid w:val="00BF60CB"/>
    <w:rsid w:val="00BF6268"/>
    <w:rsid w:val="00BF632D"/>
    <w:rsid w:val="00BF6407"/>
    <w:rsid w:val="00BF646B"/>
    <w:rsid w:val="00BF6541"/>
    <w:rsid w:val="00BF65C8"/>
    <w:rsid w:val="00BF6607"/>
    <w:rsid w:val="00BF67E6"/>
    <w:rsid w:val="00BF684B"/>
    <w:rsid w:val="00BF689B"/>
    <w:rsid w:val="00BF689D"/>
    <w:rsid w:val="00BF697D"/>
    <w:rsid w:val="00BF698D"/>
    <w:rsid w:val="00BF69A7"/>
    <w:rsid w:val="00BF6A1B"/>
    <w:rsid w:val="00BF6A5F"/>
    <w:rsid w:val="00BF6B78"/>
    <w:rsid w:val="00BF6BBC"/>
    <w:rsid w:val="00BF6BDA"/>
    <w:rsid w:val="00BF6BE8"/>
    <w:rsid w:val="00BF6DC0"/>
    <w:rsid w:val="00BF6DEE"/>
    <w:rsid w:val="00BF6E28"/>
    <w:rsid w:val="00BF6EEB"/>
    <w:rsid w:val="00BF6EF5"/>
    <w:rsid w:val="00BF70B9"/>
    <w:rsid w:val="00BF715E"/>
    <w:rsid w:val="00BF727A"/>
    <w:rsid w:val="00BF72AD"/>
    <w:rsid w:val="00BF72E2"/>
    <w:rsid w:val="00BF72F2"/>
    <w:rsid w:val="00BF72FB"/>
    <w:rsid w:val="00BF7338"/>
    <w:rsid w:val="00BF74A0"/>
    <w:rsid w:val="00BF75ED"/>
    <w:rsid w:val="00BF7616"/>
    <w:rsid w:val="00BF7631"/>
    <w:rsid w:val="00BF76B0"/>
    <w:rsid w:val="00BF78D0"/>
    <w:rsid w:val="00BF78F8"/>
    <w:rsid w:val="00BF7946"/>
    <w:rsid w:val="00BF7A27"/>
    <w:rsid w:val="00BF7A7E"/>
    <w:rsid w:val="00BF7B0C"/>
    <w:rsid w:val="00BF7D04"/>
    <w:rsid w:val="00BF7D3B"/>
    <w:rsid w:val="00BF7FC8"/>
    <w:rsid w:val="00C000AC"/>
    <w:rsid w:val="00C00140"/>
    <w:rsid w:val="00C001E2"/>
    <w:rsid w:val="00C0028F"/>
    <w:rsid w:val="00C002BC"/>
    <w:rsid w:val="00C00364"/>
    <w:rsid w:val="00C003A7"/>
    <w:rsid w:val="00C003AB"/>
    <w:rsid w:val="00C0048C"/>
    <w:rsid w:val="00C004DB"/>
    <w:rsid w:val="00C004E5"/>
    <w:rsid w:val="00C00586"/>
    <w:rsid w:val="00C006BA"/>
    <w:rsid w:val="00C00756"/>
    <w:rsid w:val="00C007D0"/>
    <w:rsid w:val="00C008B5"/>
    <w:rsid w:val="00C008D5"/>
    <w:rsid w:val="00C00AA1"/>
    <w:rsid w:val="00C00B13"/>
    <w:rsid w:val="00C00C87"/>
    <w:rsid w:val="00C00CDD"/>
    <w:rsid w:val="00C00CFB"/>
    <w:rsid w:val="00C00D13"/>
    <w:rsid w:val="00C00D73"/>
    <w:rsid w:val="00C00DFC"/>
    <w:rsid w:val="00C00E12"/>
    <w:rsid w:val="00C00E9C"/>
    <w:rsid w:val="00C00F16"/>
    <w:rsid w:val="00C00F96"/>
    <w:rsid w:val="00C00FB4"/>
    <w:rsid w:val="00C01188"/>
    <w:rsid w:val="00C011D5"/>
    <w:rsid w:val="00C013D8"/>
    <w:rsid w:val="00C014F9"/>
    <w:rsid w:val="00C01546"/>
    <w:rsid w:val="00C015D6"/>
    <w:rsid w:val="00C01602"/>
    <w:rsid w:val="00C0160F"/>
    <w:rsid w:val="00C01628"/>
    <w:rsid w:val="00C0175B"/>
    <w:rsid w:val="00C019EC"/>
    <w:rsid w:val="00C01E95"/>
    <w:rsid w:val="00C01F28"/>
    <w:rsid w:val="00C01F35"/>
    <w:rsid w:val="00C01F79"/>
    <w:rsid w:val="00C01F9F"/>
    <w:rsid w:val="00C01FDD"/>
    <w:rsid w:val="00C02000"/>
    <w:rsid w:val="00C0202C"/>
    <w:rsid w:val="00C02077"/>
    <w:rsid w:val="00C02251"/>
    <w:rsid w:val="00C02276"/>
    <w:rsid w:val="00C022DE"/>
    <w:rsid w:val="00C022FF"/>
    <w:rsid w:val="00C0239E"/>
    <w:rsid w:val="00C023F4"/>
    <w:rsid w:val="00C02566"/>
    <w:rsid w:val="00C0268F"/>
    <w:rsid w:val="00C026B8"/>
    <w:rsid w:val="00C026F6"/>
    <w:rsid w:val="00C0276D"/>
    <w:rsid w:val="00C027D0"/>
    <w:rsid w:val="00C02845"/>
    <w:rsid w:val="00C0286F"/>
    <w:rsid w:val="00C02937"/>
    <w:rsid w:val="00C0294A"/>
    <w:rsid w:val="00C0297B"/>
    <w:rsid w:val="00C029A5"/>
    <w:rsid w:val="00C029D8"/>
    <w:rsid w:val="00C02A28"/>
    <w:rsid w:val="00C02A83"/>
    <w:rsid w:val="00C02AA8"/>
    <w:rsid w:val="00C02AEB"/>
    <w:rsid w:val="00C02B12"/>
    <w:rsid w:val="00C02C11"/>
    <w:rsid w:val="00C02C93"/>
    <w:rsid w:val="00C02D00"/>
    <w:rsid w:val="00C02DD8"/>
    <w:rsid w:val="00C02E92"/>
    <w:rsid w:val="00C02FFC"/>
    <w:rsid w:val="00C030A8"/>
    <w:rsid w:val="00C03252"/>
    <w:rsid w:val="00C032CC"/>
    <w:rsid w:val="00C03362"/>
    <w:rsid w:val="00C03367"/>
    <w:rsid w:val="00C03383"/>
    <w:rsid w:val="00C03411"/>
    <w:rsid w:val="00C03592"/>
    <w:rsid w:val="00C035E4"/>
    <w:rsid w:val="00C03751"/>
    <w:rsid w:val="00C037A4"/>
    <w:rsid w:val="00C037AF"/>
    <w:rsid w:val="00C03809"/>
    <w:rsid w:val="00C03822"/>
    <w:rsid w:val="00C038E0"/>
    <w:rsid w:val="00C03982"/>
    <w:rsid w:val="00C039C6"/>
    <w:rsid w:val="00C039CF"/>
    <w:rsid w:val="00C03ACB"/>
    <w:rsid w:val="00C03AEE"/>
    <w:rsid w:val="00C03B89"/>
    <w:rsid w:val="00C03B8D"/>
    <w:rsid w:val="00C03C0D"/>
    <w:rsid w:val="00C03C9B"/>
    <w:rsid w:val="00C03CA7"/>
    <w:rsid w:val="00C03EC1"/>
    <w:rsid w:val="00C03EC4"/>
    <w:rsid w:val="00C0409D"/>
    <w:rsid w:val="00C040B7"/>
    <w:rsid w:val="00C04143"/>
    <w:rsid w:val="00C041A8"/>
    <w:rsid w:val="00C041FC"/>
    <w:rsid w:val="00C04249"/>
    <w:rsid w:val="00C042BF"/>
    <w:rsid w:val="00C044C9"/>
    <w:rsid w:val="00C0466D"/>
    <w:rsid w:val="00C046A0"/>
    <w:rsid w:val="00C046EE"/>
    <w:rsid w:val="00C0471F"/>
    <w:rsid w:val="00C049AC"/>
    <w:rsid w:val="00C049BF"/>
    <w:rsid w:val="00C04A9B"/>
    <w:rsid w:val="00C04AB8"/>
    <w:rsid w:val="00C04B34"/>
    <w:rsid w:val="00C04D19"/>
    <w:rsid w:val="00C04DD3"/>
    <w:rsid w:val="00C04F65"/>
    <w:rsid w:val="00C04F66"/>
    <w:rsid w:val="00C05075"/>
    <w:rsid w:val="00C0508E"/>
    <w:rsid w:val="00C050C6"/>
    <w:rsid w:val="00C05143"/>
    <w:rsid w:val="00C05170"/>
    <w:rsid w:val="00C051B9"/>
    <w:rsid w:val="00C052CF"/>
    <w:rsid w:val="00C052F2"/>
    <w:rsid w:val="00C0540F"/>
    <w:rsid w:val="00C05574"/>
    <w:rsid w:val="00C0558F"/>
    <w:rsid w:val="00C055D4"/>
    <w:rsid w:val="00C05669"/>
    <w:rsid w:val="00C056BE"/>
    <w:rsid w:val="00C056D3"/>
    <w:rsid w:val="00C0570C"/>
    <w:rsid w:val="00C05888"/>
    <w:rsid w:val="00C058A7"/>
    <w:rsid w:val="00C058B8"/>
    <w:rsid w:val="00C058BA"/>
    <w:rsid w:val="00C058EE"/>
    <w:rsid w:val="00C05910"/>
    <w:rsid w:val="00C0591E"/>
    <w:rsid w:val="00C059F7"/>
    <w:rsid w:val="00C05B02"/>
    <w:rsid w:val="00C05B24"/>
    <w:rsid w:val="00C05B70"/>
    <w:rsid w:val="00C05BAF"/>
    <w:rsid w:val="00C05CE3"/>
    <w:rsid w:val="00C05D76"/>
    <w:rsid w:val="00C05E93"/>
    <w:rsid w:val="00C05EB7"/>
    <w:rsid w:val="00C05EC2"/>
    <w:rsid w:val="00C06022"/>
    <w:rsid w:val="00C06033"/>
    <w:rsid w:val="00C0605C"/>
    <w:rsid w:val="00C061E4"/>
    <w:rsid w:val="00C062A7"/>
    <w:rsid w:val="00C062DE"/>
    <w:rsid w:val="00C062EE"/>
    <w:rsid w:val="00C063CF"/>
    <w:rsid w:val="00C0647E"/>
    <w:rsid w:val="00C06603"/>
    <w:rsid w:val="00C06628"/>
    <w:rsid w:val="00C066FC"/>
    <w:rsid w:val="00C06A29"/>
    <w:rsid w:val="00C06AD4"/>
    <w:rsid w:val="00C06AEF"/>
    <w:rsid w:val="00C06BC7"/>
    <w:rsid w:val="00C06D34"/>
    <w:rsid w:val="00C06D3E"/>
    <w:rsid w:val="00C06E37"/>
    <w:rsid w:val="00C06E3D"/>
    <w:rsid w:val="00C07092"/>
    <w:rsid w:val="00C07175"/>
    <w:rsid w:val="00C07243"/>
    <w:rsid w:val="00C07267"/>
    <w:rsid w:val="00C0734A"/>
    <w:rsid w:val="00C0734D"/>
    <w:rsid w:val="00C07381"/>
    <w:rsid w:val="00C074F3"/>
    <w:rsid w:val="00C07509"/>
    <w:rsid w:val="00C07510"/>
    <w:rsid w:val="00C075CD"/>
    <w:rsid w:val="00C076FE"/>
    <w:rsid w:val="00C077C9"/>
    <w:rsid w:val="00C077CD"/>
    <w:rsid w:val="00C07873"/>
    <w:rsid w:val="00C07935"/>
    <w:rsid w:val="00C0798E"/>
    <w:rsid w:val="00C07B56"/>
    <w:rsid w:val="00C07B59"/>
    <w:rsid w:val="00C07C05"/>
    <w:rsid w:val="00C07C2D"/>
    <w:rsid w:val="00C07C5C"/>
    <w:rsid w:val="00C07C6B"/>
    <w:rsid w:val="00C07CE4"/>
    <w:rsid w:val="00C07D4A"/>
    <w:rsid w:val="00C07DD4"/>
    <w:rsid w:val="00C07DE3"/>
    <w:rsid w:val="00C07E1F"/>
    <w:rsid w:val="00C07E56"/>
    <w:rsid w:val="00C07F91"/>
    <w:rsid w:val="00C10076"/>
    <w:rsid w:val="00C10089"/>
    <w:rsid w:val="00C1009A"/>
    <w:rsid w:val="00C10218"/>
    <w:rsid w:val="00C1024D"/>
    <w:rsid w:val="00C10250"/>
    <w:rsid w:val="00C10279"/>
    <w:rsid w:val="00C10294"/>
    <w:rsid w:val="00C10364"/>
    <w:rsid w:val="00C103E5"/>
    <w:rsid w:val="00C1040E"/>
    <w:rsid w:val="00C10460"/>
    <w:rsid w:val="00C10534"/>
    <w:rsid w:val="00C1055E"/>
    <w:rsid w:val="00C105A4"/>
    <w:rsid w:val="00C105AC"/>
    <w:rsid w:val="00C105D3"/>
    <w:rsid w:val="00C105FE"/>
    <w:rsid w:val="00C106C1"/>
    <w:rsid w:val="00C10710"/>
    <w:rsid w:val="00C10868"/>
    <w:rsid w:val="00C1088F"/>
    <w:rsid w:val="00C108F5"/>
    <w:rsid w:val="00C10907"/>
    <w:rsid w:val="00C10AD0"/>
    <w:rsid w:val="00C10AFE"/>
    <w:rsid w:val="00C10B0A"/>
    <w:rsid w:val="00C10BC8"/>
    <w:rsid w:val="00C10CDC"/>
    <w:rsid w:val="00C10D0A"/>
    <w:rsid w:val="00C10E18"/>
    <w:rsid w:val="00C10EC5"/>
    <w:rsid w:val="00C10F59"/>
    <w:rsid w:val="00C10F81"/>
    <w:rsid w:val="00C1103C"/>
    <w:rsid w:val="00C111BA"/>
    <w:rsid w:val="00C11236"/>
    <w:rsid w:val="00C11244"/>
    <w:rsid w:val="00C1124B"/>
    <w:rsid w:val="00C11263"/>
    <w:rsid w:val="00C113BF"/>
    <w:rsid w:val="00C1140A"/>
    <w:rsid w:val="00C114BC"/>
    <w:rsid w:val="00C11743"/>
    <w:rsid w:val="00C117A0"/>
    <w:rsid w:val="00C118D1"/>
    <w:rsid w:val="00C11959"/>
    <w:rsid w:val="00C1195E"/>
    <w:rsid w:val="00C11AD6"/>
    <w:rsid w:val="00C11B1F"/>
    <w:rsid w:val="00C11B7C"/>
    <w:rsid w:val="00C11BE7"/>
    <w:rsid w:val="00C11BF8"/>
    <w:rsid w:val="00C11CC7"/>
    <w:rsid w:val="00C11D3C"/>
    <w:rsid w:val="00C11E5F"/>
    <w:rsid w:val="00C120B4"/>
    <w:rsid w:val="00C12162"/>
    <w:rsid w:val="00C121FD"/>
    <w:rsid w:val="00C121FF"/>
    <w:rsid w:val="00C12222"/>
    <w:rsid w:val="00C122A7"/>
    <w:rsid w:val="00C122B5"/>
    <w:rsid w:val="00C124A9"/>
    <w:rsid w:val="00C12763"/>
    <w:rsid w:val="00C127F3"/>
    <w:rsid w:val="00C1293B"/>
    <w:rsid w:val="00C1294C"/>
    <w:rsid w:val="00C12974"/>
    <w:rsid w:val="00C129C7"/>
    <w:rsid w:val="00C12B08"/>
    <w:rsid w:val="00C12B29"/>
    <w:rsid w:val="00C12B38"/>
    <w:rsid w:val="00C12B79"/>
    <w:rsid w:val="00C12C66"/>
    <w:rsid w:val="00C12D31"/>
    <w:rsid w:val="00C12F6A"/>
    <w:rsid w:val="00C12F8E"/>
    <w:rsid w:val="00C1306D"/>
    <w:rsid w:val="00C1326F"/>
    <w:rsid w:val="00C1336A"/>
    <w:rsid w:val="00C13387"/>
    <w:rsid w:val="00C13537"/>
    <w:rsid w:val="00C13741"/>
    <w:rsid w:val="00C13775"/>
    <w:rsid w:val="00C138DD"/>
    <w:rsid w:val="00C13921"/>
    <w:rsid w:val="00C139D5"/>
    <w:rsid w:val="00C13A5D"/>
    <w:rsid w:val="00C13BB2"/>
    <w:rsid w:val="00C13CB8"/>
    <w:rsid w:val="00C13CC4"/>
    <w:rsid w:val="00C13DBB"/>
    <w:rsid w:val="00C13DE7"/>
    <w:rsid w:val="00C13E1C"/>
    <w:rsid w:val="00C13EA5"/>
    <w:rsid w:val="00C13F22"/>
    <w:rsid w:val="00C13FCD"/>
    <w:rsid w:val="00C13FEB"/>
    <w:rsid w:val="00C1403F"/>
    <w:rsid w:val="00C140B9"/>
    <w:rsid w:val="00C14116"/>
    <w:rsid w:val="00C1417B"/>
    <w:rsid w:val="00C14218"/>
    <w:rsid w:val="00C14226"/>
    <w:rsid w:val="00C14240"/>
    <w:rsid w:val="00C1438B"/>
    <w:rsid w:val="00C144DB"/>
    <w:rsid w:val="00C1465D"/>
    <w:rsid w:val="00C1466B"/>
    <w:rsid w:val="00C146A6"/>
    <w:rsid w:val="00C146C9"/>
    <w:rsid w:val="00C14718"/>
    <w:rsid w:val="00C14798"/>
    <w:rsid w:val="00C147A1"/>
    <w:rsid w:val="00C14833"/>
    <w:rsid w:val="00C14895"/>
    <w:rsid w:val="00C1489C"/>
    <w:rsid w:val="00C148D4"/>
    <w:rsid w:val="00C14A18"/>
    <w:rsid w:val="00C14A5C"/>
    <w:rsid w:val="00C14AA1"/>
    <w:rsid w:val="00C14AE2"/>
    <w:rsid w:val="00C14B1D"/>
    <w:rsid w:val="00C14C2C"/>
    <w:rsid w:val="00C14CE9"/>
    <w:rsid w:val="00C14CFE"/>
    <w:rsid w:val="00C14D0C"/>
    <w:rsid w:val="00C14D27"/>
    <w:rsid w:val="00C14E08"/>
    <w:rsid w:val="00C14E18"/>
    <w:rsid w:val="00C15021"/>
    <w:rsid w:val="00C150B0"/>
    <w:rsid w:val="00C151AD"/>
    <w:rsid w:val="00C151B1"/>
    <w:rsid w:val="00C151BF"/>
    <w:rsid w:val="00C151C8"/>
    <w:rsid w:val="00C15202"/>
    <w:rsid w:val="00C15623"/>
    <w:rsid w:val="00C15743"/>
    <w:rsid w:val="00C15919"/>
    <w:rsid w:val="00C15989"/>
    <w:rsid w:val="00C159CB"/>
    <w:rsid w:val="00C15AA9"/>
    <w:rsid w:val="00C15B0F"/>
    <w:rsid w:val="00C15B74"/>
    <w:rsid w:val="00C15BD9"/>
    <w:rsid w:val="00C15C2A"/>
    <w:rsid w:val="00C15D2F"/>
    <w:rsid w:val="00C15D50"/>
    <w:rsid w:val="00C15DC4"/>
    <w:rsid w:val="00C15E6F"/>
    <w:rsid w:val="00C15EB5"/>
    <w:rsid w:val="00C160AF"/>
    <w:rsid w:val="00C160C0"/>
    <w:rsid w:val="00C1617D"/>
    <w:rsid w:val="00C161EA"/>
    <w:rsid w:val="00C1625B"/>
    <w:rsid w:val="00C16319"/>
    <w:rsid w:val="00C16450"/>
    <w:rsid w:val="00C16481"/>
    <w:rsid w:val="00C164EF"/>
    <w:rsid w:val="00C1651F"/>
    <w:rsid w:val="00C16595"/>
    <w:rsid w:val="00C165CE"/>
    <w:rsid w:val="00C16691"/>
    <w:rsid w:val="00C166FF"/>
    <w:rsid w:val="00C16778"/>
    <w:rsid w:val="00C167D6"/>
    <w:rsid w:val="00C1686C"/>
    <w:rsid w:val="00C16891"/>
    <w:rsid w:val="00C16BF4"/>
    <w:rsid w:val="00C16CD9"/>
    <w:rsid w:val="00C16D18"/>
    <w:rsid w:val="00C16D2E"/>
    <w:rsid w:val="00C16DB0"/>
    <w:rsid w:val="00C16DC0"/>
    <w:rsid w:val="00C16EE0"/>
    <w:rsid w:val="00C17070"/>
    <w:rsid w:val="00C1708D"/>
    <w:rsid w:val="00C171EC"/>
    <w:rsid w:val="00C17242"/>
    <w:rsid w:val="00C1733C"/>
    <w:rsid w:val="00C17353"/>
    <w:rsid w:val="00C173F8"/>
    <w:rsid w:val="00C1748B"/>
    <w:rsid w:val="00C174C0"/>
    <w:rsid w:val="00C175CB"/>
    <w:rsid w:val="00C17635"/>
    <w:rsid w:val="00C176B3"/>
    <w:rsid w:val="00C1772F"/>
    <w:rsid w:val="00C17793"/>
    <w:rsid w:val="00C17874"/>
    <w:rsid w:val="00C17AAC"/>
    <w:rsid w:val="00C17B19"/>
    <w:rsid w:val="00C17B2E"/>
    <w:rsid w:val="00C17B87"/>
    <w:rsid w:val="00C17BE2"/>
    <w:rsid w:val="00C17D31"/>
    <w:rsid w:val="00C17DDA"/>
    <w:rsid w:val="00C17ECA"/>
    <w:rsid w:val="00C17F3A"/>
    <w:rsid w:val="00C17F9D"/>
    <w:rsid w:val="00C2000B"/>
    <w:rsid w:val="00C20047"/>
    <w:rsid w:val="00C200AF"/>
    <w:rsid w:val="00C20293"/>
    <w:rsid w:val="00C202F5"/>
    <w:rsid w:val="00C2033E"/>
    <w:rsid w:val="00C2035E"/>
    <w:rsid w:val="00C20378"/>
    <w:rsid w:val="00C2037A"/>
    <w:rsid w:val="00C203FA"/>
    <w:rsid w:val="00C2043A"/>
    <w:rsid w:val="00C20583"/>
    <w:rsid w:val="00C2058D"/>
    <w:rsid w:val="00C2060E"/>
    <w:rsid w:val="00C20627"/>
    <w:rsid w:val="00C20685"/>
    <w:rsid w:val="00C2081D"/>
    <w:rsid w:val="00C20820"/>
    <w:rsid w:val="00C20858"/>
    <w:rsid w:val="00C208B8"/>
    <w:rsid w:val="00C208F3"/>
    <w:rsid w:val="00C2096A"/>
    <w:rsid w:val="00C2096F"/>
    <w:rsid w:val="00C209BC"/>
    <w:rsid w:val="00C20A74"/>
    <w:rsid w:val="00C20AA8"/>
    <w:rsid w:val="00C20AEF"/>
    <w:rsid w:val="00C20B27"/>
    <w:rsid w:val="00C20BFD"/>
    <w:rsid w:val="00C20CC3"/>
    <w:rsid w:val="00C20D38"/>
    <w:rsid w:val="00C20E09"/>
    <w:rsid w:val="00C20E7C"/>
    <w:rsid w:val="00C20EF8"/>
    <w:rsid w:val="00C20F33"/>
    <w:rsid w:val="00C20FF0"/>
    <w:rsid w:val="00C21015"/>
    <w:rsid w:val="00C21043"/>
    <w:rsid w:val="00C210B0"/>
    <w:rsid w:val="00C2112B"/>
    <w:rsid w:val="00C2112F"/>
    <w:rsid w:val="00C2125F"/>
    <w:rsid w:val="00C21313"/>
    <w:rsid w:val="00C21352"/>
    <w:rsid w:val="00C21484"/>
    <w:rsid w:val="00C215D0"/>
    <w:rsid w:val="00C21673"/>
    <w:rsid w:val="00C21694"/>
    <w:rsid w:val="00C2175E"/>
    <w:rsid w:val="00C217E5"/>
    <w:rsid w:val="00C21849"/>
    <w:rsid w:val="00C218F9"/>
    <w:rsid w:val="00C218FA"/>
    <w:rsid w:val="00C21CA8"/>
    <w:rsid w:val="00C21CEA"/>
    <w:rsid w:val="00C21FD2"/>
    <w:rsid w:val="00C21FD9"/>
    <w:rsid w:val="00C21FFA"/>
    <w:rsid w:val="00C22078"/>
    <w:rsid w:val="00C22081"/>
    <w:rsid w:val="00C220C6"/>
    <w:rsid w:val="00C22158"/>
    <w:rsid w:val="00C221E2"/>
    <w:rsid w:val="00C22235"/>
    <w:rsid w:val="00C22293"/>
    <w:rsid w:val="00C222D0"/>
    <w:rsid w:val="00C223E9"/>
    <w:rsid w:val="00C22496"/>
    <w:rsid w:val="00C2255F"/>
    <w:rsid w:val="00C226A8"/>
    <w:rsid w:val="00C227A5"/>
    <w:rsid w:val="00C227A7"/>
    <w:rsid w:val="00C228A0"/>
    <w:rsid w:val="00C228C4"/>
    <w:rsid w:val="00C22924"/>
    <w:rsid w:val="00C22939"/>
    <w:rsid w:val="00C22A75"/>
    <w:rsid w:val="00C22C66"/>
    <w:rsid w:val="00C22D22"/>
    <w:rsid w:val="00C22D4B"/>
    <w:rsid w:val="00C22E59"/>
    <w:rsid w:val="00C22E6E"/>
    <w:rsid w:val="00C22E97"/>
    <w:rsid w:val="00C22F29"/>
    <w:rsid w:val="00C2302C"/>
    <w:rsid w:val="00C230DE"/>
    <w:rsid w:val="00C2323C"/>
    <w:rsid w:val="00C23298"/>
    <w:rsid w:val="00C23325"/>
    <w:rsid w:val="00C2339B"/>
    <w:rsid w:val="00C23427"/>
    <w:rsid w:val="00C234A4"/>
    <w:rsid w:val="00C23562"/>
    <w:rsid w:val="00C236A5"/>
    <w:rsid w:val="00C237D3"/>
    <w:rsid w:val="00C237E2"/>
    <w:rsid w:val="00C23885"/>
    <w:rsid w:val="00C23AF3"/>
    <w:rsid w:val="00C23BC7"/>
    <w:rsid w:val="00C23C3D"/>
    <w:rsid w:val="00C23C99"/>
    <w:rsid w:val="00C23C9C"/>
    <w:rsid w:val="00C23CD2"/>
    <w:rsid w:val="00C23CDE"/>
    <w:rsid w:val="00C23D21"/>
    <w:rsid w:val="00C23E9E"/>
    <w:rsid w:val="00C23F0F"/>
    <w:rsid w:val="00C23F53"/>
    <w:rsid w:val="00C24014"/>
    <w:rsid w:val="00C240F3"/>
    <w:rsid w:val="00C24115"/>
    <w:rsid w:val="00C241F1"/>
    <w:rsid w:val="00C2422F"/>
    <w:rsid w:val="00C2425B"/>
    <w:rsid w:val="00C24265"/>
    <w:rsid w:val="00C24306"/>
    <w:rsid w:val="00C243AA"/>
    <w:rsid w:val="00C24452"/>
    <w:rsid w:val="00C24466"/>
    <w:rsid w:val="00C244CF"/>
    <w:rsid w:val="00C244E2"/>
    <w:rsid w:val="00C244EE"/>
    <w:rsid w:val="00C245C0"/>
    <w:rsid w:val="00C246D7"/>
    <w:rsid w:val="00C246E1"/>
    <w:rsid w:val="00C24712"/>
    <w:rsid w:val="00C247FC"/>
    <w:rsid w:val="00C24861"/>
    <w:rsid w:val="00C24945"/>
    <w:rsid w:val="00C24A47"/>
    <w:rsid w:val="00C24A4D"/>
    <w:rsid w:val="00C24A98"/>
    <w:rsid w:val="00C24BEE"/>
    <w:rsid w:val="00C24C43"/>
    <w:rsid w:val="00C24C90"/>
    <w:rsid w:val="00C24CE4"/>
    <w:rsid w:val="00C24D44"/>
    <w:rsid w:val="00C24D51"/>
    <w:rsid w:val="00C24E2E"/>
    <w:rsid w:val="00C24FF1"/>
    <w:rsid w:val="00C24FFE"/>
    <w:rsid w:val="00C251C8"/>
    <w:rsid w:val="00C2522E"/>
    <w:rsid w:val="00C252FC"/>
    <w:rsid w:val="00C25392"/>
    <w:rsid w:val="00C255E7"/>
    <w:rsid w:val="00C25712"/>
    <w:rsid w:val="00C25720"/>
    <w:rsid w:val="00C2582C"/>
    <w:rsid w:val="00C25887"/>
    <w:rsid w:val="00C25995"/>
    <w:rsid w:val="00C259E2"/>
    <w:rsid w:val="00C25A08"/>
    <w:rsid w:val="00C25A3E"/>
    <w:rsid w:val="00C25AAD"/>
    <w:rsid w:val="00C25B24"/>
    <w:rsid w:val="00C25B87"/>
    <w:rsid w:val="00C25C6C"/>
    <w:rsid w:val="00C25D26"/>
    <w:rsid w:val="00C25DF5"/>
    <w:rsid w:val="00C25E2C"/>
    <w:rsid w:val="00C25E8C"/>
    <w:rsid w:val="00C25ECE"/>
    <w:rsid w:val="00C25FB0"/>
    <w:rsid w:val="00C26032"/>
    <w:rsid w:val="00C2609B"/>
    <w:rsid w:val="00C260A5"/>
    <w:rsid w:val="00C2616C"/>
    <w:rsid w:val="00C26178"/>
    <w:rsid w:val="00C261D0"/>
    <w:rsid w:val="00C2622F"/>
    <w:rsid w:val="00C26395"/>
    <w:rsid w:val="00C26420"/>
    <w:rsid w:val="00C26432"/>
    <w:rsid w:val="00C26434"/>
    <w:rsid w:val="00C2656B"/>
    <w:rsid w:val="00C26582"/>
    <w:rsid w:val="00C26654"/>
    <w:rsid w:val="00C26668"/>
    <w:rsid w:val="00C267BD"/>
    <w:rsid w:val="00C267F4"/>
    <w:rsid w:val="00C2690C"/>
    <w:rsid w:val="00C26969"/>
    <w:rsid w:val="00C269D8"/>
    <w:rsid w:val="00C26B55"/>
    <w:rsid w:val="00C26C56"/>
    <w:rsid w:val="00C26D9C"/>
    <w:rsid w:val="00C26E0E"/>
    <w:rsid w:val="00C27267"/>
    <w:rsid w:val="00C273DF"/>
    <w:rsid w:val="00C273EF"/>
    <w:rsid w:val="00C2741D"/>
    <w:rsid w:val="00C274DC"/>
    <w:rsid w:val="00C2752A"/>
    <w:rsid w:val="00C27531"/>
    <w:rsid w:val="00C275CE"/>
    <w:rsid w:val="00C275FB"/>
    <w:rsid w:val="00C2767F"/>
    <w:rsid w:val="00C27760"/>
    <w:rsid w:val="00C277E2"/>
    <w:rsid w:val="00C27855"/>
    <w:rsid w:val="00C27971"/>
    <w:rsid w:val="00C2797B"/>
    <w:rsid w:val="00C279E3"/>
    <w:rsid w:val="00C27B42"/>
    <w:rsid w:val="00C27B60"/>
    <w:rsid w:val="00C27CF4"/>
    <w:rsid w:val="00C27CFF"/>
    <w:rsid w:val="00C27D41"/>
    <w:rsid w:val="00C27DB4"/>
    <w:rsid w:val="00C27DCD"/>
    <w:rsid w:val="00C27DFE"/>
    <w:rsid w:val="00C27EB7"/>
    <w:rsid w:val="00C30016"/>
    <w:rsid w:val="00C30029"/>
    <w:rsid w:val="00C30164"/>
    <w:rsid w:val="00C3019D"/>
    <w:rsid w:val="00C30209"/>
    <w:rsid w:val="00C30426"/>
    <w:rsid w:val="00C3044F"/>
    <w:rsid w:val="00C304BB"/>
    <w:rsid w:val="00C304C6"/>
    <w:rsid w:val="00C305CD"/>
    <w:rsid w:val="00C30600"/>
    <w:rsid w:val="00C30659"/>
    <w:rsid w:val="00C3065F"/>
    <w:rsid w:val="00C30662"/>
    <w:rsid w:val="00C30862"/>
    <w:rsid w:val="00C309D3"/>
    <w:rsid w:val="00C309E5"/>
    <w:rsid w:val="00C30A54"/>
    <w:rsid w:val="00C30D25"/>
    <w:rsid w:val="00C30E7A"/>
    <w:rsid w:val="00C31064"/>
    <w:rsid w:val="00C312CC"/>
    <w:rsid w:val="00C31523"/>
    <w:rsid w:val="00C3159A"/>
    <w:rsid w:val="00C31654"/>
    <w:rsid w:val="00C3169A"/>
    <w:rsid w:val="00C31724"/>
    <w:rsid w:val="00C31735"/>
    <w:rsid w:val="00C31831"/>
    <w:rsid w:val="00C31851"/>
    <w:rsid w:val="00C318A5"/>
    <w:rsid w:val="00C319C4"/>
    <w:rsid w:val="00C319CA"/>
    <w:rsid w:val="00C31A7F"/>
    <w:rsid w:val="00C31B0D"/>
    <w:rsid w:val="00C31BFC"/>
    <w:rsid w:val="00C31C85"/>
    <w:rsid w:val="00C31C94"/>
    <w:rsid w:val="00C31D8B"/>
    <w:rsid w:val="00C31E68"/>
    <w:rsid w:val="00C31F79"/>
    <w:rsid w:val="00C3204C"/>
    <w:rsid w:val="00C32103"/>
    <w:rsid w:val="00C32107"/>
    <w:rsid w:val="00C321F3"/>
    <w:rsid w:val="00C32381"/>
    <w:rsid w:val="00C32447"/>
    <w:rsid w:val="00C3266D"/>
    <w:rsid w:val="00C3268C"/>
    <w:rsid w:val="00C32875"/>
    <w:rsid w:val="00C328CA"/>
    <w:rsid w:val="00C328D5"/>
    <w:rsid w:val="00C32AC6"/>
    <w:rsid w:val="00C32C26"/>
    <w:rsid w:val="00C32C7C"/>
    <w:rsid w:val="00C32C93"/>
    <w:rsid w:val="00C32D98"/>
    <w:rsid w:val="00C32E16"/>
    <w:rsid w:val="00C32E9A"/>
    <w:rsid w:val="00C32FDD"/>
    <w:rsid w:val="00C33241"/>
    <w:rsid w:val="00C3326A"/>
    <w:rsid w:val="00C33289"/>
    <w:rsid w:val="00C3329E"/>
    <w:rsid w:val="00C3343D"/>
    <w:rsid w:val="00C335DD"/>
    <w:rsid w:val="00C33707"/>
    <w:rsid w:val="00C339BD"/>
    <w:rsid w:val="00C33A26"/>
    <w:rsid w:val="00C33BF1"/>
    <w:rsid w:val="00C33C35"/>
    <w:rsid w:val="00C33F27"/>
    <w:rsid w:val="00C34007"/>
    <w:rsid w:val="00C3402F"/>
    <w:rsid w:val="00C340EE"/>
    <w:rsid w:val="00C3412B"/>
    <w:rsid w:val="00C34348"/>
    <w:rsid w:val="00C343E4"/>
    <w:rsid w:val="00C34404"/>
    <w:rsid w:val="00C344DC"/>
    <w:rsid w:val="00C3455A"/>
    <w:rsid w:val="00C3456A"/>
    <w:rsid w:val="00C3456B"/>
    <w:rsid w:val="00C345B9"/>
    <w:rsid w:val="00C346A3"/>
    <w:rsid w:val="00C346B9"/>
    <w:rsid w:val="00C3470C"/>
    <w:rsid w:val="00C347AB"/>
    <w:rsid w:val="00C34A16"/>
    <w:rsid w:val="00C34A17"/>
    <w:rsid w:val="00C34A6C"/>
    <w:rsid w:val="00C34B68"/>
    <w:rsid w:val="00C34C3F"/>
    <w:rsid w:val="00C34C55"/>
    <w:rsid w:val="00C34CA8"/>
    <w:rsid w:val="00C34D25"/>
    <w:rsid w:val="00C34F0C"/>
    <w:rsid w:val="00C34F56"/>
    <w:rsid w:val="00C34F91"/>
    <w:rsid w:val="00C35028"/>
    <w:rsid w:val="00C35039"/>
    <w:rsid w:val="00C35071"/>
    <w:rsid w:val="00C3512D"/>
    <w:rsid w:val="00C3520F"/>
    <w:rsid w:val="00C35231"/>
    <w:rsid w:val="00C352AB"/>
    <w:rsid w:val="00C352F1"/>
    <w:rsid w:val="00C3532A"/>
    <w:rsid w:val="00C3543F"/>
    <w:rsid w:val="00C354F0"/>
    <w:rsid w:val="00C355BE"/>
    <w:rsid w:val="00C35709"/>
    <w:rsid w:val="00C3587D"/>
    <w:rsid w:val="00C35899"/>
    <w:rsid w:val="00C358C6"/>
    <w:rsid w:val="00C3594C"/>
    <w:rsid w:val="00C3598E"/>
    <w:rsid w:val="00C359D9"/>
    <w:rsid w:val="00C35B8D"/>
    <w:rsid w:val="00C35BDE"/>
    <w:rsid w:val="00C35D02"/>
    <w:rsid w:val="00C35E7E"/>
    <w:rsid w:val="00C35ECF"/>
    <w:rsid w:val="00C35F1A"/>
    <w:rsid w:val="00C36031"/>
    <w:rsid w:val="00C36178"/>
    <w:rsid w:val="00C36182"/>
    <w:rsid w:val="00C36213"/>
    <w:rsid w:val="00C363E2"/>
    <w:rsid w:val="00C36430"/>
    <w:rsid w:val="00C36486"/>
    <w:rsid w:val="00C364B5"/>
    <w:rsid w:val="00C36576"/>
    <w:rsid w:val="00C3657A"/>
    <w:rsid w:val="00C36582"/>
    <w:rsid w:val="00C36595"/>
    <w:rsid w:val="00C365AF"/>
    <w:rsid w:val="00C3662A"/>
    <w:rsid w:val="00C36648"/>
    <w:rsid w:val="00C366C1"/>
    <w:rsid w:val="00C3673B"/>
    <w:rsid w:val="00C3673C"/>
    <w:rsid w:val="00C3679B"/>
    <w:rsid w:val="00C36824"/>
    <w:rsid w:val="00C36885"/>
    <w:rsid w:val="00C3699B"/>
    <w:rsid w:val="00C369A3"/>
    <w:rsid w:val="00C36AB3"/>
    <w:rsid w:val="00C36ABC"/>
    <w:rsid w:val="00C36C6D"/>
    <w:rsid w:val="00C36C87"/>
    <w:rsid w:val="00C36CB5"/>
    <w:rsid w:val="00C36CEF"/>
    <w:rsid w:val="00C36D50"/>
    <w:rsid w:val="00C36DD6"/>
    <w:rsid w:val="00C36E09"/>
    <w:rsid w:val="00C36EC6"/>
    <w:rsid w:val="00C36F1A"/>
    <w:rsid w:val="00C36F9C"/>
    <w:rsid w:val="00C36FFA"/>
    <w:rsid w:val="00C36FFC"/>
    <w:rsid w:val="00C3706F"/>
    <w:rsid w:val="00C37090"/>
    <w:rsid w:val="00C37208"/>
    <w:rsid w:val="00C37273"/>
    <w:rsid w:val="00C3737D"/>
    <w:rsid w:val="00C373E0"/>
    <w:rsid w:val="00C375EB"/>
    <w:rsid w:val="00C3773C"/>
    <w:rsid w:val="00C37885"/>
    <w:rsid w:val="00C379EA"/>
    <w:rsid w:val="00C37A2A"/>
    <w:rsid w:val="00C37B3D"/>
    <w:rsid w:val="00C37B65"/>
    <w:rsid w:val="00C37DB8"/>
    <w:rsid w:val="00C37E3A"/>
    <w:rsid w:val="00C37EB9"/>
    <w:rsid w:val="00C37EE8"/>
    <w:rsid w:val="00C37F06"/>
    <w:rsid w:val="00C37F73"/>
    <w:rsid w:val="00C37FAC"/>
    <w:rsid w:val="00C40004"/>
    <w:rsid w:val="00C40023"/>
    <w:rsid w:val="00C4003A"/>
    <w:rsid w:val="00C400C4"/>
    <w:rsid w:val="00C400EB"/>
    <w:rsid w:val="00C40112"/>
    <w:rsid w:val="00C40186"/>
    <w:rsid w:val="00C402A5"/>
    <w:rsid w:val="00C402D7"/>
    <w:rsid w:val="00C40365"/>
    <w:rsid w:val="00C404B3"/>
    <w:rsid w:val="00C405DD"/>
    <w:rsid w:val="00C406F0"/>
    <w:rsid w:val="00C407C8"/>
    <w:rsid w:val="00C40820"/>
    <w:rsid w:val="00C40821"/>
    <w:rsid w:val="00C40882"/>
    <w:rsid w:val="00C408E0"/>
    <w:rsid w:val="00C408F5"/>
    <w:rsid w:val="00C4097E"/>
    <w:rsid w:val="00C40997"/>
    <w:rsid w:val="00C409EB"/>
    <w:rsid w:val="00C40AB9"/>
    <w:rsid w:val="00C40B4A"/>
    <w:rsid w:val="00C40C6F"/>
    <w:rsid w:val="00C40C9A"/>
    <w:rsid w:val="00C40CD8"/>
    <w:rsid w:val="00C40DF2"/>
    <w:rsid w:val="00C40E40"/>
    <w:rsid w:val="00C40F6C"/>
    <w:rsid w:val="00C40F7D"/>
    <w:rsid w:val="00C41073"/>
    <w:rsid w:val="00C41088"/>
    <w:rsid w:val="00C410AD"/>
    <w:rsid w:val="00C41158"/>
    <w:rsid w:val="00C41161"/>
    <w:rsid w:val="00C41166"/>
    <w:rsid w:val="00C41169"/>
    <w:rsid w:val="00C41228"/>
    <w:rsid w:val="00C41417"/>
    <w:rsid w:val="00C41447"/>
    <w:rsid w:val="00C4145E"/>
    <w:rsid w:val="00C4148F"/>
    <w:rsid w:val="00C4151E"/>
    <w:rsid w:val="00C415CF"/>
    <w:rsid w:val="00C4161E"/>
    <w:rsid w:val="00C41661"/>
    <w:rsid w:val="00C41690"/>
    <w:rsid w:val="00C416C4"/>
    <w:rsid w:val="00C41839"/>
    <w:rsid w:val="00C41859"/>
    <w:rsid w:val="00C4185F"/>
    <w:rsid w:val="00C4191A"/>
    <w:rsid w:val="00C41972"/>
    <w:rsid w:val="00C41A72"/>
    <w:rsid w:val="00C41AE8"/>
    <w:rsid w:val="00C41B33"/>
    <w:rsid w:val="00C41C8A"/>
    <w:rsid w:val="00C41CAA"/>
    <w:rsid w:val="00C41CB8"/>
    <w:rsid w:val="00C41D40"/>
    <w:rsid w:val="00C41D47"/>
    <w:rsid w:val="00C41F04"/>
    <w:rsid w:val="00C41FDD"/>
    <w:rsid w:val="00C420C3"/>
    <w:rsid w:val="00C420DF"/>
    <w:rsid w:val="00C420E8"/>
    <w:rsid w:val="00C42118"/>
    <w:rsid w:val="00C42176"/>
    <w:rsid w:val="00C42285"/>
    <w:rsid w:val="00C42370"/>
    <w:rsid w:val="00C423CC"/>
    <w:rsid w:val="00C423D6"/>
    <w:rsid w:val="00C42467"/>
    <w:rsid w:val="00C42494"/>
    <w:rsid w:val="00C424AD"/>
    <w:rsid w:val="00C424D6"/>
    <w:rsid w:val="00C426C8"/>
    <w:rsid w:val="00C426F5"/>
    <w:rsid w:val="00C4276E"/>
    <w:rsid w:val="00C42825"/>
    <w:rsid w:val="00C4287E"/>
    <w:rsid w:val="00C42938"/>
    <w:rsid w:val="00C429AB"/>
    <w:rsid w:val="00C42A25"/>
    <w:rsid w:val="00C42A35"/>
    <w:rsid w:val="00C42A45"/>
    <w:rsid w:val="00C42AB8"/>
    <w:rsid w:val="00C42B19"/>
    <w:rsid w:val="00C42CF7"/>
    <w:rsid w:val="00C42DE5"/>
    <w:rsid w:val="00C42E46"/>
    <w:rsid w:val="00C43004"/>
    <w:rsid w:val="00C43082"/>
    <w:rsid w:val="00C431BA"/>
    <w:rsid w:val="00C4323A"/>
    <w:rsid w:val="00C43273"/>
    <w:rsid w:val="00C434D0"/>
    <w:rsid w:val="00C4365A"/>
    <w:rsid w:val="00C4374E"/>
    <w:rsid w:val="00C4379F"/>
    <w:rsid w:val="00C43842"/>
    <w:rsid w:val="00C43A09"/>
    <w:rsid w:val="00C43A2D"/>
    <w:rsid w:val="00C43A90"/>
    <w:rsid w:val="00C43B65"/>
    <w:rsid w:val="00C43BC7"/>
    <w:rsid w:val="00C43C36"/>
    <w:rsid w:val="00C43DAE"/>
    <w:rsid w:val="00C43DD6"/>
    <w:rsid w:val="00C43DFF"/>
    <w:rsid w:val="00C43E16"/>
    <w:rsid w:val="00C43E28"/>
    <w:rsid w:val="00C43E5E"/>
    <w:rsid w:val="00C43EEB"/>
    <w:rsid w:val="00C43FAF"/>
    <w:rsid w:val="00C44000"/>
    <w:rsid w:val="00C440DC"/>
    <w:rsid w:val="00C44129"/>
    <w:rsid w:val="00C44151"/>
    <w:rsid w:val="00C4423E"/>
    <w:rsid w:val="00C442FB"/>
    <w:rsid w:val="00C4433B"/>
    <w:rsid w:val="00C443AE"/>
    <w:rsid w:val="00C44440"/>
    <w:rsid w:val="00C4457D"/>
    <w:rsid w:val="00C445BE"/>
    <w:rsid w:val="00C446D9"/>
    <w:rsid w:val="00C4485D"/>
    <w:rsid w:val="00C44A21"/>
    <w:rsid w:val="00C44ACE"/>
    <w:rsid w:val="00C44AF2"/>
    <w:rsid w:val="00C44B7B"/>
    <w:rsid w:val="00C44BEE"/>
    <w:rsid w:val="00C44C2A"/>
    <w:rsid w:val="00C44CFE"/>
    <w:rsid w:val="00C44E01"/>
    <w:rsid w:val="00C44F54"/>
    <w:rsid w:val="00C44F78"/>
    <w:rsid w:val="00C44F98"/>
    <w:rsid w:val="00C45024"/>
    <w:rsid w:val="00C45033"/>
    <w:rsid w:val="00C45048"/>
    <w:rsid w:val="00C4505E"/>
    <w:rsid w:val="00C451EF"/>
    <w:rsid w:val="00C451F9"/>
    <w:rsid w:val="00C45237"/>
    <w:rsid w:val="00C452F9"/>
    <w:rsid w:val="00C45302"/>
    <w:rsid w:val="00C453BB"/>
    <w:rsid w:val="00C454C0"/>
    <w:rsid w:val="00C454F0"/>
    <w:rsid w:val="00C45680"/>
    <w:rsid w:val="00C45731"/>
    <w:rsid w:val="00C45928"/>
    <w:rsid w:val="00C459DE"/>
    <w:rsid w:val="00C459FB"/>
    <w:rsid w:val="00C45A49"/>
    <w:rsid w:val="00C45CD6"/>
    <w:rsid w:val="00C45DC5"/>
    <w:rsid w:val="00C45E29"/>
    <w:rsid w:val="00C45E2D"/>
    <w:rsid w:val="00C45E41"/>
    <w:rsid w:val="00C45F17"/>
    <w:rsid w:val="00C45F3E"/>
    <w:rsid w:val="00C45F9B"/>
    <w:rsid w:val="00C460CB"/>
    <w:rsid w:val="00C460DD"/>
    <w:rsid w:val="00C460EF"/>
    <w:rsid w:val="00C4610E"/>
    <w:rsid w:val="00C461E2"/>
    <w:rsid w:val="00C46409"/>
    <w:rsid w:val="00C46459"/>
    <w:rsid w:val="00C46476"/>
    <w:rsid w:val="00C46544"/>
    <w:rsid w:val="00C465E3"/>
    <w:rsid w:val="00C467E4"/>
    <w:rsid w:val="00C4684F"/>
    <w:rsid w:val="00C469B9"/>
    <w:rsid w:val="00C469FD"/>
    <w:rsid w:val="00C46A03"/>
    <w:rsid w:val="00C46A72"/>
    <w:rsid w:val="00C46A90"/>
    <w:rsid w:val="00C46B69"/>
    <w:rsid w:val="00C46BE0"/>
    <w:rsid w:val="00C46C83"/>
    <w:rsid w:val="00C46CAF"/>
    <w:rsid w:val="00C46D73"/>
    <w:rsid w:val="00C46E21"/>
    <w:rsid w:val="00C46EA4"/>
    <w:rsid w:val="00C46EE9"/>
    <w:rsid w:val="00C46F3D"/>
    <w:rsid w:val="00C46F6D"/>
    <w:rsid w:val="00C47031"/>
    <w:rsid w:val="00C470E6"/>
    <w:rsid w:val="00C4712D"/>
    <w:rsid w:val="00C47143"/>
    <w:rsid w:val="00C471DE"/>
    <w:rsid w:val="00C4736A"/>
    <w:rsid w:val="00C47374"/>
    <w:rsid w:val="00C4741D"/>
    <w:rsid w:val="00C474E7"/>
    <w:rsid w:val="00C475C0"/>
    <w:rsid w:val="00C475C4"/>
    <w:rsid w:val="00C47701"/>
    <w:rsid w:val="00C47711"/>
    <w:rsid w:val="00C47833"/>
    <w:rsid w:val="00C47846"/>
    <w:rsid w:val="00C4785A"/>
    <w:rsid w:val="00C478DC"/>
    <w:rsid w:val="00C47934"/>
    <w:rsid w:val="00C47A45"/>
    <w:rsid w:val="00C47A59"/>
    <w:rsid w:val="00C47B5B"/>
    <w:rsid w:val="00C47BA3"/>
    <w:rsid w:val="00C47BB1"/>
    <w:rsid w:val="00C47C33"/>
    <w:rsid w:val="00C47C7D"/>
    <w:rsid w:val="00C47C7F"/>
    <w:rsid w:val="00C47D05"/>
    <w:rsid w:val="00C47E6A"/>
    <w:rsid w:val="00C50071"/>
    <w:rsid w:val="00C50183"/>
    <w:rsid w:val="00C501BF"/>
    <w:rsid w:val="00C501C2"/>
    <w:rsid w:val="00C501C9"/>
    <w:rsid w:val="00C501F9"/>
    <w:rsid w:val="00C50365"/>
    <w:rsid w:val="00C503C0"/>
    <w:rsid w:val="00C503DB"/>
    <w:rsid w:val="00C504C8"/>
    <w:rsid w:val="00C504F4"/>
    <w:rsid w:val="00C505A0"/>
    <w:rsid w:val="00C505BA"/>
    <w:rsid w:val="00C505F5"/>
    <w:rsid w:val="00C507C5"/>
    <w:rsid w:val="00C507DC"/>
    <w:rsid w:val="00C50811"/>
    <w:rsid w:val="00C50898"/>
    <w:rsid w:val="00C508A6"/>
    <w:rsid w:val="00C508B2"/>
    <w:rsid w:val="00C5095C"/>
    <w:rsid w:val="00C509B8"/>
    <w:rsid w:val="00C50A17"/>
    <w:rsid w:val="00C50B61"/>
    <w:rsid w:val="00C50C2B"/>
    <w:rsid w:val="00C50CD2"/>
    <w:rsid w:val="00C50CF7"/>
    <w:rsid w:val="00C50D59"/>
    <w:rsid w:val="00C50D7E"/>
    <w:rsid w:val="00C50D93"/>
    <w:rsid w:val="00C50E7B"/>
    <w:rsid w:val="00C50E8B"/>
    <w:rsid w:val="00C50EFA"/>
    <w:rsid w:val="00C50F16"/>
    <w:rsid w:val="00C50F4D"/>
    <w:rsid w:val="00C50FA6"/>
    <w:rsid w:val="00C50FD2"/>
    <w:rsid w:val="00C50FE3"/>
    <w:rsid w:val="00C5116C"/>
    <w:rsid w:val="00C511A3"/>
    <w:rsid w:val="00C511B3"/>
    <w:rsid w:val="00C5133D"/>
    <w:rsid w:val="00C5136E"/>
    <w:rsid w:val="00C51385"/>
    <w:rsid w:val="00C513A8"/>
    <w:rsid w:val="00C51416"/>
    <w:rsid w:val="00C514AA"/>
    <w:rsid w:val="00C514E2"/>
    <w:rsid w:val="00C514E4"/>
    <w:rsid w:val="00C5150E"/>
    <w:rsid w:val="00C51651"/>
    <w:rsid w:val="00C51669"/>
    <w:rsid w:val="00C516CA"/>
    <w:rsid w:val="00C516D3"/>
    <w:rsid w:val="00C5171D"/>
    <w:rsid w:val="00C51851"/>
    <w:rsid w:val="00C5187A"/>
    <w:rsid w:val="00C518AC"/>
    <w:rsid w:val="00C51A52"/>
    <w:rsid w:val="00C51B69"/>
    <w:rsid w:val="00C51B8D"/>
    <w:rsid w:val="00C51CAE"/>
    <w:rsid w:val="00C51CB3"/>
    <w:rsid w:val="00C51DC5"/>
    <w:rsid w:val="00C51EDF"/>
    <w:rsid w:val="00C51F30"/>
    <w:rsid w:val="00C51F9B"/>
    <w:rsid w:val="00C51FE1"/>
    <w:rsid w:val="00C5204C"/>
    <w:rsid w:val="00C52311"/>
    <w:rsid w:val="00C5233B"/>
    <w:rsid w:val="00C523C7"/>
    <w:rsid w:val="00C52474"/>
    <w:rsid w:val="00C525BC"/>
    <w:rsid w:val="00C5260C"/>
    <w:rsid w:val="00C52613"/>
    <w:rsid w:val="00C52677"/>
    <w:rsid w:val="00C526C8"/>
    <w:rsid w:val="00C52772"/>
    <w:rsid w:val="00C5279C"/>
    <w:rsid w:val="00C527A6"/>
    <w:rsid w:val="00C527A8"/>
    <w:rsid w:val="00C5280D"/>
    <w:rsid w:val="00C528DC"/>
    <w:rsid w:val="00C52979"/>
    <w:rsid w:val="00C52989"/>
    <w:rsid w:val="00C5299C"/>
    <w:rsid w:val="00C52A16"/>
    <w:rsid w:val="00C52A9E"/>
    <w:rsid w:val="00C52C6E"/>
    <w:rsid w:val="00C52C70"/>
    <w:rsid w:val="00C52CB7"/>
    <w:rsid w:val="00C52D33"/>
    <w:rsid w:val="00C52DE0"/>
    <w:rsid w:val="00C52E64"/>
    <w:rsid w:val="00C52EE6"/>
    <w:rsid w:val="00C52F2D"/>
    <w:rsid w:val="00C52F55"/>
    <w:rsid w:val="00C53077"/>
    <w:rsid w:val="00C5310E"/>
    <w:rsid w:val="00C5341F"/>
    <w:rsid w:val="00C5343B"/>
    <w:rsid w:val="00C535A5"/>
    <w:rsid w:val="00C5362E"/>
    <w:rsid w:val="00C537E1"/>
    <w:rsid w:val="00C53865"/>
    <w:rsid w:val="00C538A0"/>
    <w:rsid w:val="00C5391A"/>
    <w:rsid w:val="00C53BA3"/>
    <w:rsid w:val="00C53BDB"/>
    <w:rsid w:val="00C53BE7"/>
    <w:rsid w:val="00C53D18"/>
    <w:rsid w:val="00C53D1E"/>
    <w:rsid w:val="00C53DCE"/>
    <w:rsid w:val="00C53DF0"/>
    <w:rsid w:val="00C53E0A"/>
    <w:rsid w:val="00C53FA5"/>
    <w:rsid w:val="00C54002"/>
    <w:rsid w:val="00C54078"/>
    <w:rsid w:val="00C540DC"/>
    <w:rsid w:val="00C540F2"/>
    <w:rsid w:val="00C54177"/>
    <w:rsid w:val="00C54190"/>
    <w:rsid w:val="00C54253"/>
    <w:rsid w:val="00C542A6"/>
    <w:rsid w:val="00C543CE"/>
    <w:rsid w:val="00C543E4"/>
    <w:rsid w:val="00C543F5"/>
    <w:rsid w:val="00C54429"/>
    <w:rsid w:val="00C5462F"/>
    <w:rsid w:val="00C549EF"/>
    <w:rsid w:val="00C549F6"/>
    <w:rsid w:val="00C54A82"/>
    <w:rsid w:val="00C54AB8"/>
    <w:rsid w:val="00C54AD4"/>
    <w:rsid w:val="00C54AE7"/>
    <w:rsid w:val="00C54C94"/>
    <w:rsid w:val="00C54CAB"/>
    <w:rsid w:val="00C54D35"/>
    <w:rsid w:val="00C54D60"/>
    <w:rsid w:val="00C54D70"/>
    <w:rsid w:val="00C54E8D"/>
    <w:rsid w:val="00C54F39"/>
    <w:rsid w:val="00C54F64"/>
    <w:rsid w:val="00C55129"/>
    <w:rsid w:val="00C55264"/>
    <w:rsid w:val="00C55342"/>
    <w:rsid w:val="00C55345"/>
    <w:rsid w:val="00C553C0"/>
    <w:rsid w:val="00C553FE"/>
    <w:rsid w:val="00C55436"/>
    <w:rsid w:val="00C55441"/>
    <w:rsid w:val="00C5547B"/>
    <w:rsid w:val="00C554C7"/>
    <w:rsid w:val="00C55761"/>
    <w:rsid w:val="00C557A4"/>
    <w:rsid w:val="00C557F2"/>
    <w:rsid w:val="00C5587D"/>
    <w:rsid w:val="00C5588A"/>
    <w:rsid w:val="00C558DD"/>
    <w:rsid w:val="00C55A23"/>
    <w:rsid w:val="00C55A70"/>
    <w:rsid w:val="00C55AC3"/>
    <w:rsid w:val="00C55B08"/>
    <w:rsid w:val="00C55B88"/>
    <w:rsid w:val="00C55CA5"/>
    <w:rsid w:val="00C55CD8"/>
    <w:rsid w:val="00C55D51"/>
    <w:rsid w:val="00C55D9D"/>
    <w:rsid w:val="00C55F68"/>
    <w:rsid w:val="00C56101"/>
    <w:rsid w:val="00C5617A"/>
    <w:rsid w:val="00C561D3"/>
    <w:rsid w:val="00C5622D"/>
    <w:rsid w:val="00C563EB"/>
    <w:rsid w:val="00C56453"/>
    <w:rsid w:val="00C5648C"/>
    <w:rsid w:val="00C56500"/>
    <w:rsid w:val="00C5663A"/>
    <w:rsid w:val="00C56666"/>
    <w:rsid w:val="00C56690"/>
    <w:rsid w:val="00C5673A"/>
    <w:rsid w:val="00C56751"/>
    <w:rsid w:val="00C567F2"/>
    <w:rsid w:val="00C569AE"/>
    <w:rsid w:val="00C56A48"/>
    <w:rsid w:val="00C56A91"/>
    <w:rsid w:val="00C56B43"/>
    <w:rsid w:val="00C56C29"/>
    <w:rsid w:val="00C56C51"/>
    <w:rsid w:val="00C56D03"/>
    <w:rsid w:val="00C56E69"/>
    <w:rsid w:val="00C5711C"/>
    <w:rsid w:val="00C5714E"/>
    <w:rsid w:val="00C572E7"/>
    <w:rsid w:val="00C573AD"/>
    <w:rsid w:val="00C573C2"/>
    <w:rsid w:val="00C5752F"/>
    <w:rsid w:val="00C575DE"/>
    <w:rsid w:val="00C57620"/>
    <w:rsid w:val="00C57685"/>
    <w:rsid w:val="00C576E1"/>
    <w:rsid w:val="00C577F8"/>
    <w:rsid w:val="00C5794B"/>
    <w:rsid w:val="00C57A2F"/>
    <w:rsid w:val="00C57A47"/>
    <w:rsid w:val="00C57A51"/>
    <w:rsid w:val="00C57B27"/>
    <w:rsid w:val="00C57BF1"/>
    <w:rsid w:val="00C57BFF"/>
    <w:rsid w:val="00C57C59"/>
    <w:rsid w:val="00C57D4C"/>
    <w:rsid w:val="00C57D79"/>
    <w:rsid w:val="00C57DC5"/>
    <w:rsid w:val="00C57E12"/>
    <w:rsid w:val="00C57FBC"/>
    <w:rsid w:val="00C601E0"/>
    <w:rsid w:val="00C601E5"/>
    <w:rsid w:val="00C60265"/>
    <w:rsid w:val="00C6045F"/>
    <w:rsid w:val="00C604AA"/>
    <w:rsid w:val="00C60698"/>
    <w:rsid w:val="00C606BD"/>
    <w:rsid w:val="00C6082B"/>
    <w:rsid w:val="00C6082D"/>
    <w:rsid w:val="00C6088F"/>
    <w:rsid w:val="00C60AE2"/>
    <w:rsid w:val="00C60C5B"/>
    <w:rsid w:val="00C60C76"/>
    <w:rsid w:val="00C60CDA"/>
    <w:rsid w:val="00C60CE0"/>
    <w:rsid w:val="00C60D4D"/>
    <w:rsid w:val="00C60E25"/>
    <w:rsid w:val="00C61084"/>
    <w:rsid w:val="00C6119C"/>
    <w:rsid w:val="00C6119F"/>
    <w:rsid w:val="00C611F4"/>
    <w:rsid w:val="00C61207"/>
    <w:rsid w:val="00C612C2"/>
    <w:rsid w:val="00C61597"/>
    <w:rsid w:val="00C616E2"/>
    <w:rsid w:val="00C6179A"/>
    <w:rsid w:val="00C618E2"/>
    <w:rsid w:val="00C619C2"/>
    <w:rsid w:val="00C61A7B"/>
    <w:rsid w:val="00C61AD0"/>
    <w:rsid w:val="00C61C61"/>
    <w:rsid w:val="00C61C79"/>
    <w:rsid w:val="00C61CBD"/>
    <w:rsid w:val="00C61D65"/>
    <w:rsid w:val="00C61EA0"/>
    <w:rsid w:val="00C61F4A"/>
    <w:rsid w:val="00C61F65"/>
    <w:rsid w:val="00C61F68"/>
    <w:rsid w:val="00C62086"/>
    <w:rsid w:val="00C62165"/>
    <w:rsid w:val="00C621B8"/>
    <w:rsid w:val="00C6221C"/>
    <w:rsid w:val="00C62489"/>
    <w:rsid w:val="00C624E5"/>
    <w:rsid w:val="00C62502"/>
    <w:rsid w:val="00C625AE"/>
    <w:rsid w:val="00C6265F"/>
    <w:rsid w:val="00C62671"/>
    <w:rsid w:val="00C626A2"/>
    <w:rsid w:val="00C62768"/>
    <w:rsid w:val="00C627B3"/>
    <w:rsid w:val="00C627F1"/>
    <w:rsid w:val="00C62818"/>
    <w:rsid w:val="00C6284C"/>
    <w:rsid w:val="00C62AD3"/>
    <w:rsid w:val="00C62B5C"/>
    <w:rsid w:val="00C62CCE"/>
    <w:rsid w:val="00C62D5A"/>
    <w:rsid w:val="00C62DAE"/>
    <w:rsid w:val="00C62DE1"/>
    <w:rsid w:val="00C63048"/>
    <w:rsid w:val="00C63082"/>
    <w:rsid w:val="00C631DE"/>
    <w:rsid w:val="00C633F5"/>
    <w:rsid w:val="00C634ED"/>
    <w:rsid w:val="00C6356A"/>
    <w:rsid w:val="00C63579"/>
    <w:rsid w:val="00C635B5"/>
    <w:rsid w:val="00C635E2"/>
    <w:rsid w:val="00C63672"/>
    <w:rsid w:val="00C636E8"/>
    <w:rsid w:val="00C6370F"/>
    <w:rsid w:val="00C63825"/>
    <w:rsid w:val="00C638E9"/>
    <w:rsid w:val="00C639C8"/>
    <w:rsid w:val="00C63AB0"/>
    <w:rsid w:val="00C63AB2"/>
    <w:rsid w:val="00C63ABC"/>
    <w:rsid w:val="00C63AE0"/>
    <w:rsid w:val="00C63C58"/>
    <w:rsid w:val="00C63C96"/>
    <w:rsid w:val="00C63DB6"/>
    <w:rsid w:val="00C63DDC"/>
    <w:rsid w:val="00C63F2F"/>
    <w:rsid w:val="00C63F56"/>
    <w:rsid w:val="00C64165"/>
    <w:rsid w:val="00C642E2"/>
    <w:rsid w:val="00C643C7"/>
    <w:rsid w:val="00C64412"/>
    <w:rsid w:val="00C644B4"/>
    <w:rsid w:val="00C647DA"/>
    <w:rsid w:val="00C6488F"/>
    <w:rsid w:val="00C64A4C"/>
    <w:rsid w:val="00C64AE4"/>
    <w:rsid w:val="00C64AE5"/>
    <w:rsid w:val="00C64B27"/>
    <w:rsid w:val="00C64B32"/>
    <w:rsid w:val="00C64B48"/>
    <w:rsid w:val="00C64B85"/>
    <w:rsid w:val="00C64B88"/>
    <w:rsid w:val="00C64C3C"/>
    <w:rsid w:val="00C64D1A"/>
    <w:rsid w:val="00C64E17"/>
    <w:rsid w:val="00C64E9C"/>
    <w:rsid w:val="00C64EA2"/>
    <w:rsid w:val="00C64F02"/>
    <w:rsid w:val="00C64F04"/>
    <w:rsid w:val="00C64F82"/>
    <w:rsid w:val="00C64F8F"/>
    <w:rsid w:val="00C65071"/>
    <w:rsid w:val="00C650D2"/>
    <w:rsid w:val="00C651FF"/>
    <w:rsid w:val="00C65390"/>
    <w:rsid w:val="00C6547D"/>
    <w:rsid w:val="00C65485"/>
    <w:rsid w:val="00C655F9"/>
    <w:rsid w:val="00C656F8"/>
    <w:rsid w:val="00C657DF"/>
    <w:rsid w:val="00C6581A"/>
    <w:rsid w:val="00C659D1"/>
    <w:rsid w:val="00C65A0E"/>
    <w:rsid w:val="00C65B79"/>
    <w:rsid w:val="00C65C74"/>
    <w:rsid w:val="00C65CE3"/>
    <w:rsid w:val="00C65D22"/>
    <w:rsid w:val="00C65DD7"/>
    <w:rsid w:val="00C65E84"/>
    <w:rsid w:val="00C65EF4"/>
    <w:rsid w:val="00C66030"/>
    <w:rsid w:val="00C6603E"/>
    <w:rsid w:val="00C66094"/>
    <w:rsid w:val="00C66096"/>
    <w:rsid w:val="00C660DF"/>
    <w:rsid w:val="00C6611B"/>
    <w:rsid w:val="00C66152"/>
    <w:rsid w:val="00C661C7"/>
    <w:rsid w:val="00C66202"/>
    <w:rsid w:val="00C66287"/>
    <w:rsid w:val="00C662F5"/>
    <w:rsid w:val="00C663C5"/>
    <w:rsid w:val="00C66404"/>
    <w:rsid w:val="00C6657F"/>
    <w:rsid w:val="00C66587"/>
    <w:rsid w:val="00C665AC"/>
    <w:rsid w:val="00C665D0"/>
    <w:rsid w:val="00C665FC"/>
    <w:rsid w:val="00C66637"/>
    <w:rsid w:val="00C6666B"/>
    <w:rsid w:val="00C666CA"/>
    <w:rsid w:val="00C66705"/>
    <w:rsid w:val="00C66814"/>
    <w:rsid w:val="00C6693D"/>
    <w:rsid w:val="00C669B1"/>
    <w:rsid w:val="00C66A2D"/>
    <w:rsid w:val="00C66AA4"/>
    <w:rsid w:val="00C66ABE"/>
    <w:rsid w:val="00C66C08"/>
    <w:rsid w:val="00C66C6B"/>
    <w:rsid w:val="00C66CA7"/>
    <w:rsid w:val="00C66CF8"/>
    <w:rsid w:val="00C66D85"/>
    <w:rsid w:val="00C66EF5"/>
    <w:rsid w:val="00C66F35"/>
    <w:rsid w:val="00C66FD1"/>
    <w:rsid w:val="00C6705E"/>
    <w:rsid w:val="00C670C8"/>
    <w:rsid w:val="00C670E4"/>
    <w:rsid w:val="00C671A6"/>
    <w:rsid w:val="00C6726B"/>
    <w:rsid w:val="00C67436"/>
    <w:rsid w:val="00C67440"/>
    <w:rsid w:val="00C674CB"/>
    <w:rsid w:val="00C67564"/>
    <w:rsid w:val="00C675D6"/>
    <w:rsid w:val="00C676A9"/>
    <w:rsid w:val="00C676B4"/>
    <w:rsid w:val="00C67722"/>
    <w:rsid w:val="00C6774E"/>
    <w:rsid w:val="00C67793"/>
    <w:rsid w:val="00C677DB"/>
    <w:rsid w:val="00C67830"/>
    <w:rsid w:val="00C67879"/>
    <w:rsid w:val="00C6792B"/>
    <w:rsid w:val="00C67962"/>
    <w:rsid w:val="00C67963"/>
    <w:rsid w:val="00C67A3E"/>
    <w:rsid w:val="00C67B26"/>
    <w:rsid w:val="00C67B31"/>
    <w:rsid w:val="00C67C95"/>
    <w:rsid w:val="00C67E3E"/>
    <w:rsid w:val="00C67E8B"/>
    <w:rsid w:val="00C67F20"/>
    <w:rsid w:val="00C67FDF"/>
    <w:rsid w:val="00C70061"/>
    <w:rsid w:val="00C700DD"/>
    <w:rsid w:val="00C70198"/>
    <w:rsid w:val="00C701F5"/>
    <w:rsid w:val="00C70207"/>
    <w:rsid w:val="00C7039F"/>
    <w:rsid w:val="00C7089E"/>
    <w:rsid w:val="00C70ABE"/>
    <w:rsid w:val="00C70B26"/>
    <w:rsid w:val="00C70C92"/>
    <w:rsid w:val="00C70D5C"/>
    <w:rsid w:val="00C70D90"/>
    <w:rsid w:val="00C70E29"/>
    <w:rsid w:val="00C70E8B"/>
    <w:rsid w:val="00C70E8E"/>
    <w:rsid w:val="00C70EA2"/>
    <w:rsid w:val="00C70FBF"/>
    <w:rsid w:val="00C70FC7"/>
    <w:rsid w:val="00C712E2"/>
    <w:rsid w:val="00C712EE"/>
    <w:rsid w:val="00C71354"/>
    <w:rsid w:val="00C71363"/>
    <w:rsid w:val="00C7137D"/>
    <w:rsid w:val="00C71384"/>
    <w:rsid w:val="00C71386"/>
    <w:rsid w:val="00C71512"/>
    <w:rsid w:val="00C715C8"/>
    <w:rsid w:val="00C715F4"/>
    <w:rsid w:val="00C7174A"/>
    <w:rsid w:val="00C71828"/>
    <w:rsid w:val="00C7188E"/>
    <w:rsid w:val="00C71935"/>
    <w:rsid w:val="00C719A5"/>
    <w:rsid w:val="00C719E4"/>
    <w:rsid w:val="00C71B82"/>
    <w:rsid w:val="00C71BBF"/>
    <w:rsid w:val="00C71C81"/>
    <w:rsid w:val="00C71CF8"/>
    <w:rsid w:val="00C71D6B"/>
    <w:rsid w:val="00C71E71"/>
    <w:rsid w:val="00C71EE1"/>
    <w:rsid w:val="00C71EF4"/>
    <w:rsid w:val="00C71F2E"/>
    <w:rsid w:val="00C71FDE"/>
    <w:rsid w:val="00C7201F"/>
    <w:rsid w:val="00C72158"/>
    <w:rsid w:val="00C7220B"/>
    <w:rsid w:val="00C72222"/>
    <w:rsid w:val="00C72272"/>
    <w:rsid w:val="00C722B6"/>
    <w:rsid w:val="00C72304"/>
    <w:rsid w:val="00C72351"/>
    <w:rsid w:val="00C72396"/>
    <w:rsid w:val="00C723F6"/>
    <w:rsid w:val="00C72429"/>
    <w:rsid w:val="00C72446"/>
    <w:rsid w:val="00C724A9"/>
    <w:rsid w:val="00C724F1"/>
    <w:rsid w:val="00C72526"/>
    <w:rsid w:val="00C7261A"/>
    <w:rsid w:val="00C72622"/>
    <w:rsid w:val="00C7267B"/>
    <w:rsid w:val="00C72715"/>
    <w:rsid w:val="00C72A3B"/>
    <w:rsid w:val="00C72B82"/>
    <w:rsid w:val="00C72C04"/>
    <w:rsid w:val="00C72C27"/>
    <w:rsid w:val="00C72C38"/>
    <w:rsid w:val="00C72EEE"/>
    <w:rsid w:val="00C72FD9"/>
    <w:rsid w:val="00C73025"/>
    <w:rsid w:val="00C730A0"/>
    <w:rsid w:val="00C731A5"/>
    <w:rsid w:val="00C731B8"/>
    <w:rsid w:val="00C73291"/>
    <w:rsid w:val="00C732AB"/>
    <w:rsid w:val="00C732EB"/>
    <w:rsid w:val="00C7344B"/>
    <w:rsid w:val="00C735C9"/>
    <w:rsid w:val="00C73648"/>
    <w:rsid w:val="00C736D9"/>
    <w:rsid w:val="00C73836"/>
    <w:rsid w:val="00C73901"/>
    <w:rsid w:val="00C73A7A"/>
    <w:rsid w:val="00C73B20"/>
    <w:rsid w:val="00C73BAE"/>
    <w:rsid w:val="00C73DF1"/>
    <w:rsid w:val="00C73E47"/>
    <w:rsid w:val="00C740FB"/>
    <w:rsid w:val="00C74186"/>
    <w:rsid w:val="00C74230"/>
    <w:rsid w:val="00C7424F"/>
    <w:rsid w:val="00C74272"/>
    <w:rsid w:val="00C742A7"/>
    <w:rsid w:val="00C742C1"/>
    <w:rsid w:val="00C742EE"/>
    <w:rsid w:val="00C742F0"/>
    <w:rsid w:val="00C743DC"/>
    <w:rsid w:val="00C74456"/>
    <w:rsid w:val="00C744E7"/>
    <w:rsid w:val="00C74728"/>
    <w:rsid w:val="00C74753"/>
    <w:rsid w:val="00C747D1"/>
    <w:rsid w:val="00C747DA"/>
    <w:rsid w:val="00C74834"/>
    <w:rsid w:val="00C7484B"/>
    <w:rsid w:val="00C748F2"/>
    <w:rsid w:val="00C749D3"/>
    <w:rsid w:val="00C74A87"/>
    <w:rsid w:val="00C74B03"/>
    <w:rsid w:val="00C74DE8"/>
    <w:rsid w:val="00C74FA4"/>
    <w:rsid w:val="00C75045"/>
    <w:rsid w:val="00C7504F"/>
    <w:rsid w:val="00C750A2"/>
    <w:rsid w:val="00C7519B"/>
    <w:rsid w:val="00C751BD"/>
    <w:rsid w:val="00C7529E"/>
    <w:rsid w:val="00C75347"/>
    <w:rsid w:val="00C753CC"/>
    <w:rsid w:val="00C75441"/>
    <w:rsid w:val="00C75488"/>
    <w:rsid w:val="00C75530"/>
    <w:rsid w:val="00C75568"/>
    <w:rsid w:val="00C75823"/>
    <w:rsid w:val="00C75832"/>
    <w:rsid w:val="00C7585C"/>
    <w:rsid w:val="00C759C3"/>
    <w:rsid w:val="00C75A2C"/>
    <w:rsid w:val="00C75A50"/>
    <w:rsid w:val="00C75A81"/>
    <w:rsid w:val="00C75A97"/>
    <w:rsid w:val="00C75AD8"/>
    <w:rsid w:val="00C75B22"/>
    <w:rsid w:val="00C75B39"/>
    <w:rsid w:val="00C75B81"/>
    <w:rsid w:val="00C75C34"/>
    <w:rsid w:val="00C75CD4"/>
    <w:rsid w:val="00C75D1B"/>
    <w:rsid w:val="00C75D98"/>
    <w:rsid w:val="00C75DC0"/>
    <w:rsid w:val="00C75DEF"/>
    <w:rsid w:val="00C75E6E"/>
    <w:rsid w:val="00C75EBC"/>
    <w:rsid w:val="00C75EC8"/>
    <w:rsid w:val="00C75EEE"/>
    <w:rsid w:val="00C76096"/>
    <w:rsid w:val="00C760C8"/>
    <w:rsid w:val="00C761E9"/>
    <w:rsid w:val="00C761F1"/>
    <w:rsid w:val="00C76249"/>
    <w:rsid w:val="00C763A5"/>
    <w:rsid w:val="00C763D9"/>
    <w:rsid w:val="00C7650C"/>
    <w:rsid w:val="00C76576"/>
    <w:rsid w:val="00C7662F"/>
    <w:rsid w:val="00C76651"/>
    <w:rsid w:val="00C766BC"/>
    <w:rsid w:val="00C76815"/>
    <w:rsid w:val="00C7683F"/>
    <w:rsid w:val="00C76992"/>
    <w:rsid w:val="00C769E0"/>
    <w:rsid w:val="00C76A02"/>
    <w:rsid w:val="00C76A57"/>
    <w:rsid w:val="00C76A59"/>
    <w:rsid w:val="00C76A8F"/>
    <w:rsid w:val="00C76AAF"/>
    <w:rsid w:val="00C76AC7"/>
    <w:rsid w:val="00C76AD0"/>
    <w:rsid w:val="00C76B4B"/>
    <w:rsid w:val="00C76BBF"/>
    <w:rsid w:val="00C76D0D"/>
    <w:rsid w:val="00C76D62"/>
    <w:rsid w:val="00C76D70"/>
    <w:rsid w:val="00C76D8C"/>
    <w:rsid w:val="00C76E59"/>
    <w:rsid w:val="00C76EDF"/>
    <w:rsid w:val="00C76F42"/>
    <w:rsid w:val="00C770B9"/>
    <w:rsid w:val="00C77109"/>
    <w:rsid w:val="00C77191"/>
    <w:rsid w:val="00C77194"/>
    <w:rsid w:val="00C7719E"/>
    <w:rsid w:val="00C772F3"/>
    <w:rsid w:val="00C7730A"/>
    <w:rsid w:val="00C7733F"/>
    <w:rsid w:val="00C77397"/>
    <w:rsid w:val="00C77473"/>
    <w:rsid w:val="00C7750E"/>
    <w:rsid w:val="00C77582"/>
    <w:rsid w:val="00C77795"/>
    <w:rsid w:val="00C778A4"/>
    <w:rsid w:val="00C77918"/>
    <w:rsid w:val="00C77ADA"/>
    <w:rsid w:val="00C77C67"/>
    <w:rsid w:val="00C77C9D"/>
    <w:rsid w:val="00C77CAA"/>
    <w:rsid w:val="00C77CBC"/>
    <w:rsid w:val="00C77DF6"/>
    <w:rsid w:val="00C77E3B"/>
    <w:rsid w:val="00C77EDC"/>
    <w:rsid w:val="00C77F01"/>
    <w:rsid w:val="00C77F2A"/>
    <w:rsid w:val="00C77F48"/>
    <w:rsid w:val="00C80005"/>
    <w:rsid w:val="00C800B8"/>
    <w:rsid w:val="00C8010C"/>
    <w:rsid w:val="00C80203"/>
    <w:rsid w:val="00C8048D"/>
    <w:rsid w:val="00C8061E"/>
    <w:rsid w:val="00C806A8"/>
    <w:rsid w:val="00C806CE"/>
    <w:rsid w:val="00C807B2"/>
    <w:rsid w:val="00C807BF"/>
    <w:rsid w:val="00C808C4"/>
    <w:rsid w:val="00C80A51"/>
    <w:rsid w:val="00C80A8C"/>
    <w:rsid w:val="00C80A96"/>
    <w:rsid w:val="00C80B08"/>
    <w:rsid w:val="00C80C0B"/>
    <w:rsid w:val="00C80C27"/>
    <w:rsid w:val="00C80CC4"/>
    <w:rsid w:val="00C80DA0"/>
    <w:rsid w:val="00C80FB4"/>
    <w:rsid w:val="00C80FD0"/>
    <w:rsid w:val="00C81098"/>
    <w:rsid w:val="00C810A0"/>
    <w:rsid w:val="00C811A3"/>
    <w:rsid w:val="00C8133E"/>
    <w:rsid w:val="00C8134F"/>
    <w:rsid w:val="00C814A7"/>
    <w:rsid w:val="00C814F5"/>
    <w:rsid w:val="00C81667"/>
    <w:rsid w:val="00C816B9"/>
    <w:rsid w:val="00C81797"/>
    <w:rsid w:val="00C817FE"/>
    <w:rsid w:val="00C81860"/>
    <w:rsid w:val="00C81993"/>
    <w:rsid w:val="00C8199A"/>
    <w:rsid w:val="00C81A28"/>
    <w:rsid w:val="00C81A3B"/>
    <w:rsid w:val="00C81AB8"/>
    <w:rsid w:val="00C81B37"/>
    <w:rsid w:val="00C81BFA"/>
    <w:rsid w:val="00C81D54"/>
    <w:rsid w:val="00C81DC6"/>
    <w:rsid w:val="00C81EC4"/>
    <w:rsid w:val="00C81EC7"/>
    <w:rsid w:val="00C81ED3"/>
    <w:rsid w:val="00C82012"/>
    <w:rsid w:val="00C8210B"/>
    <w:rsid w:val="00C8212B"/>
    <w:rsid w:val="00C82144"/>
    <w:rsid w:val="00C82285"/>
    <w:rsid w:val="00C8236C"/>
    <w:rsid w:val="00C823AD"/>
    <w:rsid w:val="00C823C5"/>
    <w:rsid w:val="00C82406"/>
    <w:rsid w:val="00C82504"/>
    <w:rsid w:val="00C8257A"/>
    <w:rsid w:val="00C82611"/>
    <w:rsid w:val="00C82667"/>
    <w:rsid w:val="00C82720"/>
    <w:rsid w:val="00C82763"/>
    <w:rsid w:val="00C827E9"/>
    <w:rsid w:val="00C8289A"/>
    <w:rsid w:val="00C828FF"/>
    <w:rsid w:val="00C82963"/>
    <w:rsid w:val="00C82AA1"/>
    <w:rsid w:val="00C82B6D"/>
    <w:rsid w:val="00C82D35"/>
    <w:rsid w:val="00C82D5D"/>
    <w:rsid w:val="00C82DFF"/>
    <w:rsid w:val="00C82E04"/>
    <w:rsid w:val="00C82E58"/>
    <w:rsid w:val="00C82EAB"/>
    <w:rsid w:val="00C82EF6"/>
    <w:rsid w:val="00C82FD1"/>
    <w:rsid w:val="00C83012"/>
    <w:rsid w:val="00C8301E"/>
    <w:rsid w:val="00C83051"/>
    <w:rsid w:val="00C830B9"/>
    <w:rsid w:val="00C8312E"/>
    <w:rsid w:val="00C8323C"/>
    <w:rsid w:val="00C832C9"/>
    <w:rsid w:val="00C83379"/>
    <w:rsid w:val="00C833DB"/>
    <w:rsid w:val="00C83635"/>
    <w:rsid w:val="00C83694"/>
    <w:rsid w:val="00C8370E"/>
    <w:rsid w:val="00C83854"/>
    <w:rsid w:val="00C8385B"/>
    <w:rsid w:val="00C83945"/>
    <w:rsid w:val="00C8399E"/>
    <w:rsid w:val="00C83A02"/>
    <w:rsid w:val="00C83A17"/>
    <w:rsid w:val="00C83A7B"/>
    <w:rsid w:val="00C83BA6"/>
    <w:rsid w:val="00C83BAB"/>
    <w:rsid w:val="00C83C16"/>
    <w:rsid w:val="00C83C59"/>
    <w:rsid w:val="00C83C92"/>
    <w:rsid w:val="00C83CD5"/>
    <w:rsid w:val="00C83CF9"/>
    <w:rsid w:val="00C83D30"/>
    <w:rsid w:val="00C83E7B"/>
    <w:rsid w:val="00C83E89"/>
    <w:rsid w:val="00C84049"/>
    <w:rsid w:val="00C841ED"/>
    <w:rsid w:val="00C842A1"/>
    <w:rsid w:val="00C842D7"/>
    <w:rsid w:val="00C8433B"/>
    <w:rsid w:val="00C84445"/>
    <w:rsid w:val="00C844BC"/>
    <w:rsid w:val="00C84517"/>
    <w:rsid w:val="00C845A9"/>
    <w:rsid w:val="00C845DD"/>
    <w:rsid w:val="00C846A4"/>
    <w:rsid w:val="00C846B4"/>
    <w:rsid w:val="00C846B7"/>
    <w:rsid w:val="00C846BC"/>
    <w:rsid w:val="00C846E9"/>
    <w:rsid w:val="00C846F0"/>
    <w:rsid w:val="00C848D9"/>
    <w:rsid w:val="00C8496C"/>
    <w:rsid w:val="00C84998"/>
    <w:rsid w:val="00C849E4"/>
    <w:rsid w:val="00C84AA9"/>
    <w:rsid w:val="00C84B66"/>
    <w:rsid w:val="00C84B81"/>
    <w:rsid w:val="00C84D1D"/>
    <w:rsid w:val="00C84D39"/>
    <w:rsid w:val="00C84E27"/>
    <w:rsid w:val="00C84E8D"/>
    <w:rsid w:val="00C84EB7"/>
    <w:rsid w:val="00C84F03"/>
    <w:rsid w:val="00C84FAD"/>
    <w:rsid w:val="00C84FC9"/>
    <w:rsid w:val="00C85192"/>
    <w:rsid w:val="00C851B4"/>
    <w:rsid w:val="00C8522B"/>
    <w:rsid w:val="00C85253"/>
    <w:rsid w:val="00C85265"/>
    <w:rsid w:val="00C85310"/>
    <w:rsid w:val="00C85360"/>
    <w:rsid w:val="00C85412"/>
    <w:rsid w:val="00C85430"/>
    <w:rsid w:val="00C85468"/>
    <w:rsid w:val="00C85469"/>
    <w:rsid w:val="00C8549E"/>
    <w:rsid w:val="00C854CE"/>
    <w:rsid w:val="00C85570"/>
    <w:rsid w:val="00C85579"/>
    <w:rsid w:val="00C8569E"/>
    <w:rsid w:val="00C8574F"/>
    <w:rsid w:val="00C85785"/>
    <w:rsid w:val="00C85796"/>
    <w:rsid w:val="00C8580E"/>
    <w:rsid w:val="00C85829"/>
    <w:rsid w:val="00C858C3"/>
    <w:rsid w:val="00C858F3"/>
    <w:rsid w:val="00C8591E"/>
    <w:rsid w:val="00C85A7B"/>
    <w:rsid w:val="00C85BEF"/>
    <w:rsid w:val="00C85C07"/>
    <w:rsid w:val="00C85DBA"/>
    <w:rsid w:val="00C85E7D"/>
    <w:rsid w:val="00C85F76"/>
    <w:rsid w:val="00C85FFE"/>
    <w:rsid w:val="00C86070"/>
    <w:rsid w:val="00C86189"/>
    <w:rsid w:val="00C8627D"/>
    <w:rsid w:val="00C862C9"/>
    <w:rsid w:val="00C862F4"/>
    <w:rsid w:val="00C8647D"/>
    <w:rsid w:val="00C86588"/>
    <w:rsid w:val="00C8659E"/>
    <w:rsid w:val="00C865C4"/>
    <w:rsid w:val="00C8671E"/>
    <w:rsid w:val="00C86844"/>
    <w:rsid w:val="00C8690C"/>
    <w:rsid w:val="00C8699B"/>
    <w:rsid w:val="00C86A97"/>
    <w:rsid w:val="00C86B7D"/>
    <w:rsid w:val="00C86C1F"/>
    <w:rsid w:val="00C86D1E"/>
    <w:rsid w:val="00C86D3A"/>
    <w:rsid w:val="00C86DA6"/>
    <w:rsid w:val="00C86E79"/>
    <w:rsid w:val="00C86E93"/>
    <w:rsid w:val="00C86F1B"/>
    <w:rsid w:val="00C86F59"/>
    <w:rsid w:val="00C86F6C"/>
    <w:rsid w:val="00C86F73"/>
    <w:rsid w:val="00C87019"/>
    <w:rsid w:val="00C872DE"/>
    <w:rsid w:val="00C87330"/>
    <w:rsid w:val="00C87359"/>
    <w:rsid w:val="00C8747C"/>
    <w:rsid w:val="00C87499"/>
    <w:rsid w:val="00C874C9"/>
    <w:rsid w:val="00C8764F"/>
    <w:rsid w:val="00C87654"/>
    <w:rsid w:val="00C8795A"/>
    <w:rsid w:val="00C87969"/>
    <w:rsid w:val="00C8798E"/>
    <w:rsid w:val="00C879C0"/>
    <w:rsid w:val="00C87AAA"/>
    <w:rsid w:val="00C87AD6"/>
    <w:rsid w:val="00C87BA5"/>
    <w:rsid w:val="00C87BE2"/>
    <w:rsid w:val="00C87C23"/>
    <w:rsid w:val="00C87C44"/>
    <w:rsid w:val="00C87C7E"/>
    <w:rsid w:val="00C87D42"/>
    <w:rsid w:val="00C87D74"/>
    <w:rsid w:val="00C87E1C"/>
    <w:rsid w:val="00C87E2D"/>
    <w:rsid w:val="00C87EE2"/>
    <w:rsid w:val="00C87F53"/>
    <w:rsid w:val="00C87F6E"/>
    <w:rsid w:val="00C87FE9"/>
    <w:rsid w:val="00C90048"/>
    <w:rsid w:val="00C9004D"/>
    <w:rsid w:val="00C90132"/>
    <w:rsid w:val="00C90151"/>
    <w:rsid w:val="00C901DE"/>
    <w:rsid w:val="00C90234"/>
    <w:rsid w:val="00C90318"/>
    <w:rsid w:val="00C904CF"/>
    <w:rsid w:val="00C90501"/>
    <w:rsid w:val="00C90527"/>
    <w:rsid w:val="00C90531"/>
    <w:rsid w:val="00C90607"/>
    <w:rsid w:val="00C90627"/>
    <w:rsid w:val="00C90718"/>
    <w:rsid w:val="00C90744"/>
    <w:rsid w:val="00C908A5"/>
    <w:rsid w:val="00C9091F"/>
    <w:rsid w:val="00C90944"/>
    <w:rsid w:val="00C90A20"/>
    <w:rsid w:val="00C90A46"/>
    <w:rsid w:val="00C90AA0"/>
    <w:rsid w:val="00C90AAA"/>
    <w:rsid w:val="00C90BEE"/>
    <w:rsid w:val="00C90BEF"/>
    <w:rsid w:val="00C90BFF"/>
    <w:rsid w:val="00C90C4F"/>
    <w:rsid w:val="00C90D85"/>
    <w:rsid w:val="00C90EA6"/>
    <w:rsid w:val="00C90F45"/>
    <w:rsid w:val="00C90F93"/>
    <w:rsid w:val="00C90FBF"/>
    <w:rsid w:val="00C91051"/>
    <w:rsid w:val="00C910E4"/>
    <w:rsid w:val="00C91186"/>
    <w:rsid w:val="00C911E8"/>
    <w:rsid w:val="00C913B9"/>
    <w:rsid w:val="00C913F1"/>
    <w:rsid w:val="00C91416"/>
    <w:rsid w:val="00C91418"/>
    <w:rsid w:val="00C91453"/>
    <w:rsid w:val="00C914FD"/>
    <w:rsid w:val="00C91572"/>
    <w:rsid w:val="00C915F5"/>
    <w:rsid w:val="00C91685"/>
    <w:rsid w:val="00C916C6"/>
    <w:rsid w:val="00C916F1"/>
    <w:rsid w:val="00C91735"/>
    <w:rsid w:val="00C91774"/>
    <w:rsid w:val="00C91788"/>
    <w:rsid w:val="00C9185F"/>
    <w:rsid w:val="00C918B7"/>
    <w:rsid w:val="00C91924"/>
    <w:rsid w:val="00C9199A"/>
    <w:rsid w:val="00C919A3"/>
    <w:rsid w:val="00C91A16"/>
    <w:rsid w:val="00C91A5F"/>
    <w:rsid w:val="00C91A7E"/>
    <w:rsid w:val="00C91B47"/>
    <w:rsid w:val="00C91CCA"/>
    <w:rsid w:val="00C91DFE"/>
    <w:rsid w:val="00C91F46"/>
    <w:rsid w:val="00C91FB9"/>
    <w:rsid w:val="00C91FDA"/>
    <w:rsid w:val="00C9206A"/>
    <w:rsid w:val="00C92111"/>
    <w:rsid w:val="00C92165"/>
    <w:rsid w:val="00C921B0"/>
    <w:rsid w:val="00C92345"/>
    <w:rsid w:val="00C923B3"/>
    <w:rsid w:val="00C92402"/>
    <w:rsid w:val="00C92491"/>
    <w:rsid w:val="00C924B8"/>
    <w:rsid w:val="00C92543"/>
    <w:rsid w:val="00C92583"/>
    <w:rsid w:val="00C925E2"/>
    <w:rsid w:val="00C92620"/>
    <w:rsid w:val="00C9265F"/>
    <w:rsid w:val="00C926B8"/>
    <w:rsid w:val="00C92754"/>
    <w:rsid w:val="00C92778"/>
    <w:rsid w:val="00C92827"/>
    <w:rsid w:val="00C928DB"/>
    <w:rsid w:val="00C9292C"/>
    <w:rsid w:val="00C929D6"/>
    <w:rsid w:val="00C929EA"/>
    <w:rsid w:val="00C92A9C"/>
    <w:rsid w:val="00C92BE1"/>
    <w:rsid w:val="00C92CE9"/>
    <w:rsid w:val="00C92E6F"/>
    <w:rsid w:val="00C92ED9"/>
    <w:rsid w:val="00C92F50"/>
    <w:rsid w:val="00C92F89"/>
    <w:rsid w:val="00C9302A"/>
    <w:rsid w:val="00C93086"/>
    <w:rsid w:val="00C930F7"/>
    <w:rsid w:val="00C932A5"/>
    <w:rsid w:val="00C93326"/>
    <w:rsid w:val="00C93481"/>
    <w:rsid w:val="00C934E7"/>
    <w:rsid w:val="00C93539"/>
    <w:rsid w:val="00C93553"/>
    <w:rsid w:val="00C935C8"/>
    <w:rsid w:val="00C935E8"/>
    <w:rsid w:val="00C9371E"/>
    <w:rsid w:val="00C93756"/>
    <w:rsid w:val="00C93887"/>
    <w:rsid w:val="00C93894"/>
    <w:rsid w:val="00C938AC"/>
    <w:rsid w:val="00C9390C"/>
    <w:rsid w:val="00C93941"/>
    <w:rsid w:val="00C939BB"/>
    <w:rsid w:val="00C93A59"/>
    <w:rsid w:val="00C93A5A"/>
    <w:rsid w:val="00C93AA9"/>
    <w:rsid w:val="00C93B28"/>
    <w:rsid w:val="00C93B59"/>
    <w:rsid w:val="00C93CE6"/>
    <w:rsid w:val="00C93CF3"/>
    <w:rsid w:val="00C93D16"/>
    <w:rsid w:val="00C93D34"/>
    <w:rsid w:val="00C93E3E"/>
    <w:rsid w:val="00C93EAB"/>
    <w:rsid w:val="00C93F5B"/>
    <w:rsid w:val="00C93F83"/>
    <w:rsid w:val="00C93FE5"/>
    <w:rsid w:val="00C941AC"/>
    <w:rsid w:val="00C94219"/>
    <w:rsid w:val="00C94384"/>
    <w:rsid w:val="00C943A4"/>
    <w:rsid w:val="00C943A8"/>
    <w:rsid w:val="00C943FA"/>
    <w:rsid w:val="00C94407"/>
    <w:rsid w:val="00C9441A"/>
    <w:rsid w:val="00C94424"/>
    <w:rsid w:val="00C94433"/>
    <w:rsid w:val="00C94511"/>
    <w:rsid w:val="00C94549"/>
    <w:rsid w:val="00C945F1"/>
    <w:rsid w:val="00C946C2"/>
    <w:rsid w:val="00C94745"/>
    <w:rsid w:val="00C948C1"/>
    <w:rsid w:val="00C9499F"/>
    <w:rsid w:val="00C94A54"/>
    <w:rsid w:val="00C94A5A"/>
    <w:rsid w:val="00C94C59"/>
    <w:rsid w:val="00C94C6A"/>
    <w:rsid w:val="00C94CDF"/>
    <w:rsid w:val="00C94CF1"/>
    <w:rsid w:val="00C94D8B"/>
    <w:rsid w:val="00C94DA8"/>
    <w:rsid w:val="00C94E68"/>
    <w:rsid w:val="00C94EFA"/>
    <w:rsid w:val="00C94F2E"/>
    <w:rsid w:val="00C94F56"/>
    <w:rsid w:val="00C94F82"/>
    <w:rsid w:val="00C95030"/>
    <w:rsid w:val="00C95050"/>
    <w:rsid w:val="00C9506D"/>
    <w:rsid w:val="00C95146"/>
    <w:rsid w:val="00C951C6"/>
    <w:rsid w:val="00C9526E"/>
    <w:rsid w:val="00C952D6"/>
    <w:rsid w:val="00C95381"/>
    <w:rsid w:val="00C95394"/>
    <w:rsid w:val="00C9549A"/>
    <w:rsid w:val="00C954F4"/>
    <w:rsid w:val="00C95777"/>
    <w:rsid w:val="00C95800"/>
    <w:rsid w:val="00C95989"/>
    <w:rsid w:val="00C959CB"/>
    <w:rsid w:val="00C95A9D"/>
    <w:rsid w:val="00C95AC0"/>
    <w:rsid w:val="00C95B6A"/>
    <w:rsid w:val="00C95B79"/>
    <w:rsid w:val="00C95BCF"/>
    <w:rsid w:val="00C95C14"/>
    <w:rsid w:val="00C95C5D"/>
    <w:rsid w:val="00C95D36"/>
    <w:rsid w:val="00C95EA9"/>
    <w:rsid w:val="00C95EF7"/>
    <w:rsid w:val="00C95F0B"/>
    <w:rsid w:val="00C95F14"/>
    <w:rsid w:val="00C95F4E"/>
    <w:rsid w:val="00C96076"/>
    <w:rsid w:val="00C96104"/>
    <w:rsid w:val="00C96216"/>
    <w:rsid w:val="00C96353"/>
    <w:rsid w:val="00C9636C"/>
    <w:rsid w:val="00C963BE"/>
    <w:rsid w:val="00C963DC"/>
    <w:rsid w:val="00C963E0"/>
    <w:rsid w:val="00C96411"/>
    <w:rsid w:val="00C96498"/>
    <w:rsid w:val="00C964D8"/>
    <w:rsid w:val="00C964F1"/>
    <w:rsid w:val="00C96592"/>
    <w:rsid w:val="00C9664D"/>
    <w:rsid w:val="00C966F8"/>
    <w:rsid w:val="00C9674C"/>
    <w:rsid w:val="00C96843"/>
    <w:rsid w:val="00C9684E"/>
    <w:rsid w:val="00C96915"/>
    <w:rsid w:val="00C969B9"/>
    <w:rsid w:val="00C96BA8"/>
    <w:rsid w:val="00C96BCA"/>
    <w:rsid w:val="00C96BE4"/>
    <w:rsid w:val="00C96C05"/>
    <w:rsid w:val="00C96C1F"/>
    <w:rsid w:val="00C96DC7"/>
    <w:rsid w:val="00C96E32"/>
    <w:rsid w:val="00C96E58"/>
    <w:rsid w:val="00C96E83"/>
    <w:rsid w:val="00C96EC4"/>
    <w:rsid w:val="00C96F98"/>
    <w:rsid w:val="00C96FC9"/>
    <w:rsid w:val="00C9704F"/>
    <w:rsid w:val="00C971D4"/>
    <w:rsid w:val="00C972C1"/>
    <w:rsid w:val="00C972C9"/>
    <w:rsid w:val="00C97344"/>
    <w:rsid w:val="00C974E0"/>
    <w:rsid w:val="00C9756D"/>
    <w:rsid w:val="00C97626"/>
    <w:rsid w:val="00C9763C"/>
    <w:rsid w:val="00C9765E"/>
    <w:rsid w:val="00C9766C"/>
    <w:rsid w:val="00C976A0"/>
    <w:rsid w:val="00C97719"/>
    <w:rsid w:val="00C97797"/>
    <w:rsid w:val="00C978B3"/>
    <w:rsid w:val="00C97947"/>
    <w:rsid w:val="00C97949"/>
    <w:rsid w:val="00C97A08"/>
    <w:rsid w:val="00C97A3C"/>
    <w:rsid w:val="00C97ACC"/>
    <w:rsid w:val="00C97B5C"/>
    <w:rsid w:val="00C97B6A"/>
    <w:rsid w:val="00C97CB9"/>
    <w:rsid w:val="00C97E49"/>
    <w:rsid w:val="00C97E98"/>
    <w:rsid w:val="00C97F57"/>
    <w:rsid w:val="00C97F8F"/>
    <w:rsid w:val="00CA0009"/>
    <w:rsid w:val="00CA00F3"/>
    <w:rsid w:val="00CA0136"/>
    <w:rsid w:val="00CA013E"/>
    <w:rsid w:val="00CA0403"/>
    <w:rsid w:val="00CA048F"/>
    <w:rsid w:val="00CA04B0"/>
    <w:rsid w:val="00CA051D"/>
    <w:rsid w:val="00CA069F"/>
    <w:rsid w:val="00CA070E"/>
    <w:rsid w:val="00CA072B"/>
    <w:rsid w:val="00CA0761"/>
    <w:rsid w:val="00CA07B5"/>
    <w:rsid w:val="00CA07E7"/>
    <w:rsid w:val="00CA0822"/>
    <w:rsid w:val="00CA082C"/>
    <w:rsid w:val="00CA08BA"/>
    <w:rsid w:val="00CA0918"/>
    <w:rsid w:val="00CA09C3"/>
    <w:rsid w:val="00CA09DB"/>
    <w:rsid w:val="00CA09DF"/>
    <w:rsid w:val="00CA0B2F"/>
    <w:rsid w:val="00CA0BEA"/>
    <w:rsid w:val="00CA0C12"/>
    <w:rsid w:val="00CA0C78"/>
    <w:rsid w:val="00CA0D14"/>
    <w:rsid w:val="00CA0D4A"/>
    <w:rsid w:val="00CA0E82"/>
    <w:rsid w:val="00CA0E83"/>
    <w:rsid w:val="00CA0EDB"/>
    <w:rsid w:val="00CA0EEC"/>
    <w:rsid w:val="00CA10BD"/>
    <w:rsid w:val="00CA118E"/>
    <w:rsid w:val="00CA1290"/>
    <w:rsid w:val="00CA132D"/>
    <w:rsid w:val="00CA13CB"/>
    <w:rsid w:val="00CA1502"/>
    <w:rsid w:val="00CA152A"/>
    <w:rsid w:val="00CA154A"/>
    <w:rsid w:val="00CA15F4"/>
    <w:rsid w:val="00CA1720"/>
    <w:rsid w:val="00CA18A3"/>
    <w:rsid w:val="00CA1991"/>
    <w:rsid w:val="00CA1A51"/>
    <w:rsid w:val="00CA1AA1"/>
    <w:rsid w:val="00CA1BBA"/>
    <w:rsid w:val="00CA1BFC"/>
    <w:rsid w:val="00CA1C7C"/>
    <w:rsid w:val="00CA1F56"/>
    <w:rsid w:val="00CA1FD0"/>
    <w:rsid w:val="00CA1FE3"/>
    <w:rsid w:val="00CA2035"/>
    <w:rsid w:val="00CA216A"/>
    <w:rsid w:val="00CA21BB"/>
    <w:rsid w:val="00CA21CB"/>
    <w:rsid w:val="00CA2233"/>
    <w:rsid w:val="00CA237A"/>
    <w:rsid w:val="00CA23CD"/>
    <w:rsid w:val="00CA243F"/>
    <w:rsid w:val="00CA245A"/>
    <w:rsid w:val="00CA24C2"/>
    <w:rsid w:val="00CA25B7"/>
    <w:rsid w:val="00CA25E2"/>
    <w:rsid w:val="00CA2624"/>
    <w:rsid w:val="00CA26E5"/>
    <w:rsid w:val="00CA2738"/>
    <w:rsid w:val="00CA2788"/>
    <w:rsid w:val="00CA29A5"/>
    <w:rsid w:val="00CA2AA4"/>
    <w:rsid w:val="00CA2B5D"/>
    <w:rsid w:val="00CA2B8F"/>
    <w:rsid w:val="00CA2C55"/>
    <w:rsid w:val="00CA2C72"/>
    <w:rsid w:val="00CA2C89"/>
    <w:rsid w:val="00CA2D80"/>
    <w:rsid w:val="00CA2D96"/>
    <w:rsid w:val="00CA2DCA"/>
    <w:rsid w:val="00CA2E34"/>
    <w:rsid w:val="00CA2E38"/>
    <w:rsid w:val="00CA2EB9"/>
    <w:rsid w:val="00CA2EC4"/>
    <w:rsid w:val="00CA2F81"/>
    <w:rsid w:val="00CA3087"/>
    <w:rsid w:val="00CA3129"/>
    <w:rsid w:val="00CA32E4"/>
    <w:rsid w:val="00CA3319"/>
    <w:rsid w:val="00CA3331"/>
    <w:rsid w:val="00CA338A"/>
    <w:rsid w:val="00CA33C4"/>
    <w:rsid w:val="00CA35F7"/>
    <w:rsid w:val="00CA367D"/>
    <w:rsid w:val="00CA36D8"/>
    <w:rsid w:val="00CA375B"/>
    <w:rsid w:val="00CA37E9"/>
    <w:rsid w:val="00CA3812"/>
    <w:rsid w:val="00CA39D9"/>
    <w:rsid w:val="00CA3A18"/>
    <w:rsid w:val="00CA3A54"/>
    <w:rsid w:val="00CA3A87"/>
    <w:rsid w:val="00CA3A96"/>
    <w:rsid w:val="00CA3ADD"/>
    <w:rsid w:val="00CA3B09"/>
    <w:rsid w:val="00CA3C3E"/>
    <w:rsid w:val="00CA3CC3"/>
    <w:rsid w:val="00CA3DFC"/>
    <w:rsid w:val="00CA3E26"/>
    <w:rsid w:val="00CA3E89"/>
    <w:rsid w:val="00CA3F10"/>
    <w:rsid w:val="00CA4202"/>
    <w:rsid w:val="00CA4318"/>
    <w:rsid w:val="00CA442D"/>
    <w:rsid w:val="00CA4445"/>
    <w:rsid w:val="00CA44AA"/>
    <w:rsid w:val="00CA4835"/>
    <w:rsid w:val="00CA4889"/>
    <w:rsid w:val="00CA48B6"/>
    <w:rsid w:val="00CA4954"/>
    <w:rsid w:val="00CA497C"/>
    <w:rsid w:val="00CA4991"/>
    <w:rsid w:val="00CA49B5"/>
    <w:rsid w:val="00CA4A1C"/>
    <w:rsid w:val="00CA4A3F"/>
    <w:rsid w:val="00CA4AE4"/>
    <w:rsid w:val="00CA4B35"/>
    <w:rsid w:val="00CA4C0A"/>
    <w:rsid w:val="00CA4C29"/>
    <w:rsid w:val="00CA4CC0"/>
    <w:rsid w:val="00CA4DAE"/>
    <w:rsid w:val="00CA4DE7"/>
    <w:rsid w:val="00CA4E32"/>
    <w:rsid w:val="00CA4E84"/>
    <w:rsid w:val="00CA4ED9"/>
    <w:rsid w:val="00CA4EDF"/>
    <w:rsid w:val="00CA4EFE"/>
    <w:rsid w:val="00CA4FC7"/>
    <w:rsid w:val="00CA50C8"/>
    <w:rsid w:val="00CA5183"/>
    <w:rsid w:val="00CA51FF"/>
    <w:rsid w:val="00CA521E"/>
    <w:rsid w:val="00CA5236"/>
    <w:rsid w:val="00CA5277"/>
    <w:rsid w:val="00CA52E5"/>
    <w:rsid w:val="00CA52EC"/>
    <w:rsid w:val="00CA54CE"/>
    <w:rsid w:val="00CA55FA"/>
    <w:rsid w:val="00CA560C"/>
    <w:rsid w:val="00CA567B"/>
    <w:rsid w:val="00CA5693"/>
    <w:rsid w:val="00CA56ED"/>
    <w:rsid w:val="00CA5754"/>
    <w:rsid w:val="00CA5793"/>
    <w:rsid w:val="00CA57D0"/>
    <w:rsid w:val="00CA591C"/>
    <w:rsid w:val="00CA59CB"/>
    <w:rsid w:val="00CA5A47"/>
    <w:rsid w:val="00CA5ADC"/>
    <w:rsid w:val="00CA5B73"/>
    <w:rsid w:val="00CA5B75"/>
    <w:rsid w:val="00CA5C31"/>
    <w:rsid w:val="00CA5D17"/>
    <w:rsid w:val="00CA5D7A"/>
    <w:rsid w:val="00CA5F33"/>
    <w:rsid w:val="00CA6014"/>
    <w:rsid w:val="00CA6085"/>
    <w:rsid w:val="00CA6223"/>
    <w:rsid w:val="00CA6235"/>
    <w:rsid w:val="00CA6258"/>
    <w:rsid w:val="00CA6359"/>
    <w:rsid w:val="00CA6410"/>
    <w:rsid w:val="00CA643C"/>
    <w:rsid w:val="00CA649C"/>
    <w:rsid w:val="00CA64D5"/>
    <w:rsid w:val="00CA64F2"/>
    <w:rsid w:val="00CA6504"/>
    <w:rsid w:val="00CA6577"/>
    <w:rsid w:val="00CA664E"/>
    <w:rsid w:val="00CA6663"/>
    <w:rsid w:val="00CA6684"/>
    <w:rsid w:val="00CA6740"/>
    <w:rsid w:val="00CA6748"/>
    <w:rsid w:val="00CA6761"/>
    <w:rsid w:val="00CA6932"/>
    <w:rsid w:val="00CA6939"/>
    <w:rsid w:val="00CA694F"/>
    <w:rsid w:val="00CA69E2"/>
    <w:rsid w:val="00CA6A03"/>
    <w:rsid w:val="00CA6A33"/>
    <w:rsid w:val="00CA6A95"/>
    <w:rsid w:val="00CA6B60"/>
    <w:rsid w:val="00CA6C31"/>
    <w:rsid w:val="00CA6C73"/>
    <w:rsid w:val="00CA6CF8"/>
    <w:rsid w:val="00CA6F33"/>
    <w:rsid w:val="00CA6F73"/>
    <w:rsid w:val="00CA7058"/>
    <w:rsid w:val="00CA7128"/>
    <w:rsid w:val="00CA72A8"/>
    <w:rsid w:val="00CA73A5"/>
    <w:rsid w:val="00CA750C"/>
    <w:rsid w:val="00CA7582"/>
    <w:rsid w:val="00CA7589"/>
    <w:rsid w:val="00CA75CC"/>
    <w:rsid w:val="00CA75F0"/>
    <w:rsid w:val="00CA77AA"/>
    <w:rsid w:val="00CA7807"/>
    <w:rsid w:val="00CA78EE"/>
    <w:rsid w:val="00CA790B"/>
    <w:rsid w:val="00CA791D"/>
    <w:rsid w:val="00CA796D"/>
    <w:rsid w:val="00CA7A2E"/>
    <w:rsid w:val="00CA7A38"/>
    <w:rsid w:val="00CA7ACE"/>
    <w:rsid w:val="00CA7B52"/>
    <w:rsid w:val="00CA7C43"/>
    <w:rsid w:val="00CA7C9F"/>
    <w:rsid w:val="00CA7D78"/>
    <w:rsid w:val="00CA7DA4"/>
    <w:rsid w:val="00CA7DC5"/>
    <w:rsid w:val="00CA7E53"/>
    <w:rsid w:val="00CA7E71"/>
    <w:rsid w:val="00CA7E85"/>
    <w:rsid w:val="00CA7EFC"/>
    <w:rsid w:val="00CA7EFE"/>
    <w:rsid w:val="00CA7F29"/>
    <w:rsid w:val="00CA7FEF"/>
    <w:rsid w:val="00CB00A6"/>
    <w:rsid w:val="00CB00C9"/>
    <w:rsid w:val="00CB01B8"/>
    <w:rsid w:val="00CB01E4"/>
    <w:rsid w:val="00CB02B7"/>
    <w:rsid w:val="00CB02E7"/>
    <w:rsid w:val="00CB0364"/>
    <w:rsid w:val="00CB0465"/>
    <w:rsid w:val="00CB0466"/>
    <w:rsid w:val="00CB04BE"/>
    <w:rsid w:val="00CB057E"/>
    <w:rsid w:val="00CB061D"/>
    <w:rsid w:val="00CB0710"/>
    <w:rsid w:val="00CB0794"/>
    <w:rsid w:val="00CB0816"/>
    <w:rsid w:val="00CB09B7"/>
    <w:rsid w:val="00CB09DA"/>
    <w:rsid w:val="00CB0A0B"/>
    <w:rsid w:val="00CB0AEB"/>
    <w:rsid w:val="00CB0AF0"/>
    <w:rsid w:val="00CB0B43"/>
    <w:rsid w:val="00CB0C44"/>
    <w:rsid w:val="00CB0C7B"/>
    <w:rsid w:val="00CB0CA2"/>
    <w:rsid w:val="00CB0CB1"/>
    <w:rsid w:val="00CB0CC2"/>
    <w:rsid w:val="00CB0D11"/>
    <w:rsid w:val="00CB0DCE"/>
    <w:rsid w:val="00CB0F6E"/>
    <w:rsid w:val="00CB0F92"/>
    <w:rsid w:val="00CB0FF1"/>
    <w:rsid w:val="00CB1073"/>
    <w:rsid w:val="00CB1093"/>
    <w:rsid w:val="00CB115A"/>
    <w:rsid w:val="00CB11DA"/>
    <w:rsid w:val="00CB11F9"/>
    <w:rsid w:val="00CB123B"/>
    <w:rsid w:val="00CB12C7"/>
    <w:rsid w:val="00CB12FF"/>
    <w:rsid w:val="00CB139E"/>
    <w:rsid w:val="00CB1554"/>
    <w:rsid w:val="00CB1597"/>
    <w:rsid w:val="00CB15F8"/>
    <w:rsid w:val="00CB16C7"/>
    <w:rsid w:val="00CB174C"/>
    <w:rsid w:val="00CB17A1"/>
    <w:rsid w:val="00CB185F"/>
    <w:rsid w:val="00CB18F5"/>
    <w:rsid w:val="00CB1A5E"/>
    <w:rsid w:val="00CB1A71"/>
    <w:rsid w:val="00CB1B67"/>
    <w:rsid w:val="00CB1BDD"/>
    <w:rsid w:val="00CB1C7D"/>
    <w:rsid w:val="00CB1CEA"/>
    <w:rsid w:val="00CB1DCB"/>
    <w:rsid w:val="00CB1E37"/>
    <w:rsid w:val="00CB1EFC"/>
    <w:rsid w:val="00CB1F0C"/>
    <w:rsid w:val="00CB1F1D"/>
    <w:rsid w:val="00CB1F42"/>
    <w:rsid w:val="00CB1F52"/>
    <w:rsid w:val="00CB1F66"/>
    <w:rsid w:val="00CB1F6D"/>
    <w:rsid w:val="00CB216E"/>
    <w:rsid w:val="00CB21BB"/>
    <w:rsid w:val="00CB2281"/>
    <w:rsid w:val="00CB2396"/>
    <w:rsid w:val="00CB2398"/>
    <w:rsid w:val="00CB23A0"/>
    <w:rsid w:val="00CB2495"/>
    <w:rsid w:val="00CB24FF"/>
    <w:rsid w:val="00CB2622"/>
    <w:rsid w:val="00CB2636"/>
    <w:rsid w:val="00CB26D5"/>
    <w:rsid w:val="00CB2867"/>
    <w:rsid w:val="00CB28E0"/>
    <w:rsid w:val="00CB2948"/>
    <w:rsid w:val="00CB29DC"/>
    <w:rsid w:val="00CB2A59"/>
    <w:rsid w:val="00CB2B35"/>
    <w:rsid w:val="00CB2BD7"/>
    <w:rsid w:val="00CB2CC5"/>
    <w:rsid w:val="00CB2D26"/>
    <w:rsid w:val="00CB2D52"/>
    <w:rsid w:val="00CB2D74"/>
    <w:rsid w:val="00CB2E4F"/>
    <w:rsid w:val="00CB2EF1"/>
    <w:rsid w:val="00CB2F52"/>
    <w:rsid w:val="00CB304E"/>
    <w:rsid w:val="00CB313A"/>
    <w:rsid w:val="00CB3259"/>
    <w:rsid w:val="00CB32DD"/>
    <w:rsid w:val="00CB33D0"/>
    <w:rsid w:val="00CB33FF"/>
    <w:rsid w:val="00CB3473"/>
    <w:rsid w:val="00CB359F"/>
    <w:rsid w:val="00CB35BC"/>
    <w:rsid w:val="00CB35EA"/>
    <w:rsid w:val="00CB3672"/>
    <w:rsid w:val="00CB36C6"/>
    <w:rsid w:val="00CB37C7"/>
    <w:rsid w:val="00CB384A"/>
    <w:rsid w:val="00CB3884"/>
    <w:rsid w:val="00CB3932"/>
    <w:rsid w:val="00CB3A56"/>
    <w:rsid w:val="00CB3A85"/>
    <w:rsid w:val="00CB3AC8"/>
    <w:rsid w:val="00CB3AF1"/>
    <w:rsid w:val="00CB3AF9"/>
    <w:rsid w:val="00CB3B0D"/>
    <w:rsid w:val="00CB3C39"/>
    <w:rsid w:val="00CB3CC9"/>
    <w:rsid w:val="00CB3D40"/>
    <w:rsid w:val="00CB3DB8"/>
    <w:rsid w:val="00CB3E61"/>
    <w:rsid w:val="00CB3E7E"/>
    <w:rsid w:val="00CB3F69"/>
    <w:rsid w:val="00CB3F79"/>
    <w:rsid w:val="00CB3F9A"/>
    <w:rsid w:val="00CB3FD8"/>
    <w:rsid w:val="00CB404E"/>
    <w:rsid w:val="00CB407E"/>
    <w:rsid w:val="00CB40B4"/>
    <w:rsid w:val="00CB40E5"/>
    <w:rsid w:val="00CB417F"/>
    <w:rsid w:val="00CB41F5"/>
    <w:rsid w:val="00CB425C"/>
    <w:rsid w:val="00CB42ED"/>
    <w:rsid w:val="00CB4322"/>
    <w:rsid w:val="00CB4352"/>
    <w:rsid w:val="00CB438B"/>
    <w:rsid w:val="00CB43B8"/>
    <w:rsid w:val="00CB45C7"/>
    <w:rsid w:val="00CB4764"/>
    <w:rsid w:val="00CB47C8"/>
    <w:rsid w:val="00CB486B"/>
    <w:rsid w:val="00CB4967"/>
    <w:rsid w:val="00CB4A21"/>
    <w:rsid w:val="00CB4A50"/>
    <w:rsid w:val="00CB4B63"/>
    <w:rsid w:val="00CB4C2A"/>
    <w:rsid w:val="00CB4CF7"/>
    <w:rsid w:val="00CB4E7C"/>
    <w:rsid w:val="00CB4EAF"/>
    <w:rsid w:val="00CB4ECB"/>
    <w:rsid w:val="00CB4FDC"/>
    <w:rsid w:val="00CB5191"/>
    <w:rsid w:val="00CB51AC"/>
    <w:rsid w:val="00CB5359"/>
    <w:rsid w:val="00CB53CC"/>
    <w:rsid w:val="00CB5460"/>
    <w:rsid w:val="00CB54FE"/>
    <w:rsid w:val="00CB56BA"/>
    <w:rsid w:val="00CB5865"/>
    <w:rsid w:val="00CB5878"/>
    <w:rsid w:val="00CB588E"/>
    <w:rsid w:val="00CB590A"/>
    <w:rsid w:val="00CB5A11"/>
    <w:rsid w:val="00CB5A1F"/>
    <w:rsid w:val="00CB5A95"/>
    <w:rsid w:val="00CB5B09"/>
    <w:rsid w:val="00CB5C1D"/>
    <w:rsid w:val="00CB5C58"/>
    <w:rsid w:val="00CB5C5C"/>
    <w:rsid w:val="00CB5C71"/>
    <w:rsid w:val="00CB5DCE"/>
    <w:rsid w:val="00CB5E7D"/>
    <w:rsid w:val="00CB5EBC"/>
    <w:rsid w:val="00CB5F4E"/>
    <w:rsid w:val="00CB5FC6"/>
    <w:rsid w:val="00CB6005"/>
    <w:rsid w:val="00CB605F"/>
    <w:rsid w:val="00CB610C"/>
    <w:rsid w:val="00CB6194"/>
    <w:rsid w:val="00CB6199"/>
    <w:rsid w:val="00CB61B1"/>
    <w:rsid w:val="00CB61BC"/>
    <w:rsid w:val="00CB61F3"/>
    <w:rsid w:val="00CB6275"/>
    <w:rsid w:val="00CB6289"/>
    <w:rsid w:val="00CB62F9"/>
    <w:rsid w:val="00CB64A4"/>
    <w:rsid w:val="00CB64CE"/>
    <w:rsid w:val="00CB64E6"/>
    <w:rsid w:val="00CB657B"/>
    <w:rsid w:val="00CB662D"/>
    <w:rsid w:val="00CB6650"/>
    <w:rsid w:val="00CB6671"/>
    <w:rsid w:val="00CB6799"/>
    <w:rsid w:val="00CB67FA"/>
    <w:rsid w:val="00CB684F"/>
    <w:rsid w:val="00CB6949"/>
    <w:rsid w:val="00CB69A9"/>
    <w:rsid w:val="00CB6BBA"/>
    <w:rsid w:val="00CB6C6E"/>
    <w:rsid w:val="00CB6C8A"/>
    <w:rsid w:val="00CB6D13"/>
    <w:rsid w:val="00CB6EB3"/>
    <w:rsid w:val="00CB6FB3"/>
    <w:rsid w:val="00CB6FD8"/>
    <w:rsid w:val="00CB708C"/>
    <w:rsid w:val="00CB71EE"/>
    <w:rsid w:val="00CB727A"/>
    <w:rsid w:val="00CB72A0"/>
    <w:rsid w:val="00CB72B5"/>
    <w:rsid w:val="00CB74D3"/>
    <w:rsid w:val="00CB74DD"/>
    <w:rsid w:val="00CB75AF"/>
    <w:rsid w:val="00CB7786"/>
    <w:rsid w:val="00CB7896"/>
    <w:rsid w:val="00CB78D6"/>
    <w:rsid w:val="00CB790F"/>
    <w:rsid w:val="00CB7938"/>
    <w:rsid w:val="00CB7A2B"/>
    <w:rsid w:val="00CB7A4E"/>
    <w:rsid w:val="00CB7A8C"/>
    <w:rsid w:val="00CB7A8F"/>
    <w:rsid w:val="00CB7AD0"/>
    <w:rsid w:val="00CB7B63"/>
    <w:rsid w:val="00CB7BA4"/>
    <w:rsid w:val="00CB7C15"/>
    <w:rsid w:val="00CB7DCF"/>
    <w:rsid w:val="00CB7DD6"/>
    <w:rsid w:val="00CB7E50"/>
    <w:rsid w:val="00CB7E5C"/>
    <w:rsid w:val="00CB7E78"/>
    <w:rsid w:val="00CB7F36"/>
    <w:rsid w:val="00CB7FD3"/>
    <w:rsid w:val="00CC0036"/>
    <w:rsid w:val="00CC0104"/>
    <w:rsid w:val="00CC0129"/>
    <w:rsid w:val="00CC016B"/>
    <w:rsid w:val="00CC01B9"/>
    <w:rsid w:val="00CC0292"/>
    <w:rsid w:val="00CC02CF"/>
    <w:rsid w:val="00CC039E"/>
    <w:rsid w:val="00CC03F4"/>
    <w:rsid w:val="00CC0467"/>
    <w:rsid w:val="00CC0561"/>
    <w:rsid w:val="00CC05E1"/>
    <w:rsid w:val="00CC06AE"/>
    <w:rsid w:val="00CC06D6"/>
    <w:rsid w:val="00CC07B1"/>
    <w:rsid w:val="00CC07BC"/>
    <w:rsid w:val="00CC097E"/>
    <w:rsid w:val="00CC098E"/>
    <w:rsid w:val="00CC0A07"/>
    <w:rsid w:val="00CC0A27"/>
    <w:rsid w:val="00CC0A64"/>
    <w:rsid w:val="00CC0AB7"/>
    <w:rsid w:val="00CC0B62"/>
    <w:rsid w:val="00CC0B64"/>
    <w:rsid w:val="00CC0C38"/>
    <w:rsid w:val="00CC0C6A"/>
    <w:rsid w:val="00CC0D4E"/>
    <w:rsid w:val="00CC0D60"/>
    <w:rsid w:val="00CC0D90"/>
    <w:rsid w:val="00CC0E3A"/>
    <w:rsid w:val="00CC0E8D"/>
    <w:rsid w:val="00CC0F64"/>
    <w:rsid w:val="00CC1121"/>
    <w:rsid w:val="00CC113C"/>
    <w:rsid w:val="00CC12E5"/>
    <w:rsid w:val="00CC12E7"/>
    <w:rsid w:val="00CC14AD"/>
    <w:rsid w:val="00CC16AB"/>
    <w:rsid w:val="00CC16DE"/>
    <w:rsid w:val="00CC1742"/>
    <w:rsid w:val="00CC17B1"/>
    <w:rsid w:val="00CC19B1"/>
    <w:rsid w:val="00CC19F3"/>
    <w:rsid w:val="00CC1A90"/>
    <w:rsid w:val="00CC1B2B"/>
    <w:rsid w:val="00CC1BDD"/>
    <w:rsid w:val="00CC1CB0"/>
    <w:rsid w:val="00CC1CC3"/>
    <w:rsid w:val="00CC1CDD"/>
    <w:rsid w:val="00CC1D60"/>
    <w:rsid w:val="00CC1DAA"/>
    <w:rsid w:val="00CC1E39"/>
    <w:rsid w:val="00CC1E6E"/>
    <w:rsid w:val="00CC1EAC"/>
    <w:rsid w:val="00CC1F8E"/>
    <w:rsid w:val="00CC213C"/>
    <w:rsid w:val="00CC216B"/>
    <w:rsid w:val="00CC21DA"/>
    <w:rsid w:val="00CC21EC"/>
    <w:rsid w:val="00CC2273"/>
    <w:rsid w:val="00CC2274"/>
    <w:rsid w:val="00CC23EF"/>
    <w:rsid w:val="00CC245F"/>
    <w:rsid w:val="00CC2631"/>
    <w:rsid w:val="00CC266B"/>
    <w:rsid w:val="00CC266E"/>
    <w:rsid w:val="00CC26E5"/>
    <w:rsid w:val="00CC2740"/>
    <w:rsid w:val="00CC2848"/>
    <w:rsid w:val="00CC288D"/>
    <w:rsid w:val="00CC29C9"/>
    <w:rsid w:val="00CC2B53"/>
    <w:rsid w:val="00CC2B70"/>
    <w:rsid w:val="00CC2B8B"/>
    <w:rsid w:val="00CC2C3D"/>
    <w:rsid w:val="00CC2D95"/>
    <w:rsid w:val="00CC2E54"/>
    <w:rsid w:val="00CC2EA7"/>
    <w:rsid w:val="00CC2EC6"/>
    <w:rsid w:val="00CC2EDB"/>
    <w:rsid w:val="00CC2F46"/>
    <w:rsid w:val="00CC3019"/>
    <w:rsid w:val="00CC312C"/>
    <w:rsid w:val="00CC314C"/>
    <w:rsid w:val="00CC33DB"/>
    <w:rsid w:val="00CC3544"/>
    <w:rsid w:val="00CC35A8"/>
    <w:rsid w:val="00CC360C"/>
    <w:rsid w:val="00CC367F"/>
    <w:rsid w:val="00CC371B"/>
    <w:rsid w:val="00CC37DB"/>
    <w:rsid w:val="00CC37F6"/>
    <w:rsid w:val="00CC39DD"/>
    <w:rsid w:val="00CC39F3"/>
    <w:rsid w:val="00CC3A83"/>
    <w:rsid w:val="00CC3BF8"/>
    <w:rsid w:val="00CC3C21"/>
    <w:rsid w:val="00CC3C46"/>
    <w:rsid w:val="00CC3C65"/>
    <w:rsid w:val="00CC3CFC"/>
    <w:rsid w:val="00CC3D23"/>
    <w:rsid w:val="00CC3DDA"/>
    <w:rsid w:val="00CC3F10"/>
    <w:rsid w:val="00CC40DA"/>
    <w:rsid w:val="00CC4180"/>
    <w:rsid w:val="00CC41F8"/>
    <w:rsid w:val="00CC4454"/>
    <w:rsid w:val="00CC44B5"/>
    <w:rsid w:val="00CC44FE"/>
    <w:rsid w:val="00CC45E7"/>
    <w:rsid w:val="00CC47FF"/>
    <w:rsid w:val="00CC4807"/>
    <w:rsid w:val="00CC4837"/>
    <w:rsid w:val="00CC486D"/>
    <w:rsid w:val="00CC493A"/>
    <w:rsid w:val="00CC493D"/>
    <w:rsid w:val="00CC4B4F"/>
    <w:rsid w:val="00CC4C06"/>
    <w:rsid w:val="00CC4C6E"/>
    <w:rsid w:val="00CC4CDC"/>
    <w:rsid w:val="00CC4EC8"/>
    <w:rsid w:val="00CC4F05"/>
    <w:rsid w:val="00CC5123"/>
    <w:rsid w:val="00CC523D"/>
    <w:rsid w:val="00CC54D4"/>
    <w:rsid w:val="00CC5573"/>
    <w:rsid w:val="00CC55F6"/>
    <w:rsid w:val="00CC55FE"/>
    <w:rsid w:val="00CC5607"/>
    <w:rsid w:val="00CC5620"/>
    <w:rsid w:val="00CC56D3"/>
    <w:rsid w:val="00CC56F1"/>
    <w:rsid w:val="00CC56F8"/>
    <w:rsid w:val="00CC5714"/>
    <w:rsid w:val="00CC5734"/>
    <w:rsid w:val="00CC579F"/>
    <w:rsid w:val="00CC5944"/>
    <w:rsid w:val="00CC5950"/>
    <w:rsid w:val="00CC598E"/>
    <w:rsid w:val="00CC5A0C"/>
    <w:rsid w:val="00CC5B3C"/>
    <w:rsid w:val="00CC5B7F"/>
    <w:rsid w:val="00CC5BC3"/>
    <w:rsid w:val="00CC5C20"/>
    <w:rsid w:val="00CC5C2B"/>
    <w:rsid w:val="00CC5D71"/>
    <w:rsid w:val="00CC5E48"/>
    <w:rsid w:val="00CC5E7D"/>
    <w:rsid w:val="00CC5E88"/>
    <w:rsid w:val="00CC5FE4"/>
    <w:rsid w:val="00CC608B"/>
    <w:rsid w:val="00CC608F"/>
    <w:rsid w:val="00CC60F4"/>
    <w:rsid w:val="00CC6122"/>
    <w:rsid w:val="00CC6288"/>
    <w:rsid w:val="00CC6349"/>
    <w:rsid w:val="00CC6389"/>
    <w:rsid w:val="00CC6493"/>
    <w:rsid w:val="00CC66B3"/>
    <w:rsid w:val="00CC677B"/>
    <w:rsid w:val="00CC6838"/>
    <w:rsid w:val="00CC6895"/>
    <w:rsid w:val="00CC68DB"/>
    <w:rsid w:val="00CC6958"/>
    <w:rsid w:val="00CC69B6"/>
    <w:rsid w:val="00CC6A8F"/>
    <w:rsid w:val="00CC6C4D"/>
    <w:rsid w:val="00CC6C73"/>
    <w:rsid w:val="00CC6C84"/>
    <w:rsid w:val="00CC6D4E"/>
    <w:rsid w:val="00CC6D86"/>
    <w:rsid w:val="00CC6D8C"/>
    <w:rsid w:val="00CC6DC5"/>
    <w:rsid w:val="00CC6E89"/>
    <w:rsid w:val="00CC703C"/>
    <w:rsid w:val="00CC70B5"/>
    <w:rsid w:val="00CC717D"/>
    <w:rsid w:val="00CC719F"/>
    <w:rsid w:val="00CC7203"/>
    <w:rsid w:val="00CC72BE"/>
    <w:rsid w:val="00CC7408"/>
    <w:rsid w:val="00CC742F"/>
    <w:rsid w:val="00CC7460"/>
    <w:rsid w:val="00CC7633"/>
    <w:rsid w:val="00CC7644"/>
    <w:rsid w:val="00CC76DE"/>
    <w:rsid w:val="00CC7783"/>
    <w:rsid w:val="00CC7810"/>
    <w:rsid w:val="00CC78FE"/>
    <w:rsid w:val="00CC79F3"/>
    <w:rsid w:val="00CC79FC"/>
    <w:rsid w:val="00CC7A39"/>
    <w:rsid w:val="00CC7B49"/>
    <w:rsid w:val="00CC7CC8"/>
    <w:rsid w:val="00CC7D3C"/>
    <w:rsid w:val="00CC7D83"/>
    <w:rsid w:val="00CC7DE0"/>
    <w:rsid w:val="00CC7DEB"/>
    <w:rsid w:val="00CC7E95"/>
    <w:rsid w:val="00CC7EE3"/>
    <w:rsid w:val="00CC7F28"/>
    <w:rsid w:val="00CC7F87"/>
    <w:rsid w:val="00CD00C5"/>
    <w:rsid w:val="00CD00D0"/>
    <w:rsid w:val="00CD00FB"/>
    <w:rsid w:val="00CD019C"/>
    <w:rsid w:val="00CD025D"/>
    <w:rsid w:val="00CD029F"/>
    <w:rsid w:val="00CD02A8"/>
    <w:rsid w:val="00CD0456"/>
    <w:rsid w:val="00CD048F"/>
    <w:rsid w:val="00CD05C6"/>
    <w:rsid w:val="00CD06D7"/>
    <w:rsid w:val="00CD0815"/>
    <w:rsid w:val="00CD0BB8"/>
    <w:rsid w:val="00CD0BD8"/>
    <w:rsid w:val="00CD0C01"/>
    <w:rsid w:val="00CD0C31"/>
    <w:rsid w:val="00CD0C99"/>
    <w:rsid w:val="00CD0D18"/>
    <w:rsid w:val="00CD0E13"/>
    <w:rsid w:val="00CD0E44"/>
    <w:rsid w:val="00CD0E67"/>
    <w:rsid w:val="00CD0E9C"/>
    <w:rsid w:val="00CD0F19"/>
    <w:rsid w:val="00CD0F9D"/>
    <w:rsid w:val="00CD0FC0"/>
    <w:rsid w:val="00CD1004"/>
    <w:rsid w:val="00CD104F"/>
    <w:rsid w:val="00CD116A"/>
    <w:rsid w:val="00CD11E1"/>
    <w:rsid w:val="00CD11FA"/>
    <w:rsid w:val="00CD1215"/>
    <w:rsid w:val="00CD125F"/>
    <w:rsid w:val="00CD1292"/>
    <w:rsid w:val="00CD1368"/>
    <w:rsid w:val="00CD1399"/>
    <w:rsid w:val="00CD14CB"/>
    <w:rsid w:val="00CD15BB"/>
    <w:rsid w:val="00CD1647"/>
    <w:rsid w:val="00CD1661"/>
    <w:rsid w:val="00CD16C9"/>
    <w:rsid w:val="00CD17B3"/>
    <w:rsid w:val="00CD1813"/>
    <w:rsid w:val="00CD1838"/>
    <w:rsid w:val="00CD1939"/>
    <w:rsid w:val="00CD1A92"/>
    <w:rsid w:val="00CD1AD1"/>
    <w:rsid w:val="00CD1C40"/>
    <w:rsid w:val="00CD1D79"/>
    <w:rsid w:val="00CD1E43"/>
    <w:rsid w:val="00CD1E45"/>
    <w:rsid w:val="00CD1F41"/>
    <w:rsid w:val="00CD1F85"/>
    <w:rsid w:val="00CD2048"/>
    <w:rsid w:val="00CD20A9"/>
    <w:rsid w:val="00CD20B6"/>
    <w:rsid w:val="00CD22D4"/>
    <w:rsid w:val="00CD2351"/>
    <w:rsid w:val="00CD2352"/>
    <w:rsid w:val="00CD24A9"/>
    <w:rsid w:val="00CD2634"/>
    <w:rsid w:val="00CD26B3"/>
    <w:rsid w:val="00CD26CC"/>
    <w:rsid w:val="00CD27A0"/>
    <w:rsid w:val="00CD27EC"/>
    <w:rsid w:val="00CD280A"/>
    <w:rsid w:val="00CD28D6"/>
    <w:rsid w:val="00CD29BB"/>
    <w:rsid w:val="00CD2AE4"/>
    <w:rsid w:val="00CD2C0B"/>
    <w:rsid w:val="00CD2C30"/>
    <w:rsid w:val="00CD2CA6"/>
    <w:rsid w:val="00CD2D43"/>
    <w:rsid w:val="00CD2D6E"/>
    <w:rsid w:val="00CD2DFF"/>
    <w:rsid w:val="00CD2E2E"/>
    <w:rsid w:val="00CD2EF8"/>
    <w:rsid w:val="00CD2F06"/>
    <w:rsid w:val="00CD2F43"/>
    <w:rsid w:val="00CD2F4D"/>
    <w:rsid w:val="00CD2FB1"/>
    <w:rsid w:val="00CD300B"/>
    <w:rsid w:val="00CD30EC"/>
    <w:rsid w:val="00CD31A9"/>
    <w:rsid w:val="00CD323F"/>
    <w:rsid w:val="00CD32C1"/>
    <w:rsid w:val="00CD3301"/>
    <w:rsid w:val="00CD33B5"/>
    <w:rsid w:val="00CD3415"/>
    <w:rsid w:val="00CD3471"/>
    <w:rsid w:val="00CD3545"/>
    <w:rsid w:val="00CD3549"/>
    <w:rsid w:val="00CD355D"/>
    <w:rsid w:val="00CD3561"/>
    <w:rsid w:val="00CD3564"/>
    <w:rsid w:val="00CD35EF"/>
    <w:rsid w:val="00CD392E"/>
    <w:rsid w:val="00CD39FD"/>
    <w:rsid w:val="00CD3A15"/>
    <w:rsid w:val="00CD3C2F"/>
    <w:rsid w:val="00CD3CA5"/>
    <w:rsid w:val="00CD3D46"/>
    <w:rsid w:val="00CD3D52"/>
    <w:rsid w:val="00CD3DDB"/>
    <w:rsid w:val="00CD3E87"/>
    <w:rsid w:val="00CD3F92"/>
    <w:rsid w:val="00CD3FC2"/>
    <w:rsid w:val="00CD3FC5"/>
    <w:rsid w:val="00CD4047"/>
    <w:rsid w:val="00CD4185"/>
    <w:rsid w:val="00CD419D"/>
    <w:rsid w:val="00CD41FA"/>
    <w:rsid w:val="00CD4301"/>
    <w:rsid w:val="00CD4411"/>
    <w:rsid w:val="00CD4426"/>
    <w:rsid w:val="00CD446E"/>
    <w:rsid w:val="00CD4534"/>
    <w:rsid w:val="00CD4684"/>
    <w:rsid w:val="00CD4790"/>
    <w:rsid w:val="00CD47F7"/>
    <w:rsid w:val="00CD48F8"/>
    <w:rsid w:val="00CD4925"/>
    <w:rsid w:val="00CD4948"/>
    <w:rsid w:val="00CD4987"/>
    <w:rsid w:val="00CD4A0C"/>
    <w:rsid w:val="00CD4A19"/>
    <w:rsid w:val="00CD4A70"/>
    <w:rsid w:val="00CD4AA2"/>
    <w:rsid w:val="00CD4BDD"/>
    <w:rsid w:val="00CD4C27"/>
    <w:rsid w:val="00CD4C6F"/>
    <w:rsid w:val="00CD4C79"/>
    <w:rsid w:val="00CD4CDB"/>
    <w:rsid w:val="00CD4D11"/>
    <w:rsid w:val="00CD4D32"/>
    <w:rsid w:val="00CD4EBD"/>
    <w:rsid w:val="00CD4EC5"/>
    <w:rsid w:val="00CD4EC8"/>
    <w:rsid w:val="00CD4FED"/>
    <w:rsid w:val="00CD50DA"/>
    <w:rsid w:val="00CD5164"/>
    <w:rsid w:val="00CD52D8"/>
    <w:rsid w:val="00CD52FB"/>
    <w:rsid w:val="00CD558D"/>
    <w:rsid w:val="00CD5665"/>
    <w:rsid w:val="00CD57F3"/>
    <w:rsid w:val="00CD5807"/>
    <w:rsid w:val="00CD5812"/>
    <w:rsid w:val="00CD5833"/>
    <w:rsid w:val="00CD58CD"/>
    <w:rsid w:val="00CD5AFA"/>
    <w:rsid w:val="00CD5B01"/>
    <w:rsid w:val="00CD5B64"/>
    <w:rsid w:val="00CD5BF3"/>
    <w:rsid w:val="00CD5C18"/>
    <w:rsid w:val="00CD5CF6"/>
    <w:rsid w:val="00CD5D19"/>
    <w:rsid w:val="00CD5E0D"/>
    <w:rsid w:val="00CD5F84"/>
    <w:rsid w:val="00CD5F90"/>
    <w:rsid w:val="00CD621F"/>
    <w:rsid w:val="00CD6267"/>
    <w:rsid w:val="00CD6275"/>
    <w:rsid w:val="00CD6380"/>
    <w:rsid w:val="00CD6447"/>
    <w:rsid w:val="00CD644D"/>
    <w:rsid w:val="00CD6460"/>
    <w:rsid w:val="00CD6557"/>
    <w:rsid w:val="00CD6600"/>
    <w:rsid w:val="00CD6749"/>
    <w:rsid w:val="00CD674F"/>
    <w:rsid w:val="00CD6784"/>
    <w:rsid w:val="00CD68B7"/>
    <w:rsid w:val="00CD6940"/>
    <w:rsid w:val="00CD6955"/>
    <w:rsid w:val="00CD6A2E"/>
    <w:rsid w:val="00CD6A7D"/>
    <w:rsid w:val="00CD6BED"/>
    <w:rsid w:val="00CD6CC9"/>
    <w:rsid w:val="00CD6D18"/>
    <w:rsid w:val="00CD6D5F"/>
    <w:rsid w:val="00CD6D89"/>
    <w:rsid w:val="00CD6DEB"/>
    <w:rsid w:val="00CD6E7F"/>
    <w:rsid w:val="00CD6ED7"/>
    <w:rsid w:val="00CD6F48"/>
    <w:rsid w:val="00CD6F76"/>
    <w:rsid w:val="00CD70A9"/>
    <w:rsid w:val="00CD70F6"/>
    <w:rsid w:val="00CD7109"/>
    <w:rsid w:val="00CD7156"/>
    <w:rsid w:val="00CD722C"/>
    <w:rsid w:val="00CD7295"/>
    <w:rsid w:val="00CD72E1"/>
    <w:rsid w:val="00CD73FE"/>
    <w:rsid w:val="00CD7432"/>
    <w:rsid w:val="00CD748C"/>
    <w:rsid w:val="00CD7535"/>
    <w:rsid w:val="00CD7583"/>
    <w:rsid w:val="00CD75AC"/>
    <w:rsid w:val="00CD765B"/>
    <w:rsid w:val="00CD772B"/>
    <w:rsid w:val="00CD7849"/>
    <w:rsid w:val="00CD7894"/>
    <w:rsid w:val="00CD78A9"/>
    <w:rsid w:val="00CD7A07"/>
    <w:rsid w:val="00CD7B73"/>
    <w:rsid w:val="00CD7C47"/>
    <w:rsid w:val="00CD7C9C"/>
    <w:rsid w:val="00CD7D23"/>
    <w:rsid w:val="00CD7DB3"/>
    <w:rsid w:val="00CD7DC7"/>
    <w:rsid w:val="00CD7E10"/>
    <w:rsid w:val="00CD7E48"/>
    <w:rsid w:val="00CD7E6F"/>
    <w:rsid w:val="00CE00B9"/>
    <w:rsid w:val="00CE01A8"/>
    <w:rsid w:val="00CE0231"/>
    <w:rsid w:val="00CE033D"/>
    <w:rsid w:val="00CE05B2"/>
    <w:rsid w:val="00CE06B1"/>
    <w:rsid w:val="00CE0713"/>
    <w:rsid w:val="00CE074A"/>
    <w:rsid w:val="00CE0936"/>
    <w:rsid w:val="00CE0995"/>
    <w:rsid w:val="00CE0A34"/>
    <w:rsid w:val="00CE0A5C"/>
    <w:rsid w:val="00CE0A83"/>
    <w:rsid w:val="00CE0B07"/>
    <w:rsid w:val="00CE0B4E"/>
    <w:rsid w:val="00CE0B6C"/>
    <w:rsid w:val="00CE0B6F"/>
    <w:rsid w:val="00CE0B94"/>
    <w:rsid w:val="00CE0D5B"/>
    <w:rsid w:val="00CE0E30"/>
    <w:rsid w:val="00CE0E44"/>
    <w:rsid w:val="00CE0E50"/>
    <w:rsid w:val="00CE0E88"/>
    <w:rsid w:val="00CE0F01"/>
    <w:rsid w:val="00CE0F31"/>
    <w:rsid w:val="00CE0F91"/>
    <w:rsid w:val="00CE0FAB"/>
    <w:rsid w:val="00CE106E"/>
    <w:rsid w:val="00CE11BE"/>
    <w:rsid w:val="00CE1228"/>
    <w:rsid w:val="00CE12DD"/>
    <w:rsid w:val="00CE1379"/>
    <w:rsid w:val="00CE13EE"/>
    <w:rsid w:val="00CE14E2"/>
    <w:rsid w:val="00CE14E5"/>
    <w:rsid w:val="00CE14F7"/>
    <w:rsid w:val="00CE154C"/>
    <w:rsid w:val="00CE15E4"/>
    <w:rsid w:val="00CE16A7"/>
    <w:rsid w:val="00CE16AD"/>
    <w:rsid w:val="00CE16CD"/>
    <w:rsid w:val="00CE16F6"/>
    <w:rsid w:val="00CE17CE"/>
    <w:rsid w:val="00CE182A"/>
    <w:rsid w:val="00CE1905"/>
    <w:rsid w:val="00CE1914"/>
    <w:rsid w:val="00CE1991"/>
    <w:rsid w:val="00CE1A09"/>
    <w:rsid w:val="00CE1AB7"/>
    <w:rsid w:val="00CE1B5E"/>
    <w:rsid w:val="00CE1D14"/>
    <w:rsid w:val="00CE1D17"/>
    <w:rsid w:val="00CE1E10"/>
    <w:rsid w:val="00CE1E45"/>
    <w:rsid w:val="00CE1E51"/>
    <w:rsid w:val="00CE1E9B"/>
    <w:rsid w:val="00CE1EB1"/>
    <w:rsid w:val="00CE1F81"/>
    <w:rsid w:val="00CE1FAC"/>
    <w:rsid w:val="00CE1FF6"/>
    <w:rsid w:val="00CE2049"/>
    <w:rsid w:val="00CE2058"/>
    <w:rsid w:val="00CE208F"/>
    <w:rsid w:val="00CE20F6"/>
    <w:rsid w:val="00CE211D"/>
    <w:rsid w:val="00CE2150"/>
    <w:rsid w:val="00CE2297"/>
    <w:rsid w:val="00CE232F"/>
    <w:rsid w:val="00CE24C2"/>
    <w:rsid w:val="00CE25C9"/>
    <w:rsid w:val="00CE264A"/>
    <w:rsid w:val="00CE2664"/>
    <w:rsid w:val="00CE2692"/>
    <w:rsid w:val="00CE26BE"/>
    <w:rsid w:val="00CE26CE"/>
    <w:rsid w:val="00CE2755"/>
    <w:rsid w:val="00CE282C"/>
    <w:rsid w:val="00CE2A0F"/>
    <w:rsid w:val="00CE2A5B"/>
    <w:rsid w:val="00CE2CE8"/>
    <w:rsid w:val="00CE2D18"/>
    <w:rsid w:val="00CE2EEF"/>
    <w:rsid w:val="00CE30A3"/>
    <w:rsid w:val="00CE329C"/>
    <w:rsid w:val="00CE32D9"/>
    <w:rsid w:val="00CE33E9"/>
    <w:rsid w:val="00CE3477"/>
    <w:rsid w:val="00CE34A0"/>
    <w:rsid w:val="00CE34C0"/>
    <w:rsid w:val="00CE356A"/>
    <w:rsid w:val="00CE356C"/>
    <w:rsid w:val="00CE35D6"/>
    <w:rsid w:val="00CE35EE"/>
    <w:rsid w:val="00CE36FD"/>
    <w:rsid w:val="00CE371E"/>
    <w:rsid w:val="00CE3814"/>
    <w:rsid w:val="00CE38C6"/>
    <w:rsid w:val="00CE3905"/>
    <w:rsid w:val="00CE3962"/>
    <w:rsid w:val="00CE3973"/>
    <w:rsid w:val="00CE39DF"/>
    <w:rsid w:val="00CE3A07"/>
    <w:rsid w:val="00CE3A1D"/>
    <w:rsid w:val="00CE3A89"/>
    <w:rsid w:val="00CE3ABE"/>
    <w:rsid w:val="00CE3B05"/>
    <w:rsid w:val="00CE3B3B"/>
    <w:rsid w:val="00CE3B8D"/>
    <w:rsid w:val="00CE3D4B"/>
    <w:rsid w:val="00CE3D73"/>
    <w:rsid w:val="00CE3E13"/>
    <w:rsid w:val="00CE3EE0"/>
    <w:rsid w:val="00CE3EF7"/>
    <w:rsid w:val="00CE40CC"/>
    <w:rsid w:val="00CE422E"/>
    <w:rsid w:val="00CE42D0"/>
    <w:rsid w:val="00CE42FA"/>
    <w:rsid w:val="00CE4567"/>
    <w:rsid w:val="00CE457B"/>
    <w:rsid w:val="00CE4716"/>
    <w:rsid w:val="00CE4720"/>
    <w:rsid w:val="00CE4732"/>
    <w:rsid w:val="00CE4820"/>
    <w:rsid w:val="00CE4873"/>
    <w:rsid w:val="00CE4A82"/>
    <w:rsid w:val="00CE4BD5"/>
    <w:rsid w:val="00CE4C85"/>
    <w:rsid w:val="00CE4D06"/>
    <w:rsid w:val="00CE4D38"/>
    <w:rsid w:val="00CE4D3B"/>
    <w:rsid w:val="00CE4DDA"/>
    <w:rsid w:val="00CE4F72"/>
    <w:rsid w:val="00CE5064"/>
    <w:rsid w:val="00CE50A4"/>
    <w:rsid w:val="00CE516F"/>
    <w:rsid w:val="00CE518D"/>
    <w:rsid w:val="00CE5199"/>
    <w:rsid w:val="00CE523B"/>
    <w:rsid w:val="00CE5426"/>
    <w:rsid w:val="00CE54BA"/>
    <w:rsid w:val="00CE5514"/>
    <w:rsid w:val="00CE55A2"/>
    <w:rsid w:val="00CE562A"/>
    <w:rsid w:val="00CE56D2"/>
    <w:rsid w:val="00CE57C5"/>
    <w:rsid w:val="00CE5845"/>
    <w:rsid w:val="00CE587F"/>
    <w:rsid w:val="00CE5980"/>
    <w:rsid w:val="00CE5B9B"/>
    <w:rsid w:val="00CE5BF8"/>
    <w:rsid w:val="00CE5C70"/>
    <w:rsid w:val="00CE5DB4"/>
    <w:rsid w:val="00CE5E85"/>
    <w:rsid w:val="00CE5FD9"/>
    <w:rsid w:val="00CE5FEA"/>
    <w:rsid w:val="00CE6096"/>
    <w:rsid w:val="00CE60D8"/>
    <w:rsid w:val="00CE614E"/>
    <w:rsid w:val="00CE6253"/>
    <w:rsid w:val="00CE634A"/>
    <w:rsid w:val="00CE63E5"/>
    <w:rsid w:val="00CE6447"/>
    <w:rsid w:val="00CE6488"/>
    <w:rsid w:val="00CE64BE"/>
    <w:rsid w:val="00CE64DD"/>
    <w:rsid w:val="00CE6543"/>
    <w:rsid w:val="00CE65A4"/>
    <w:rsid w:val="00CE65D6"/>
    <w:rsid w:val="00CE666A"/>
    <w:rsid w:val="00CE669E"/>
    <w:rsid w:val="00CE66A9"/>
    <w:rsid w:val="00CE66EF"/>
    <w:rsid w:val="00CE66FA"/>
    <w:rsid w:val="00CE66FC"/>
    <w:rsid w:val="00CE674F"/>
    <w:rsid w:val="00CE6831"/>
    <w:rsid w:val="00CE6C2F"/>
    <w:rsid w:val="00CE6C31"/>
    <w:rsid w:val="00CE6C90"/>
    <w:rsid w:val="00CE6D48"/>
    <w:rsid w:val="00CE6DAF"/>
    <w:rsid w:val="00CE6EE0"/>
    <w:rsid w:val="00CE6F08"/>
    <w:rsid w:val="00CE6F13"/>
    <w:rsid w:val="00CE6F45"/>
    <w:rsid w:val="00CE6F61"/>
    <w:rsid w:val="00CE6F7A"/>
    <w:rsid w:val="00CE7033"/>
    <w:rsid w:val="00CE7149"/>
    <w:rsid w:val="00CE7174"/>
    <w:rsid w:val="00CE7230"/>
    <w:rsid w:val="00CE724E"/>
    <w:rsid w:val="00CE7302"/>
    <w:rsid w:val="00CE7348"/>
    <w:rsid w:val="00CE7434"/>
    <w:rsid w:val="00CE745E"/>
    <w:rsid w:val="00CE74A0"/>
    <w:rsid w:val="00CE767C"/>
    <w:rsid w:val="00CE77A7"/>
    <w:rsid w:val="00CE77C8"/>
    <w:rsid w:val="00CE78F8"/>
    <w:rsid w:val="00CE790E"/>
    <w:rsid w:val="00CE79D4"/>
    <w:rsid w:val="00CE7A4C"/>
    <w:rsid w:val="00CE7A9E"/>
    <w:rsid w:val="00CE7AB6"/>
    <w:rsid w:val="00CE7CF1"/>
    <w:rsid w:val="00CE7D1C"/>
    <w:rsid w:val="00CE7D64"/>
    <w:rsid w:val="00CE7E4D"/>
    <w:rsid w:val="00CE7E72"/>
    <w:rsid w:val="00CE7EB7"/>
    <w:rsid w:val="00CE7F56"/>
    <w:rsid w:val="00CF0014"/>
    <w:rsid w:val="00CF00DF"/>
    <w:rsid w:val="00CF0138"/>
    <w:rsid w:val="00CF0223"/>
    <w:rsid w:val="00CF028F"/>
    <w:rsid w:val="00CF02C7"/>
    <w:rsid w:val="00CF02FA"/>
    <w:rsid w:val="00CF031D"/>
    <w:rsid w:val="00CF0366"/>
    <w:rsid w:val="00CF0483"/>
    <w:rsid w:val="00CF0522"/>
    <w:rsid w:val="00CF05CB"/>
    <w:rsid w:val="00CF065F"/>
    <w:rsid w:val="00CF0692"/>
    <w:rsid w:val="00CF07D6"/>
    <w:rsid w:val="00CF0B98"/>
    <w:rsid w:val="00CF0C74"/>
    <w:rsid w:val="00CF0DBE"/>
    <w:rsid w:val="00CF0E37"/>
    <w:rsid w:val="00CF0F8E"/>
    <w:rsid w:val="00CF0FD0"/>
    <w:rsid w:val="00CF1125"/>
    <w:rsid w:val="00CF1145"/>
    <w:rsid w:val="00CF12A4"/>
    <w:rsid w:val="00CF12FF"/>
    <w:rsid w:val="00CF13DB"/>
    <w:rsid w:val="00CF13EC"/>
    <w:rsid w:val="00CF1432"/>
    <w:rsid w:val="00CF145C"/>
    <w:rsid w:val="00CF153D"/>
    <w:rsid w:val="00CF1744"/>
    <w:rsid w:val="00CF18F6"/>
    <w:rsid w:val="00CF193A"/>
    <w:rsid w:val="00CF19C4"/>
    <w:rsid w:val="00CF1AA0"/>
    <w:rsid w:val="00CF1AE5"/>
    <w:rsid w:val="00CF1B18"/>
    <w:rsid w:val="00CF1BDF"/>
    <w:rsid w:val="00CF1C6A"/>
    <w:rsid w:val="00CF1C8D"/>
    <w:rsid w:val="00CF1CE4"/>
    <w:rsid w:val="00CF1D48"/>
    <w:rsid w:val="00CF1DBD"/>
    <w:rsid w:val="00CF1EC7"/>
    <w:rsid w:val="00CF2155"/>
    <w:rsid w:val="00CF21AD"/>
    <w:rsid w:val="00CF21B6"/>
    <w:rsid w:val="00CF22C0"/>
    <w:rsid w:val="00CF22D5"/>
    <w:rsid w:val="00CF22EB"/>
    <w:rsid w:val="00CF2443"/>
    <w:rsid w:val="00CF24BD"/>
    <w:rsid w:val="00CF2583"/>
    <w:rsid w:val="00CF2598"/>
    <w:rsid w:val="00CF2599"/>
    <w:rsid w:val="00CF25C2"/>
    <w:rsid w:val="00CF25E7"/>
    <w:rsid w:val="00CF261B"/>
    <w:rsid w:val="00CF265A"/>
    <w:rsid w:val="00CF277F"/>
    <w:rsid w:val="00CF27ED"/>
    <w:rsid w:val="00CF27F2"/>
    <w:rsid w:val="00CF28E6"/>
    <w:rsid w:val="00CF299D"/>
    <w:rsid w:val="00CF2A5D"/>
    <w:rsid w:val="00CF2B27"/>
    <w:rsid w:val="00CF2B54"/>
    <w:rsid w:val="00CF2C35"/>
    <w:rsid w:val="00CF2CBC"/>
    <w:rsid w:val="00CF2D77"/>
    <w:rsid w:val="00CF2DAD"/>
    <w:rsid w:val="00CF2DED"/>
    <w:rsid w:val="00CF2E98"/>
    <w:rsid w:val="00CF2F5C"/>
    <w:rsid w:val="00CF310C"/>
    <w:rsid w:val="00CF3112"/>
    <w:rsid w:val="00CF312E"/>
    <w:rsid w:val="00CF3171"/>
    <w:rsid w:val="00CF31E2"/>
    <w:rsid w:val="00CF32C9"/>
    <w:rsid w:val="00CF335C"/>
    <w:rsid w:val="00CF34D6"/>
    <w:rsid w:val="00CF3567"/>
    <w:rsid w:val="00CF3619"/>
    <w:rsid w:val="00CF3677"/>
    <w:rsid w:val="00CF36A7"/>
    <w:rsid w:val="00CF3720"/>
    <w:rsid w:val="00CF37C2"/>
    <w:rsid w:val="00CF38F2"/>
    <w:rsid w:val="00CF391C"/>
    <w:rsid w:val="00CF3992"/>
    <w:rsid w:val="00CF39C8"/>
    <w:rsid w:val="00CF3A13"/>
    <w:rsid w:val="00CF3A48"/>
    <w:rsid w:val="00CF3A60"/>
    <w:rsid w:val="00CF3A66"/>
    <w:rsid w:val="00CF3BF2"/>
    <w:rsid w:val="00CF3C33"/>
    <w:rsid w:val="00CF3D4A"/>
    <w:rsid w:val="00CF3E63"/>
    <w:rsid w:val="00CF3EBA"/>
    <w:rsid w:val="00CF3F47"/>
    <w:rsid w:val="00CF3FB0"/>
    <w:rsid w:val="00CF3FE3"/>
    <w:rsid w:val="00CF4036"/>
    <w:rsid w:val="00CF4111"/>
    <w:rsid w:val="00CF416B"/>
    <w:rsid w:val="00CF43CF"/>
    <w:rsid w:val="00CF4540"/>
    <w:rsid w:val="00CF45B6"/>
    <w:rsid w:val="00CF4692"/>
    <w:rsid w:val="00CF46D4"/>
    <w:rsid w:val="00CF46F8"/>
    <w:rsid w:val="00CF4785"/>
    <w:rsid w:val="00CF47C8"/>
    <w:rsid w:val="00CF47E6"/>
    <w:rsid w:val="00CF495D"/>
    <w:rsid w:val="00CF496C"/>
    <w:rsid w:val="00CF4984"/>
    <w:rsid w:val="00CF4A02"/>
    <w:rsid w:val="00CF4A87"/>
    <w:rsid w:val="00CF4ABD"/>
    <w:rsid w:val="00CF4B68"/>
    <w:rsid w:val="00CF4D5F"/>
    <w:rsid w:val="00CF4E75"/>
    <w:rsid w:val="00CF4F01"/>
    <w:rsid w:val="00CF4F8A"/>
    <w:rsid w:val="00CF5020"/>
    <w:rsid w:val="00CF5081"/>
    <w:rsid w:val="00CF50FA"/>
    <w:rsid w:val="00CF5145"/>
    <w:rsid w:val="00CF5192"/>
    <w:rsid w:val="00CF520F"/>
    <w:rsid w:val="00CF5409"/>
    <w:rsid w:val="00CF54CB"/>
    <w:rsid w:val="00CF5563"/>
    <w:rsid w:val="00CF5641"/>
    <w:rsid w:val="00CF573D"/>
    <w:rsid w:val="00CF57CA"/>
    <w:rsid w:val="00CF5835"/>
    <w:rsid w:val="00CF584D"/>
    <w:rsid w:val="00CF5876"/>
    <w:rsid w:val="00CF5922"/>
    <w:rsid w:val="00CF595E"/>
    <w:rsid w:val="00CF59ED"/>
    <w:rsid w:val="00CF5A59"/>
    <w:rsid w:val="00CF5C9D"/>
    <w:rsid w:val="00CF5D19"/>
    <w:rsid w:val="00CF5E49"/>
    <w:rsid w:val="00CF5E52"/>
    <w:rsid w:val="00CF5E81"/>
    <w:rsid w:val="00CF5FED"/>
    <w:rsid w:val="00CF60D0"/>
    <w:rsid w:val="00CF629F"/>
    <w:rsid w:val="00CF6347"/>
    <w:rsid w:val="00CF638A"/>
    <w:rsid w:val="00CF639C"/>
    <w:rsid w:val="00CF63F2"/>
    <w:rsid w:val="00CF6479"/>
    <w:rsid w:val="00CF64D4"/>
    <w:rsid w:val="00CF657E"/>
    <w:rsid w:val="00CF671C"/>
    <w:rsid w:val="00CF68AC"/>
    <w:rsid w:val="00CF69AB"/>
    <w:rsid w:val="00CF6A1F"/>
    <w:rsid w:val="00CF6A2A"/>
    <w:rsid w:val="00CF6A77"/>
    <w:rsid w:val="00CF6AB3"/>
    <w:rsid w:val="00CF6AE3"/>
    <w:rsid w:val="00CF6CCC"/>
    <w:rsid w:val="00CF6D16"/>
    <w:rsid w:val="00CF6D27"/>
    <w:rsid w:val="00CF6E70"/>
    <w:rsid w:val="00CF6F58"/>
    <w:rsid w:val="00CF6FCC"/>
    <w:rsid w:val="00CF6FD4"/>
    <w:rsid w:val="00CF7053"/>
    <w:rsid w:val="00CF70C3"/>
    <w:rsid w:val="00CF70FB"/>
    <w:rsid w:val="00CF7114"/>
    <w:rsid w:val="00CF7118"/>
    <w:rsid w:val="00CF7195"/>
    <w:rsid w:val="00CF73BE"/>
    <w:rsid w:val="00CF7546"/>
    <w:rsid w:val="00CF7595"/>
    <w:rsid w:val="00CF76BC"/>
    <w:rsid w:val="00CF77B1"/>
    <w:rsid w:val="00CF7845"/>
    <w:rsid w:val="00CF7850"/>
    <w:rsid w:val="00CF794A"/>
    <w:rsid w:val="00CF79C3"/>
    <w:rsid w:val="00CF79F6"/>
    <w:rsid w:val="00CF7AC8"/>
    <w:rsid w:val="00CF7B32"/>
    <w:rsid w:val="00CF7BD8"/>
    <w:rsid w:val="00CF7BE8"/>
    <w:rsid w:val="00CF7C03"/>
    <w:rsid w:val="00CF7C20"/>
    <w:rsid w:val="00CF7CA5"/>
    <w:rsid w:val="00CF7CDF"/>
    <w:rsid w:val="00CF7D33"/>
    <w:rsid w:val="00CF7D74"/>
    <w:rsid w:val="00CF7DCA"/>
    <w:rsid w:val="00CF7E06"/>
    <w:rsid w:val="00CF7E22"/>
    <w:rsid w:val="00CF7E51"/>
    <w:rsid w:val="00CF7E9A"/>
    <w:rsid w:val="00CF7F16"/>
    <w:rsid w:val="00CF7FAB"/>
    <w:rsid w:val="00CF7FBB"/>
    <w:rsid w:val="00CF7FBC"/>
    <w:rsid w:val="00CF7FC1"/>
    <w:rsid w:val="00CF7FEB"/>
    <w:rsid w:val="00D00141"/>
    <w:rsid w:val="00D00193"/>
    <w:rsid w:val="00D001F8"/>
    <w:rsid w:val="00D00303"/>
    <w:rsid w:val="00D00331"/>
    <w:rsid w:val="00D00341"/>
    <w:rsid w:val="00D003DA"/>
    <w:rsid w:val="00D003E8"/>
    <w:rsid w:val="00D00530"/>
    <w:rsid w:val="00D00799"/>
    <w:rsid w:val="00D0089F"/>
    <w:rsid w:val="00D008BC"/>
    <w:rsid w:val="00D0093D"/>
    <w:rsid w:val="00D00960"/>
    <w:rsid w:val="00D00969"/>
    <w:rsid w:val="00D009F5"/>
    <w:rsid w:val="00D00A86"/>
    <w:rsid w:val="00D00C0F"/>
    <w:rsid w:val="00D00CFD"/>
    <w:rsid w:val="00D00F0D"/>
    <w:rsid w:val="00D010D3"/>
    <w:rsid w:val="00D01163"/>
    <w:rsid w:val="00D01336"/>
    <w:rsid w:val="00D01382"/>
    <w:rsid w:val="00D01398"/>
    <w:rsid w:val="00D013D7"/>
    <w:rsid w:val="00D013F7"/>
    <w:rsid w:val="00D01444"/>
    <w:rsid w:val="00D014B9"/>
    <w:rsid w:val="00D015C7"/>
    <w:rsid w:val="00D01632"/>
    <w:rsid w:val="00D016CC"/>
    <w:rsid w:val="00D01727"/>
    <w:rsid w:val="00D01774"/>
    <w:rsid w:val="00D017BA"/>
    <w:rsid w:val="00D017C6"/>
    <w:rsid w:val="00D017C9"/>
    <w:rsid w:val="00D019DD"/>
    <w:rsid w:val="00D01A24"/>
    <w:rsid w:val="00D01B14"/>
    <w:rsid w:val="00D01B31"/>
    <w:rsid w:val="00D01B72"/>
    <w:rsid w:val="00D01CCE"/>
    <w:rsid w:val="00D01D9C"/>
    <w:rsid w:val="00D01E8D"/>
    <w:rsid w:val="00D01EA3"/>
    <w:rsid w:val="00D01F09"/>
    <w:rsid w:val="00D01F62"/>
    <w:rsid w:val="00D020F7"/>
    <w:rsid w:val="00D02215"/>
    <w:rsid w:val="00D0221C"/>
    <w:rsid w:val="00D0225C"/>
    <w:rsid w:val="00D022AF"/>
    <w:rsid w:val="00D022B6"/>
    <w:rsid w:val="00D022CE"/>
    <w:rsid w:val="00D0234C"/>
    <w:rsid w:val="00D02588"/>
    <w:rsid w:val="00D0272E"/>
    <w:rsid w:val="00D02891"/>
    <w:rsid w:val="00D0291F"/>
    <w:rsid w:val="00D02929"/>
    <w:rsid w:val="00D0293E"/>
    <w:rsid w:val="00D02997"/>
    <w:rsid w:val="00D029C9"/>
    <w:rsid w:val="00D02A6E"/>
    <w:rsid w:val="00D02ABA"/>
    <w:rsid w:val="00D02B0C"/>
    <w:rsid w:val="00D02B7A"/>
    <w:rsid w:val="00D02E49"/>
    <w:rsid w:val="00D02E57"/>
    <w:rsid w:val="00D02EC4"/>
    <w:rsid w:val="00D02F0C"/>
    <w:rsid w:val="00D02F8C"/>
    <w:rsid w:val="00D0310F"/>
    <w:rsid w:val="00D03110"/>
    <w:rsid w:val="00D03190"/>
    <w:rsid w:val="00D031D0"/>
    <w:rsid w:val="00D03449"/>
    <w:rsid w:val="00D03538"/>
    <w:rsid w:val="00D035A9"/>
    <w:rsid w:val="00D036B4"/>
    <w:rsid w:val="00D0377B"/>
    <w:rsid w:val="00D037BA"/>
    <w:rsid w:val="00D03922"/>
    <w:rsid w:val="00D03B31"/>
    <w:rsid w:val="00D03BFD"/>
    <w:rsid w:val="00D03DC9"/>
    <w:rsid w:val="00D03EEA"/>
    <w:rsid w:val="00D03FEC"/>
    <w:rsid w:val="00D040FD"/>
    <w:rsid w:val="00D041C3"/>
    <w:rsid w:val="00D041EB"/>
    <w:rsid w:val="00D042C2"/>
    <w:rsid w:val="00D043AB"/>
    <w:rsid w:val="00D045AB"/>
    <w:rsid w:val="00D04635"/>
    <w:rsid w:val="00D04654"/>
    <w:rsid w:val="00D04832"/>
    <w:rsid w:val="00D0487B"/>
    <w:rsid w:val="00D048B7"/>
    <w:rsid w:val="00D04A18"/>
    <w:rsid w:val="00D04A83"/>
    <w:rsid w:val="00D04D62"/>
    <w:rsid w:val="00D04D7A"/>
    <w:rsid w:val="00D04DAA"/>
    <w:rsid w:val="00D04DBE"/>
    <w:rsid w:val="00D04E5D"/>
    <w:rsid w:val="00D0512D"/>
    <w:rsid w:val="00D052E1"/>
    <w:rsid w:val="00D05383"/>
    <w:rsid w:val="00D053D7"/>
    <w:rsid w:val="00D05502"/>
    <w:rsid w:val="00D055F9"/>
    <w:rsid w:val="00D056AE"/>
    <w:rsid w:val="00D05719"/>
    <w:rsid w:val="00D05736"/>
    <w:rsid w:val="00D05782"/>
    <w:rsid w:val="00D0580D"/>
    <w:rsid w:val="00D05879"/>
    <w:rsid w:val="00D05898"/>
    <w:rsid w:val="00D058BA"/>
    <w:rsid w:val="00D058EE"/>
    <w:rsid w:val="00D05935"/>
    <w:rsid w:val="00D05965"/>
    <w:rsid w:val="00D059BD"/>
    <w:rsid w:val="00D05A74"/>
    <w:rsid w:val="00D05B4E"/>
    <w:rsid w:val="00D05BD2"/>
    <w:rsid w:val="00D05BEA"/>
    <w:rsid w:val="00D05D8E"/>
    <w:rsid w:val="00D05DC7"/>
    <w:rsid w:val="00D05E2F"/>
    <w:rsid w:val="00D05F0E"/>
    <w:rsid w:val="00D05FEF"/>
    <w:rsid w:val="00D0600F"/>
    <w:rsid w:val="00D0605B"/>
    <w:rsid w:val="00D06060"/>
    <w:rsid w:val="00D06192"/>
    <w:rsid w:val="00D06201"/>
    <w:rsid w:val="00D063BD"/>
    <w:rsid w:val="00D06468"/>
    <w:rsid w:val="00D0648A"/>
    <w:rsid w:val="00D064D3"/>
    <w:rsid w:val="00D0655B"/>
    <w:rsid w:val="00D065DD"/>
    <w:rsid w:val="00D0661A"/>
    <w:rsid w:val="00D06622"/>
    <w:rsid w:val="00D06744"/>
    <w:rsid w:val="00D0678D"/>
    <w:rsid w:val="00D067F7"/>
    <w:rsid w:val="00D0682F"/>
    <w:rsid w:val="00D0691F"/>
    <w:rsid w:val="00D06A59"/>
    <w:rsid w:val="00D06B48"/>
    <w:rsid w:val="00D06C58"/>
    <w:rsid w:val="00D06C7A"/>
    <w:rsid w:val="00D06F53"/>
    <w:rsid w:val="00D07024"/>
    <w:rsid w:val="00D070CC"/>
    <w:rsid w:val="00D07110"/>
    <w:rsid w:val="00D0714C"/>
    <w:rsid w:val="00D07163"/>
    <w:rsid w:val="00D071E3"/>
    <w:rsid w:val="00D072EA"/>
    <w:rsid w:val="00D0736A"/>
    <w:rsid w:val="00D073AE"/>
    <w:rsid w:val="00D07427"/>
    <w:rsid w:val="00D074D9"/>
    <w:rsid w:val="00D07549"/>
    <w:rsid w:val="00D07597"/>
    <w:rsid w:val="00D0761A"/>
    <w:rsid w:val="00D076F8"/>
    <w:rsid w:val="00D0771E"/>
    <w:rsid w:val="00D0781C"/>
    <w:rsid w:val="00D07845"/>
    <w:rsid w:val="00D07893"/>
    <w:rsid w:val="00D078BB"/>
    <w:rsid w:val="00D078DF"/>
    <w:rsid w:val="00D0793A"/>
    <w:rsid w:val="00D07A35"/>
    <w:rsid w:val="00D07B25"/>
    <w:rsid w:val="00D07B8F"/>
    <w:rsid w:val="00D07B9B"/>
    <w:rsid w:val="00D07C42"/>
    <w:rsid w:val="00D07D24"/>
    <w:rsid w:val="00D07D35"/>
    <w:rsid w:val="00D07D56"/>
    <w:rsid w:val="00D07D62"/>
    <w:rsid w:val="00D07D99"/>
    <w:rsid w:val="00D07DBC"/>
    <w:rsid w:val="00D07E1A"/>
    <w:rsid w:val="00D07F1A"/>
    <w:rsid w:val="00D07FC2"/>
    <w:rsid w:val="00D10127"/>
    <w:rsid w:val="00D101DC"/>
    <w:rsid w:val="00D10272"/>
    <w:rsid w:val="00D102C1"/>
    <w:rsid w:val="00D103AC"/>
    <w:rsid w:val="00D103B0"/>
    <w:rsid w:val="00D10470"/>
    <w:rsid w:val="00D10571"/>
    <w:rsid w:val="00D105F7"/>
    <w:rsid w:val="00D1061A"/>
    <w:rsid w:val="00D1064D"/>
    <w:rsid w:val="00D106E7"/>
    <w:rsid w:val="00D107F6"/>
    <w:rsid w:val="00D10824"/>
    <w:rsid w:val="00D10882"/>
    <w:rsid w:val="00D108FB"/>
    <w:rsid w:val="00D1090C"/>
    <w:rsid w:val="00D1092D"/>
    <w:rsid w:val="00D109F3"/>
    <w:rsid w:val="00D10A13"/>
    <w:rsid w:val="00D10A1A"/>
    <w:rsid w:val="00D10C84"/>
    <w:rsid w:val="00D10CB9"/>
    <w:rsid w:val="00D10CD6"/>
    <w:rsid w:val="00D10CE4"/>
    <w:rsid w:val="00D10D39"/>
    <w:rsid w:val="00D10DFF"/>
    <w:rsid w:val="00D10FA0"/>
    <w:rsid w:val="00D10FA7"/>
    <w:rsid w:val="00D1114D"/>
    <w:rsid w:val="00D1121E"/>
    <w:rsid w:val="00D1124C"/>
    <w:rsid w:val="00D112A5"/>
    <w:rsid w:val="00D112AD"/>
    <w:rsid w:val="00D113B2"/>
    <w:rsid w:val="00D113D7"/>
    <w:rsid w:val="00D1143E"/>
    <w:rsid w:val="00D1146E"/>
    <w:rsid w:val="00D1148F"/>
    <w:rsid w:val="00D11610"/>
    <w:rsid w:val="00D11612"/>
    <w:rsid w:val="00D11639"/>
    <w:rsid w:val="00D116E0"/>
    <w:rsid w:val="00D117AD"/>
    <w:rsid w:val="00D11878"/>
    <w:rsid w:val="00D118AF"/>
    <w:rsid w:val="00D11907"/>
    <w:rsid w:val="00D11933"/>
    <w:rsid w:val="00D11AC4"/>
    <w:rsid w:val="00D11B23"/>
    <w:rsid w:val="00D11BC9"/>
    <w:rsid w:val="00D11C7B"/>
    <w:rsid w:val="00D11C7E"/>
    <w:rsid w:val="00D11DDA"/>
    <w:rsid w:val="00D11E30"/>
    <w:rsid w:val="00D11F0F"/>
    <w:rsid w:val="00D1201B"/>
    <w:rsid w:val="00D120B9"/>
    <w:rsid w:val="00D1212D"/>
    <w:rsid w:val="00D12188"/>
    <w:rsid w:val="00D12204"/>
    <w:rsid w:val="00D12256"/>
    <w:rsid w:val="00D12297"/>
    <w:rsid w:val="00D1231D"/>
    <w:rsid w:val="00D12368"/>
    <w:rsid w:val="00D1239F"/>
    <w:rsid w:val="00D12434"/>
    <w:rsid w:val="00D12520"/>
    <w:rsid w:val="00D12550"/>
    <w:rsid w:val="00D12625"/>
    <w:rsid w:val="00D126E7"/>
    <w:rsid w:val="00D126FD"/>
    <w:rsid w:val="00D1271F"/>
    <w:rsid w:val="00D127DE"/>
    <w:rsid w:val="00D128E8"/>
    <w:rsid w:val="00D1290E"/>
    <w:rsid w:val="00D12A8E"/>
    <w:rsid w:val="00D12AEA"/>
    <w:rsid w:val="00D12AF0"/>
    <w:rsid w:val="00D12B17"/>
    <w:rsid w:val="00D12B88"/>
    <w:rsid w:val="00D12C68"/>
    <w:rsid w:val="00D12C96"/>
    <w:rsid w:val="00D12CDC"/>
    <w:rsid w:val="00D12D06"/>
    <w:rsid w:val="00D12D1B"/>
    <w:rsid w:val="00D12D81"/>
    <w:rsid w:val="00D12F79"/>
    <w:rsid w:val="00D1300A"/>
    <w:rsid w:val="00D131D1"/>
    <w:rsid w:val="00D13225"/>
    <w:rsid w:val="00D13281"/>
    <w:rsid w:val="00D133EA"/>
    <w:rsid w:val="00D13422"/>
    <w:rsid w:val="00D13465"/>
    <w:rsid w:val="00D134A3"/>
    <w:rsid w:val="00D134C3"/>
    <w:rsid w:val="00D134C4"/>
    <w:rsid w:val="00D13540"/>
    <w:rsid w:val="00D13547"/>
    <w:rsid w:val="00D1361E"/>
    <w:rsid w:val="00D136B4"/>
    <w:rsid w:val="00D136BF"/>
    <w:rsid w:val="00D1388B"/>
    <w:rsid w:val="00D13919"/>
    <w:rsid w:val="00D13A33"/>
    <w:rsid w:val="00D13B52"/>
    <w:rsid w:val="00D13B57"/>
    <w:rsid w:val="00D13BDC"/>
    <w:rsid w:val="00D13C69"/>
    <w:rsid w:val="00D13C98"/>
    <w:rsid w:val="00D13CCA"/>
    <w:rsid w:val="00D13CD2"/>
    <w:rsid w:val="00D13E89"/>
    <w:rsid w:val="00D13E9E"/>
    <w:rsid w:val="00D13F26"/>
    <w:rsid w:val="00D13FB1"/>
    <w:rsid w:val="00D14024"/>
    <w:rsid w:val="00D14028"/>
    <w:rsid w:val="00D141C5"/>
    <w:rsid w:val="00D141E1"/>
    <w:rsid w:val="00D1422C"/>
    <w:rsid w:val="00D1438E"/>
    <w:rsid w:val="00D143C2"/>
    <w:rsid w:val="00D14494"/>
    <w:rsid w:val="00D1453E"/>
    <w:rsid w:val="00D14541"/>
    <w:rsid w:val="00D1457D"/>
    <w:rsid w:val="00D145E3"/>
    <w:rsid w:val="00D146E2"/>
    <w:rsid w:val="00D14A41"/>
    <w:rsid w:val="00D14B4D"/>
    <w:rsid w:val="00D14BA9"/>
    <w:rsid w:val="00D14C7E"/>
    <w:rsid w:val="00D14DC2"/>
    <w:rsid w:val="00D14EC1"/>
    <w:rsid w:val="00D14EC3"/>
    <w:rsid w:val="00D14F0D"/>
    <w:rsid w:val="00D150D4"/>
    <w:rsid w:val="00D150D5"/>
    <w:rsid w:val="00D150D7"/>
    <w:rsid w:val="00D151B5"/>
    <w:rsid w:val="00D151DA"/>
    <w:rsid w:val="00D152FD"/>
    <w:rsid w:val="00D15316"/>
    <w:rsid w:val="00D1531A"/>
    <w:rsid w:val="00D15323"/>
    <w:rsid w:val="00D153BE"/>
    <w:rsid w:val="00D155D4"/>
    <w:rsid w:val="00D15623"/>
    <w:rsid w:val="00D15647"/>
    <w:rsid w:val="00D1574B"/>
    <w:rsid w:val="00D15759"/>
    <w:rsid w:val="00D15833"/>
    <w:rsid w:val="00D15837"/>
    <w:rsid w:val="00D15859"/>
    <w:rsid w:val="00D1590B"/>
    <w:rsid w:val="00D159A0"/>
    <w:rsid w:val="00D159A9"/>
    <w:rsid w:val="00D15A23"/>
    <w:rsid w:val="00D15A4D"/>
    <w:rsid w:val="00D15AB2"/>
    <w:rsid w:val="00D15C5F"/>
    <w:rsid w:val="00D15CBD"/>
    <w:rsid w:val="00D15CE6"/>
    <w:rsid w:val="00D15D1A"/>
    <w:rsid w:val="00D15D50"/>
    <w:rsid w:val="00D15F5A"/>
    <w:rsid w:val="00D15FEA"/>
    <w:rsid w:val="00D16079"/>
    <w:rsid w:val="00D160F3"/>
    <w:rsid w:val="00D16157"/>
    <w:rsid w:val="00D161C2"/>
    <w:rsid w:val="00D16220"/>
    <w:rsid w:val="00D162D7"/>
    <w:rsid w:val="00D162EA"/>
    <w:rsid w:val="00D1632E"/>
    <w:rsid w:val="00D1634C"/>
    <w:rsid w:val="00D163E3"/>
    <w:rsid w:val="00D164E9"/>
    <w:rsid w:val="00D16542"/>
    <w:rsid w:val="00D16576"/>
    <w:rsid w:val="00D16600"/>
    <w:rsid w:val="00D167A1"/>
    <w:rsid w:val="00D167C3"/>
    <w:rsid w:val="00D16903"/>
    <w:rsid w:val="00D16AB1"/>
    <w:rsid w:val="00D16AC0"/>
    <w:rsid w:val="00D16AC1"/>
    <w:rsid w:val="00D16BBF"/>
    <w:rsid w:val="00D16C3E"/>
    <w:rsid w:val="00D16C5A"/>
    <w:rsid w:val="00D16CA5"/>
    <w:rsid w:val="00D16CF8"/>
    <w:rsid w:val="00D16D3D"/>
    <w:rsid w:val="00D16D7F"/>
    <w:rsid w:val="00D16D93"/>
    <w:rsid w:val="00D16DA0"/>
    <w:rsid w:val="00D16DAC"/>
    <w:rsid w:val="00D16E8C"/>
    <w:rsid w:val="00D16E9A"/>
    <w:rsid w:val="00D16F1C"/>
    <w:rsid w:val="00D1705F"/>
    <w:rsid w:val="00D1706A"/>
    <w:rsid w:val="00D170B3"/>
    <w:rsid w:val="00D170BB"/>
    <w:rsid w:val="00D170BE"/>
    <w:rsid w:val="00D170C7"/>
    <w:rsid w:val="00D1711D"/>
    <w:rsid w:val="00D17145"/>
    <w:rsid w:val="00D17212"/>
    <w:rsid w:val="00D172A8"/>
    <w:rsid w:val="00D172E3"/>
    <w:rsid w:val="00D173D0"/>
    <w:rsid w:val="00D173E8"/>
    <w:rsid w:val="00D17479"/>
    <w:rsid w:val="00D17714"/>
    <w:rsid w:val="00D17745"/>
    <w:rsid w:val="00D1776A"/>
    <w:rsid w:val="00D17863"/>
    <w:rsid w:val="00D1788A"/>
    <w:rsid w:val="00D1789E"/>
    <w:rsid w:val="00D17A69"/>
    <w:rsid w:val="00D17A8E"/>
    <w:rsid w:val="00D17B49"/>
    <w:rsid w:val="00D17C7A"/>
    <w:rsid w:val="00D17F1D"/>
    <w:rsid w:val="00D17F59"/>
    <w:rsid w:val="00D17FD9"/>
    <w:rsid w:val="00D17FF8"/>
    <w:rsid w:val="00D20068"/>
    <w:rsid w:val="00D2006F"/>
    <w:rsid w:val="00D20072"/>
    <w:rsid w:val="00D20076"/>
    <w:rsid w:val="00D20095"/>
    <w:rsid w:val="00D200EE"/>
    <w:rsid w:val="00D20346"/>
    <w:rsid w:val="00D203A0"/>
    <w:rsid w:val="00D204FB"/>
    <w:rsid w:val="00D20502"/>
    <w:rsid w:val="00D2050C"/>
    <w:rsid w:val="00D20518"/>
    <w:rsid w:val="00D20534"/>
    <w:rsid w:val="00D20598"/>
    <w:rsid w:val="00D205CE"/>
    <w:rsid w:val="00D205D8"/>
    <w:rsid w:val="00D20673"/>
    <w:rsid w:val="00D2068D"/>
    <w:rsid w:val="00D2075E"/>
    <w:rsid w:val="00D20790"/>
    <w:rsid w:val="00D2080B"/>
    <w:rsid w:val="00D20909"/>
    <w:rsid w:val="00D20985"/>
    <w:rsid w:val="00D209B8"/>
    <w:rsid w:val="00D20B7A"/>
    <w:rsid w:val="00D20CEF"/>
    <w:rsid w:val="00D20D58"/>
    <w:rsid w:val="00D20FD7"/>
    <w:rsid w:val="00D20FE7"/>
    <w:rsid w:val="00D2101E"/>
    <w:rsid w:val="00D21046"/>
    <w:rsid w:val="00D21162"/>
    <w:rsid w:val="00D21269"/>
    <w:rsid w:val="00D212CD"/>
    <w:rsid w:val="00D21493"/>
    <w:rsid w:val="00D2150F"/>
    <w:rsid w:val="00D2172F"/>
    <w:rsid w:val="00D21737"/>
    <w:rsid w:val="00D21749"/>
    <w:rsid w:val="00D21772"/>
    <w:rsid w:val="00D217D4"/>
    <w:rsid w:val="00D21809"/>
    <w:rsid w:val="00D2180B"/>
    <w:rsid w:val="00D218D8"/>
    <w:rsid w:val="00D2195B"/>
    <w:rsid w:val="00D21A22"/>
    <w:rsid w:val="00D21A31"/>
    <w:rsid w:val="00D21AFD"/>
    <w:rsid w:val="00D21B02"/>
    <w:rsid w:val="00D21BB7"/>
    <w:rsid w:val="00D21CDA"/>
    <w:rsid w:val="00D21CE1"/>
    <w:rsid w:val="00D21DA0"/>
    <w:rsid w:val="00D21DA7"/>
    <w:rsid w:val="00D21E3D"/>
    <w:rsid w:val="00D22028"/>
    <w:rsid w:val="00D2211D"/>
    <w:rsid w:val="00D2215B"/>
    <w:rsid w:val="00D2216C"/>
    <w:rsid w:val="00D221DA"/>
    <w:rsid w:val="00D22241"/>
    <w:rsid w:val="00D2226D"/>
    <w:rsid w:val="00D22319"/>
    <w:rsid w:val="00D22348"/>
    <w:rsid w:val="00D22373"/>
    <w:rsid w:val="00D223A2"/>
    <w:rsid w:val="00D224E1"/>
    <w:rsid w:val="00D2254B"/>
    <w:rsid w:val="00D225A7"/>
    <w:rsid w:val="00D22642"/>
    <w:rsid w:val="00D22647"/>
    <w:rsid w:val="00D2271C"/>
    <w:rsid w:val="00D2277D"/>
    <w:rsid w:val="00D228BF"/>
    <w:rsid w:val="00D229FE"/>
    <w:rsid w:val="00D22BD4"/>
    <w:rsid w:val="00D22C4B"/>
    <w:rsid w:val="00D22DE2"/>
    <w:rsid w:val="00D22DEB"/>
    <w:rsid w:val="00D22F02"/>
    <w:rsid w:val="00D23006"/>
    <w:rsid w:val="00D230E8"/>
    <w:rsid w:val="00D23126"/>
    <w:rsid w:val="00D23281"/>
    <w:rsid w:val="00D232E4"/>
    <w:rsid w:val="00D23544"/>
    <w:rsid w:val="00D2354F"/>
    <w:rsid w:val="00D235FD"/>
    <w:rsid w:val="00D2365A"/>
    <w:rsid w:val="00D236B0"/>
    <w:rsid w:val="00D2375F"/>
    <w:rsid w:val="00D2380A"/>
    <w:rsid w:val="00D238CB"/>
    <w:rsid w:val="00D238CF"/>
    <w:rsid w:val="00D23C54"/>
    <w:rsid w:val="00D23CD2"/>
    <w:rsid w:val="00D23CD7"/>
    <w:rsid w:val="00D23D88"/>
    <w:rsid w:val="00D23E1F"/>
    <w:rsid w:val="00D23E67"/>
    <w:rsid w:val="00D23EF8"/>
    <w:rsid w:val="00D24054"/>
    <w:rsid w:val="00D2414D"/>
    <w:rsid w:val="00D24190"/>
    <w:rsid w:val="00D241BB"/>
    <w:rsid w:val="00D2422F"/>
    <w:rsid w:val="00D242F9"/>
    <w:rsid w:val="00D24392"/>
    <w:rsid w:val="00D245A0"/>
    <w:rsid w:val="00D246EB"/>
    <w:rsid w:val="00D24711"/>
    <w:rsid w:val="00D24744"/>
    <w:rsid w:val="00D24752"/>
    <w:rsid w:val="00D24808"/>
    <w:rsid w:val="00D24839"/>
    <w:rsid w:val="00D24924"/>
    <w:rsid w:val="00D249BB"/>
    <w:rsid w:val="00D24A5B"/>
    <w:rsid w:val="00D24AC6"/>
    <w:rsid w:val="00D24C6A"/>
    <w:rsid w:val="00D24CC4"/>
    <w:rsid w:val="00D24CD1"/>
    <w:rsid w:val="00D24D17"/>
    <w:rsid w:val="00D24D60"/>
    <w:rsid w:val="00D24E86"/>
    <w:rsid w:val="00D24F22"/>
    <w:rsid w:val="00D25036"/>
    <w:rsid w:val="00D2504C"/>
    <w:rsid w:val="00D25056"/>
    <w:rsid w:val="00D250E1"/>
    <w:rsid w:val="00D250F7"/>
    <w:rsid w:val="00D2517D"/>
    <w:rsid w:val="00D2523C"/>
    <w:rsid w:val="00D25258"/>
    <w:rsid w:val="00D25280"/>
    <w:rsid w:val="00D252DC"/>
    <w:rsid w:val="00D25361"/>
    <w:rsid w:val="00D25398"/>
    <w:rsid w:val="00D253FE"/>
    <w:rsid w:val="00D2544C"/>
    <w:rsid w:val="00D2544F"/>
    <w:rsid w:val="00D25473"/>
    <w:rsid w:val="00D254F3"/>
    <w:rsid w:val="00D25589"/>
    <w:rsid w:val="00D255CF"/>
    <w:rsid w:val="00D2568D"/>
    <w:rsid w:val="00D25692"/>
    <w:rsid w:val="00D2573B"/>
    <w:rsid w:val="00D2575F"/>
    <w:rsid w:val="00D25830"/>
    <w:rsid w:val="00D2586E"/>
    <w:rsid w:val="00D258BC"/>
    <w:rsid w:val="00D2592C"/>
    <w:rsid w:val="00D2592F"/>
    <w:rsid w:val="00D259A4"/>
    <w:rsid w:val="00D25A45"/>
    <w:rsid w:val="00D25BA4"/>
    <w:rsid w:val="00D25C07"/>
    <w:rsid w:val="00D25C0A"/>
    <w:rsid w:val="00D25C0C"/>
    <w:rsid w:val="00D25CC5"/>
    <w:rsid w:val="00D25F70"/>
    <w:rsid w:val="00D25F94"/>
    <w:rsid w:val="00D25FD1"/>
    <w:rsid w:val="00D26079"/>
    <w:rsid w:val="00D2608C"/>
    <w:rsid w:val="00D261F3"/>
    <w:rsid w:val="00D261F8"/>
    <w:rsid w:val="00D262B0"/>
    <w:rsid w:val="00D26347"/>
    <w:rsid w:val="00D26419"/>
    <w:rsid w:val="00D2642B"/>
    <w:rsid w:val="00D2645A"/>
    <w:rsid w:val="00D2654C"/>
    <w:rsid w:val="00D2657D"/>
    <w:rsid w:val="00D267ED"/>
    <w:rsid w:val="00D26846"/>
    <w:rsid w:val="00D268D2"/>
    <w:rsid w:val="00D2693F"/>
    <w:rsid w:val="00D26AC5"/>
    <w:rsid w:val="00D26AED"/>
    <w:rsid w:val="00D26B5D"/>
    <w:rsid w:val="00D26B85"/>
    <w:rsid w:val="00D26B8E"/>
    <w:rsid w:val="00D26BB3"/>
    <w:rsid w:val="00D26C8A"/>
    <w:rsid w:val="00D26D12"/>
    <w:rsid w:val="00D26D75"/>
    <w:rsid w:val="00D26DCD"/>
    <w:rsid w:val="00D26E09"/>
    <w:rsid w:val="00D26EAF"/>
    <w:rsid w:val="00D26EBF"/>
    <w:rsid w:val="00D26F71"/>
    <w:rsid w:val="00D2701B"/>
    <w:rsid w:val="00D27074"/>
    <w:rsid w:val="00D270A1"/>
    <w:rsid w:val="00D2710C"/>
    <w:rsid w:val="00D2713F"/>
    <w:rsid w:val="00D27298"/>
    <w:rsid w:val="00D2741C"/>
    <w:rsid w:val="00D2758B"/>
    <w:rsid w:val="00D27669"/>
    <w:rsid w:val="00D2769C"/>
    <w:rsid w:val="00D276E3"/>
    <w:rsid w:val="00D2773D"/>
    <w:rsid w:val="00D2777B"/>
    <w:rsid w:val="00D279DA"/>
    <w:rsid w:val="00D27AB2"/>
    <w:rsid w:val="00D27B5A"/>
    <w:rsid w:val="00D27C2A"/>
    <w:rsid w:val="00D27C5D"/>
    <w:rsid w:val="00D27DB1"/>
    <w:rsid w:val="00D27DE1"/>
    <w:rsid w:val="00D27E47"/>
    <w:rsid w:val="00D27E77"/>
    <w:rsid w:val="00D27F36"/>
    <w:rsid w:val="00D30088"/>
    <w:rsid w:val="00D301DC"/>
    <w:rsid w:val="00D301E4"/>
    <w:rsid w:val="00D30202"/>
    <w:rsid w:val="00D302B2"/>
    <w:rsid w:val="00D30326"/>
    <w:rsid w:val="00D30387"/>
    <w:rsid w:val="00D303AB"/>
    <w:rsid w:val="00D304BC"/>
    <w:rsid w:val="00D304CD"/>
    <w:rsid w:val="00D30500"/>
    <w:rsid w:val="00D306C9"/>
    <w:rsid w:val="00D306F9"/>
    <w:rsid w:val="00D30758"/>
    <w:rsid w:val="00D307CB"/>
    <w:rsid w:val="00D30856"/>
    <w:rsid w:val="00D308E8"/>
    <w:rsid w:val="00D30978"/>
    <w:rsid w:val="00D30A4A"/>
    <w:rsid w:val="00D30A90"/>
    <w:rsid w:val="00D30ACC"/>
    <w:rsid w:val="00D30AE6"/>
    <w:rsid w:val="00D30B0B"/>
    <w:rsid w:val="00D30C49"/>
    <w:rsid w:val="00D30CCF"/>
    <w:rsid w:val="00D30D52"/>
    <w:rsid w:val="00D30D67"/>
    <w:rsid w:val="00D30DAF"/>
    <w:rsid w:val="00D30DCA"/>
    <w:rsid w:val="00D30E31"/>
    <w:rsid w:val="00D30E75"/>
    <w:rsid w:val="00D30E87"/>
    <w:rsid w:val="00D30ED7"/>
    <w:rsid w:val="00D311DB"/>
    <w:rsid w:val="00D31201"/>
    <w:rsid w:val="00D31294"/>
    <w:rsid w:val="00D31668"/>
    <w:rsid w:val="00D31707"/>
    <w:rsid w:val="00D31776"/>
    <w:rsid w:val="00D31863"/>
    <w:rsid w:val="00D318A4"/>
    <w:rsid w:val="00D319EA"/>
    <w:rsid w:val="00D31BE0"/>
    <w:rsid w:val="00D31DA7"/>
    <w:rsid w:val="00D31DAF"/>
    <w:rsid w:val="00D31DD7"/>
    <w:rsid w:val="00D31DDA"/>
    <w:rsid w:val="00D31F44"/>
    <w:rsid w:val="00D32050"/>
    <w:rsid w:val="00D320B5"/>
    <w:rsid w:val="00D320D3"/>
    <w:rsid w:val="00D3217A"/>
    <w:rsid w:val="00D321CC"/>
    <w:rsid w:val="00D3232F"/>
    <w:rsid w:val="00D323AE"/>
    <w:rsid w:val="00D323BD"/>
    <w:rsid w:val="00D32510"/>
    <w:rsid w:val="00D3251B"/>
    <w:rsid w:val="00D3256A"/>
    <w:rsid w:val="00D32630"/>
    <w:rsid w:val="00D32694"/>
    <w:rsid w:val="00D326D7"/>
    <w:rsid w:val="00D327A6"/>
    <w:rsid w:val="00D327B2"/>
    <w:rsid w:val="00D328C6"/>
    <w:rsid w:val="00D32960"/>
    <w:rsid w:val="00D329A8"/>
    <w:rsid w:val="00D32A37"/>
    <w:rsid w:val="00D32ADF"/>
    <w:rsid w:val="00D32B0F"/>
    <w:rsid w:val="00D32BFF"/>
    <w:rsid w:val="00D32C9D"/>
    <w:rsid w:val="00D32D1C"/>
    <w:rsid w:val="00D32E4E"/>
    <w:rsid w:val="00D32F20"/>
    <w:rsid w:val="00D32F74"/>
    <w:rsid w:val="00D32FB5"/>
    <w:rsid w:val="00D3301E"/>
    <w:rsid w:val="00D33050"/>
    <w:rsid w:val="00D33058"/>
    <w:rsid w:val="00D33205"/>
    <w:rsid w:val="00D33391"/>
    <w:rsid w:val="00D33435"/>
    <w:rsid w:val="00D334C6"/>
    <w:rsid w:val="00D3385E"/>
    <w:rsid w:val="00D33878"/>
    <w:rsid w:val="00D33933"/>
    <w:rsid w:val="00D339F2"/>
    <w:rsid w:val="00D33A53"/>
    <w:rsid w:val="00D33B1E"/>
    <w:rsid w:val="00D33C03"/>
    <w:rsid w:val="00D33C47"/>
    <w:rsid w:val="00D33D72"/>
    <w:rsid w:val="00D33D8B"/>
    <w:rsid w:val="00D33E61"/>
    <w:rsid w:val="00D33E7F"/>
    <w:rsid w:val="00D33F00"/>
    <w:rsid w:val="00D33F41"/>
    <w:rsid w:val="00D33F58"/>
    <w:rsid w:val="00D341EB"/>
    <w:rsid w:val="00D34317"/>
    <w:rsid w:val="00D344C6"/>
    <w:rsid w:val="00D344D0"/>
    <w:rsid w:val="00D3474B"/>
    <w:rsid w:val="00D3479A"/>
    <w:rsid w:val="00D3482C"/>
    <w:rsid w:val="00D34911"/>
    <w:rsid w:val="00D34965"/>
    <w:rsid w:val="00D3497E"/>
    <w:rsid w:val="00D3499E"/>
    <w:rsid w:val="00D34A02"/>
    <w:rsid w:val="00D34AB9"/>
    <w:rsid w:val="00D34C25"/>
    <w:rsid w:val="00D34C29"/>
    <w:rsid w:val="00D34C3A"/>
    <w:rsid w:val="00D34C74"/>
    <w:rsid w:val="00D34C83"/>
    <w:rsid w:val="00D34CE6"/>
    <w:rsid w:val="00D34CF1"/>
    <w:rsid w:val="00D34DFD"/>
    <w:rsid w:val="00D34E24"/>
    <w:rsid w:val="00D34E2B"/>
    <w:rsid w:val="00D34E89"/>
    <w:rsid w:val="00D34FAA"/>
    <w:rsid w:val="00D3501B"/>
    <w:rsid w:val="00D3515A"/>
    <w:rsid w:val="00D35275"/>
    <w:rsid w:val="00D3527B"/>
    <w:rsid w:val="00D3532D"/>
    <w:rsid w:val="00D355C6"/>
    <w:rsid w:val="00D35650"/>
    <w:rsid w:val="00D356AC"/>
    <w:rsid w:val="00D356CE"/>
    <w:rsid w:val="00D3571B"/>
    <w:rsid w:val="00D35823"/>
    <w:rsid w:val="00D3593D"/>
    <w:rsid w:val="00D35B18"/>
    <w:rsid w:val="00D35B3D"/>
    <w:rsid w:val="00D35BC9"/>
    <w:rsid w:val="00D35C76"/>
    <w:rsid w:val="00D35CE8"/>
    <w:rsid w:val="00D35D16"/>
    <w:rsid w:val="00D35E3F"/>
    <w:rsid w:val="00D35ECE"/>
    <w:rsid w:val="00D35ED5"/>
    <w:rsid w:val="00D35F76"/>
    <w:rsid w:val="00D35FE1"/>
    <w:rsid w:val="00D35FF4"/>
    <w:rsid w:val="00D3602B"/>
    <w:rsid w:val="00D36252"/>
    <w:rsid w:val="00D362CF"/>
    <w:rsid w:val="00D36351"/>
    <w:rsid w:val="00D3635B"/>
    <w:rsid w:val="00D363D9"/>
    <w:rsid w:val="00D3655F"/>
    <w:rsid w:val="00D3667D"/>
    <w:rsid w:val="00D366EA"/>
    <w:rsid w:val="00D3674D"/>
    <w:rsid w:val="00D36769"/>
    <w:rsid w:val="00D3678C"/>
    <w:rsid w:val="00D36808"/>
    <w:rsid w:val="00D3688A"/>
    <w:rsid w:val="00D36922"/>
    <w:rsid w:val="00D36926"/>
    <w:rsid w:val="00D36987"/>
    <w:rsid w:val="00D369E3"/>
    <w:rsid w:val="00D36C1A"/>
    <w:rsid w:val="00D36CAC"/>
    <w:rsid w:val="00D36D8F"/>
    <w:rsid w:val="00D36E79"/>
    <w:rsid w:val="00D36F86"/>
    <w:rsid w:val="00D36FC8"/>
    <w:rsid w:val="00D36FD9"/>
    <w:rsid w:val="00D37040"/>
    <w:rsid w:val="00D370B0"/>
    <w:rsid w:val="00D3713D"/>
    <w:rsid w:val="00D3714B"/>
    <w:rsid w:val="00D37162"/>
    <w:rsid w:val="00D3731F"/>
    <w:rsid w:val="00D3739C"/>
    <w:rsid w:val="00D37477"/>
    <w:rsid w:val="00D3750D"/>
    <w:rsid w:val="00D3755D"/>
    <w:rsid w:val="00D37564"/>
    <w:rsid w:val="00D37567"/>
    <w:rsid w:val="00D376B0"/>
    <w:rsid w:val="00D3773D"/>
    <w:rsid w:val="00D377A8"/>
    <w:rsid w:val="00D3782A"/>
    <w:rsid w:val="00D37877"/>
    <w:rsid w:val="00D379D4"/>
    <w:rsid w:val="00D379E7"/>
    <w:rsid w:val="00D37A25"/>
    <w:rsid w:val="00D37A6F"/>
    <w:rsid w:val="00D37A99"/>
    <w:rsid w:val="00D37BC7"/>
    <w:rsid w:val="00D37BF9"/>
    <w:rsid w:val="00D37CAE"/>
    <w:rsid w:val="00D37DA2"/>
    <w:rsid w:val="00D37DB5"/>
    <w:rsid w:val="00D37E84"/>
    <w:rsid w:val="00D37EC4"/>
    <w:rsid w:val="00D37EE9"/>
    <w:rsid w:val="00D37F92"/>
    <w:rsid w:val="00D40033"/>
    <w:rsid w:val="00D400E7"/>
    <w:rsid w:val="00D400ED"/>
    <w:rsid w:val="00D4016A"/>
    <w:rsid w:val="00D40217"/>
    <w:rsid w:val="00D40268"/>
    <w:rsid w:val="00D40377"/>
    <w:rsid w:val="00D403AE"/>
    <w:rsid w:val="00D40402"/>
    <w:rsid w:val="00D404A6"/>
    <w:rsid w:val="00D406ED"/>
    <w:rsid w:val="00D4072F"/>
    <w:rsid w:val="00D407C4"/>
    <w:rsid w:val="00D407D7"/>
    <w:rsid w:val="00D40908"/>
    <w:rsid w:val="00D40AC7"/>
    <w:rsid w:val="00D40C80"/>
    <w:rsid w:val="00D40C8D"/>
    <w:rsid w:val="00D40D41"/>
    <w:rsid w:val="00D40E20"/>
    <w:rsid w:val="00D40E28"/>
    <w:rsid w:val="00D40E53"/>
    <w:rsid w:val="00D40F1B"/>
    <w:rsid w:val="00D40F89"/>
    <w:rsid w:val="00D40F99"/>
    <w:rsid w:val="00D40FB3"/>
    <w:rsid w:val="00D4102D"/>
    <w:rsid w:val="00D41088"/>
    <w:rsid w:val="00D410B5"/>
    <w:rsid w:val="00D410B6"/>
    <w:rsid w:val="00D411A5"/>
    <w:rsid w:val="00D411DF"/>
    <w:rsid w:val="00D41295"/>
    <w:rsid w:val="00D41350"/>
    <w:rsid w:val="00D41378"/>
    <w:rsid w:val="00D413D2"/>
    <w:rsid w:val="00D41542"/>
    <w:rsid w:val="00D41583"/>
    <w:rsid w:val="00D417CE"/>
    <w:rsid w:val="00D418A6"/>
    <w:rsid w:val="00D41908"/>
    <w:rsid w:val="00D41929"/>
    <w:rsid w:val="00D41999"/>
    <w:rsid w:val="00D41A4D"/>
    <w:rsid w:val="00D41AA6"/>
    <w:rsid w:val="00D41B81"/>
    <w:rsid w:val="00D41BAC"/>
    <w:rsid w:val="00D41BB6"/>
    <w:rsid w:val="00D41BFF"/>
    <w:rsid w:val="00D41D32"/>
    <w:rsid w:val="00D41FC7"/>
    <w:rsid w:val="00D421F7"/>
    <w:rsid w:val="00D4221F"/>
    <w:rsid w:val="00D4226D"/>
    <w:rsid w:val="00D4230C"/>
    <w:rsid w:val="00D4246D"/>
    <w:rsid w:val="00D4272D"/>
    <w:rsid w:val="00D42864"/>
    <w:rsid w:val="00D428A6"/>
    <w:rsid w:val="00D429D2"/>
    <w:rsid w:val="00D42A2F"/>
    <w:rsid w:val="00D42A90"/>
    <w:rsid w:val="00D42AF4"/>
    <w:rsid w:val="00D42CC5"/>
    <w:rsid w:val="00D42CCC"/>
    <w:rsid w:val="00D42D71"/>
    <w:rsid w:val="00D42DB4"/>
    <w:rsid w:val="00D42ECE"/>
    <w:rsid w:val="00D42F5B"/>
    <w:rsid w:val="00D42F75"/>
    <w:rsid w:val="00D4318C"/>
    <w:rsid w:val="00D431EE"/>
    <w:rsid w:val="00D4323D"/>
    <w:rsid w:val="00D43351"/>
    <w:rsid w:val="00D4337D"/>
    <w:rsid w:val="00D43416"/>
    <w:rsid w:val="00D43465"/>
    <w:rsid w:val="00D435F0"/>
    <w:rsid w:val="00D43650"/>
    <w:rsid w:val="00D436DB"/>
    <w:rsid w:val="00D437A7"/>
    <w:rsid w:val="00D437E7"/>
    <w:rsid w:val="00D43827"/>
    <w:rsid w:val="00D4393F"/>
    <w:rsid w:val="00D43B57"/>
    <w:rsid w:val="00D43B6D"/>
    <w:rsid w:val="00D43B88"/>
    <w:rsid w:val="00D43C28"/>
    <w:rsid w:val="00D43C70"/>
    <w:rsid w:val="00D43CB5"/>
    <w:rsid w:val="00D43CE2"/>
    <w:rsid w:val="00D43DAE"/>
    <w:rsid w:val="00D43E3C"/>
    <w:rsid w:val="00D43F2B"/>
    <w:rsid w:val="00D43FE2"/>
    <w:rsid w:val="00D44092"/>
    <w:rsid w:val="00D440F3"/>
    <w:rsid w:val="00D441FA"/>
    <w:rsid w:val="00D44219"/>
    <w:rsid w:val="00D44273"/>
    <w:rsid w:val="00D4429A"/>
    <w:rsid w:val="00D442E5"/>
    <w:rsid w:val="00D44453"/>
    <w:rsid w:val="00D4457D"/>
    <w:rsid w:val="00D445A2"/>
    <w:rsid w:val="00D44611"/>
    <w:rsid w:val="00D4467E"/>
    <w:rsid w:val="00D4478F"/>
    <w:rsid w:val="00D447AC"/>
    <w:rsid w:val="00D448DE"/>
    <w:rsid w:val="00D44902"/>
    <w:rsid w:val="00D44A1F"/>
    <w:rsid w:val="00D44A29"/>
    <w:rsid w:val="00D44B09"/>
    <w:rsid w:val="00D44B10"/>
    <w:rsid w:val="00D44B2B"/>
    <w:rsid w:val="00D44B6A"/>
    <w:rsid w:val="00D44DEF"/>
    <w:rsid w:val="00D44E37"/>
    <w:rsid w:val="00D44EBB"/>
    <w:rsid w:val="00D44EE0"/>
    <w:rsid w:val="00D44F7E"/>
    <w:rsid w:val="00D44FA8"/>
    <w:rsid w:val="00D4521D"/>
    <w:rsid w:val="00D4531B"/>
    <w:rsid w:val="00D453A1"/>
    <w:rsid w:val="00D453F1"/>
    <w:rsid w:val="00D45433"/>
    <w:rsid w:val="00D455A6"/>
    <w:rsid w:val="00D455BE"/>
    <w:rsid w:val="00D455CF"/>
    <w:rsid w:val="00D455D4"/>
    <w:rsid w:val="00D45645"/>
    <w:rsid w:val="00D456A3"/>
    <w:rsid w:val="00D4579E"/>
    <w:rsid w:val="00D45920"/>
    <w:rsid w:val="00D4593F"/>
    <w:rsid w:val="00D45ADE"/>
    <w:rsid w:val="00D45BB4"/>
    <w:rsid w:val="00D45CE5"/>
    <w:rsid w:val="00D45E7A"/>
    <w:rsid w:val="00D45EB2"/>
    <w:rsid w:val="00D45F04"/>
    <w:rsid w:val="00D45F1F"/>
    <w:rsid w:val="00D45F91"/>
    <w:rsid w:val="00D45FBC"/>
    <w:rsid w:val="00D46012"/>
    <w:rsid w:val="00D460AF"/>
    <w:rsid w:val="00D461AA"/>
    <w:rsid w:val="00D462F8"/>
    <w:rsid w:val="00D4635B"/>
    <w:rsid w:val="00D4635E"/>
    <w:rsid w:val="00D463D4"/>
    <w:rsid w:val="00D463E7"/>
    <w:rsid w:val="00D46429"/>
    <w:rsid w:val="00D46461"/>
    <w:rsid w:val="00D4652A"/>
    <w:rsid w:val="00D46576"/>
    <w:rsid w:val="00D46589"/>
    <w:rsid w:val="00D466BF"/>
    <w:rsid w:val="00D46730"/>
    <w:rsid w:val="00D46733"/>
    <w:rsid w:val="00D468C6"/>
    <w:rsid w:val="00D469BD"/>
    <w:rsid w:val="00D46A30"/>
    <w:rsid w:val="00D46B76"/>
    <w:rsid w:val="00D46B8E"/>
    <w:rsid w:val="00D46CC5"/>
    <w:rsid w:val="00D46CD8"/>
    <w:rsid w:val="00D46CEC"/>
    <w:rsid w:val="00D46D0F"/>
    <w:rsid w:val="00D46D47"/>
    <w:rsid w:val="00D46D57"/>
    <w:rsid w:val="00D46D8D"/>
    <w:rsid w:val="00D46D8F"/>
    <w:rsid w:val="00D46FE9"/>
    <w:rsid w:val="00D46FF1"/>
    <w:rsid w:val="00D47091"/>
    <w:rsid w:val="00D470C3"/>
    <w:rsid w:val="00D470F8"/>
    <w:rsid w:val="00D471EA"/>
    <w:rsid w:val="00D471FF"/>
    <w:rsid w:val="00D47333"/>
    <w:rsid w:val="00D47336"/>
    <w:rsid w:val="00D47432"/>
    <w:rsid w:val="00D47538"/>
    <w:rsid w:val="00D4755F"/>
    <w:rsid w:val="00D47626"/>
    <w:rsid w:val="00D476B0"/>
    <w:rsid w:val="00D477BD"/>
    <w:rsid w:val="00D47A91"/>
    <w:rsid w:val="00D47B3A"/>
    <w:rsid w:val="00D47BB2"/>
    <w:rsid w:val="00D47BB9"/>
    <w:rsid w:val="00D47BE1"/>
    <w:rsid w:val="00D47E9A"/>
    <w:rsid w:val="00D5002C"/>
    <w:rsid w:val="00D50244"/>
    <w:rsid w:val="00D50279"/>
    <w:rsid w:val="00D50329"/>
    <w:rsid w:val="00D50387"/>
    <w:rsid w:val="00D50416"/>
    <w:rsid w:val="00D5046B"/>
    <w:rsid w:val="00D504B4"/>
    <w:rsid w:val="00D5050E"/>
    <w:rsid w:val="00D50860"/>
    <w:rsid w:val="00D50918"/>
    <w:rsid w:val="00D5097E"/>
    <w:rsid w:val="00D50994"/>
    <w:rsid w:val="00D50A73"/>
    <w:rsid w:val="00D50AA7"/>
    <w:rsid w:val="00D50AD8"/>
    <w:rsid w:val="00D50B2D"/>
    <w:rsid w:val="00D50B3F"/>
    <w:rsid w:val="00D50BD4"/>
    <w:rsid w:val="00D50C22"/>
    <w:rsid w:val="00D50DDB"/>
    <w:rsid w:val="00D50EFD"/>
    <w:rsid w:val="00D50F2B"/>
    <w:rsid w:val="00D50FB2"/>
    <w:rsid w:val="00D51077"/>
    <w:rsid w:val="00D5115A"/>
    <w:rsid w:val="00D51349"/>
    <w:rsid w:val="00D51455"/>
    <w:rsid w:val="00D51458"/>
    <w:rsid w:val="00D514FE"/>
    <w:rsid w:val="00D51680"/>
    <w:rsid w:val="00D5169E"/>
    <w:rsid w:val="00D5179E"/>
    <w:rsid w:val="00D51944"/>
    <w:rsid w:val="00D519BC"/>
    <w:rsid w:val="00D51AD1"/>
    <w:rsid w:val="00D51BD6"/>
    <w:rsid w:val="00D51C47"/>
    <w:rsid w:val="00D51DD8"/>
    <w:rsid w:val="00D51EC8"/>
    <w:rsid w:val="00D51F00"/>
    <w:rsid w:val="00D51F2A"/>
    <w:rsid w:val="00D51FAC"/>
    <w:rsid w:val="00D520BA"/>
    <w:rsid w:val="00D52171"/>
    <w:rsid w:val="00D521C3"/>
    <w:rsid w:val="00D522BD"/>
    <w:rsid w:val="00D52325"/>
    <w:rsid w:val="00D523F8"/>
    <w:rsid w:val="00D52407"/>
    <w:rsid w:val="00D5242E"/>
    <w:rsid w:val="00D5247A"/>
    <w:rsid w:val="00D52521"/>
    <w:rsid w:val="00D52597"/>
    <w:rsid w:val="00D525DA"/>
    <w:rsid w:val="00D527EB"/>
    <w:rsid w:val="00D528AB"/>
    <w:rsid w:val="00D52909"/>
    <w:rsid w:val="00D52951"/>
    <w:rsid w:val="00D529DE"/>
    <w:rsid w:val="00D52A9F"/>
    <w:rsid w:val="00D52AF3"/>
    <w:rsid w:val="00D52B29"/>
    <w:rsid w:val="00D52B2C"/>
    <w:rsid w:val="00D52CB7"/>
    <w:rsid w:val="00D52DE9"/>
    <w:rsid w:val="00D52E6A"/>
    <w:rsid w:val="00D52F94"/>
    <w:rsid w:val="00D52FEB"/>
    <w:rsid w:val="00D5302B"/>
    <w:rsid w:val="00D5303F"/>
    <w:rsid w:val="00D53103"/>
    <w:rsid w:val="00D5315F"/>
    <w:rsid w:val="00D53191"/>
    <w:rsid w:val="00D5331D"/>
    <w:rsid w:val="00D53351"/>
    <w:rsid w:val="00D5351C"/>
    <w:rsid w:val="00D53546"/>
    <w:rsid w:val="00D53593"/>
    <w:rsid w:val="00D535E6"/>
    <w:rsid w:val="00D53695"/>
    <w:rsid w:val="00D5375A"/>
    <w:rsid w:val="00D53763"/>
    <w:rsid w:val="00D537AC"/>
    <w:rsid w:val="00D537BA"/>
    <w:rsid w:val="00D537C6"/>
    <w:rsid w:val="00D53803"/>
    <w:rsid w:val="00D53866"/>
    <w:rsid w:val="00D53924"/>
    <w:rsid w:val="00D53968"/>
    <w:rsid w:val="00D53A89"/>
    <w:rsid w:val="00D53B56"/>
    <w:rsid w:val="00D53B67"/>
    <w:rsid w:val="00D53BF5"/>
    <w:rsid w:val="00D53CD9"/>
    <w:rsid w:val="00D53D90"/>
    <w:rsid w:val="00D53E47"/>
    <w:rsid w:val="00D53F10"/>
    <w:rsid w:val="00D53FDD"/>
    <w:rsid w:val="00D54109"/>
    <w:rsid w:val="00D5429B"/>
    <w:rsid w:val="00D542CF"/>
    <w:rsid w:val="00D5439E"/>
    <w:rsid w:val="00D54444"/>
    <w:rsid w:val="00D54741"/>
    <w:rsid w:val="00D547D5"/>
    <w:rsid w:val="00D548C3"/>
    <w:rsid w:val="00D549BE"/>
    <w:rsid w:val="00D54A95"/>
    <w:rsid w:val="00D54B2A"/>
    <w:rsid w:val="00D54B7F"/>
    <w:rsid w:val="00D54BE1"/>
    <w:rsid w:val="00D54BEC"/>
    <w:rsid w:val="00D54CA7"/>
    <w:rsid w:val="00D54F4F"/>
    <w:rsid w:val="00D54F50"/>
    <w:rsid w:val="00D54F5E"/>
    <w:rsid w:val="00D55037"/>
    <w:rsid w:val="00D55116"/>
    <w:rsid w:val="00D55171"/>
    <w:rsid w:val="00D5517E"/>
    <w:rsid w:val="00D55230"/>
    <w:rsid w:val="00D55265"/>
    <w:rsid w:val="00D552F9"/>
    <w:rsid w:val="00D553DF"/>
    <w:rsid w:val="00D55484"/>
    <w:rsid w:val="00D554BC"/>
    <w:rsid w:val="00D55589"/>
    <w:rsid w:val="00D556CF"/>
    <w:rsid w:val="00D5581A"/>
    <w:rsid w:val="00D55840"/>
    <w:rsid w:val="00D5594C"/>
    <w:rsid w:val="00D559B1"/>
    <w:rsid w:val="00D55A3A"/>
    <w:rsid w:val="00D55A53"/>
    <w:rsid w:val="00D55B2D"/>
    <w:rsid w:val="00D55B68"/>
    <w:rsid w:val="00D55BBB"/>
    <w:rsid w:val="00D55C12"/>
    <w:rsid w:val="00D55DA9"/>
    <w:rsid w:val="00D55E9D"/>
    <w:rsid w:val="00D55ED2"/>
    <w:rsid w:val="00D55F14"/>
    <w:rsid w:val="00D55F26"/>
    <w:rsid w:val="00D55F42"/>
    <w:rsid w:val="00D55F84"/>
    <w:rsid w:val="00D55FEA"/>
    <w:rsid w:val="00D5601B"/>
    <w:rsid w:val="00D56071"/>
    <w:rsid w:val="00D560F5"/>
    <w:rsid w:val="00D562B9"/>
    <w:rsid w:val="00D56371"/>
    <w:rsid w:val="00D56377"/>
    <w:rsid w:val="00D56423"/>
    <w:rsid w:val="00D5655F"/>
    <w:rsid w:val="00D5656B"/>
    <w:rsid w:val="00D565BD"/>
    <w:rsid w:val="00D565F9"/>
    <w:rsid w:val="00D566F3"/>
    <w:rsid w:val="00D56715"/>
    <w:rsid w:val="00D56831"/>
    <w:rsid w:val="00D56838"/>
    <w:rsid w:val="00D5685B"/>
    <w:rsid w:val="00D56896"/>
    <w:rsid w:val="00D568A3"/>
    <w:rsid w:val="00D568FC"/>
    <w:rsid w:val="00D56953"/>
    <w:rsid w:val="00D56AD7"/>
    <w:rsid w:val="00D56AFE"/>
    <w:rsid w:val="00D56B59"/>
    <w:rsid w:val="00D56C1B"/>
    <w:rsid w:val="00D56C5E"/>
    <w:rsid w:val="00D56DD1"/>
    <w:rsid w:val="00D56F42"/>
    <w:rsid w:val="00D570DA"/>
    <w:rsid w:val="00D57146"/>
    <w:rsid w:val="00D57185"/>
    <w:rsid w:val="00D57198"/>
    <w:rsid w:val="00D5722B"/>
    <w:rsid w:val="00D5729A"/>
    <w:rsid w:val="00D5732C"/>
    <w:rsid w:val="00D5741C"/>
    <w:rsid w:val="00D57463"/>
    <w:rsid w:val="00D5750A"/>
    <w:rsid w:val="00D57598"/>
    <w:rsid w:val="00D5763F"/>
    <w:rsid w:val="00D57643"/>
    <w:rsid w:val="00D57657"/>
    <w:rsid w:val="00D57676"/>
    <w:rsid w:val="00D5775E"/>
    <w:rsid w:val="00D57933"/>
    <w:rsid w:val="00D57A65"/>
    <w:rsid w:val="00D57ABF"/>
    <w:rsid w:val="00D57B84"/>
    <w:rsid w:val="00D57BB1"/>
    <w:rsid w:val="00D57BEC"/>
    <w:rsid w:val="00D57BF7"/>
    <w:rsid w:val="00D57D36"/>
    <w:rsid w:val="00D57DB0"/>
    <w:rsid w:val="00D57E14"/>
    <w:rsid w:val="00D57E42"/>
    <w:rsid w:val="00D57F7E"/>
    <w:rsid w:val="00D57FB4"/>
    <w:rsid w:val="00D60046"/>
    <w:rsid w:val="00D600FE"/>
    <w:rsid w:val="00D60155"/>
    <w:rsid w:val="00D601E1"/>
    <w:rsid w:val="00D601FC"/>
    <w:rsid w:val="00D60218"/>
    <w:rsid w:val="00D602CA"/>
    <w:rsid w:val="00D60358"/>
    <w:rsid w:val="00D6038B"/>
    <w:rsid w:val="00D60578"/>
    <w:rsid w:val="00D605CA"/>
    <w:rsid w:val="00D6068F"/>
    <w:rsid w:val="00D606CA"/>
    <w:rsid w:val="00D606FF"/>
    <w:rsid w:val="00D60700"/>
    <w:rsid w:val="00D60711"/>
    <w:rsid w:val="00D6072A"/>
    <w:rsid w:val="00D607A0"/>
    <w:rsid w:val="00D608B0"/>
    <w:rsid w:val="00D608C0"/>
    <w:rsid w:val="00D6093D"/>
    <w:rsid w:val="00D60B74"/>
    <w:rsid w:val="00D60B76"/>
    <w:rsid w:val="00D60BF7"/>
    <w:rsid w:val="00D60C8E"/>
    <w:rsid w:val="00D60D4A"/>
    <w:rsid w:val="00D60DB7"/>
    <w:rsid w:val="00D60DCE"/>
    <w:rsid w:val="00D610CF"/>
    <w:rsid w:val="00D610E9"/>
    <w:rsid w:val="00D61121"/>
    <w:rsid w:val="00D6112F"/>
    <w:rsid w:val="00D612D7"/>
    <w:rsid w:val="00D61457"/>
    <w:rsid w:val="00D614B8"/>
    <w:rsid w:val="00D61596"/>
    <w:rsid w:val="00D61609"/>
    <w:rsid w:val="00D61654"/>
    <w:rsid w:val="00D61663"/>
    <w:rsid w:val="00D616B8"/>
    <w:rsid w:val="00D616CA"/>
    <w:rsid w:val="00D61731"/>
    <w:rsid w:val="00D61788"/>
    <w:rsid w:val="00D618AE"/>
    <w:rsid w:val="00D61AB9"/>
    <w:rsid w:val="00D61AD9"/>
    <w:rsid w:val="00D61B60"/>
    <w:rsid w:val="00D61BAA"/>
    <w:rsid w:val="00D61CA2"/>
    <w:rsid w:val="00D61D84"/>
    <w:rsid w:val="00D61E0E"/>
    <w:rsid w:val="00D61F9A"/>
    <w:rsid w:val="00D620AA"/>
    <w:rsid w:val="00D6224F"/>
    <w:rsid w:val="00D6226C"/>
    <w:rsid w:val="00D62287"/>
    <w:rsid w:val="00D622D5"/>
    <w:rsid w:val="00D6239F"/>
    <w:rsid w:val="00D623B4"/>
    <w:rsid w:val="00D62485"/>
    <w:rsid w:val="00D624C8"/>
    <w:rsid w:val="00D62536"/>
    <w:rsid w:val="00D6261D"/>
    <w:rsid w:val="00D6263B"/>
    <w:rsid w:val="00D6269C"/>
    <w:rsid w:val="00D626C4"/>
    <w:rsid w:val="00D62765"/>
    <w:rsid w:val="00D62874"/>
    <w:rsid w:val="00D6294C"/>
    <w:rsid w:val="00D62962"/>
    <w:rsid w:val="00D62A04"/>
    <w:rsid w:val="00D62BC5"/>
    <w:rsid w:val="00D62C2C"/>
    <w:rsid w:val="00D62C91"/>
    <w:rsid w:val="00D62EB8"/>
    <w:rsid w:val="00D62F17"/>
    <w:rsid w:val="00D63015"/>
    <w:rsid w:val="00D63038"/>
    <w:rsid w:val="00D63101"/>
    <w:rsid w:val="00D6317C"/>
    <w:rsid w:val="00D631D2"/>
    <w:rsid w:val="00D63268"/>
    <w:rsid w:val="00D6326A"/>
    <w:rsid w:val="00D63394"/>
    <w:rsid w:val="00D633CA"/>
    <w:rsid w:val="00D636EA"/>
    <w:rsid w:val="00D636FF"/>
    <w:rsid w:val="00D6370C"/>
    <w:rsid w:val="00D6396E"/>
    <w:rsid w:val="00D63B76"/>
    <w:rsid w:val="00D63BB3"/>
    <w:rsid w:val="00D63C94"/>
    <w:rsid w:val="00D63D0E"/>
    <w:rsid w:val="00D63D55"/>
    <w:rsid w:val="00D63E29"/>
    <w:rsid w:val="00D63E8C"/>
    <w:rsid w:val="00D63FB3"/>
    <w:rsid w:val="00D640D0"/>
    <w:rsid w:val="00D6411E"/>
    <w:rsid w:val="00D64130"/>
    <w:rsid w:val="00D64162"/>
    <w:rsid w:val="00D641CC"/>
    <w:rsid w:val="00D641E0"/>
    <w:rsid w:val="00D6423C"/>
    <w:rsid w:val="00D64268"/>
    <w:rsid w:val="00D64356"/>
    <w:rsid w:val="00D643A1"/>
    <w:rsid w:val="00D64444"/>
    <w:rsid w:val="00D6444F"/>
    <w:rsid w:val="00D6459C"/>
    <w:rsid w:val="00D645F2"/>
    <w:rsid w:val="00D645FA"/>
    <w:rsid w:val="00D648C6"/>
    <w:rsid w:val="00D648F1"/>
    <w:rsid w:val="00D6493E"/>
    <w:rsid w:val="00D649AE"/>
    <w:rsid w:val="00D64B79"/>
    <w:rsid w:val="00D64BAD"/>
    <w:rsid w:val="00D64C32"/>
    <w:rsid w:val="00D64C78"/>
    <w:rsid w:val="00D64D14"/>
    <w:rsid w:val="00D64D8C"/>
    <w:rsid w:val="00D65030"/>
    <w:rsid w:val="00D65091"/>
    <w:rsid w:val="00D65102"/>
    <w:rsid w:val="00D65171"/>
    <w:rsid w:val="00D65282"/>
    <w:rsid w:val="00D65373"/>
    <w:rsid w:val="00D654E2"/>
    <w:rsid w:val="00D654E3"/>
    <w:rsid w:val="00D654F2"/>
    <w:rsid w:val="00D6555E"/>
    <w:rsid w:val="00D6560E"/>
    <w:rsid w:val="00D65640"/>
    <w:rsid w:val="00D65710"/>
    <w:rsid w:val="00D65A28"/>
    <w:rsid w:val="00D65A93"/>
    <w:rsid w:val="00D65AD0"/>
    <w:rsid w:val="00D65AE2"/>
    <w:rsid w:val="00D65B47"/>
    <w:rsid w:val="00D65E9F"/>
    <w:rsid w:val="00D65FA6"/>
    <w:rsid w:val="00D65FD0"/>
    <w:rsid w:val="00D6601B"/>
    <w:rsid w:val="00D66033"/>
    <w:rsid w:val="00D6606F"/>
    <w:rsid w:val="00D662F1"/>
    <w:rsid w:val="00D6638B"/>
    <w:rsid w:val="00D66390"/>
    <w:rsid w:val="00D6646F"/>
    <w:rsid w:val="00D665D1"/>
    <w:rsid w:val="00D6672F"/>
    <w:rsid w:val="00D667C5"/>
    <w:rsid w:val="00D669F3"/>
    <w:rsid w:val="00D66A8B"/>
    <w:rsid w:val="00D66AC3"/>
    <w:rsid w:val="00D66B9F"/>
    <w:rsid w:val="00D66BB7"/>
    <w:rsid w:val="00D66BC7"/>
    <w:rsid w:val="00D66BE1"/>
    <w:rsid w:val="00D66C49"/>
    <w:rsid w:val="00D66CA5"/>
    <w:rsid w:val="00D66D90"/>
    <w:rsid w:val="00D66E42"/>
    <w:rsid w:val="00D66E84"/>
    <w:rsid w:val="00D66FD1"/>
    <w:rsid w:val="00D6725A"/>
    <w:rsid w:val="00D67261"/>
    <w:rsid w:val="00D6733B"/>
    <w:rsid w:val="00D673C5"/>
    <w:rsid w:val="00D673D8"/>
    <w:rsid w:val="00D673FA"/>
    <w:rsid w:val="00D67419"/>
    <w:rsid w:val="00D675E2"/>
    <w:rsid w:val="00D675FD"/>
    <w:rsid w:val="00D67712"/>
    <w:rsid w:val="00D67780"/>
    <w:rsid w:val="00D67838"/>
    <w:rsid w:val="00D6799D"/>
    <w:rsid w:val="00D67A0C"/>
    <w:rsid w:val="00D67A4B"/>
    <w:rsid w:val="00D67A67"/>
    <w:rsid w:val="00D67A98"/>
    <w:rsid w:val="00D67BC0"/>
    <w:rsid w:val="00D67C44"/>
    <w:rsid w:val="00D67C9D"/>
    <w:rsid w:val="00D67DC7"/>
    <w:rsid w:val="00D67DE2"/>
    <w:rsid w:val="00D67E99"/>
    <w:rsid w:val="00D67F96"/>
    <w:rsid w:val="00D67FB3"/>
    <w:rsid w:val="00D67FE7"/>
    <w:rsid w:val="00D70071"/>
    <w:rsid w:val="00D700BF"/>
    <w:rsid w:val="00D701AD"/>
    <w:rsid w:val="00D70296"/>
    <w:rsid w:val="00D703E8"/>
    <w:rsid w:val="00D70577"/>
    <w:rsid w:val="00D70600"/>
    <w:rsid w:val="00D70668"/>
    <w:rsid w:val="00D70697"/>
    <w:rsid w:val="00D707EB"/>
    <w:rsid w:val="00D708A5"/>
    <w:rsid w:val="00D708F7"/>
    <w:rsid w:val="00D709A3"/>
    <w:rsid w:val="00D70AEA"/>
    <w:rsid w:val="00D70D50"/>
    <w:rsid w:val="00D70E05"/>
    <w:rsid w:val="00D70E19"/>
    <w:rsid w:val="00D70E83"/>
    <w:rsid w:val="00D70EDE"/>
    <w:rsid w:val="00D70FFE"/>
    <w:rsid w:val="00D71000"/>
    <w:rsid w:val="00D71096"/>
    <w:rsid w:val="00D71191"/>
    <w:rsid w:val="00D711AA"/>
    <w:rsid w:val="00D711BD"/>
    <w:rsid w:val="00D711D1"/>
    <w:rsid w:val="00D711ED"/>
    <w:rsid w:val="00D7123A"/>
    <w:rsid w:val="00D712FC"/>
    <w:rsid w:val="00D713AA"/>
    <w:rsid w:val="00D71477"/>
    <w:rsid w:val="00D715D3"/>
    <w:rsid w:val="00D71621"/>
    <w:rsid w:val="00D71650"/>
    <w:rsid w:val="00D717A6"/>
    <w:rsid w:val="00D718B1"/>
    <w:rsid w:val="00D718EF"/>
    <w:rsid w:val="00D719A3"/>
    <w:rsid w:val="00D719A5"/>
    <w:rsid w:val="00D71A03"/>
    <w:rsid w:val="00D71A3F"/>
    <w:rsid w:val="00D71B6A"/>
    <w:rsid w:val="00D71BC5"/>
    <w:rsid w:val="00D71BDC"/>
    <w:rsid w:val="00D71C4C"/>
    <w:rsid w:val="00D71CD7"/>
    <w:rsid w:val="00D71DEB"/>
    <w:rsid w:val="00D71E3D"/>
    <w:rsid w:val="00D71EE8"/>
    <w:rsid w:val="00D71EFA"/>
    <w:rsid w:val="00D71FB5"/>
    <w:rsid w:val="00D71FBC"/>
    <w:rsid w:val="00D71FEF"/>
    <w:rsid w:val="00D71FF7"/>
    <w:rsid w:val="00D720A4"/>
    <w:rsid w:val="00D720FD"/>
    <w:rsid w:val="00D72107"/>
    <w:rsid w:val="00D7212C"/>
    <w:rsid w:val="00D7213F"/>
    <w:rsid w:val="00D721CE"/>
    <w:rsid w:val="00D721FC"/>
    <w:rsid w:val="00D722FC"/>
    <w:rsid w:val="00D7234F"/>
    <w:rsid w:val="00D72403"/>
    <w:rsid w:val="00D724CD"/>
    <w:rsid w:val="00D7250B"/>
    <w:rsid w:val="00D72549"/>
    <w:rsid w:val="00D72619"/>
    <w:rsid w:val="00D726A9"/>
    <w:rsid w:val="00D7276B"/>
    <w:rsid w:val="00D72813"/>
    <w:rsid w:val="00D728AD"/>
    <w:rsid w:val="00D728CB"/>
    <w:rsid w:val="00D7292C"/>
    <w:rsid w:val="00D72956"/>
    <w:rsid w:val="00D729AA"/>
    <w:rsid w:val="00D729EB"/>
    <w:rsid w:val="00D72A64"/>
    <w:rsid w:val="00D72AA6"/>
    <w:rsid w:val="00D72BCF"/>
    <w:rsid w:val="00D72BE2"/>
    <w:rsid w:val="00D72C3B"/>
    <w:rsid w:val="00D72D19"/>
    <w:rsid w:val="00D72D55"/>
    <w:rsid w:val="00D72ED0"/>
    <w:rsid w:val="00D72F00"/>
    <w:rsid w:val="00D7317A"/>
    <w:rsid w:val="00D731EB"/>
    <w:rsid w:val="00D732DA"/>
    <w:rsid w:val="00D732EF"/>
    <w:rsid w:val="00D73312"/>
    <w:rsid w:val="00D73339"/>
    <w:rsid w:val="00D733D5"/>
    <w:rsid w:val="00D73581"/>
    <w:rsid w:val="00D735A3"/>
    <w:rsid w:val="00D736C2"/>
    <w:rsid w:val="00D73A1F"/>
    <w:rsid w:val="00D73A57"/>
    <w:rsid w:val="00D73B39"/>
    <w:rsid w:val="00D73B9B"/>
    <w:rsid w:val="00D73C15"/>
    <w:rsid w:val="00D73C4A"/>
    <w:rsid w:val="00D73DE5"/>
    <w:rsid w:val="00D73EFC"/>
    <w:rsid w:val="00D73F03"/>
    <w:rsid w:val="00D73F63"/>
    <w:rsid w:val="00D73F7B"/>
    <w:rsid w:val="00D74024"/>
    <w:rsid w:val="00D740B5"/>
    <w:rsid w:val="00D7411C"/>
    <w:rsid w:val="00D741CA"/>
    <w:rsid w:val="00D7427E"/>
    <w:rsid w:val="00D742DD"/>
    <w:rsid w:val="00D74415"/>
    <w:rsid w:val="00D744BE"/>
    <w:rsid w:val="00D745D6"/>
    <w:rsid w:val="00D74672"/>
    <w:rsid w:val="00D746B0"/>
    <w:rsid w:val="00D74731"/>
    <w:rsid w:val="00D7477B"/>
    <w:rsid w:val="00D747C0"/>
    <w:rsid w:val="00D7480B"/>
    <w:rsid w:val="00D74858"/>
    <w:rsid w:val="00D748FC"/>
    <w:rsid w:val="00D74974"/>
    <w:rsid w:val="00D74987"/>
    <w:rsid w:val="00D74AB5"/>
    <w:rsid w:val="00D74AD8"/>
    <w:rsid w:val="00D74BCD"/>
    <w:rsid w:val="00D74BDB"/>
    <w:rsid w:val="00D74BF6"/>
    <w:rsid w:val="00D74C20"/>
    <w:rsid w:val="00D74C77"/>
    <w:rsid w:val="00D74E3A"/>
    <w:rsid w:val="00D74F26"/>
    <w:rsid w:val="00D74F27"/>
    <w:rsid w:val="00D75224"/>
    <w:rsid w:val="00D7530A"/>
    <w:rsid w:val="00D75321"/>
    <w:rsid w:val="00D754FD"/>
    <w:rsid w:val="00D7552C"/>
    <w:rsid w:val="00D75533"/>
    <w:rsid w:val="00D755DA"/>
    <w:rsid w:val="00D7568B"/>
    <w:rsid w:val="00D756D4"/>
    <w:rsid w:val="00D75749"/>
    <w:rsid w:val="00D7578B"/>
    <w:rsid w:val="00D75828"/>
    <w:rsid w:val="00D758AB"/>
    <w:rsid w:val="00D758AC"/>
    <w:rsid w:val="00D7590B"/>
    <w:rsid w:val="00D75A24"/>
    <w:rsid w:val="00D75AAD"/>
    <w:rsid w:val="00D75AD7"/>
    <w:rsid w:val="00D75B2D"/>
    <w:rsid w:val="00D75BED"/>
    <w:rsid w:val="00D75C60"/>
    <w:rsid w:val="00D75DA3"/>
    <w:rsid w:val="00D75DB9"/>
    <w:rsid w:val="00D75DBE"/>
    <w:rsid w:val="00D75EF5"/>
    <w:rsid w:val="00D75F13"/>
    <w:rsid w:val="00D760CF"/>
    <w:rsid w:val="00D76103"/>
    <w:rsid w:val="00D76129"/>
    <w:rsid w:val="00D7618B"/>
    <w:rsid w:val="00D7634B"/>
    <w:rsid w:val="00D764E5"/>
    <w:rsid w:val="00D76506"/>
    <w:rsid w:val="00D76555"/>
    <w:rsid w:val="00D76566"/>
    <w:rsid w:val="00D7656A"/>
    <w:rsid w:val="00D76677"/>
    <w:rsid w:val="00D766F8"/>
    <w:rsid w:val="00D76711"/>
    <w:rsid w:val="00D76786"/>
    <w:rsid w:val="00D767C6"/>
    <w:rsid w:val="00D76852"/>
    <w:rsid w:val="00D769E6"/>
    <w:rsid w:val="00D76A1F"/>
    <w:rsid w:val="00D76A32"/>
    <w:rsid w:val="00D76AA9"/>
    <w:rsid w:val="00D76AAC"/>
    <w:rsid w:val="00D76B53"/>
    <w:rsid w:val="00D76B69"/>
    <w:rsid w:val="00D76BB5"/>
    <w:rsid w:val="00D76BC7"/>
    <w:rsid w:val="00D76C0A"/>
    <w:rsid w:val="00D76D6C"/>
    <w:rsid w:val="00D76DB8"/>
    <w:rsid w:val="00D76DDD"/>
    <w:rsid w:val="00D76ED4"/>
    <w:rsid w:val="00D76EEA"/>
    <w:rsid w:val="00D76FB3"/>
    <w:rsid w:val="00D76FD6"/>
    <w:rsid w:val="00D77071"/>
    <w:rsid w:val="00D77091"/>
    <w:rsid w:val="00D770F1"/>
    <w:rsid w:val="00D77179"/>
    <w:rsid w:val="00D771B8"/>
    <w:rsid w:val="00D7730E"/>
    <w:rsid w:val="00D7736F"/>
    <w:rsid w:val="00D77382"/>
    <w:rsid w:val="00D7738D"/>
    <w:rsid w:val="00D77635"/>
    <w:rsid w:val="00D7769C"/>
    <w:rsid w:val="00D776D6"/>
    <w:rsid w:val="00D77783"/>
    <w:rsid w:val="00D778E0"/>
    <w:rsid w:val="00D7797A"/>
    <w:rsid w:val="00D779DD"/>
    <w:rsid w:val="00D77A1D"/>
    <w:rsid w:val="00D77A27"/>
    <w:rsid w:val="00D77A2E"/>
    <w:rsid w:val="00D77B5C"/>
    <w:rsid w:val="00D77BA0"/>
    <w:rsid w:val="00D77C2B"/>
    <w:rsid w:val="00D77CDA"/>
    <w:rsid w:val="00D77E17"/>
    <w:rsid w:val="00D77E4A"/>
    <w:rsid w:val="00D77E58"/>
    <w:rsid w:val="00D77E73"/>
    <w:rsid w:val="00D77EA6"/>
    <w:rsid w:val="00D77EE4"/>
    <w:rsid w:val="00D77F67"/>
    <w:rsid w:val="00D77F8D"/>
    <w:rsid w:val="00D80058"/>
    <w:rsid w:val="00D8014B"/>
    <w:rsid w:val="00D80175"/>
    <w:rsid w:val="00D80250"/>
    <w:rsid w:val="00D8026B"/>
    <w:rsid w:val="00D80321"/>
    <w:rsid w:val="00D80323"/>
    <w:rsid w:val="00D80360"/>
    <w:rsid w:val="00D803AB"/>
    <w:rsid w:val="00D8048A"/>
    <w:rsid w:val="00D804A2"/>
    <w:rsid w:val="00D804D1"/>
    <w:rsid w:val="00D80529"/>
    <w:rsid w:val="00D805A8"/>
    <w:rsid w:val="00D806A7"/>
    <w:rsid w:val="00D80849"/>
    <w:rsid w:val="00D80869"/>
    <w:rsid w:val="00D80890"/>
    <w:rsid w:val="00D808CE"/>
    <w:rsid w:val="00D808EE"/>
    <w:rsid w:val="00D80924"/>
    <w:rsid w:val="00D8094E"/>
    <w:rsid w:val="00D80B6E"/>
    <w:rsid w:val="00D80C26"/>
    <w:rsid w:val="00D80C46"/>
    <w:rsid w:val="00D80CEB"/>
    <w:rsid w:val="00D80D05"/>
    <w:rsid w:val="00D80E28"/>
    <w:rsid w:val="00D80E3B"/>
    <w:rsid w:val="00D80E60"/>
    <w:rsid w:val="00D80E8E"/>
    <w:rsid w:val="00D810A0"/>
    <w:rsid w:val="00D81112"/>
    <w:rsid w:val="00D81157"/>
    <w:rsid w:val="00D8123E"/>
    <w:rsid w:val="00D81273"/>
    <w:rsid w:val="00D8127F"/>
    <w:rsid w:val="00D812A7"/>
    <w:rsid w:val="00D81360"/>
    <w:rsid w:val="00D81388"/>
    <w:rsid w:val="00D814C1"/>
    <w:rsid w:val="00D814F0"/>
    <w:rsid w:val="00D815B3"/>
    <w:rsid w:val="00D815B7"/>
    <w:rsid w:val="00D81617"/>
    <w:rsid w:val="00D81662"/>
    <w:rsid w:val="00D8171C"/>
    <w:rsid w:val="00D8182E"/>
    <w:rsid w:val="00D81857"/>
    <w:rsid w:val="00D81977"/>
    <w:rsid w:val="00D819C8"/>
    <w:rsid w:val="00D81A2B"/>
    <w:rsid w:val="00D81B39"/>
    <w:rsid w:val="00D81C47"/>
    <w:rsid w:val="00D81C86"/>
    <w:rsid w:val="00D81D31"/>
    <w:rsid w:val="00D81D47"/>
    <w:rsid w:val="00D81D70"/>
    <w:rsid w:val="00D81DBC"/>
    <w:rsid w:val="00D81E00"/>
    <w:rsid w:val="00D81E96"/>
    <w:rsid w:val="00D82032"/>
    <w:rsid w:val="00D82041"/>
    <w:rsid w:val="00D82097"/>
    <w:rsid w:val="00D820A4"/>
    <w:rsid w:val="00D820CF"/>
    <w:rsid w:val="00D820E9"/>
    <w:rsid w:val="00D82145"/>
    <w:rsid w:val="00D821C2"/>
    <w:rsid w:val="00D82209"/>
    <w:rsid w:val="00D82228"/>
    <w:rsid w:val="00D822BA"/>
    <w:rsid w:val="00D822D8"/>
    <w:rsid w:val="00D822E5"/>
    <w:rsid w:val="00D8235A"/>
    <w:rsid w:val="00D82479"/>
    <w:rsid w:val="00D82486"/>
    <w:rsid w:val="00D824A1"/>
    <w:rsid w:val="00D82514"/>
    <w:rsid w:val="00D8261F"/>
    <w:rsid w:val="00D82620"/>
    <w:rsid w:val="00D827FF"/>
    <w:rsid w:val="00D82879"/>
    <w:rsid w:val="00D828E3"/>
    <w:rsid w:val="00D8295D"/>
    <w:rsid w:val="00D829DB"/>
    <w:rsid w:val="00D82CA4"/>
    <w:rsid w:val="00D82D65"/>
    <w:rsid w:val="00D82DE9"/>
    <w:rsid w:val="00D82EB3"/>
    <w:rsid w:val="00D830D2"/>
    <w:rsid w:val="00D8310B"/>
    <w:rsid w:val="00D832D9"/>
    <w:rsid w:val="00D8333F"/>
    <w:rsid w:val="00D83388"/>
    <w:rsid w:val="00D833C8"/>
    <w:rsid w:val="00D83462"/>
    <w:rsid w:val="00D83657"/>
    <w:rsid w:val="00D836BB"/>
    <w:rsid w:val="00D83712"/>
    <w:rsid w:val="00D837E9"/>
    <w:rsid w:val="00D83845"/>
    <w:rsid w:val="00D83878"/>
    <w:rsid w:val="00D83B15"/>
    <w:rsid w:val="00D83B5C"/>
    <w:rsid w:val="00D83B71"/>
    <w:rsid w:val="00D83B84"/>
    <w:rsid w:val="00D83DDA"/>
    <w:rsid w:val="00D83E3C"/>
    <w:rsid w:val="00D83E3E"/>
    <w:rsid w:val="00D83F1F"/>
    <w:rsid w:val="00D840B3"/>
    <w:rsid w:val="00D84166"/>
    <w:rsid w:val="00D84177"/>
    <w:rsid w:val="00D842BB"/>
    <w:rsid w:val="00D842F5"/>
    <w:rsid w:val="00D842F6"/>
    <w:rsid w:val="00D84305"/>
    <w:rsid w:val="00D843B9"/>
    <w:rsid w:val="00D845DA"/>
    <w:rsid w:val="00D84674"/>
    <w:rsid w:val="00D84824"/>
    <w:rsid w:val="00D84839"/>
    <w:rsid w:val="00D8484E"/>
    <w:rsid w:val="00D84909"/>
    <w:rsid w:val="00D849D2"/>
    <w:rsid w:val="00D84B87"/>
    <w:rsid w:val="00D84C51"/>
    <w:rsid w:val="00D84C7C"/>
    <w:rsid w:val="00D84CC4"/>
    <w:rsid w:val="00D84CF1"/>
    <w:rsid w:val="00D84EB6"/>
    <w:rsid w:val="00D84F9C"/>
    <w:rsid w:val="00D84FEA"/>
    <w:rsid w:val="00D85017"/>
    <w:rsid w:val="00D8506C"/>
    <w:rsid w:val="00D85134"/>
    <w:rsid w:val="00D851EF"/>
    <w:rsid w:val="00D852B2"/>
    <w:rsid w:val="00D852B5"/>
    <w:rsid w:val="00D852E3"/>
    <w:rsid w:val="00D853E0"/>
    <w:rsid w:val="00D85405"/>
    <w:rsid w:val="00D854F5"/>
    <w:rsid w:val="00D8555F"/>
    <w:rsid w:val="00D855EB"/>
    <w:rsid w:val="00D8560F"/>
    <w:rsid w:val="00D85616"/>
    <w:rsid w:val="00D8564D"/>
    <w:rsid w:val="00D8565B"/>
    <w:rsid w:val="00D856CE"/>
    <w:rsid w:val="00D8573A"/>
    <w:rsid w:val="00D858A4"/>
    <w:rsid w:val="00D858E8"/>
    <w:rsid w:val="00D859FE"/>
    <w:rsid w:val="00D85A5D"/>
    <w:rsid w:val="00D85B33"/>
    <w:rsid w:val="00D85C4C"/>
    <w:rsid w:val="00D85D09"/>
    <w:rsid w:val="00D85DF2"/>
    <w:rsid w:val="00D85F88"/>
    <w:rsid w:val="00D85FBC"/>
    <w:rsid w:val="00D86003"/>
    <w:rsid w:val="00D860C4"/>
    <w:rsid w:val="00D860FE"/>
    <w:rsid w:val="00D8613D"/>
    <w:rsid w:val="00D8626F"/>
    <w:rsid w:val="00D86411"/>
    <w:rsid w:val="00D8646D"/>
    <w:rsid w:val="00D864EB"/>
    <w:rsid w:val="00D8656C"/>
    <w:rsid w:val="00D8669B"/>
    <w:rsid w:val="00D866AE"/>
    <w:rsid w:val="00D8678D"/>
    <w:rsid w:val="00D867CB"/>
    <w:rsid w:val="00D867FC"/>
    <w:rsid w:val="00D86937"/>
    <w:rsid w:val="00D8695A"/>
    <w:rsid w:val="00D86A10"/>
    <w:rsid w:val="00D86AE1"/>
    <w:rsid w:val="00D86B44"/>
    <w:rsid w:val="00D86C1B"/>
    <w:rsid w:val="00D86C57"/>
    <w:rsid w:val="00D86CE3"/>
    <w:rsid w:val="00D86DBD"/>
    <w:rsid w:val="00D86FBE"/>
    <w:rsid w:val="00D8708F"/>
    <w:rsid w:val="00D870CF"/>
    <w:rsid w:val="00D87132"/>
    <w:rsid w:val="00D8715F"/>
    <w:rsid w:val="00D8717F"/>
    <w:rsid w:val="00D8724A"/>
    <w:rsid w:val="00D87495"/>
    <w:rsid w:val="00D8749E"/>
    <w:rsid w:val="00D874C8"/>
    <w:rsid w:val="00D875F7"/>
    <w:rsid w:val="00D876FE"/>
    <w:rsid w:val="00D877E3"/>
    <w:rsid w:val="00D8785A"/>
    <w:rsid w:val="00D8789A"/>
    <w:rsid w:val="00D878BE"/>
    <w:rsid w:val="00D878CB"/>
    <w:rsid w:val="00D878F3"/>
    <w:rsid w:val="00D8794A"/>
    <w:rsid w:val="00D87A5E"/>
    <w:rsid w:val="00D87A99"/>
    <w:rsid w:val="00D87A9E"/>
    <w:rsid w:val="00D87B14"/>
    <w:rsid w:val="00D87B90"/>
    <w:rsid w:val="00D87B94"/>
    <w:rsid w:val="00D87BE1"/>
    <w:rsid w:val="00D87BED"/>
    <w:rsid w:val="00D87C40"/>
    <w:rsid w:val="00D87C47"/>
    <w:rsid w:val="00D87C82"/>
    <w:rsid w:val="00D87D10"/>
    <w:rsid w:val="00D87D14"/>
    <w:rsid w:val="00D9003E"/>
    <w:rsid w:val="00D90249"/>
    <w:rsid w:val="00D903BD"/>
    <w:rsid w:val="00D903CE"/>
    <w:rsid w:val="00D90485"/>
    <w:rsid w:val="00D9059E"/>
    <w:rsid w:val="00D905A5"/>
    <w:rsid w:val="00D905C5"/>
    <w:rsid w:val="00D90686"/>
    <w:rsid w:val="00D90740"/>
    <w:rsid w:val="00D907E4"/>
    <w:rsid w:val="00D907E5"/>
    <w:rsid w:val="00D90892"/>
    <w:rsid w:val="00D9090B"/>
    <w:rsid w:val="00D90951"/>
    <w:rsid w:val="00D90A57"/>
    <w:rsid w:val="00D90AB3"/>
    <w:rsid w:val="00D90AF2"/>
    <w:rsid w:val="00D90B32"/>
    <w:rsid w:val="00D90BDD"/>
    <w:rsid w:val="00D90BEC"/>
    <w:rsid w:val="00D90C73"/>
    <w:rsid w:val="00D90DA9"/>
    <w:rsid w:val="00D90DE0"/>
    <w:rsid w:val="00D90F19"/>
    <w:rsid w:val="00D90FAD"/>
    <w:rsid w:val="00D91051"/>
    <w:rsid w:val="00D910A1"/>
    <w:rsid w:val="00D910E1"/>
    <w:rsid w:val="00D91104"/>
    <w:rsid w:val="00D91234"/>
    <w:rsid w:val="00D9127D"/>
    <w:rsid w:val="00D912C3"/>
    <w:rsid w:val="00D91326"/>
    <w:rsid w:val="00D91362"/>
    <w:rsid w:val="00D9138D"/>
    <w:rsid w:val="00D913B9"/>
    <w:rsid w:val="00D914B7"/>
    <w:rsid w:val="00D91513"/>
    <w:rsid w:val="00D91540"/>
    <w:rsid w:val="00D9162F"/>
    <w:rsid w:val="00D91794"/>
    <w:rsid w:val="00D91839"/>
    <w:rsid w:val="00D9183F"/>
    <w:rsid w:val="00D9190C"/>
    <w:rsid w:val="00D919BE"/>
    <w:rsid w:val="00D91C66"/>
    <w:rsid w:val="00D91DD8"/>
    <w:rsid w:val="00D91E0D"/>
    <w:rsid w:val="00D91E12"/>
    <w:rsid w:val="00D91E1D"/>
    <w:rsid w:val="00D91E44"/>
    <w:rsid w:val="00D91F57"/>
    <w:rsid w:val="00D9209A"/>
    <w:rsid w:val="00D920E6"/>
    <w:rsid w:val="00D9214C"/>
    <w:rsid w:val="00D92152"/>
    <w:rsid w:val="00D921D6"/>
    <w:rsid w:val="00D921DF"/>
    <w:rsid w:val="00D92217"/>
    <w:rsid w:val="00D92376"/>
    <w:rsid w:val="00D92384"/>
    <w:rsid w:val="00D923DC"/>
    <w:rsid w:val="00D92480"/>
    <w:rsid w:val="00D924F6"/>
    <w:rsid w:val="00D924FA"/>
    <w:rsid w:val="00D9267F"/>
    <w:rsid w:val="00D926A3"/>
    <w:rsid w:val="00D929C8"/>
    <w:rsid w:val="00D92A2C"/>
    <w:rsid w:val="00D92ACF"/>
    <w:rsid w:val="00D92C48"/>
    <w:rsid w:val="00D92CA7"/>
    <w:rsid w:val="00D92CA8"/>
    <w:rsid w:val="00D92D7F"/>
    <w:rsid w:val="00D92E13"/>
    <w:rsid w:val="00D92E99"/>
    <w:rsid w:val="00D92FBC"/>
    <w:rsid w:val="00D930A8"/>
    <w:rsid w:val="00D93178"/>
    <w:rsid w:val="00D93217"/>
    <w:rsid w:val="00D9330B"/>
    <w:rsid w:val="00D93310"/>
    <w:rsid w:val="00D933B1"/>
    <w:rsid w:val="00D9341A"/>
    <w:rsid w:val="00D93497"/>
    <w:rsid w:val="00D934FB"/>
    <w:rsid w:val="00D935DA"/>
    <w:rsid w:val="00D935DE"/>
    <w:rsid w:val="00D9375C"/>
    <w:rsid w:val="00D937B2"/>
    <w:rsid w:val="00D9383E"/>
    <w:rsid w:val="00D938C6"/>
    <w:rsid w:val="00D9394A"/>
    <w:rsid w:val="00D9397B"/>
    <w:rsid w:val="00D93B8C"/>
    <w:rsid w:val="00D93BE2"/>
    <w:rsid w:val="00D93D34"/>
    <w:rsid w:val="00D93D97"/>
    <w:rsid w:val="00D93DA3"/>
    <w:rsid w:val="00D93DEA"/>
    <w:rsid w:val="00D93E1E"/>
    <w:rsid w:val="00D93E68"/>
    <w:rsid w:val="00D93ECC"/>
    <w:rsid w:val="00D93FB0"/>
    <w:rsid w:val="00D9405B"/>
    <w:rsid w:val="00D940A3"/>
    <w:rsid w:val="00D9433C"/>
    <w:rsid w:val="00D9448E"/>
    <w:rsid w:val="00D944FA"/>
    <w:rsid w:val="00D9457E"/>
    <w:rsid w:val="00D94580"/>
    <w:rsid w:val="00D945B0"/>
    <w:rsid w:val="00D945F2"/>
    <w:rsid w:val="00D946A0"/>
    <w:rsid w:val="00D946F0"/>
    <w:rsid w:val="00D9471C"/>
    <w:rsid w:val="00D94755"/>
    <w:rsid w:val="00D947F8"/>
    <w:rsid w:val="00D94B19"/>
    <w:rsid w:val="00D94B27"/>
    <w:rsid w:val="00D94BB0"/>
    <w:rsid w:val="00D94CFF"/>
    <w:rsid w:val="00D94D84"/>
    <w:rsid w:val="00D94EA4"/>
    <w:rsid w:val="00D94F62"/>
    <w:rsid w:val="00D94FB4"/>
    <w:rsid w:val="00D94FB7"/>
    <w:rsid w:val="00D94FD5"/>
    <w:rsid w:val="00D9503C"/>
    <w:rsid w:val="00D950C1"/>
    <w:rsid w:val="00D9517A"/>
    <w:rsid w:val="00D951F7"/>
    <w:rsid w:val="00D9523B"/>
    <w:rsid w:val="00D9524F"/>
    <w:rsid w:val="00D95265"/>
    <w:rsid w:val="00D95286"/>
    <w:rsid w:val="00D952F2"/>
    <w:rsid w:val="00D953B7"/>
    <w:rsid w:val="00D95419"/>
    <w:rsid w:val="00D95511"/>
    <w:rsid w:val="00D95598"/>
    <w:rsid w:val="00D95641"/>
    <w:rsid w:val="00D95686"/>
    <w:rsid w:val="00D956F7"/>
    <w:rsid w:val="00D9578B"/>
    <w:rsid w:val="00D957E0"/>
    <w:rsid w:val="00D958BC"/>
    <w:rsid w:val="00D9592F"/>
    <w:rsid w:val="00D959A5"/>
    <w:rsid w:val="00D95B1A"/>
    <w:rsid w:val="00D95C1D"/>
    <w:rsid w:val="00D95C27"/>
    <w:rsid w:val="00D95C89"/>
    <w:rsid w:val="00D95D51"/>
    <w:rsid w:val="00D95E69"/>
    <w:rsid w:val="00D96108"/>
    <w:rsid w:val="00D961D3"/>
    <w:rsid w:val="00D963D5"/>
    <w:rsid w:val="00D96472"/>
    <w:rsid w:val="00D964DF"/>
    <w:rsid w:val="00D96539"/>
    <w:rsid w:val="00D96670"/>
    <w:rsid w:val="00D96671"/>
    <w:rsid w:val="00D966DA"/>
    <w:rsid w:val="00D966DD"/>
    <w:rsid w:val="00D96701"/>
    <w:rsid w:val="00D967EE"/>
    <w:rsid w:val="00D9684F"/>
    <w:rsid w:val="00D96868"/>
    <w:rsid w:val="00D96894"/>
    <w:rsid w:val="00D96926"/>
    <w:rsid w:val="00D96966"/>
    <w:rsid w:val="00D969A6"/>
    <w:rsid w:val="00D969C3"/>
    <w:rsid w:val="00D96A1B"/>
    <w:rsid w:val="00D96D83"/>
    <w:rsid w:val="00D96D84"/>
    <w:rsid w:val="00D96E72"/>
    <w:rsid w:val="00D96EA5"/>
    <w:rsid w:val="00D96ED6"/>
    <w:rsid w:val="00D96F32"/>
    <w:rsid w:val="00D96F3C"/>
    <w:rsid w:val="00D96FC1"/>
    <w:rsid w:val="00D97001"/>
    <w:rsid w:val="00D9704A"/>
    <w:rsid w:val="00D97114"/>
    <w:rsid w:val="00D9711F"/>
    <w:rsid w:val="00D97144"/>
    <w:rsid w:val="00D97196"/>
    <w:rsid w:val="00D97361"/>
    <w:rsid w:val="00D973AA"/>
    <w:rsid w:val="00D97409"/>
    <w:rsid w:val="00D975E9"/>
    <w:rsid w:val="00D97703"/>
    <w:rsid w:val="00D977C5"/>
    <w:rsid w:val="00D97823"/>
    <w:rsid w:val="00D97869"/>
    <w:rsid w:val="00D97A5C"/>
    <w:rsid w:val="00D97A90"/>
    <w:rsid w:val="00D97B72"/>
    <w:rsid w:val="00D97B9B"/>
    <w:rsid w:val="00D97C38"/>
    <w:rsid w:val="00D97CC1"/>
    <w:rsid w:val="00D97D3E"/>
    <w:rsid w:val="00D97DEC"/>
    <w:rsid w:val="00D97DFF"/>
    <w:rsid w:val="00D97E14"/>
    <w:rsid w:val="00D97EE5"/>
    <w:rsid w:val="00D97F18"/>
    <w:rsid w:val="00D97F1C"/>
    <w:rsid w:val="00DA0029"/>
    <w:rsid w:val="00DA00A0"/>
    <w:rsid w:val="00DA00E6"/>
    <w:rsid w:val="00DA0108"/>
    <w:rsid w:val="00DA0136"/>
    <w:rsid w:val="00DA016A"/>
    <w:rsid w:val="00DA01FC"/>
    <w:rsid w:val="00DA0295"/>
    <w:rsid w:val="00DA02AF"/>
    <w:rsid w:val="00DA034C"/>
    <w:rsid w:val="00DA0373"/>
    <w:rsid w:val="00DA044D"/>
    <w:rsid w:val="00DA0537"/>
    <w:rsid w:val="00DA0543"/>
    <w:rsid w:val="00DA0660"/>
    <w:rsid w:val="00DA0865"/>
    <w:rsid w:val="00DA0893"/>
    <w:rsid w:val="00DA08C0"/>
    <w:rsid w:val="00DA0971"/>
    <w:rsid w:val="00DA0984"/>
    <w:rsid w:val="00DA0A95"/>
    <w:rsid w:val="00DA0AA1"/>
    <w:rsid w:val="00DA0AA6"/>
    <w:rsid w:val="00DA0B9C"/>
    <w:rsid w:val="00DA0C4F"/>
    <w:rsid w:val="00DA0E66"/>
    <w:rsid w:val="00DA0ED7"/>
    <w:rsid w:val="00DA0F77"/>
    <w:rsid w:val="00DA0F96"/>
    <w:rsid w:val="00DA0FA1"/>
    <w:rsid w:val="00DA1091"/>
    <w:rsid w:val="00DA10BE"/>
    <w:rsid w:val="00DA1152"/>
    <w:rsid w:val="00DA1161"/>
    <w:rsid w:val="00DA1173"/>
    <w:rsid w:val="00DA11AD"/>
    <w:rsid w:val="00DA11B3"/>
    <w:rsid w:val="00DA1381"/>
    <w:rsid w:val="00DA13B5"/>
    <w:rsid w:val="00DA13DB"/>
    <w:rsid w:val="00DA1482"/>
    <w:rsid w:val="00DA1488"/>
    <w:rsid w:val="00DA14F6"/>
    <w:rsid w:val="00DA169B"/>
    <w:rsid w:val="00DA1935"/>
    <w:rsid w:val="00DA1AA3"/>
    <w:rsid w:val="00DA1ABB"/>
    <w:rsid w:val="00DA1B4E"/>
    <w:rsid w:val="00DA1B69"/>
    <w:rsid w:val="00DA1BAF"/>
    <w:rsid w:val="00DA1C10"/>
    <w:rsid w:val="00DA1C48"/>
    <w:rsid w:val="00DA1D3B"/>
    <w:rsid w:val="00DA1E52"/>
    <w:rsid w:val="00DA1E64"/>
    <w:rsid w:val="00DA1E91"/>
    <w:rsid w:val="00DA1EE8"/>
    <w:rsid w:val="00DA1F8A"/>
    <w:rsid w:val="00DA2004"/>
    <w:rsid w:val="00DA2010"/>
    <w:rsid w:val="00DA2041"/>
    <w:rsid w:val="00DA20DC"/>
    <w:rsid w:val="00DA2137"/>
    <w:rsid w:val="00DA221C"/>
    <w:rsid w:val="00DA2254"/>
    <w:rsid w:val="00DA22A2"/>
    <w:rsid w:val="00DA22C4"/>
    <w:rsid w:val="00DA2508"/>
    <w:rsid w:val="00DA2615"/>
    <w:rsid w:val="00DA270C"/>
    <w:rsid w:val="00DA271F"/>
    <w:rsid w:val="00DA27B7"/>
    <w:rsid w:val="00DA281A"/>
    <w:rsid w:val="00DA2836"/>
    <w:rsid w:val="00DA2844"/>
    <w:rsid w:val="00DA2868"/>
    <w:rsid w:val="00DA28C1"/>
    <w:rsid w:val="00DA297F"/>
    <w:rsid w:val="00DA2981"/>
    <w:rsid w:val="00DA2A76"/>
    <w:rsid w:val="00DA2AF2"/>
    <w:rsid w:val="00DA2C23"/>
    <w:rsid w:val="00DA2C27"/>
    <w:rsid w:val="00DA2C4B"/>
    <w:rsid w:val="00DA2CE6"/>
    <w:rsid w:val="00DA2D25"/>
    <w:rsid w:val="00DA2D8C"/>
    <w:rsid w:val="00DA2DE0"/>
    <w:rsid w:val="00DA2EA8"/>
    <w:rsid w:val="00DA3025"/>
    <w:rsid w:val="00DA30B5"/>
    <w:rsid w:val="00DA316D"/>
    <w:rsid w:val="00DA31C0"/>
    <w:rsid w:val="00DA31C7"/>
    <w:rsid w:val="00DA31E2"/>
    <w:rsid w:val="00DA32D2"/>
    <w:rsid w:val="00DA33B8"/>
    <w:rsid w:val="00DA33BB"/>
    <w:rsid w:val="00DA33FB"/>
    <w:rsid w:val="00DA3460"/>
    <w:rsid w:val="00DA34F7"/>
    <w:rsid w:val="00DA3594"/>
    <w:rsid w:val="00DA35B2"/>
    <w:rsid w:val="00DA36AA"/>
    <w:rsid w:val="00DA3702"/>
    <w:rsid w:val="00DA373C"/>
    <w:rsid w:val="00DA37E6"/>
    <w:rsid w:val="00DA381F"/>
    <w:rsid w:val="00DA382B"/>
    <w:rsid w:val="00DA389E"/>
    <w:rsid w:val="00DA3909"/>
    <w:rsid w:val="00DA394D"/>
    <w:rsid w:val="00DA3A4E"/>
    <w:rsid w:val="00DA3AFF"/>
    <w:rsid w:val="00DA3BCD"/>
    <w:rsid w:val="00DA3C04"/>
    <w:rsid w:val="00DA3CBD"/>
    <w:rsid w:val="00DA3CCB"/>
    <w:rsid w:val="00DA3FDD"/>
    <w:rsid w:val="00DA4148"/>
    <w:rsid w:val="00DA4204"/>
    <w:rsid w:val="00DA422E"/>
    <w:rsid w:val="00DA4270"/>
    <w:rsid w:val="00DA43AB"/>
    <w:rsid w:val="00DA43B0"/>
    <w:rsid w:val="00DA43DC"/>
    <w:rsid w:val="00DA43FC"/>
    <w:rsid w:val="00DA4424"/>
    <w:rsid w:val="00DA4448"/>
    <w:rsid w:val="00DA45A2"/>
    <w:rsid w:val="00DA4673"/>
    <w:rsid w:val="00DA4700"/>
    <w:rsid w:val="00DA478E"/>
    <w:rsid w:val="00DA48D2"/>
    <w:rsid w:val="00DA4A98"/>
    <w:rsid w:val="00DA4AAC"/>
    <w:rsid w:val="00DA4D13"/>
    <w:rsid w:val="00DA4D4C"/>
    <w:rsid w:val="00DA4D70"/>
    <w:rsid w:val="00DA4D7A"/>
    <w:rsid w:val="00DA4DE4"/>
    <w:rsid w:val="00DA4ECD"/>
    <w:rsid w:val="00DA4F90"/>
    <w:rsid w:val="00DA4FDE"/>
    <w:rsid w:val="00DA502D"/>
    <w:rsid w:val="00DA507E"/>
    <w:rsid w:val="00DA50FE"/>
    <w:rsid w:val="00DA515F"/>
    <w:rsid w:val="00DA519A"/>
    <w:rsid w:val="00DA52AB"/>
    <w:rsid w:val="00DA5387"/>
    <w:rsid w:val="00DA54BC"/>
    <w:rsid w:val="00DA54E2"/>
    <w:rsid w:val="00DA55B3"/>
    <w:rsid w:val="00DA565E"/>
    <w:rsid w:val="00DA56A2"/>
    <w:rsid w:val="00DA56AC"/>
    <w:rsid w:val="00DA5719"/>
    <w:rsid w:val="00DA5725"/>
    <w:rsid w:val="00DA5887"/>
    <w:rsid w:val="00DA5899"/>
    <w:rsid w:val="00DA5A21"/>
    <w:rsid w:val="00DA5A43"/>
    <w:rsid w:val="00DA5A4C"/>
    <w:rsid w:val="00DA5A8E"/>
    <w:rsid w:val="00DA5AD3"/>
    <w:rsid w:val="00DA5B2B"/>
    <w:rsid w:val="00DA5C84"/>
    <w:rsid w:val="00DA5DC2"/>
    <w:rsid w:val="00DA5DC8"/>
    <w:rsid w:val="00DA5E88"/>
    <w:rsid w:val="00DA5EC5"/>
    <w:rsid w:val="00DA5FBB"/>
    <w:rsid w:val="00DA6077"/>
    <w:rsid w:val="00DA6130"/>
    <w:rsid w:val="00DA6151"/>
    <w:rsid w:val="00DA61A4"/>
    <w:rsid w:val="00DA61B8"/>
    <w:rsid w:val="00DA6211"/>
    <w:rsid w:val="00DA62B6"/>
    <w:rsid w:val="00DA635C"/>
    <w:rsid w:val="00DA63E2"/>
    <w:rsid w:val="00DA63EE"/>
    <w:rsid w:val="00DA640A"/>
    <w:rsid w:val="00DA64FA"/>
    <w:rsid w:val="00DA6633"/>
    <w:rsid w:val="00DA669B"/>
    <w:rsid w:val="00DA66CC"/>
    <w:rsid w:val="00DA6781"/>
    <w:rsid w:val="00DA681A"/>
    <w:rsid w:val="00DA6843"/>
    <w:rsid w:val="00DA688F"/>
    <w:rsid w:val="00DA68B5"/>
    <w:rsid w:val="00DA6A0E"/>
    <w:rsid w:val="00DA6ADE"/>
    <w:rsid w:val="00DA6B45"/>
    <w:rsid w:val="00DA6B98"/>
    <w:rsid w:val="00DA6BAE"/>
    <w:rsid w:val="00DA6BAF"/>
    <w:rsid w:val="00DA6CDA"/>
    <w:rsid w:val="00DA6EA7"/>
    <w:rsid w:val="00DA6FC3"/>
    <w:rsid w:val="00DA7298"/>
    <w:rsid w:val="00DA72B2"/>
    <w:rsid w:val="00DA73E7"/>
    <w:rsid w:val="00DA7415"/>
    <w:rsid w:val="00DA7461"/>
    <w:rsid w:val="00DA7572"/>
    <w:rsid w:val="00DA75C3"/>
    <w:rsid w:val="00DA7666"/>
    <w:rsid w:val="00DA7694"/>
    <w:rsid w:val="00DA7699"/>
    <w:rsid w:val="00DA7758"/>
    <w:rsid w:val="00DA7783"/>
    <w:rsid w:val="00DA77D1"/>
    <w:rsid w:val="00DA7821"/>
    <w:rsid w:val="00DA7842"/>
    <w:rsid w:val="00DA788D"/>
    <w:rsid w:val="00DA78D9"/>
    <w:rsid w:val="00DA7A7A"/>
    <w:rsid w:val="00DA7C5D"/>
    <w:rsid w:val="00DA7D88"/>
    <w:rsid w:val="00DA7E7F"/>
    <w:rsid w:val="00DA7EF3"/>
    <w:rsid w:val="00DA7F79"/>
    <w:rsid w:val="00DA7F7C"/>
    <w:rsid w:val="00DA7FAB"/>
    <w:rsid w:val="00DB0026"/>
    <w:rsid w:val="00DB006C"/>
    <w:rsid w:val="00DB007E"/>
    <w:rsid w:val="00DB0097"/>
    <w:rsid w:val="00DB02CC"/>
    <w:rsid w:val="00DB03D1"/>
    <w:rsid w:val="00DB046E"/>
    <w:rsid w:val="00DB04AA"/>
    <w:rsid w:val="00DB0534"/>
    <w:rsid w:val="00DB0580"/>
    <w:rsid w:val="00DB0689"/>
    <w:rsid w:val="00DB0743"/>
    <w:rsid w:val="00DB07F0"/>
    <w:rsid w:val="00DB080E"/>
    <w:rsid w:val="00DB093E"/>
    <w:rsid w:val="00DB0987"/>
    <w:rsid w:val="00DB0A8A"/>
    <w:rsid w:val="00DB0B2E"/>
    <w:rsid w:val="00DB0B4F"/>
    <w:rsid w:val="00DB0B71"/>
    <w:rsid w:val="00DB0B91"/>
    <w:rsid w:val="00DB0BED"/>
    <w:rsid w:val="00DB0C37"/>
    <w:rsid w:val="00DB0CF9"/>
    <w:rsid w:val="00DB0D29"/>
    <w:rsid w:val="00DB0D3A"/>
    <w:rsid w:val="00DB0DFD"/>
    <w:rsid w:val="00DB0E28"/>
    <w:rsid w:val="00DB0E39"/>
    <w:rsid w:val="00DB0EB4"/>
    <w:rsid w:val="00DB0EDC"/>
    <w:rsid w:val="00DB0F61"/>
    <w:rsid w:val="00DB0F8B"/>
    <w:rsid w:val="00DB0FAE"/>
    <w:rsid w:val="00DB1019"/>
    <w:rsid w:val="00DB1101"/>
    <w:rsid w:val="00DB1132"/>
    <w:rsid w:val="00DB11CE"/>
    <w:rsid w:val="00DB12D6"/>
    <w:rsid w:val="00DB12E7"/>
    <w:rsid w:val="00DB1355"/>
    <w:rsid w:val="00DB1409"/>
    <w:rsid w:val="00DB1523"/>
    <w:rsid w:val="00DB1647"/>
    <w:rsid w:val="00DB164F"/>
    <w:rsid w:val="00DB16DC"/>
    <w:rsid w:val="00DB176D"/>
    <w:rsid w:val="00DB17A7"/>
    <w:rsid w:val="00DB17E6"/>
    <w:rsid w:val="00DB1816"/>
    <w:rsid w:val="00DB1877"/>
    <w:rsid w:val="00DB18C9"/>
    <w:rsid w:val="00DB190B"/>
    <w:rsid w:val="00DB193F"/>
    <w:rsid w:val="00DB196B"/>
    <w:rsid w:val="00DB19E1"/>
    <w:rsid w:val="00DB19E4"/>
    <w:rsid w:val="00DB19ED"/>
    <w:rsid w:val="00DB1A01"/>
    <w:rsid w:val="00DB1AF4"/>
    <w:rsid w:val="00DB1B67"/>
    <w:rsid w:val="00DB1BA6"/>
    <w:rsid w:val="00DB1DC5"/>
    <w:rsid w:val="00DB1E06"/>
    <w:rsid w:val="00DB1E47"/>
    <w:rsid w:val="00DB1ED5"/>
    <w:rsid w:val="00DB1FEA"/>
    <w:rsid w:val="00DB2143"/>
    <w:rsid w:val="00DB215C"/>
    <w:rsid w:val="00DB2192"/>
    <w:rsid w:val="00DB21A4"/>
    <w:rsid w:val="00DB21B0"/>
    <w:rsid w:val="00DB21C3"/>
    <w:rsid w:val="00DB2226"/>
    <w:rsid w:val="00DB2288"/>
    <w:rsid w:val="00DB22CD"/>
    <w:rsid w:val="00DB22E5"/>
    <w:rsid w:val="00DB22F3"/>
    <w:rsid w:val="00DB23A4"/>
    <w:rsid w:val="00DB23D1"/>
    <w:rsid w:val="00DB23D8"/>
    <w:rsid w:val="00DB2479"/>
    <w:rsid w:val="00DB248D"/>
    <w:rsid w:val="00DB24DE"/>
    <w:rsid w:val="00DB2533"/>
    <w:rsid w:val="00DB25D8"/>
    <w:rsid w:val="00DB266B"/>
    <w:rsid w:val="00DB26A6"/>
    <w:rsid w:val="00DB2712"/>
    <w:rsid w:val="00DB2769"/>
    <w:rsid w:val="00DB277E"/>
    <w:rsid w:val="00DB281E"/>
    <w:rsid w:val="00DB2858"/>
    <w:rsid w:val="00DB2866"/>
    <w:rsid w:val="00DB2A9B"/>
    <w:rsid w:val="00DB2AAD"/>
    <w:rsid w:val="00DB2BBB"/>
    <w:rsid w:val="00DB2BE2"/>
    <w:rsid w:val="00DB2BF9"/>
    <w:rsid w:val="00DB2C36"/>
    <w:rsid w:val="00DB2CF7"/>
    <w:rsid w:val="00DB2CFC"/>
    <w:rsid w:val="00DB2DA9"/>
    <w:rsid w:val="00DB2E4E"/>
    <w:rsid w:val="00DB2FB8"/>
    <w:rsid w:val="00DB3092"/>
    <w:rsid w:val="00DB3249"/>
    <w:rsid w:val="00DB330F"/>
    <w:rsid w:val="00DB3376"/>
    <w:rsid w:val="00DB33B9"/>
    <w:rsid w:val="00DB33D4"/>
    <w:rsid w:val="00DB33D8"/>
    <w:rsid w:val="00DB33F2"/>
    <w:rsid w:val="00DB34AF"/>
    <w:rsid w:val="00DB3579"/>
    <w:rsid w:val="00DB35E5"/>
    <w:rsid w:val="00DB364A"/>
    <w:rsid w:val="00DB36CF"/>
    <w:rsid w:val="00DB37B6"/>
    <w:rsid w:val="00DB3912"/>
    <w:rsid w:val="00DB3952"/>
    <w:rsid w:val="00DB39C2"/>
    <w:rsid w:val="00DB3A28"/>
    <w:rsid w:val="00DB3D2E"/>
    <w:rsid w:val="00DB3E4B"/>
    <w:rsid w:val="00DB3EFD"/>
    <w:rsid w:val="00DB3F5A"/>
    <w:rsid w:val="00DB3FF8"/>
    <w:rsid w:val="00DB4044"/>
    <w:rsid w:val="00DB414F"/>
    <w:rsid w:val="00DB41C6"/>
    <w:rsid w:val="00DB41D7"/>
    <w:rsid w:val="00DB4220"/>
    <w:rsid w:val="00DB42F8"/>
    <w:rsid w:val="00DB4388"/>
    <w:rsid w:val="00DB4458"/>
    <w:rsid w:val="00DB44DF"/>
    <w:rsid w:val="00DB45AE"/>
    <w:rsid w:val="00DB45BC"/>
    <w:rsid w:val="00DB45BF"/>
    <w:rsid w:val="00DB45D2"/>
    <w:rsid w:val="00DB463E"/>
    <w:rsid w:val="00DB465A"/>
    <w:rsid w:val="00DB46CD"/>
    <w:rsid w:val="00DB4728"/>
    <w:rsid w:val="00DB4810"/>
    <w:rsid w:val="00DB4983"/>
    <w:rsid w:val="00DB4ACA"/>
    <w:rsid w:val="00DB4B9F"/>
    <w:rsid w:val="00DB4BB2"/>
    <w:rsid w:val="00DB4C57"/>
    <w:rsid w:val="00DB4C67"/>
    <w:rsid w:val="00DB4E38"/>
    <w:rsid w:val="00DB4E58"/>
    <w:rsid w:val="00DB4E91"/>
    <w:rsid w:val="00DB4F52"/>
    <w:rsid w:val="00DB4F85"/>
    <w:rsid w:val="00DB4F95"/>
    <w:rsid w:val="00DB513C"/>
    <w:rsid w:val="00DB51A1"/>
    <w:rsid w:val="00DB51D2"/>
    <w:rsid w:val="00DB5201"/>
    <w:rsid w:val="00DB5237"/>
    <w:rsid w:val="00DB525D"/>
    <w:rsid w:val="00DB52B8"/>
    <w:rsid w:val="00DB52D0"/>
    <w:rsid w:val="00DB5383"/>
    <w:rsid w:val="00DB5462"/>
    <w:rsid w:val="00DB546A"/>
    <w:rsid w:val="00DB5669"/>
    <w:rsid w:val="00DB584C"/>
    <w:rsid w:val="00DB58A8"/>
    <w:rsid w:val="00DB5A90"/>
    <w:rsid w:val="00DB5AB6"/>
    <w:rsid w:val="00DB5BDC"/>
    <w:rsid w:val="00DB5C16"/>
    <w:rsid w:val="00DB5C30"/>
    <w:rsid w:val="00DB5CCB"/>
    <w:rsid w:val="00DB5D0E"/>
    <w:rsid w:val="00DB5F6A"/>
    <w:rsid w:val="00DB5FEE"/>
    <w:rsid w:val="00DB608D"/>
    <w:rsid w:val="00DB612F"/>
    <w:rsid w:val="00DB6134"/>
    <w:rsid w:val="00DB61F6"/>
    <w:rsid w:val="00DB6386"/>
    <w:rsid w:val="00DB63CA"/>
    <w:rsid w:val="00DB63F2"/>
    <w:rsid w:val="00DB6400"/>
    <w:rsid w:val="00DB64CD"/>
    <w:rsid w:val="00DB64F1"/>
    <w:rsid w:val="00DB6649"/>
    <w:rsid w:val="00DB66F7"/>
    <w:rsid w:val="00DB6709"/>
    <w:rsid w:val="00DB674C"/>
    <w:rsid w:val="00DB67AC"/>
    <w:rsid w:val="00DB684D"/>
    <w:rsid w:val="00DB6A40"/>
    <w:rsid w:val="00DB6A65"/>
    <w:rsid w:val="00DB6B00"/>
    <w:rsid w:val="00DB6B41"/>
    <w:rsid w:val="00DB6C22"/>
    <w:rsid w:val="00DB6CE0"/>
    <w:rsid w:val="00DB6CF2"/>
    <w:rsid w:val="00DB6D21"/>
    <w:rsid w:val="00DB6D27"/>
    <w:rsid w:val="00DB6EDF"/>
    <w:rsid w:val="00DB7011"/>
    <w:rsid w:val="00DB701A"/>
    <w:rsid w:val="00DB7155"/>
    <w:rsid w:val="00DB715E"/>
    <w:rsid w:val="00DB71A3"/>
    <w:rsid w:val="00DB721C"/>
    <w:rsid w:val="00DB7244"/>
    <w:rsid w:val="00DB7279"/>
    <w:rsid w:val="00DB72C9"/>
    <w:rsid w:val="00DB7401"/>
    <w:rsid w:val="00DB7556"/>
    <w:rsid w:val="00DB7567"/>
    <w:rsid w:val="00DB7782"/>
    <w:rsid w:val="00DB7862"/>
    <w:rsid w:val="00DB78FA"/>
    <w:rsid w:val="00DB791E"/>
    <w:rsid w:val="00DB7A2B"/>
    <w:rsid w:val="00DB7AE8"/>
    <w:rsid w:val="00DB7DC8"/>
    <w:rsid w:val="00DB7DEB"/>
    <w:rsid w:val="00DB7DEE"/>
    <w:rsid w:val="00DB7EB6"/>
    <w:rsid w:val="00DB7F16"/>
    <w:rsid w:val="00DB7F9B"/>
    <w:rsid w:val="00DC0081"/>
    <w:rsid w:val="00DC00E2"/>
    <w:rsid w:val="00DC0135"/>
    <w:rsid w:val="00DC0363"/>
    <w:rsid w:val="00DC0463"/>
    <w:rsid w:val="00DC048E"/>
    <w:rsid w:val="00DC04C7"/>
    <w:rsid w:val="00DC0570"/>
    <w:rsid w:val="00DC0586"/>
    <w:rsid w:val="00DC05AB"/>
    <w:rsid w:val="00DC06AB"/>
    <w:rsid w:val="00DC078C"/>
    <w:rsid w:val="00DC079E"/>
    <w:rsid w:val="00DC081C"/>
    <w:rsid w:val="00DC0821"/>
    <w:rsid w:val="00DC08EC"/>
    <w:rsid w:val="00DC0991"/>
    <w:rsid w:val="00DC09A7"/>
    <w:rsid w:val="00DC0A2F"/>
    <w:rsid w:val="00DC0A30"/>
    <w:rsid w:val="00DC0ABC"/>
    <w:rsid w:val="00DC0B03"/>
    <w:rsid w:val="00DC0C3C"/>
    <w:rsid w:val="00DC0CF9"/>
    <w:rsid w:val="00DC0D7B"/>
    <w:rsid w:val="00DC0EE3"/>
    <w:rsid w:val="00DC0EF0"/>
    <w:rsid w:val="00DC0F55"/>
    <w:rsid w:val="00DC1019"/>
    <w:rsid w:val="00DC10F9"/>
    <w:rsid w:val="00DC14E9"/>
    <w:rsid w:val="00DC1525"/>
    <w:rsid w:val="00DC163B"/>
    <w:rsid w:val="00DC16F6"/>
    <w:rsid w:val="00DC1772"/>
    <w:rsid w:val="00DC1782"/>
    <w:rsid w:val="00DC1943"/>
    <w:rsid w:val="00DC19B5"/>
    <w:rsid w:val="00DC1A40"/>
    <w:rsid w:val="00DC1A8C"/>
    <w:rsid w:val="00DC1AD1"/>
    <w:rsid w:val="00DC1AF1"/>
    <w:rsid w:val="00DC1B35"/>
    <w:rsid w:val="00DC1B4F"/>
    <w:rsid w:val="00DC1B90"/>
    <w:rsid w:val="00DC1CB1"/>
    <w:rsid w:val="00DC1D0F"/>
    <w:rsid w:val="00DC1D57"/>
    <w:rsid w:val="00DC1E59"/>
    <w:rsid w:val="00DC1EC2"/>
    <w:rsid w:val="00DC1F82"/>
    <w:rsid w:val="00DC2033"/>
    <w:rsid w:val="00DC2074"/>
    <w:rsid w:val="00DC20BC"/>
    <w:rsid w:val="00DC219F"/>
    <w:rsid w:val="00DC222E"/>
    <w:rsid w:val="00DC224E"/>
    <w:rsid w:val="00DC2286"/>
    <w:rsid w:val="00DC22CE"/>
    <w:rsid w:val="00DC2314"/>
    <w:rsid w:val="00DC236C"/>
    <w:rsid w:val="00DC2374"/>
    <w:rsid w:val="00DC25A9"/>
    <w:rsid w:val="00DC25F5"/>
    <w:rsid w:val="00DC26A3"/>
    <w:rsid w:val="00DC2753"/>
    <w:rsid w:val="00DC280B"/>
    <w:rsid w:val="00DC2851"/>
    <w:rsid w:val="00DC2872"/>
    <w:rsid w:val="00DC2888"/>
    <w:rsid w:val="00DC292F"/>
    <w:rsid w:val="00DC29EB"/>
    <w:rsid w:val="00DC2A49"/>
    <w:rsid w:val="00DC2AF3"/>
    <w:rsid w:val="00DC2B61"/>
    <w:rsid w:val="00DC2BFC"/>
    <w:rsid w:val="00DC2EF9"/>
    <w:rsid w:val="00DC2FC4"/>
    <w:rsid w:val="00DC3015"/>
    <w:rsid w:val="00DC30DA"/>
    <w:rsid w:val="00DC310D"/>
    <w:rsid w:val="00DC3117"/>
    <w:rsid w:val="00DC3195"/>
    <w:rsid w:val="00DC3206"/>
    <w:rsid w:val="00DC339F"/>
    <w:rsid w:val="00DC3429"/>
    <w:rsid w:val="00DC360B"/>
    <w:rsid w:val="00DC360D"/>
    <w:rsid w:val="00DC3680"/>
    <w:rsid w:val="00DC38A3"/>
    <w:rsid w:val="00DC3934"/>
    <w:rsid w:val="00DC393C"/>
    <w:rsid w:val="00DC3951"/>
    <w:rsid w:val="00DC3986"/>
    <w:rsid w:val="00DC39C2"/>
    <w:rsid w:val="00DC3B3C"/>
    <w:rsid w:val="00DC3CED"/>
    <w:rsid w:val="00DC3D0D"/>
    <w:rsid w:val="00DC3D45"/>
    <w:rsid w:val="00DC3D54"/>
    <w:rsid w:val="00DC3DF9"/>
    <w:rsid w:val="00DC4201"/>
    <w:rsid w:val="00DC4357"/>
    <w:rsid w:val="00DC438D"/>
    <w:rsid w:val="00DC43AD"/>
    <w:rsid w:val="00DC45F6"/>
    <w:rsid w:val="00DC4667"/>
    <w:rsid w:val="00DC4685"/>
    <w:rsid w:val="00DC46B3"/>
    <w:rsid w:val="00DC4742"/>
    <w:rsid w:val="00DC4801"/>
    <w:rsid w:val="00DC48F8"/>
    <w:rsid w:val="00DC48FA"/>
    <w:rsid w:val="00DC491C"/>
    <w:rsid w:val="00DC4924"/>
    <w:rsid w:val="00DC49BB"/>
    <w:rsid w:val="00DC49E7"/>
    <w:rsid w:val="00DC4A20"/>
    <w:rsid w:val="00DC4B66"/>
    <w:rsid w:val="00DC4BFA"/>
    <w:rsid w:val="00DC4C2A"/>
    <w:rsid w:val="00DC4C81"/>
    <w:rsid w:val="00DC4C98"/>
    <w:rsid w:val="00DC4DA8"/>
    <w:rsid w:val="00DC4EE5"/>
    <w:rsid w:val="00DC4FC0"/>
    <w:rsid w:val="00DC4FC3"/>
    <w:rsid w:val="00DC4FCD"/>
    <w:rsid w:val="00DC504A"/>
    <w:rsid w:val="00DC50B0"/>
    <w:rsid w:val="00DC5170"/>
    <w:rsid w:val="00DC5247"/>
    <w:rsid w:val="00DC5317"/>
    <w:rsid w:val="00DC5326"/>
    <w:rsid w:val="00DC5384"/>
    <w:rsid w:val="00DC552A"/>
    <w:rsid w:val="00DC55B5"/>
    <w:rsid w:val="00DC55BA"/>
    <w:rsid w:val="00DC57A2"/>
    <w:rsid w:val="00DC5854"/>
    <w:rsid w:val="00DC5859"/>
    <w:rsid w:val="00DC58A0"/>
    <w:rsid w:val="00DC58F6"/>
    <w:rsid w:val="00DC59F4"/>
    <w:rsid w:val="00DC5A2A"/>
    <w:rsid w:val="00DC5ACF"/>
    <w:rsid w:val="00DC5BFB"/>
    <w:rsid w:val="00DC5C02"/>
    <w:rsid w:val="00DC5E97"/>
    <w:rsid w:val="00DC5EB4"/>
    <w:rsid w:val="00DC60C3"/>
    <w:rsid w:val="00DC624D"/>
    <w:rsid w:val="00DC63BE"/>
    <w:rsid w:val="00DC6484"/>
    <w:rsid w:val="00DC64BC"/>
    <w:rsid w:val="00DC64C2"/>
    <w:rsid w:val="00DC66FD"/>
    <w:rsid w:val="00DC673C"/>
    <w:rsid w:val="00DC6764"/>
    <w:rsid w:val="00DC67B4"/>
    <w:rsid w:val="00DC68BD"/>
    <w:rsid w:val="00DC6994"/>
    <w:rsid w:val="00DC6B66"/>
    <w:rsid w:val="00DC6BA8"/>
    <w:rsid w:val="00DC6CA9"/>
    <w:rsid w:val="00DC6D72"/>
    <w:rsid w:val="00DC6E59"/>
    <w:rsid w:val="00DC6F24"/>
    <w:rsid w:val="00DC704F"/>
    <w:rsid w:val="00DC7063"/>
    <w:rsid w:val="00DC7068"/>
    <w:rsid w:val="00DC7116"/>
    <w:rsid w:val="00DC71FA"/>
    <w:rsid w:val="00DC7227"/>
    <w:rsid w:val="00DC723D"/>
    <w:rsid w:val="00DC734A"/>
    <w:rsid w:val="00DC73BF"/>
    <w:rsid w:val="00DC7423"/>
    <w:rsid w:val="00DC7429"/>
    <w:rsid w:val="00DC74AE"/>
    <w:rsid w:val="00DC74BE"/>
    <w:rsid w:val="00DC74EB"/>
    <w:rsid w:val="00DC7533"/>
    <w:rsid w:val="00DC75F0"/>
    <w:rsid w:val="00DC76B6"/>
    <w:rsid w:val="00DC76F6"/>
    <w:rsid w:val="00DC77AA"/>
    <w:rsid w:val="00DC7833"/>
    <w:rsid w:val="00DC789B"/>
    <w:rsid w:val="00DC7B4A"/>
    <w:rsid w:val="00DC7BC4"/>
    <w:rsid w:val="00DC7CB3"/>
    <w:rsid w:val="00DC7D20"/>
    <w:rsid w:val="00DC7EDB"/>
    <w:rsid w:val="00DC7F24"/>
    <w:rsid w:val="00DC7F9F"/>
    <w:rsid w:val="00DD00B8"/>
    <w:rsid w:val="00DD0134"/>
    <w:rsid w:val="00DD01CE"/>
    <w:rsid w:val="00DD026C"/>
    <w:rsid w:val="00DD02D7"/>
    <w:rsid w:val="00DD0320"/>
    <w:rsid w:val="00DD0385"/>
    <w:rsid w:val="00DD03B6"/>
    <w:rsid w:val="00DD03BC"/>
    <w:rsid w:val="00DD03FE"/>
    <w:rsid w:val="00DD041C"/>
    <w:rsid w:val="00DD0423"/>
    <w:rsid w:val="00DD060A"/>
    <w:rsid w:val="00DD0709"/>
    <w:rsid w:val="00DD0793"/>
    <w:rsid w:val="00DD07D5"/>
    <w:rsid w:val="00DD08F5"/>
    <w:rsid w:val="00DD0995"/>
    <w:rsid w:val="00DD09A0"/>
    <w:rsid w:val="00DD0A6E"/>
    <w:rsid w:val="00DD0BBD"/>
    <w:rsid w:val="00DD0C03"/>
    <w:rsid w:val="00DD0C04"/>
    <w:rsid w:val="00DD0C3B"/>
    <w:rsid w:val="00DD0C49"/>
    <w:rsid w:val="00DD0C6D"/>
    <w:rsid w:val="00DD0CBE"/>
    <w:rsid w:val="00DD0D21"/>
    <w:rsid w:val="00DD0E5B"/>
    <w:rsid w:val="00DD0E82"/>
    <w:rsid w:val="00DD0F02"/>
    <w:rsid w:val="00DD0FDC"/>
    <w:rsid w:val="00DD10C8"/>
    <w:rsid w:val="00DD10ED"/>
    <w:rsid w:val="00DD1108"/>
    <w:rsid w:val="00DD111D"/>
    <w:rsid w:val="00DD11E1"/>
    <w:rsid w:val="00DD131B"/>
    <w:rsid w:val="00DD134A"/>
    <w:rsid w:val="00DD1403"/>
    <w:rsid w:val="00DD1429"/>
    <w:rsid w:val="00DD1457"/>
    <w:rsid w:val="00DD14BA"/>
    <w:rsid w:val="00DD1532"/>
    <w:rsid w:val="00DD15CC"/>
    <w:rsid w:val="00DD161D"/>
    <w:rsid w:val="00DD17AB"/>
    <w:rsid w:val="00DD1902"/>
    <w:rsid w:val="00DD1959"/>
    <w:rsid w:val="00DD1A27"/>
    <w:rsid w:val="00DD1A33"/>
    <w:rsid w:val="00DD1AF9"/>
    <w:rsid w:val="00DD1CAF"/>
    <w:rsid w:val="00DD1D00"/>
    <w:rsid w:val="00DD1D19"/>
    <w:rsid w:val="00DD1E94"/>
    <w:rsid w:val="00DD1FEC"/>
    <w:rsid w:val="00DD2051"/>
    <w:rsid w:val="00DD2066"/>
    <w:rsid w:val="00DD20D4"/>
    <w:rsid w:val="00DD219C"/>
    <w:rsid w:val="00DD2248"/>
    <w:rsid w:val="00DD224E"/>
    <w:rsid w:val="00DD227D"/>
    <w:rsid w:val="00DD2314"/>
    <w:rsid w:val="00DD234F"/>
    <w:rsid w:val="00DD27C8"/>
    <w:rsid w:val="00DD27E8"/>
    <w:rsid w:val="00DD27F6"/>
    <w:rsid w:val="00DD285F"/>
    <w:rsid w:val="00DD288A"/>
    <w:rsid w:val="00DD28E3"/>
    <w:rsid w:val="00DD2928"/>
    <w:rsid w:val="00DD292C"/>
    <w:rsid w:val="00DD29C9"/>
    <w:rsid w:val="00DD2A40"/>
    <w:rsid w:val="00DD2BE4"/>
    <w:rsid w:val="00DD2CA2"/>
    <w:rsid w:val="00DD2CFD"/>
    <w:rsid w:val="00DD2D27"/>
    <w:rsid w:val="00DD2DE7"/>
    <w:rsid w:val="00DD2DE9"/>
    <w:rsid w:val="00DD2FAD"/>
    <w:rsid w:val="00DD300A"/>
    <w:rsid w:val="00DD303E"/>
    <w:rsid w:val="00DD3069"/>
    <w:rsid w:val="00DD308B"/>
    <w:rsid w:val="00DD30A7"/>
    <w:rsid w:val="00DD3188"/>
    <w:rsid w:val="00DD31F2"/>
    <w:rsid w:val="00DD326C"/>
    <w:rsid w:val="00DD32E6"/>
    <w:rsid w:val="00DD33B9"/>
    <w:rsid w:val="00DD33C2"/>
    <w:rsid w:val="00DD341E"/>
    <w:rsid w:val="00DD344A"/>
    <w:rsid w:val="00DD35CB"/>
    <w:rsid w:val="00DD3633"/>
    <w:rsid w:val="00DD366B"/>
    <w:rsid w:val="00DD3717"/>
    <w:rsid w:val="00DD3836"/>
    <w:rsid w:val="00DD38A0"/>
    <w:rsid w:val="00DD3945"/>
    <w:rsid w:val="00DD3958"/>
    <w:rsid w:val="00DD3A4D"/>
    <w:rsid w:val="00DD3B68"/>
    <w:rsid w:val="00DD3BCE"/>
    <w:rsid w:val="00DD3D93"/>
    <w:rsid w:val="00DD3EAB"/>
    <w:rsid w:val="00DD3FEA"/>
    <w:rsid w:val="00DD4079"/>
    <w:rsid w:val="00DD40A4"/>
    <w:rsid w:val="00DD40E2"/>
    <w:rsid w:val="00DD410E"/>
    <w:rsid w:val="00DD4129"/>
    <w:rsid w:val="00DD41F2"/>
    <w:rsid w:val="00DD438B"/>
    <w:rsid w:val="00DD4419"/>
    <w:rsid w:val="00DD45A0"/>
    <w:rsid w:val="00DD4655"/>
    <w:rsid w:val="00DD4698"/>
    <w:rsid w:val="00DD4741"/>
    <w:rsid w:val="00DD4784"/>
    <w:rsid w:val="00DD4979"/>
    <w:rsid w:val="00DD49C0"/>
    <w:rsid w:val="00DD4A3F"/>
    <w:rsid w:val="00DD4BE2"/>
    <w:rsid w:val="00DD4BF0"/>
    <w:rsid w:val="00DD4C21"/>
    <w:rsid w:val="00DD4CB8"/>
    <w:rsid w:val="00DD4D24"/>
    <w:rsid w:val="00DD4D33"/>
    <w:rsid w:val="00DD4DB1"/>
    <w:rsid w:val="00DD4E03"/>
    <w:rsid w:val="00DD4E2B"/>
    <w:rsid w:val="00DD4E74"/>
    <w:rsid w:val="00DD4ED1"/>
    <w:rsid w:val="00DD5024"/>
    <w:rsid w:val="00DD50DD"/>
    <w:rsid w:val="00DD51C8"/>
    <w:rsid w:val="00DD5240"/>
    <w:rsid w:val="00DD53F9"/>
    <w:rsid w:val="00DD5483"/>
    <w:rsid w:val="00DD54DC"/>
    <w:rsid w:val="00DD550E"/>
    <w:rsid w:val="00DD5774"/>
    <w:rsid w:val="00DD57BD"/>
    <w:rsid w:val="00DD57CD"/>
    <w:rsid w:val="00DD586F"/>
    <w:rsid w:val="00DD588C"/>
    <w:rsid w:val="00DD58CF"/>
    <w:rsid w:val="00DD599F"/>
    <w:rsid w:val="00DD59D3"/>
    <w:rsid w:val="00DD5A6D"/>
    <w:rsid w:val="00DD5AE3"/>
    <w:rsid w:val="00DD5C08"/>
    <w:rsid w:val="00DD5CF1"/>
    <w:rsid w:val="00DD5D87"/>
    <w:rsid w:val="00DD5D9B"/>
    <w:rsid w:val="00DD5E06"/>
    <w:rsid w:val="00DD5F1A"/>
    <w:rsid w:val="00DD5FB0"/>
    <w:rsid w:val="00DD63CC"/>
    <w:rsid w:val="00DD6494"/>
    <w:rsid w:val="00DD65EB"/>
    <w:rsid w:val="00DD65F4"/>
    <w:rsid w:val="00DD66FD"/>
    <w:rsid w:val="00DD672D"/>
    <w:rsid w:val="00DD6743"/>
    <w:rsid w:val="00DD674C"/>
    <w:rsid w:val="00DD6786"/>
    <w:rsid w:val="00DD67CC"/>
    <w:rsid w:val="00DD684D"/>
    <w:rsid w:val="00DD6917"/>
    <w:rsid w:val="00DD698D"/>
    <w:rsid w:val="00DD69D9"/>
    <w:rsid w:val="00DD6A7E"/>
    <w:rsid w:val="00DD6A9C"/>
    <w:rsid w:val="00DD6AC7"/>
    <w:rsid w:val="00DD6B45"/>
    <w:rsid w:val="00DD6BE6"/>
    <w:rsid w:val="00DD6BE8"/>
    <w:rsid w:val="00DD6C57"/>
    <w:rsid w:val="00DD6C9C"/>
    <w:rsid w:val="00DD6EAD"/>
    <w:rsid w:val="00DD700B"/>
    <w:rsid w:val="00DD7018"/>
    <w:rsid w:val="00DD7043"/>
    <w:rsid w:val="00DD70C7"/>
    <w:rsid w:val="00DD711F"/>
    <w:rsid w:val="00DD715F"/>
    <w:rsid w:val="00DD716C"/>
    <w:rsid w:val="00DD723E"/>
    <w:rsid w:val="00DD72A2"/>
    <w:rsid w:val="00DD72F2"/>
    <w:rsid w:val="00DD7319"/>
    <w:rsid w:val="00DD7355"/>
    <w:rsid w:val="00DD7367"/>
    <w:rsid w:val="00DD7449"/>
    <w:rsid w:val="00DD7452"/>
    <w:rsid w:val="00DD746A"/>
    <w:rsid w:val="00DD7500"/>
    <w:rsid w:val="00DD753F"/>
    <w:rsid w:val="00DD756E"/>
    <w:rsid w:val="00DD7675"/>
    <w:rsid w:val="00DD768B"/>
    <w:rsid w:val="00DD76C7"/>
    <w:rsid w:val="00DD76DA"/>
    <w:rsid w:val="00DD779C"/>
    <w:rsid w:val="00DD7931"/>
    <w:rsid w:val="00DD79E4"/>
    <w:rsid w:val="00DD7A09"/>
    <w:rsid w:val="00DD7A2F"/>
    <w:rsid w:val="00DD7B16"/>
    <w:rsid w:val="00DD7B5A"/>
    <w:rsid w:val="00DD7DA8"/>
    <w:rsid w:val="00DD7DE9"/>
    <w:rsid w:val="00DD7EE9"/>
    <w:rsid w:val="00DD7FD3"/>
    <w:rsid w:val="00DE010D"/>
    <w:rsid w:val="00DE0114"/>
    <w:rsid w:val="00DE017B"/>
    <w:rsid w:val="00DE0261"/>
    <w:rsid w:val="00DE0294"/>
    <w:rsid w:val="00DE03BC"/>
    <w:rsid w:val="00DE03C8"/>
    <w:rsid w:val="00DE03D5"/>
    <w:rsid w:val="00DE04C5"/>
    <w:rsid w:val="00DE05B8"/>
    <w:rsid w:val="00DE072C"/>
    <w:rsid w:val="00DE07A0"/>
    <w:rsid w:val="00DE07C0"/>
    <w:rsid w:val="00DE0802"/>
    <w:rsid w:val="00DE085F"/>
    <w:rsid w:val="00DE08BD"/>
    <w:rsid w:val="00DE0907"/>
    <w:rsid w:val="00DE094E"/>
    <w:rsid w:val="00DE095A"/>
    <w:rsid w:val="00DE0A07"/>
    <w:rsid w:val="00DE0A44"/>
    <w:rsid w:val="00DE0A64"/>
    <w:rsid w:val="00DE0A7E"/>
    <w:rsid w:val="00DE0BF8"/>
    <w:rsid w:val="00DE0C31"/>
    <w:rsid w:val="00DE0C34"/>
    <w:rsid w:val="00DE0C9E"/>
    <w:rsid w:val="00DE0D36"/>
    <w:rsid w:val="00DE105C"/>
    <w:rsid w:val="00DE10C8"/>
    <w:rsid w:val="00DE10CF"/>
    <w:rsid w:val="00DE10FF"/>
    <w:rsid w:val="00DE114E"/>
    <w:rsid w:val="00DE1208"/>
    <w:rsid w:val="00DE1405"/>
    <w:rsid w:val="00DE155C"/>
    <w:rsid w:val="00DE1590"/>
    <w:rsid w:val="00DE15FE"/>
    <w:rsid w:val="00DE1686"/>
    <w:rsid w:val="00DE16D9"/>
    <w:rsid w:val="00DE185A"/>
    <w:rsid w:val="00DE1A15"/>
    <w:rsid w:val="00DE1A7E"/>
    <w:rsid w:val="00DE1C99"/>
    <w:rsid w:val="00DE1D2E"/>
    <w:rsid w:val="00DE1DFB"/>
    <w:rsid w:val="00DE1E50"/>
    <w:rsid w:val="00DE206A"/>
    <w:rsid w:val="00DE222E"/>
    <w:rsid w:val="00DE226C"/>
    <w:rsid w:val="00DE2349"/>
    <w:rsid w:val="00DE239B"/>
    <w:rsid w:val="00DE24F5"/>
    <w:rsid w:val="00DE25AD"/>
    <w:rsid w:val="00DE25B6"/>
    <w:rsid w:val="00DE261C"/>
    <w:rsid w:val="00DE2653"/>
    <w:rsid w:val="00DE2673"/>
    <w:rsid w:val="00DE267E"/>
    <w:rsid w:val="00DE26D0"/>
    <w:rsid w:val="00DE2708"/>
    <w:rsid w:val="00DE27DC"/>
    <w:rsid w:val="00DE27F1"/>
    <w:rsid w:val="00DE2891"/>
    <w:rsid w:val="00DE2999"/>
    <w:rsid w:val="00DE2A0E"/>
    <w:rsid w:val="00DE2A1F"/>
    <w:rsid w:val="00DE2A25"/>
    <w:rsid w:val="00DE2BB8"/>
    <w:rsid w:val="00DE2BFD"/>
    <w:rsid w:val="00DE2DD0"/>
    <w:rsid w:val="00DE2DE9"/>
    <w:rsid w:val="00DE2EB5"/>
    <w:rsid w:val="00DE2EC0"/>
    <w:rsid w:val="00DE2ED9"/>
    <w:rsid w:val="00DE2FA2"/>
    <w:rsid w:val="00DE3003"/>
    <w:rsid w:val="00DE3018"/>
    <w:rsid w:val="00DE307C"/>
    <w:rsid w:val="00DE3105"/>
    <w:rsid w:val="00DE3144"/>
    <w:rsid w:val="00DE3196"/>
    <w:rsid w:val="00DE31AB"/>
    <w:rsid w:val="00DE3296"/>
    <w:rsid w:val="00DE3362"/>
    <w:rsid w:val="00DE337B"/>
    <w:rsid w:val="00DE3389"/>
    <w:rsid w:val="00DE3423"/>
    <w:rsid w:val="00DE3435"/>
    <w:rsid w:val="00DE362A"/>
    <w:rsid w:val="00DE3711"/>
    <w:rsid w:val="00DE380A"/>
    <w:rsid w:val="00DE3828"/>
    <w:rsid w:val="00DE38B4"/>
    <w:rsid w:val="00DE394F"/>
    <w:rsid w:val="00DE3A6C"/>
    <w:rsid w:val="00DE3B1F"/>
    <w:rsid w:val="00DE3BB2"/>
    <w:rsid w:val="00DE3CB8"/>
    <w:rsid w:val="00DE3D0E"/>
    <w:rsid w:val="00DE3D13"/>
    <w:rsid w:val="00DE3E5F"/>
    <w:rsid w:val="00DE3EBF"/>
    <w:rsid w:val="00DE3F88"/>
    <w:rsid w:val="00DE4138"/>
    <w:rsid w:val="00DE4148"/>
    <w:rsid w:val="00DE4177"/>
    <w:rsid w:val="00DE4222"/>
    <w:rsid w:val="00DE434A"/>
    <w:rsid w:val="00DE43F9"/>
    <w:rsid w:val="00DE441D"/>
    <w:rsid w:val="00DE44EB"/>
    <w:rsid w:val="00DE466B"/>
    <w:rsid w:val="00DE4672"/>
    <w:rsid w:val="00DE470B"/>
    <w:rsid w:val="00DE4739"/>
    <w:rsid w:val="00DE47DB"/>
    <w:rsid w:val="00DE4842"/>
    <w:rsid w:val="00DE49AD"/>
    <w:rsid w:val="00DE49E0"/>
    <w:rsid w:val="00DE4A6D"/>
    <w:rsid w:val="00DE4AC1"/>
    <w:rsid w:val="00DE4AED"/>
    <w:rsid w:val="00DE4B43"/>
    <w:rsid w:val="00DE4B6F"/>
    <w:rsid w:val="00DE4C53"/>
    <w:rsid w:val="00DE4CF1"/>
    <w:rsid w:val="00DE4DA0"/>
    <w:rsid w:val="00DE4DA1"/>
    <w:rsid w:val="00DE4E73"/>
    <w:rsid w:val="00DE4E98"/>
    <w:rsid w:val="00DE4ED4"/>
    <w:rsid w:val="00DE4F09"/>
    <w:rsid w:val="00DE4F90"/>
    <w:rsid w:val="00DE4FDF"/>
    <w:rsid w:val="00DE4FE2"/>
    <w:rsid w:val="00DE5021"/>
    <w:rsid w:val="00DE504C"/>
    <w:rsid w:val="00DE50A3"/>
    <w:rsid w:val="00DE50E3"/>
    <w:rsid w:val="00DE511B"/>
    <w:rsid w:val="00DE524C"/>
    <w:rsid w:val="00DE5251"/>
    <w:rsid w:val="00DE52BE"/>
    <w:rsid w:val="00DE5399"/>
    <w:rsid w:val="00DE5418"/>
    <w:rsid w:val="00DE550E"/>
    <w:rsid w:val="00DE5581"/>
    <w:rsid w:val="00DE5654"/>
    <w:rsid w:val="00DE57A7"/>
    <w:rsid w:val="00DE57AF"/>
    <w:rsid w:val="00DE57E0"/>
    <w:rsid w:val="00DE59BF"/>
    <w:rsid w:val="00DE59C4"/>
    <w:rsid w:val="00DE5A0A"/>
    <w:rsid w:val="00DE5AD3"/>
    <w:rsid w:val="00DE5BDA"/>
    <w:rsid w:val="00DE5C95"/>
    <w:rsid w:val="00DE5DC2"/>
    <w:rsid w:val="00DE5ECB"/>
    <w:rsid w:val="00DE6057"/>
    <w:rsid w:val="00DE6075"/>
    <w:rsid w:val="00DE60A4"/>
    <w:rsid w:val="00DE60EE"/>
    <w:rsid w:val="00DE6158"/>
    <w:rsid w:val="00DE6197"/>
    <w:rsid w:val="00DE62CE"/>
    <w:rsid w:val="00DE62F0"/>
    <w:rsid w:val="00DE630C"/>
    <w:rsid w:val="00DE63F1"/>
    <w:rsid w:val="00DE6657"/>
    <w:rsid w:val="00DE66B0"/>
    <w:rsid w:val="00DE6701"/>
    <w:rsid w:val="00DE6702"/>
    <w:rsid w:val="00DE678A"/>
    <w:rsid w:val="00DE67CE"/>
    <w:rsid w:val="00DE687C"/>
    <w:rsid w:val="00DE68F8"/>
    <w:rsid w:val="00DE6903"/>
    <w:rsid w:val="00DE6944"/>
    <w:rsid w:val="00DE6A7F"/>
    <w:rsid w:val="00DE6B4E"/>
    <w:rsid w:val="00DE6BEB"/>
    <w:rsid w:val="00DE6C97"/>
    <w:rsid w:val="00DE6CA5"/>
    <w:rsid w:val="00DE6D7C"/>
    <w:rsid w:val="00DE6D90"/>
    <w:rsid w:val="00DE6DB1"/>
    <w:rsid w:val="00DE6E21"/>
    <w:rsid w:val="00DE6E46"/>
    <w:rsid w:val="00DE6EC5"/>
    <w:rsid w:val="00DE6FA2"/>
    <w:rsid w:val="00DE6FBF"/>
    <w:rsid w:val="00DE70C7"/>
    <w:rsid w:val="00DE70CE"/>
    <w:rsid w:val="00DE724C"/>
    <w:rsid w:val="00DE72A9"/>
    <w:rsid w:val="00DE7371"/>
    <w:rsid w:val="00DE73E9"/>
    <w:rsid w:val="00DE7424"/>
    <w:rsid w:val="00DE7432"/>
    <w:rsid w:val="00DE7442"/>
    <w:rsid w:val="00DE74AF"/>
    <w:rsid w:val="00DE74C7"/>
    <w:rsid w:val="00DE74D2"/>
    <w:rsid w:val="00DE769D"/>
    <w:rsid w:val="00DE76F7"/>
    <w:rsid w:val="00DE76F8"/>
    <w:rsid w:val="00DE791C"/>
    <w:rsid w:val="00DE7961"/>
    <w:rsid w:val="00DE7982"/>
    <w:rsid w:val="00DE7A52"/>
    <w:rsid w:val="00DE7A85"/>
    <w:rsid w:val="00DE7AA6"/>
    <w:rsid w:val="00DE7ACB"/>
    <w:rsid w:val="00DE7BC7"/>
    <w:rsid w:val="00DE7C8F"/>
    <w:rsid w:val="00DE7CF7"/>
    <w:rsid w:val="00DE7D49"/>
    <w:rsid w:val="00DE7DA6"/>
    <w:rsid w:val="00DE7DD5"/>
    <w:rsid w:val="00DE7E11"/>
    <w:rsid w:val="00DE7E16"/>
    <w:rsid w:val="00DE7E2A"/>
    <w:rsid w:val="00DF0004"/>
    <w:rsid w:val="00DF0186"/>
    <w:rsid w:val="00DF029A"/>
    <w:rsid w:val="00DF02BA"/>
    <w:rsid w:val="00DF0344"/>
    <w:rsid w:val="00DF052A"/>
    <w:rsid w:val="00DF05C5"/>
    <w:rsid w:val="00DF0651"/>
    <w:rsid w:val="00DF065F"/>
    <w:rsid w:val="00DF067A"/>
    <w:rsid w:val="00DF06A3"/>
    <w:rsid w:val="00DF06D9"/>
    <w:rsid w:val="00DF0753"/>
    <w:rsid w:val="00DF0776"/>
    <w:rsid w:val="00DF07AD"/>
    <w:rsid w:val="00DF09A9"/>
    <w:rsid w:val="00DF0A31"/>
    <w:rsid w:val="00DF0C59"/>
    <w:rsid w:val="00DF0C81"/>
    <w:rsid w:val="00DF0D82"/>
    <w:rsid w:val="00DF0E3E"/>
    <w:rsid w:val="00DF0E87"/>
    <w:rsid w:val="00DF0F3D"/>
    <w:rsid w:val="00DF103B"/>
    <w:rsid w:val="00DF115D"/>
    <w:rsid w:val="00DF118E"/>
    <w:rsid w:val="00DF1232"/>
    <w:rsid w:val="00DF1253"/>
    <w:rsid w:val="00DF12FC"/>
    <w:rsid w:val="00DF1373"/>
    <w:rsid w:val="00DF138F"/>
    <w:rsid w:val="00DF13FD"/>
    <w:rsid w:val="00DF1419"/>
    <w:rsid w:val="00DF146A"/>
    <w:rsid w:val="00DF1528"/>
    <w:rsid w:val="00DF1692"/>
    <w:rsid w:val="00DF16A4"/>
    <w:rsid w:val="00DF1790"/>
    <w:rsid w:val="00DF1832"/>
    <w:rsid w:val="00DF18F5"/>
    <w:rsid w:val="00DF196B"/>
    <w:rsid w:val="00DF19F7"/>
    <w:rsid w:val="00DF1B1E"/>
    <w:rsid w:val="00DF1B9C"/>
    <w:rsid w:val="00DF1BD0"/>
    <w:rsid w:val="00DF1BE5"/>
    <w:rsid w:val="00DF1CBF"/>
    <w:rsid w:val="00DF2025"/>
    <w:rsid w:val="00DF2080"/>
    <w:rsid w:val="00DF235C"/>
    <w:rsid w:val="00DF235F"/>
    <w:rsid w:val="00DF2379"/>
    <w:rsid w:val="00DF246D"/>
    <w:rsid w:val="00DF2560"/>
    <w:rsid w:val="00DF27C8"/>
    <w:rsid w:val="00DF284A"/>
    <w:rsid w:val="00DF2917"/>
    <w:rsid w:val="00DF29F7"/>
    <w:rsid w:val="00DF2A3B"/>
    <w:rsid w:val="00DF2AB3"/>
    <w:rsid w:val="00DF2AE2"/>
    <w:rsid w:val="00DF2B5D"/>
    <w:rsid w:val="00DF2BB7"/>
    <w:rsid w:val="00DF2C22"/>
    <w:rsid w:val="00DF2CC2"/>
    <w:rsid w:val="00DF2D84"/>
    <w:rsid w:val="00DF2E3F"/>
    <w:rsid w:val="00DF2FB9"/>
    <w:rsid w:val="00DF304A"/>
    <w:rsid w:val="00DF3054"/>
    <w:rsid w:val="00DF3087"/>
    <w:rsid w:val="00DF30A2"/>
    <w:rsid w:val="00DF3101"/>
    <w:rsid w:val="00DF31D1"/>
    <w:rsid w:val="00DF3253"/>
    <w:rsid w:val="00DF32B3"/>
    <w:rsid w:val="00DF32C2"/>
    <w:rsid w:val="00DF3382"/>
    <w:rsid w:val="00DF33FC"/>
    <w:rsid w:val="00DF3433"/>
    <w:rsid w:val="00DF3581"/>
    <w:rsid w:val="00DF35EA"/>
    <w:rsid w:val="00DF35FC"/>
    <w:rsid w:val="00DF366F"/>
    <w:rsid w:val="00DF3670"/>
    <w:rsid w:val="00DF3804"/>
    <w:rsid w:val="00DF3819"/>
    <w:rsid w:val="00DF399D"/>
    <w:rsid w:val="00DF3C62"/>
    <w:rsid w:val="00DF3CCB"/>
    <w:rsid w:val="00DF3D93"/>
    <w:rsid w:val="00DF3DF9"/>
    <w:rsid w:val="00DF3E3C"/>
    <w:rsid w:val="00DF3FC6"/>
    <w:rsid w:val="00DF4154"/>
    <w:rsid w:val="00DF429D"/>
    <w:rsid w:val="00DF42FC"/>
    <w:rsid w:val="00DF43AB"/>
    <w:rsid w:val="00DF43E4"/>
    <w:rsid w:val="00DF43EC"/>
    <w:rsid w:val="00DF44B3"/>
    <w:rsid w:val="00DF4697"/>
    <w:rsid w:val="00DF46E3"/>
    <w:rsid w:val="00DF46E5"/>
    <w:rsid w:val="00DF4780"/>
    <w:rsid w:val="00DF47AC"/>
    <w:rsid w:val="00DF47D9"/>
    <w:rsid w:val="00DF4852"/>
    <w:rsid w:val="00DF4916"/>
    <w:rsid w:val="00DF49FE"/>
    <w:rsid w:val="00DF4A02"/>
    <w:rsid w:val="00DF4C78"/>
    <w:rsid w:val="00DF4CAF"/>
    <w:rsid w:val="00DF4DE4"/>
    <w:rsid w:val="00DF4E2C"/>
    <w:rsid w:val="00DF4FB5"/>
    <w:rsid w:val="00DF5084"/>
    <w:rsid w:val="00DF5117"/>
    <w:rsid w:val="00DF5180"/>
    <w:rsid w:val="00DF5196"/>
    <w:rsid w:val="00DF5210"/>
    <w:rsid w:val="00DF522C"/>
    <w:rsid w:val="00DF526C"/>
    <w:rsid w:val="00DF529D"/>
    <w:rsid w:val="00DF52A0"/>
    <w:rsid w:val="00DF52E7"/>
    <w:rsid w:val="00DF541F"/>
    <w:rsid w:val="00DF5422"/>
    <w:rsid w:val="00DF5454"/>
    <w:rsid w:val="00DF54D5"/>
    <w:rsid w:val="00DF5581"/>
    <w:rsid w:val="00DF5636"/>
    <w:rsid w:val="00DF5644"/>
    <w:rsid w:val="00DF5721"/>
    <w:rsid w:val="00DF5747"/>
    <w:rsid w:val="00DF5843"/>
    <w:rsid w:val="00DF5979"/>
    <w:rsid w:val="00DF5ADF"/>
    <w:rsid w:val="00DF5B5C"/>
    <w:rsid w:val="00DF5C7A"/>
    <w:rsid w:val="00DF5D04"/>
    <w:rsid w:val="00DF5DBF"/>
    <w:rsid w:val="00DF5E03"/>
    <w:rsid w:val="00DF5E35"/>
    <w:rsid w:val="00DF5E44"/>
    <w:rsid w:val="00DF5E8E"/>
    <w:rsid w:val="00DF5E9E"/>
    <w:rsid w:val="00DF5EC2"/>
    <w:rsid w:val="00DF5EEC"/>
    <w:rsid w:val="00DF5EF0"/>
    <w:rsid w:val="00DF5F7B"/>
    <w:rsid w:val="00DF6079"/>
    <w:rsid w:val="00DF6219"/>
    <w:rsid w:val="00DF6272"/>
    <w:rsid w:val="00DF6293"/>
    <w:rsid w:val="00DF62CD"/>
    <w:rsid w:val="00DF62FE"/>
    <w:rsid w:val="00DF630F"/>
    <w:rsid w:val="00DF63C5"/>
    <w:rsid w:val="00DF6525"/>
    <w:rsid w:val="00DF6536"/>
    <w:rsid w:val="00DF655D"/>
    <w:rsid w:val="00DF667E"/>
    <w:rsid w:val="00DF66BA"/>
    <w:rsid w:val="00DF66EC"/>
    <w:rsid w:val="00DF6748"/>
    <w:rsid w:val="00DF67C8"/>
    <w:rsid w:val="00DF6865"/>
    <w:rsid w:val="00DF69B1"/>
    <w:rsid w:val="00DF69D4"/>
    <w:rsid w:val="00DF6BB1"/>
    <w:rsid w:val="00DF6BBE"/>
    <w:rsid w:val="00DF6C74"/>
    <w:rsid w:val="00DF6CAD"/>
    <w:rsid w:val="00DF6D00"/>
    <w:rsid w:val="00DF6DB8"/>
    <w:rsid w:val="00DF6E16"/>
    <w:rsid w:val="00DF6EBA"/>
    <w:rsid w:val="00DF6EDB"/>
    <w:rsid w:val="00DF6F61"/>
    <w:rsid w:val="00DF6F94"/>
    <w:rsid w:val="00DF709C"/>
    <w:rsid w:val="00DF7117"/>
    <w:rsid w:val="00DF72E4"/>
    <w:rsid w:val="00DF730A"/>
    <w:rsid w:val="00DF7345"/>
    <w:rsid w:val="00DF735F"/>
    <w:rsid w:val="00DF7385"/>
    <w:rsid w:val="00DF73E0"/>
    <w:rsid w:val="00DF74F5"/>
    <w:rsid w:val="00DF754E"/>
    <w:rsid w:val="00DF756F"/>
    <w:rsid w:val="00DF765D"/>
    <w:rsid w:val="00DF7682"/>
    <w:rsid w:val="00DF7748"/>
    <w:rsid w:val="00DF77CA"/>
    <w:rsid w:val="00DF78F2"/>
    <w:rsid w:val="00DF78F6"/>
    <w:rsid w:val="00DF78F7"/>
    <w:rsid w:val="00DF7927"/>
    <w:rsid w:val="00DF796F"/>
    <w:rsid w:val="00DF79BA"/>
    <w:rsid w:val="00DF7A09"/>
    <w:rsid w:val="00DF7A32"/>
    <w:rsid w:val="00DF7A49"/>
    <w:rsid w:val="00DF7A61"/>
    <w:rsid w:val="00DF7B9C"/>
    <w:rsid w:val="00DF7BC6"/>
    <w:rsid w:val="00DF7BF0"/>
    <w:rsid w:val="00DF7C2A"/>
    <w:rsid w:val="00DF7CBB"/>
    <w:rsid w:val="00DF7CE4"/>
    <w:rsid w:val="00DF7D63"/>
    <w:rsid w:val="00DF7D74"/>
    <w:rsid w:val="00DF7FBE"/>
    <w:rsid w:val="00DF7FE3"/>
    <w:rsid w:val="00E00044"/>
    <w:rsid w:val="00E000C0"/>
    <w:rsid w:val="00E001B7"/>
    <w:rsid w:val="00E001BE"/>
    <w:rsid w:val="00E00279"/>
    <w:rsid w:val="00E002E0"/>
    <w:rsid w:val="00E0050C"/>
    <w:rsid w:val="00E00516"/>
    <w:rsid w:val="00E005F3"/>
    <w:rsid w:val="00E00604"/>
    <w:rsid w:val="00E00605"/>
    <w:rsid w:val="00E00671"/>
    <w:rsid w:val="00E0078F"/>
    <w:rsid w:val="00E007A8"/>
    <w:rsid w:val="00E008D8"/>
    <w:rsid w:val="00E009EA"/>
    <w:rsid w:val="00E00A17"/>
    <w:rsid w:val="00E00A67"/>
    <w:rsid w:val="00E00A78"/>
    <w:rsid w:val="00E00A7E"/>
    <w:rsid w:val="00E00ADA"/>
    <w:rsid w:val="00E00AFF"/>
    <w:rsid w:val="00E00B85"/>
    <w:rsid w:val="00E00D5B"/>
    <w:rsid w:val="00E00E98"/>
    <w:rsid w:val="00E01070"/>
    <w:rsid w:val="00E01125"/>
    <w:rsid w:val="00E011A1"/>
    <w:rsid w:val="00E011B4"/>
    <w:rsid w:val="00E012FC"/>
    <w:rsid w:val="00E01367"/>
    <w:rsid w:val="00E01443"/>
    <w:rsid w:val="00E01479"/>
    <w:rsid w:val="00E0147E"/>
    <w:rsid w:val="00E014EB"/>
    <w:rsid w:val="00E01666"/>
    <w:rsid w:val="00E0173C"/>
    <w:rsid w:val="00E01768"/>
    <w:rsid w:val="00E01833"/>
    <w:rsid w:val="00E01871"/>
    <w:rsid w:val="00E018DC"/>
    <w:rsid w:val="00E01920"/>
    <w:rsid w:val="00E01A1C"/>
    <w:rsid w:val="00E01A22"/>
    <w:rsid w:val="00E01A2B"/>
    <w:rsid w:val="00E01B32"/>
    <w:rsid w:val="00E01B85"/>
    <w:rsid w:val="00E01C45"/>
    <w:rsid w:val="00E01C92"/>
    <w:rsid w:val="00E01CA2"/>
    <w:rsid w:val="00E01D05"/>
    <w:rsid w:val="00E01EA9"/>
    <w:rsid w:val="00E01F0B"/>
    <w:rsid w:val="00E01FF9"/>
    <w:rsid w:val="00E020B6"/>
    <w:rsid w:val="00E021A8"/>
    <w:rsid w:val="00E021B2"/>
    <w:rsid w:val="00E0234F"/>
    <w:rsid w:val="00E023F0"/>
    <w:rsid w:val="00E02492"/>
    <w:rsid w:val="00E024B2"/>
    <w:rsid w:val="00E024D8"/>
    <w:rsid w:val="00E025AC"/>
    <w:rsid w:val="00E025AF"/>
    <w:rsid w:val="00E02672"/>
    <w:rsid w:val="00E026FC"/>
    <w:rsid w:val="00E02771"/>
    <w:rsid w:val="00E027CC"/>
    <w:rsid w:val="00E027D8"/>
    <w:rsid w:val="00E028F6"/>
    <w:rsid w:val="00E02A66"/>
    <w:rsid w:val="00E02AE2"/>
    <w:rsid w:val="00E02B8D"/>
    <w:rsid w:val="00E02BEC"/>
    <w:rsid w:val="00E02C25"/>
    <w:rsid w:val="00E02CF2"/>
    <w:rsid w:val="00E02CFB"/>
    <w:rsid w:val="00E02CFF"/>
    <w:rsid w:val="00E02DF7"/>
    <w:rsid w:val="00E02E00"/>
    <w:rsid w:val="00E02E7E"/>
    <w:rsid w:val="00E02E87"/>
    <w:rsid w:val="00E02EA2"/>
    <w:rsid w:val="00E02F47"/>
    <w:rsid w:val="00E03075"/>
    <w:rsid w:val="00E03248"/>
    <w:rsid w:val="00E0327B"/>
    <w:rsid w:val="00E03449"/>
    <w:rsid w:val="00E035BE"/>
    <w:rsid w:val="00E03615"/>
    <w:rsid w:val="00E03696"/>
    <w:rsid w:val="00E0371D"/>
    <w:rsid w:val="00E038D8"/>
    <w:rsid w:val="00E038DC"/>
    <w:rsid w:val="00E03937"/>
    <w:rsid w:val="00E039B6"/>
    <w:rsid w:val="00E039D5"/>
    <w:rsid w:val="00E03A99"/>
    <w:rsid w:val="00E03AB0"/>
    <w:rsid w:val="00E03AEA"/>
    <w:rsid w:val="00E03C2C"/>
    <w:rsid w:val="00E03DF4"/>
    <w:rsid w:val="00E03EBD"/>
    <w:rsid w:val="00E03F5D"/>
    <w:rsid w:val="00E0401B"/>
    <w:rsid w:val="00E0408E"/>
    <w:rsid w:val="00E040BC"/>
    <w:rsid w:val="00E04201"/>
    <w:rsid w:val="00E0425D"/>
    <w:rsid w:val="00E042CF"/>
    <w:rsid w:val="00E042D5"/>
    <w:rsid w:val="00E0446C"/>
    <w:rsid w:val="00E0448E"/>
    <w:rsid w:val="00E04494"/>
    <w:rsid w:val="00E04580"/>
    <w:rsid w:val="00E04587"/>
    <w:rsid w:val="00E04599"/>
    <w:rsid w:val="00E045F8"/>
    <w:rsid w:val="00E045FB"/>
    <w:rsid w:val="00E04616"/>
    <w:rsid w:val="00E046A5"/>
    <w:rsid w:val="00E047C3"/>
    <w:rsid w:val="00E047EA"/>
    <w:rsid w:val="00E0482C"/>
    <w:rsid w:val="00E048C3"/>
    <w:rsid w:val="00E048E8"/>
    <w:rsid w:val="00E04AD5"/>
    <w:rsid w:val="00E04B70"/>
    <w:rsid w:val="00E04C91"/>
    <w:rsid w:val="00E04D4D"/>
    <w:rsid w:val="00E04DD7"/>
    <w:rsid w:val="00E04DF0"/>
    <w:rsid w:val="00E04DFE"/>
    <w:rsid w:val="00E04E2E"/>
    <w:rsid w:val="00E05067"/>
    <w:rsid w:val="00E050CD"/>
    <w:rsid w:val="00E05120"/>
    <w:rsid w:val="00E05149"/>
    <w:rsid w:val="00E0517C"/>
    <w:rsid w:val="00E052FE"/>
    <w:rsid w:val="00E0530D"/>
    <w:rsid w:val="00E05341"/>
    <w:rsid w:val="00E05384"/>
    <w:rsid w:val="00E053B9"/>
    <w:rsid w:val="00E0548A"/>
    <w:rsid w:val="00E0554D"/>
    <w:rsid w:val="00E0558D"/>
    <w:rsid w:val="00E05706"/>
    <w:rsid w:val="00E05869"/>
    <w:rsid w:val="00E05954"/>
    <w:rsid w:val="00E05955"/>
    <w:rsid w:val="00E05993"/>
    <w:rsid w:val="00E059A3"/>
    <w:rsid w:val="00E05AF4"/>
    <w:rsid w:val="00E05AF6"/>
    <w:rsid w:val="00E05B15"/>
    <w:rsid w:val="00E05B1A"/>
    <w:rsid w:val="00E05B4D"/>
    <w:rsid w:val="00E05D15"/>
    <w:rsid w:val="00E05DFB"/>
    <w:rsid w:val="00E05E78"/>
    <w:rsid w:val="00E05FC3"/>
    <w:rsid w:val="00E05FE5"/>
    <w:rsid w:val="00E06101"/>
    <w:rsid w:val="00E062E4"/>
    <w:rsid w:val="00E0637B"/>
    <w:rsid w:val="00E063EE"/>
    <w:rsid w:val="00E06427"/>
    <w:rsid w:val="00E064C1"/>
    <w:rsid w:val="00E064CF"/>
    <w:rsid w:val="00E0655A"/>
    <w:rsid w:val="00E065A5"/>
    <w:rsid w:val="00E066B5"/>
    <w:rsid w:val="00E0684B"/>
    <w:rsid w:val="00E0686F"/>
    <w:rsid w:val="00E0695B"/>
    <w:rsid w:val="00E06999"/>
    <w:rsid w:val="00E06A5B"/>
    <w:rsid w:val="00E06B23"/>
    <w:rsid w:val="00E06B77"/>
    <w:rsid w:val="00E06C35"/>
    <w:rsid w:val="00E06CDB"/>
    <w:rsid w:val="00E06DF2"/>
    <w:rsid w:val="00E06E47"/>
    <w:rsid w:val="00E06FB5"/>
    <w:rsid w:val="00E071D8"/>
    <w:rsid w:val="00E0728D"/>
    <w:rsid w:val="00E07420"/>
    <w:rsid w:val="00E0748C"/>
    <w:rsid w:val="00E07573"/>
    <w:rsid w:val="00E075C7"/>
    <w:rsid w:val="00E075D8"/>
    <w:rsid w:val="00E075E1"/>
    <w:rsid w:val="00E0767B"/>
    <w:rsid w:val="00E077F7"/>
    <w:rsid w:val="00E07975"/>
    <w:rsid w:val="00E079A0"/>
    <w:rsid w:val="00E07A95"/>
    <w:rsid w:val="00E07ADA"/>
    <w:rsid w:val="00E07B2D"/>
    <w:rsid w:val="00E07B5C"/>
    <w:rsid w:val="00E07D5B"/>
    <w:rsid w:val="00E07D75"/>
    <w:rsid w:val="00E07DA5"/>
    <w:rsid w:val="00E07E79"/>
    <w:rsid w:val="00E10014"/>
    <w:rsid w:val="00E1006D"/>
    <w:rsid w:val="00E1010E"/>
    <w:rsid w:val="00E101C0"/>
    <w:rsid w:val="00E1028F"/>
    <w:rsid w:val="00E10314"/>
    <w:rsid w:val="00E10401"/>
    <w:rsid w:val="00E10435"/>
    <w:rsid w:val="00E104E3"/>
    <w:rsid w:val="00E104F0"/>
    <w:rsid w:val="00E10567"/>
    <w:rsid w:val="00E1059E"/>
    <w:rsid w:val="00E105EB"/>
    <w:rsid w:val="00E1062F"/>
    <w:rsid w:val="00E106F9"/>
    <w:rsid w:val="00E10758"/>
    <w:rsid w:val="00E10874"/>
    <w:rsid w:val="00E10B5E"/>
    <w:rsid w:val="00E10BAD"/>
    <w:rsid w:val="00E10C55"/>
    <w:rsid w:val="00E10CF8"/>
    <w:rsid w:val="00E10EAB"/>
    <w:rsid w:val="00E10F0C"/>
    <w:rsid w:val="00E11046"/>
    <w:rsid w:val="00E11108"/>
    <w:rsid w:val="00E11344"/>
    <w:rsid w:val="00E11485"/>
    <w:rsid w:val="00E114EB"/>
    <w:rsid w:val="00E115A0"/>
    <w:rsid w:val="00E115A5"/>
    <w:rsid w:val="00E115CB"/>
    <w:rsid w:val="00E1179E"/>
    <w:rsid w:val="00E119EE"/>
    <w:rsid w:val="00E119F6"/>
    <w:rsid w:val="00E11A91"/>
    <w:rsid w:val="00E11AB4"/>
    <w:rsid w:val="00E11AC8"/>
    <w:rsid w:val="00E11AFD"/>
    <w:rsid w:val="00E11B05"/>
    <w:rsid w:val="00E11B1D"/>
    <w:rsid w:val="00E11B35"/>
    <w:rsid w:val="00E11B7B"/>
    <w:rsid w:val="00E11CA3"/>
    <w:rsid w:val="00E11E0C"/>
    <w:rsid w:val="00E11E85"/>
    <w:rsid w:val="00E11F32"/>
    <w:rsid w:val="00E11F53"/>
    <w:rsid w:val="00E1201E"/>
    <w:rsid w:val="00E1205C"/>
    <w:rsid w:val="00E120DD"/>
    <w:rsid w:val="00E121FB"/>
    <w:rsid w:val="00E1220A"/>
    <w:rsid w:val="00E1220F"/>
    <w:rsid w:val="00E122A6"/>
    <w:rsid w:val="00E1237E"/>
    <w:rsid w:val="00E1238A"/>
    <w:rsid w:val="00E123A2"/>
    <w:rsid w:val="00E123F8"/>
    <w:rsid w:val="00E124A6"/>
    <w:rsid w:val="00E124AB"/>
    <w:rsid w:val="00E1250C"/>
    <w:rsid w:val="00E1251E"/>
    <w:rsid w:val="00E1252F"/>
    <w:rsid w:val="00E12638"/>
    <w:rsid w:val="00E1274F"/>
    <w:rsid w:val="00E1275E"/>
    <w:rsid w:val="00E127AA"/>
    <w:rsid w:val="00E127C0"/>
    <w:rsid w:val="00E12A10"/>
    <w:rsid w:val="00E12AB0"/>
    <w:rsid w:val="00E12AEE"/>
    <w:rsid w:val="00E12D52"/>
    <w:rsid w:val="00E12F11"/>
    <w:rsid w:val="00E12F3A"/>
    <w:rsid w:val="00E13009"/>
    <w:rsid w:val="00E13011"/>
    <w:rsid w:val="00E1303E"/>
    <w:rsid w:val="00E130C6"/>
    <w:rsid w:val="00E1310B"/>
    <w:rsid w:val="00E13115"/>
    <w:rsid w:val="00E13124"/>
    <w:rsid w:val="00E1315F"/>
    <w:rsid w:val="00E131A4"/>
    <w:rsid w:val="00E132E9"/>
    <w:rsid w:val="00E132F0"/>
    <w:rsid w:val="00E133F0"/>
    <w:rsid w:val="00E13536"/>
    <w:rsid w:val="00E135B9"/>
    <w:rsid w:val="00E135BD"/>
    <w:rsid w:val="00E135D4"/>
    <w:rsid w:val="00E135EB"/>
    <w:rsid w:val="00E13630"/>
    <w:rsid w:val="00E136A5"/>
    <w:rsid w:val="00E13776"/>
    <w:rsid w:val="00E137D6"/>
    <w:rsid w:val="00E1381B"/>
    <w:rsid w:val="00E1392D"/>
    <w:rsid w:val="00E13A14"/>
    <w:rsid w:val="00E13B5D"/>
    <w:rsid w:val="00E13B6C"/>
    <w:rsid w:val="00E13D03"/>
    <w:rsid w:val="00E13D11"/>
    <w:rsid w:val="00E13DC1"/>
    <w:rsid w:val="00E13E3C"/>
    <w:rsid w:val="00E13E93"/>
    <w:rsid w:val="00E13EFA"/>
    <w:rsid w:val="00E13F4D"/>
    <w:rsid w:val="00E13FCF"/>
    <w:rsid w:val="00E1403A"/>
    <w:rsid w:val="00E14053"/>
    <w:rsid w:val="00E14070"/>
    <w:rsid w:val="00E14156"/>
    <w:rsid w:val="00E141E3"/>
    <w:rsid w:val="00E14296"/>
    <w:rsid w:val="00E1435C"/>
    <w:rsid w:val="00E14388"/>
    <w:rsid w:val="00E143F4"/>
    <w:rsid w:val="00E14415"/>
    <w:rsid w:val="00E14423"/>
    <w:rsid w:val="00E144AE"/>
    <w:rsid w:val="00E145E5"/>
    <w:rsid w:val="00E146DA"/>
    <w:rsid w:val="00E14748"/>
    <w:rsid w:val="00E147DE"/>
    <w:rsid w:val="00E148DF"/>
    <w:rsid w:val="00E14915"/>
    <w:rsid w:val="00E14923"/>
    <w:rsid w:val="00E1497F"/>
    <w:rsid w:val="00E149B1"/>
    <w:rsid w:val="00E149E6"/>
    <w:rsid w:val="00E14AB1"/>
    <w:rsid w:val="00E14BC1"/>
    <w:rsid w:val="00E14C18"/>
    <w:rsid w:val="00E14D11"/>
    <w:rsid w:val="00E14DA2"/>
    <w:rsid w:val="00E14F12"/>
    <w:rsid w:val="00E14FA8"/>
    <w:rsid w:val="00E14FC4"/>
    <w:rsid w:val="00E14FDE"/>
    <w:rsid w:val="00E1504F"/>
    <w:rsid w:val="00E15111"/>
    <w:rsid w:val="00E15182"/>
    <w:rsid w:val="00E151B4"/>
    <w:rsid w:val="00E15215"/>
    <w:rsid w:val="00E152A8"/>
    <w:rsid w:val="00E15307"/>
    <w:rsid w:val="00E15433"/>
    <w:rsid w:val="00E15489"/>
    <w:rsid w:val="00E155F6"/>
    <w:rsid w:val="00E15601"/>
    <w:rsid w:val="00E1560A"/>
    <w:rsid w:val="00E1569A"/>
    <w:rsid w:val="00E1574B"/>
    <w:rsid w:val="00E15835"/>
    <w:rsid w:val="00E1591D"/>
    <w:rsid w:val="00E15920"/>
    <w:rsid w:val="00E159EB"/>
    <w:rsid w:val="00E15A46"/>
    <w:rsid w:val="00E15A5A"/>
    <w:rsid w:val="00E15A83"/>
    <w:rsid w:val="00E15AE8"/>
    <w:rsid w:val="00E15C6D"/>
    <w:rsid w:val="00E15D4A"/>
    <w:rsid w:val="00E15E56"/>
    <w:rsid w:val="00E15E9F"/>
    <w:rsid w:val="00E15FBA"/>
    <w:rsid w:val="00E15FD0"/>
    <w:rsid w:val="00E16080"/>
    <w:rsid w:val="00E16090"/>
    <w:rsid w:val="00E1614C"/>
    <w:rsid w:val="00E161E7"/>
    <w:rsid w:val="00E16269"/>
    <w:rsid w:val="00E16272"/>
    <w:rsid w:val="00E16286"/>
    <w:rsid w:val="00E1630C"/>
    <w:rsid w:val="00E1631B"/>
    <w:rsid w:val="00E1643C"/>
    <w:rsid w:val="00E16477"/>
    <w:rsid w:val="00E16490"/>
    <w:rsid w:val="00E166BD"/>
    <w:rsid w:val="00E16798"/>
    <w:rsid w:val="00E168F7"/>
    <w:rsid w:val="00E16990"/>
    <w:rsid w:val="00E16ABF"/>
    <w:rsid w:val="00E16ADE"/>
    <w:rsid w:val="00E16ADF"/>
    <w:rsid w:val="00E16C00"/>
    <w:rsid w:val="00E16C03"/>
    <w:rsid w:val="00E16C2D"/>
    <w:rsid w:val="00E16C7C"/>
    <w:rsid w:val="00E16E2A"/>
    <w:rsid w:val="00E16E34"/>
    <w:rsid w:val="00E16FBE"/>
    <w:rsid w:val="00E1713F"/>
    <w:rsid w:val="00E171CE"/>
    <w:rsid w:val="00E172F0"/>
    <w:rsid w:val="00E17303"/>
    <w:rsid w:val="00E17341"/>
    <w:rsid w:val="00E17419"/>
    <w:rsid w:val="00E17453"/>
    <w:rsid w:val="00E17464"/>
    <w:rsid w:val="00E17561"/>
    <w:rsid w:val="00E175B7"/>
    <w:rsid w:val="00E17605"/>
    <w:rsid w:val="00E1767D"/>
    <w:rsid w:val="00E1775A"/>
    <w:rsid w:val="00E177F5"/>
    <w:rsid w:val="00E17A4D"/>
    <w:rsid w:val="00E17A9D"/>
    <w:rsid w:val="00E17AD0"/>
    <w:rsid w:val="00E17B30"/>
    <w:rsid w:val="00E17BD1"/>
    <w:rsid w:val="00E17C3D"/>
    <w:rsid w:val="00E17D10"/>
    <w:rsid w:val="00E17E42"/>
    <w:rsid w:val="00E17EDD"/>
    <w:rsid w:val="00E17EE3"/>
    <w:rsid w:val="00E17EE5"/>
    <w:rsid w:val="00E17F12"/>
    <w:rsid w:val="00E20066"/>
    <w:rsid w:val="00E200C1"/>
    <w:rsid w:val="00E20130"/>
    <w:rsid w:val="00E2013B"/>
    <w:rsid w:val="00E20188"/>
    <w:rsid w:val="00E201A9"/>
    <w:rsid w:val="00E20257"/>
    <w:rsid w:val="00E203A8"/>
    <w:rsid w:val="00E20434"/>
    <w:rsid w:val="00E204A0"/>
    <w:rsid w:val="00E205A8"/>
    <w:rsid w:val="00E205DE"/>
    <w:rsid w:val="00E205E5"/>
    <w:rsid w:val="00E205EC"/>
    <w:rsid w:val="00E20726"/>
    <w:rsid w:val="00E207EC"/>
    <w:rsid w:val="00E20923"/>
    <w:rsid w:val="00E2093C"/>
    <w:rsid w:val="00E20A21"/>
    <w:rsid w:val="00E20B36"/>
    <w:rsid w:val="00E20C13"/>
    <w:rsid w:val="00E20C1A"/>
    <w:rsid w:val="00E20C84"/>
    <w:rsid w:val="00E20DC9"/>
    <w:rsid w:val="00E20E03"/>
    <w:rsid w:val="00E20FB1"/>
    <w:rsid w:val="00E21045"/>
    <w:rsid w:val="00E2109B"/>
    <w:rsid w:val="00E2111C"/>
    <w:rsid w:val="00E21223"/>
    <w:rsid w:val="00E21466"/>
    <w:rsid w:val="00E214B0"/>
    <w:rsid w:val="00E214E2"/>
    <w:rsid w:val="00E21565"/>
    <w:rsid w:val="00E216CE"/>
    <w:rsid w:val="00E2193C"/>
    <w:rsid w:val="00E21983"/>
    <w:rsid w:val="00E21A74"/>
    <w:rsid w:val="00E21A7D"/>
    <w:rsid w:val="00E21BFD"/>
    <w:rsid w:val="00E21C07"/>
    <w:rsid w:val="00E21C3D"/>
    <w:rsid w:val="00E21E54"/>
    <w:rsid w:val="00E21E61"/>
    <w:rsid w:val="00E21F46"/>
    <w:rsid w:val="00E21FFD"/>
    <w:rsid w:val="00E220FB"/>
    <w:rsid w:val="00E221AA"/>
    <w:rsid w:val="00E221AE"/>
    <w:rsid w:val="00E2224D"/>
    <w:rsid w:val="00E22305"/>
    <w:rsid w:val="00E22537"/>
    <w:rsid w:val="00E22628"/>
    <w:rsid w:val="00E22673"/>
    <w:rsid w:val="00E22744"/>
    <w:rsid w:val="00E2278E"/>
    <w:rsid w:val="00E228BF"/>
    <w:rsid w:val="00E228C1"/>
    <w:rsid w:val="00E22937"/>
    <w:rsid w:val="00E22A57"/>
    <w:rsid w:val="00E22A69"/>
    <w:rsid w:val="00E22A84"/>
    <w:rsid w:val="00E22A94"/>
    <w:rsid w:val="00E22B7C"/>
    <w:rsid w:val="00E22C0D"/>
    <w:rsid w:val="00E22C7C"/>
    <w:rsid w:val="00E22C8D"/>
    <w:rsid w:val="00E22DAE"/>
    <w:rsid w:val="00E22E08"/>
    <w:rsid w:val="00E23025"/>
    <w:rsid w:val="00E2305F"/>
    <w:rsid w:val="00E2308B"/>
    <w:rsid w:val="00E23093"/>
    <w:rsid w:val="00E23203"/>
    <w:rsid w:val="00E23276"/>
    <w:rsid w:val="00E23291"/>
    <w:rsid w:val="00E23305"/>
    <w:rsid w:val="00E2330D"/>
    <w:rsid w:val="00E2337F"/>
    <w:rsid w:val="00E23392"/>
    <w:rsid w:val="00E2340E"/>
    <w:rsid w:val="00E234DF"/>
    <w:rsid w:val="00E23530"/>
    <w:rsid w:val="00E2359A"/>
    <w:rsid w:val="00E235DA"/>
    <w:rsid w:val="00E236AF"/>
    <w:rsid w:val="00E2370C"/>
    <w:rsid w:val="00E2377A"/>
    <w:rsid w:val="00E238E6"/>
    <w:rsid w:val="00E23983"/>
    <w:rsid w:val="00E23A04"/>
    <w:rsid w:val="00E23AA8"/>
    <w:rsid w:val="00E23B7A"/>
    <w:rsid w:val="00E23B9E"/>
    <w:rsid w:val="00E23BBE"/>
    <w:rsid w:val="00E23BEF"/>
    <w:rsid w:val="00E23C1A"/>
    <w:rsid w:val="00E23CEE"/>
    <w:rsid w:val="00E23D06"/>
    <w:rsid w:val="00E23D5F"/>
    <w:rsid w:val="00E23E0A"/>
    <w:rsid w:val="00E23E5D"/>
    <w:rsid w:val="00E23F20"/>
    <w:rsid w:val="00E23F4F"/>
    <w:rsid w:val="00E24030"/>
    <w:rsid w:val="00E24049"/>
    <w:rsid w:val="00E24104"/>
    <w:rsid w:val="00E24141"/>
    <w:rsid w:val="00E24153"/>
    <w:rsid w:val="00E24173"/>
    <w:rsid w:val="00E24455"/>
    <w:rsid w:val="00E244F0"/>
    <w:rsid w:val="00E24537"/>
    <w:rsid w:val="00E245D5"/>
    <w:rsid w:val="00E2461B"/>
    <w:rsid w:val="00E246EB"/>
    <w:rsid w:val="00E24767"/>
    <w:rsid w:val="00E247A1"/>
    <w:rsid w:val="00E2491B"/>
    <w:rsid w:val="00E24982"/>
    <w:rsid w:val="00E24BCB"/>
    <w:rsid w:val="00E24DC3"/>
    <w:rsid w:val="00E24DDD"/>
    <w:rsid w:val="00E24E10"/>
    <w:rsid w:val="00E25047"/>
    <w:rsid w:val="00E25050"/>
    <w:rsid w:val="00E25105"/>
    <w:rsid w:val="00E25133"/>
    <w:rsid w:val="00E25191"/>
    <w:rsid w:val="00E25220"/>
    <w:rsid w:val="00E25231"/>
    <w:rsid w:val="00E252F7"/>
    <w:rsid w:val="00E25380"/>
    <w:rsid w:val="00E253CC"/>
    <w:rsid w:val="00E2546D"/>
    <w:rsid w:val="00E2549D"/>
    <w:rsid w:val="00E254DE"/>
    <w:rsid w:val="00E25522"/>
    <w:rsid w:val="00E255B9"/>
    <w:rsid w:val="00E255CD"/>
    <w:rsid w:val="00E2565E"/>
    <w:rsid w:val="00E25692"/>
    <w:rsid w:val="00E256B4"/>
    <w:rsid w:val="00E256FE"/>
    <w:rsid w:val="00E2576B"/>
    <w:rsid w:val="00E25849"/>
    <w:rsid w:val="00E259A1"/>
    <w:rsid w:val="00E259ED"/>
    <w:rsid w:val="00E25ABD"/>
    <w:rsid w:val="00E25BAF"/>
    <w:rsid w:val="00E25C13"/>
    <w:rsid w:val="00E25C53"/>
    <w:rsid w:val="00E25CF4"/>
    <w:rsid w:val="00E25CFD"/>
    <w:rsid w:val="00E25D5D"/>
    <w:rsid w:val="00E25E10"/>
    <w:rsid w:val="00E25E63"/>
    <w:rsid w:val="00E25E7A"/>
    <w:rsid w:val="00E25EB3"/>
    <w:rsid w:val="00E25F97"/>
    <w:rsid w:val="00E2602C"/>
    <w:rsid w:val="00E260E7"/>
    <w:rsid w:val="00E261EA"/>
    <w:rsid w:val="00E262B5"/>
    <w:rsid w:val="00E262C9"/>
    <w:rsid w:val="00E262E7"/>
    <w:rsid w:val="00E26309"/>
    <w:rsid w:val="00E26356"/>
    <w:rsid w:val="00E26530"/>
    <w:rsid w:val="00E2653D"/>
    <w:rsid w:val="00E26648"/>
    <w:rsid w:val="00E2664B"/>
    <w:rsid w:val="00E26704"/>
    <w:rsid w:val="00E267A4"/>
    <w:rsid w:val="00E267D8"/>
    <w:rsid w:val="00E26863"/>
    <w:rsid w:val="00E26868"/>
    <w:rsid w:val="00E2691B"/>
    <w:rsid w:val="00E26928"/>
    <w:rsid w:val="00E2696C"/>
    <w:rsid w:val="00E26973"/>
    <w:rsid w:val="00E269B9"/>
    <w:rsid w:val="00E26A28"/>
    <w:rsid w:val="00E26AAA"/>
    <w:rsid w:val="00E26AF8"/>
    <w:rsid w:val="00E26B07"/>
    <w:rsid w:val="00E26B5A"/>
    <w:rsid w:val="00E26B7C"/>
    <w:rsid w:val="00E26C2B"/>
    <w:rsid w:val="00E26C37"/>
    <w:rsid w:val="00E26CA5"/>
    <w:rsid w:val="00E26CD4"/>
    <w:rsid w:val="00E26DC3"/>
    <w:rsid w:val="00E26E28"/>
    <w:rsid w:val="00E26F4B"/>
    <w:rsid w:val="00E26F9E"/>
    <w:rsid w:val="00E271C1"/>
    <w:rsid w:val="00E272A9"/>
    <w:rsid w:val="00E27303"/>
    <w:rsid w:val="00E27323"/>
    <w:rsid w:val="00E27405"/>
    <w:rsid w:val="00E274C9"/>
    <w:rsid w:val="00E27521"/>
    <w:rsid w:val="00E27552"/>
    <w:rsid w:val="00E27654"/>
    <w:rsid w:val="00E27684"/>
    <w:rsid w:val="00E2773D"/>
    <w:rsid w:val="00E277D1"/>
    <w:rsid w:val="00E27819"/>
    <w:rsid w:val="00E27867"/>
    <w:rsid w:val="00E2786A"/>
    <w:rsid w:val="00E2787E"/>
    <w:rsid w:val="00E278DD"/>
    <w:rsid w:val="00E27915"/>
    <w:rsid w:val="00E279A8"/>
    <w:rsid w:val="00E27A2C"/>
    <w:rsid w:val="00E27A7C"/>
    <w:rsid w:val="00E27AB4"/>
    <w:rsid w:val="00E27AD3"/>
    <w:rsid w:val="00E27B58"/>
    <w:rsid w:val="00E27B8E"/>
    <w:rsid w:val="00E27DCA"/>
    <w:rsid w:val="00E27E35"/>
    <w:rsid w:val="00E27E45"/>
    <w:rsid w:val="00E27EA4"/>
    <w:rsid w:val="00E27ED9"/>
    <w:rsid w:val="00E27F6B"/>
    <w:rsid w:val="00E27FED"/>
    <w:rsid w:val="00E30014"/>
    <w:rsid w:val="00E3007F"/>
    <w:rsid w:val="00E3008B"/>
    <w:rsid w:val="00E300B6"/>
    <w:rsid w:val="00E300E7"/>
    <w:rsid w:val="00E301C5"/>
    <w:rsid w:val="00E301E4"/>
    <w:rsid w:val="00E301F1"/>
    <w:rsid w:val="00E30280"/>
    <w:rsid w:val="00E302AE"/>
    <w:rsid w:val="00E302D8"/>
    <w:rsid w:val="00E3035E"/>
    <w:rsid w:val="00E30406"/>
    <w:rsid w:val="00E3050C"/>
    <w:rsid w:val="00E3056E"/>
    <w:rsid w:val="00E30741"/>
    <w:rsid w:val="00E308F7"/>
    <w:rsid w:val="00E30938"/>
    <w:rsid w:val="00E30A59"/>
    <w:rsid w:val="00E30A69"/>
    <w:rsid w:val="00E30A78"/>
    <w:rsid w:val="00E30A7B"/>
    <w:rsid w:val="00E30AD1"/>
    <w:rsid w:val="00E30B55"/>
    <w:rsid w:val="00E30B63"/>
    <w:rsid w:val="00E30B76"/>
    <w:rsid w:val="00E30B7B"/>
    <w:rsid w:val="00E30C13"/>
    <w:rsid w:val="00E30DE7"/>
    <w:rsid w:val="00E30DF6"/>
    <w:rsid w:val="00E30E36"/>
    <w:rsid w:val="00E30F71"/>
    <w:rsid w:val="00E30FA3"/>
    <w:rsid w:val="00E31049"/>
    <w:rsid w:val="00E3105C"/>
    <w:rsid w:val="00E3130B"/>
    <w:rsid w:val="00E313BB"/>
    <w:rsid w:val="00E313D6"/>
    <w:rsid w:val="00E315EB"/>
    <w:rsid w:val="00E316B6"/>
    <w:rsid w:val="00E3175D"/>
    <w:rsid w:val="00E31777"/>
    <w:rsid w:val="00E3184D"/>
    <w:rsid w:val="00E318A5"/>
    <w:rsid w:val="00E31940"/>
    <w:rsid w:val="00E31A01"/>
    <w:rsid w:val="00E31A56"/>
    <w:rsid w:val="00E31B45"/>
    <w:rsid w:val="00E31C71"/>
    <w:rsid w:val="00E31DD6"/>
    <w:rsid w:val="00E31DDE"/>
    <w:rsid w:val="00E31EFB"/>
    <w:rsid w:val="00E31F16"/>
    <w:rsid w:val="00E320EB"/>
    <w:rsid w:val="00E321B9"/>
    <w:rsid w:val="00E32257"/>
    <w:rsid w:val="00E32298"/>
    <w:rsid w:val="00E32382"/>
    <w:rsid w:val="00E323EC"/>
    <w:rsid w:val="00E32786"/>
    <w:rsid w:val="00E32816"/>
    <w:rsid w:val="00E32A16"/>
    <w:rsid w:val="00E32C88"/>
    <w:rsid w:val="00E32E5B"/>
    <w:rsid w:val="00E32E94"/>
    <w:rsid w:val="00E32F5C"/>
    <w:rsid w:val="00E32F7D"/>
    <w:rsid w:val="00E33094"/>
    <w:rsid w:val="00E330E7"/>
    <w:rsid w:val="00E33133"/>
    <w:rsid w:val="00E33258"/>
    <w:rsid w:val="00E33283"/>
    <w:rsid w:val="00E3328F"/>
    <w:rsid w:val="00E332A2"/>
    <w:rsid w:val="00E333B5"/>
    <w:rsid w:val="00E333D1"/>
    <w:rsid w:val="00E33464"/>
    <w:rsid w:val="00E33571"/>
    <w:rsid w:val="00E33599"/>
    <w:rsid w:val="00E335FE"/>
    <w:rsid w:val="00E33751"/>
    <w:rsid w:val="00E337A0"/>
    <w:rsid w:val="00E338E8"/>
    <w:rsid w:val="00E33935"/>
    <w:rsid w:val="00E33973"/>
    <w:rsid w:val="00E339E2"/>
    <w:rsid w:val="00E339FD"/>
    <w:rsid w:val="00E33A31"/>
    <w:rsid w:val="00E33AB7"/>
    <w:rsid w:val="00E33B34"/>
    <w:rsid w:val="00E33B4F"/>
    <w:rsid w:val="00E33B51"/>
    <w:rsid w:val="00E33C09"/>
    <w:rsid w:val="00E33C61"/>
    <w:rsid w:val="00E33CBB"/>
    <w:rsid w:val="00E33CCA"/>
    <w:rsid w:val="00E33DB5"/>
    <w:rsid w:val="00E33E01"/>
    <w:rsid w:val="00E33E4D"/>
    <w:rsid w:val="00E3404F"/>
    <w:rsid w:val="00E34051"/>
    <w:rsid w:val="00E34099"/>
    <w:rsid w:val="00E34102"/>
    <w:rsid w:val="00E3413D"/>
    <w:rsid w:val="00E34143"/>
    <w:rsid w:val="00E3418B"/>
    <w:rsid w:val="00E343E0"/>
    <w:rsid w:val="00E34497"/>
    <w:rsid w:val="00E344A4"/>
    <w:rsid w:val="00E344F2"/>
    <w:rsid w:val="00E3463E"/>
    <w:rsid w:val="00E346AD"/>
    <w:rsid w:val="00E346D6"/>
    <w:rsid w:val="00E34715"/>
    <w:rsid w:val="00E3471F"/>
    <w:rsid w:val="00E34747"/>
    <w:rsid w:val="00E34749"/>
    <w:rsid w:val="00E3474D"/>
    <w:rsid w:val="00E347B5"/>
    <w:rsid w:val="00E3481C"/>
    <w:rsid w:val="00E34A3B"/>
    <w:rsid w:val="00E34B23"/>
    <w:rsid w:val="00E34C40"/>
    <w:rsid w:val="00E34D57"/>
    <w:rsid w:val="00E34D80"/>
    <w:rsid w:val="00E34DFF"/>
    <w:rsid w:val="00E34E49"/>
    <w:rsid w:val="00E34FB7"/>
    <w:rsid w:val="00E35174"/>
    <w:rsid w:val="00E35252"/>
    <w:rsid w:val="00E35279"/>
    <w:rsid w:val="00E3527E"/>
    <w:rsid w:val="00E352C2"/>
    <w:rsid w:val="00E352CE"/>
    <w:rsid w:val="00E353B2"/>
    <w:rsid w:val="00E353B5"/>
    <w:rsid w:val="00E353F7"/>
    <w:rsid w:val="00E3553C"/>
    <w:rsid w:val="00E355DD"/>
    <w:rsid w:val="00E355DE"/>
    <w:rsid w:val="00E35758"/>
    <w:rsid w:val="00E357F8"/>
    <w:rsid w:val="00E3589E"/>
    <w:rsid w:val="00E35A8A"/>
    <w:rsid w:val="00E35AC0"/>
    <w:rsid w:val="00E35B53"/>
    <w:rsid w:val="00E35B58"/>
    <w:rsid w:val="00E35BFB"/>
    <w:rsid w:val="00E35C09"/>
    <w:rsid w:val="00E35C8F"/>
    <w:rsid w:val="00E35CC8"/>
    <w:rsid w:val="00E35D0F"/>
    <w:rsid w:val="00E35DAD"/>
    <w:rsid w:val="00E35EC1"/>
    <w:rsid w:val="00E35F45"/>
    <w:rsid w:val="00E35F60"/>
    <w:rsid w:val="00E35FF8"/>
    <w:rsid w:val="00E36247"/>
    <w:rsid w:val="00E362A7"/>
    <w:rsid w:val="00E362B6"/>
    <w:rsid w:val="00E362DA"/>
    <w:rsid w:val="00E362E0"/>
    <w:rsid w:val="00E36388"/>
    <w:rsid w:val="00E36400"/>
    <w:rsid w:val="00E36551"/>
    <w:rsid w:val="00E366A8"/>
    <w:rsid w:val="00E36752"/>
    <w:rsid w:val="00E367C8"/>
    <w:rsid w:val="00E36930"/>
    <w:rsid w:val="00E369C4"/>
    <w:rsid w:val="00E36A21"/>
    <w:rsid w:val="00E36AD4"/>
    <w:rsid w:val="00E36B44"/>
    <w:rsid w:val="00E36D25"/>
    <w:rsid w:val="00E36E20"/>
    <w:rsid w:val="00E36FDF"/>
    <w:rsid w:val="00E370CA"/>
    <w:rsid w:val="00E370DD"/>
    <w:rsid w:val="00E37186"/>
    <w:rsid w:val="00E371F4"/>
    <w:rsid w:val="00E3743C"/>
    <w:rsid w:val="00E3744E"/>
    <w:rsid w:val="00E37477"/>
    <w:rsid w:val="00E374B3"/>
    <w:rsid w:val="00E37547"/>
    <w:rsid w:val="00E376E3"/>
    <w:rsid w:val="00E378B9"/>
    <w:rsid w:val="00E378CA"/>
    <w:rsid w:val="00E37A3F"/>
    <w:rsid w:val="00E37B38"/>
    <w:rsid w:val="00E37BAD"/>
    <w:rsid w:val="00E37D21"/>
    <w:rsid w:val="00E37EBB"/>
    <w:rsid w:val="00E4000B"/>
    <w:rsid w:val="00E40040"/>
    <w:rsid w:val="00E4005E"/>
    <w:rsid w:val="00E40083"/>
    <w:rsid w:val="00E40089"/>
    <w:rsid w:val="00E40109"/>
    <w:rsid w:val="00E40182"/>
    <w:rsid w:val="00E40249"/>
    <w:rsid w:val="00E402FB"/>
    <w:rsid w:val="00E403FF"/>
    <w:rsid w:val="00E40423"/>
    <w:rsid w:val="00E404FF"/>
    <w:rsid w:val="00E406E0"/>
    <w:rsid w:val="00E40731"/>
    <w:rsid w:val="00E4081A"/>
    <w:rsid w:val="00E40849"/>
    <w:rsid w:val="00E408C1"/>
    <w:rsid w:val="00E408F3"/>
    <w:rsid w:val="00E409BB"/>
    <w:rsid w:val="00E40A45"/>
    <w:rsid w:val="00E40B84"/>
    <w:rsid w:val="00E40B85"/>
    <w:rsid w:val="00E40CA1"/>
    <w:rsid w:val="00E40D2B"/>
    <w:rsid w:val="00E40EAF"/>
    <w:rsid w:val="00E40EF8"/>
    <w:rsid w:val="00E40F19"/>
    <w:rsid w:val="00E40F33"/>
    <w:rsid w:val="00E40FD4"/>
    <w:rsid w:val="00E41139"/>
    <w:rsid w:val="00E412A1"/>
    <w:rsid w:val="00E413A6"/>
    <w:rsid w:val="00E413B2"/>
    <w:rsid w:val="00E413DD"/>
    <w:rsid w:val="00E4141D"/>
    <w:rsid w:val="00E415BA"/>
    <w:rsid w:val="00E415E6"/>
    <w:rsid w:val="00E41792"/>
    <w:rsid w:val="00E417C0"/>
    <w:rsid w:val="00E4185E"/>
    <w:rsid w:val="00E41888"/>
    <w:rsid w:val="00E41923"/>
    <w:rsid w:val="00E41A04"/>
    <w:rsid w:val="00E41A43"/>
    <w:rsid w:val="00E41A4D"/>
    <w:rsid w:val="00E41A72"/>
    <w:rsid w:val="00E41A86"/>
    <w:rsid w:val="00E41AA5"/>
    <w:rsid w:val="00E41B34"/>
    <w:rsid w:val="00E41CFB"/>
    <w:rsid w:val="00E41E76"/>
    <w:rsid w:val="00E42048"/>
    <w:rsid w:val="00E42063"/>
    <w:rsid w:val="00E420C8"/>
    <w:rsid w:val="00E421E0"/>
    <w:rsid w:val="00E42271"/>
    <w:rsid w:val="00E422BC"/>
    <w:rsid w:val="00E4231B"/>
    <w:rsid w:val="00E4236D"/>
    <w:rsid w:val="00E423A4"/>
    <w:rsid w:val="00E4246E"/>
    <w:rsid w:val="00E42474"/>
    <w:rsid w:val="00E424BD"/>
    <w:rsid w:val="00E425A0"/>
    <w:rsid w:val="00E425BA"/>
    <w:rsid w:val="00E425D8"/>
    <w:rsid w:val="00E42613"/>
    <w:rsid w:val="00E42656"/>
    <w:rsid w:val="00E426CD"/>
    <w:rsid w:val="00E42724"/>
    <w:rsid w:val="00E42774"/>
    <w:rsid w:val="00E4278E"/>
    <w:rsid w:val="00E42825"/>
    <w:rsid w:val="00E42875"/>
    <w:rsid w:val="00E42935"/>
    <w:rsid w:val="00E42975"/>
    <w:rsid w:val="00E42976"/>
    <w:rsid w:val="00E42BBB"/>
    <w:rsid w:val="00E42D71"/>
    <w:rsid w:val="00E42D78"/>
    <w:rsid w:val="00E42DAC"/>
    <w:rsid w:val="00E42DAD"/>
    <w:rsid w:val="00E42E33"/>
    <w:rsid w:val="00E42E38"/>
    <w:rsid w:val="00E42E52"/>
    <w:rsid w:val="00E42E94"/>
    <w:rsid w:val="00E42EBF"/>
    <w:rsid w:val="00E42F15"/>
    <w:rsid w:val="00E42FC8"/>
    <w:rsid w:val="00E43029"/>
    <w:rsid w:val="00E431DF"/>
    <w:rsid w:val="00E43212"/>
    <w:rsid w:val="00E43263"/>
    <w:rsid w:val="00E432B0"/>
    <w:rsid w:val="00E43324"/>
    <w:rsid w:val="00E4342F"/>
    <w:rsid w:val="00E43531"/>
    <w:rsid w:val="00E4356A"/>
    <w:rsid w:val="00E43618"/>
    <w:rsid w:val="00E43668"/>
    <w:rsid w:val="00E43844"/>
    <w:rsid w:val="00E43857"/>
    <w:rsid w:val="00E43A6D"/>
    <w:rsid w:val="00E43B39"/>
    <w:rsid w:val="00E43BE3"/>
    <w:rsid w:val="00E43CDE"/>
    <w:rsid w:val="00E43D8A"/>
    <w:rsid w:val="00E43DFF"/>
    <w:rsid w:val="00E4405D"/>
    <w:rsid w:val="00E44210"/>
    <w:rsid w:val="00E44283"/>
    <w:rsid w:val="00E443EA"/>
    <w:rsid w:val="00E44466"/>
    <w:rsid w:val="00E44490"/>
    <w:rsid w:val="00E444F3"/>
    <w:rsid w:val="00E44558"/>
    <w:rsid w:val="00E447EA"/>
    <w:rsid w:val="00E44903"/>
    <w:rsid w:val="00E4491B"/>
    <w:rsid w:val="00E4492A"/>
    <w:rsid w:val="00E449A9"/>
    <w:rsid w:val="00E449C5"/>
    <w:rsid w:val="00E44AAF"/>
    <w:rsid w:val="00E44C3D"/>
    <w:rsid w:val="00E44D50"/>
    <w:rsid w:val="00E44E07"/>
    <w:rsid w:val="00E44E52"/>
    <w:rsid w:val="00E44F05"/>
    <w:rsid w:val="00E45009"/>
    <w:rsid w:val="00E451BC"/>
    <w:rsid w:val="00E451C6"/>
    <w:rsid w:val="00E451CC"/>
    <w:rsid w:val="00E45205"/>
    <w:rsid w:val="00E453B6"/>
    <w:rsid w:val="00E453BF"/>
    <w:rsid w:val="00E453EE"/>
    <w:rsid w:val="00E4549D"/>
    <w:rsid w:val="00E454F2"/>
    <w:rsid w:val="00E45505"/>
    <w:rsid w:val="00E45585"/>
    <w:rsid w:val="00E4568C"/>
    <w:rsid w:val="00E45752"/>
    <w:rsid w:val="00E457E7"/>
    <w:rsid w:val="00E459EB"/>
    <w:rsid w:val="00E45C1D"/>
    <w:rsid w:val="00E45C8F"/>
    <w:rsid w:val="00E45E0A"/>
    <w:rsid w:val="00E45F07"/>
    <w:rsid w:val="00E460C3"/>
    <w:rsid w:val="00E461E9"/>
    <w:rsid w:val="00E461F9"/>
    <w:rsid w:val="00E46229"/>
    <w:rsid w:val="00E46265"/>
    <w:rsid w:val="00E46302"/>
    <w:rsid w:val="00E4645B"/>
    <w:rsid w:val="00E46498"/>
    <w:rsid w:val="00E4652D"/>
    <w:rsid w:val="00E46567"/>
    <w:rsid w:val="00E465D0"/>
    <w:rsid w:val="00E4661F"/>
    <w:rsid w:val="00E46638"/>
    <w:rsid w:val="00E4668C"/>
    <w:rsid w:val="00E4670B"/>
    <w:rsid w:val="00E46723"/>
    <w:rsid w:val="00E46783"/>
    <w:rsid w:val="00E4681B"/>
    <w:rsid w:val="00E4681E"/>
    <w:rsid w:val="00E46830"/>
    <w:rsid w:val="00E46945"/>
    <w:rsid w:val="00E469C6"/>
    <w:rsid w:val="00E46C0F"/>
    <w:rsid w:val="00E46C46"/>
    <w:rsid w:val="00E46C68"/>
    <w:rsid w:val="00E46C89"/>
    <w:rsid w:val="00E46CAF"/>
    <w:rsid w:val="00E46DC5"/>
    <w:rsid w:val="00E46E2A"/>
    <w:rsid w:val="00E46E6E"/>
    <w:rsid w:val="00E46F8A"/>
    <w:rsid w:val="00E46FAE"/>
    <w:rsid w:val="00E46FC0"/>
    <w:rsid w:val="00E470C8"/>
    <w:rsid w:val="00E47136"/>
    <w:rsid w:val="00E472E1"/>
    <w:rsid w:val="00E4734D"/>
    <w:rsid w:val="00E473BD"/>
    <w:rsid w:val="00E473E2"/>
    <w:rsid w:val="00E474F0"/>
    <w:rsid w:val="00E47506"/>
    <w:rsid w:val="00E475FF"/>
    <w:rsid w:val="00E476B3"/>
    <w:rsid w:val="00E476D4"/>
    <w:rsid w:val="00E476E1"/>
    <w:rsid w:val="00E47703"/>
    <w:rsid w:val="00E47753"/>
    <w:rsid w:val="00E47755"/>
    <w:rsid w:val="00E477DF"/>
    <w:rsid w:val="00E47936"/>
    <w:rsid w:val="00E4795A"/>
    <w:rsid w:val="00E47963"/>
    <w:rsid w:val="00E47968"/>
    <w:rsid w:val="00E479B9"/>
    <w:rsid w:val="00E47A6E"/>
    <w:rsid w:val="00E47AAA"/>
    <w:rsid w:val="00E47B2D"/>
    <w:rsid w:val="00E47B6D"/>
    <w:rsid w:val="00E47C27"/>
    <w:rsid w:val="00E47C93"/>
    <w:rsid w:val="00E47F2E"/>
    <w:rsid w:val="00E47F43"/>
    <w:rsid w:val="00E5007C"/>
    <w:rsid w:val="00E50089"/>
    <w:rsid w:val="00E500CE"/>
    <w:rsid w:val="00E50123"/>
    <w:rsid w:val="00E50148"/>
    <w:rsid w:val="00E501A1"/>
    <w:rsid w:val="00E5025F"/>
    <w:rsid w:val="00E502A7"/>
    <w:rsid w:val="00E5040E"/>
    <w:rsid w:val="00E50478"/>
    <w:rsid w:val="00E5050A"/>
    <w:rsid w:val="00E5051A"/>
    <w:rsid w:val="00E50521"/>
    <w:rsid w:val="00E505BB"/>
    <w:rsid w:val="00E506D9"/>
    <w:rsid w:val="00E507B1"/>
    <w:rsid w:val="00E50883"/>
    <w:rsid w:val="00E5094A"/>
    <w:rsid w:val="00E50959"/>
    <w:rsid w:val="00E50992"/>
    <w:rsid w:val="00E509A7"/>
    <w:rsid w:val="00E50A6A"/>
    <w:rsid w:val="00E50AE2"/>
    <w:rsid w:val="00E50C7E"/>
    <w:rsid w:val="00E50C8A"/>
    <w:rsid w:val="00E50D89"/>
    <w:rsid w:val="00E50F60"/>
    <w:rsid w:val="00E5100B"/>
    <w:rsid w:val="00E51044"/>
    <w:rsid w:val="00E5105E"/>
    <w:rsid w:val="00E5106B"/>
    <w:rsid w:val="00E510CA"/>
    <w:rsid w:val="00E51133"/>
    <w:rsid w:val="00E511B9"/>
    <w:rsid w:val="00E512F9"/>
    <w:rsid w:val="00E5132B"/>
    <w:rsid w:val="00E51386"/>
    <w:rsid w:val="00E51412"/>
    <w:rsid w:val="00E514AC"/>
    <w:rsid w:val="00E5150C"/>
    <w:rsid w:val="00E515F5"/>
    <w:rsid w:val="00E51643"/>
    <w:rsid w:val="00E5170C"/>
    <w:rsid w:val="00E51738"/>
    <w:rsid w:val="00E51757"/>
    <w:rsid w:val="00E51796"/>
    <w:rsid w:val="00E517D1"/>
    <w:rsid w:val="00E5186D"/>
    <w:rsid w:val="00E51940"/>
    <w:rsid w:val="00E51996"/>
    <w:rsid w:val="00E51C35"/>
    <w:rsid w:val="00E51CCA"/>
    <w:rsid w:val="00E51D30"/>
    <w:rsid w:val="00E51DED"/>
    <w:rsid w:val="00E51E34"/>
    <w:rsid w:val="00E51E43"/>
    <w:rsid w:val="00E51E49"/>
    <w:rsid w:val="00E51F09"/>
    <w:rsid w:val="00E5201B"/>
    <w:rsid w:val="00E520B4"/>
    <w:rsid w:val="00E5213C"/>
    <w:rsid w:val="00E52184"/>
    <w:rsid w:val="00E52193"/>
    <w:rsid w:val="00E521CD"/>
    <w:rsid w:val="00E522B6"/>
    <w:rsid w:val="00E52327"/>
    <w:rsid w:val="00E52353"/>
    <w:rsid w:val="00E523B1"/>
    <w:rsid w:val="00E523CB"/>
    <w:rsid w:val="00E524EC"/>
    <w:rsid w:val="00E52558"/>
    <w:rsid w:val="00E52563"/>
    <w:rsid w:val="00E52580"/>
    <w:rsid w:val="00E525F0"/>
    <w:rsid w:val="00E52678"/>
    <w:rsid w:val="00E5288C"/>
    <w:rsid w:val="00E528FD"/>
    <w:rsid w:val="00E52A1E"/>
    <w:rsid w:val="00E52B14"/>
    <w:rsid w:val="00E52B32"/>
    <w:rsid w:val="00E52B9E"/>
    <w:rsid w:val="00E52C8E"/>
    <w:rsid w:val="00E52D72"/>
    <w:rsid w:val="00E52F12"/>
    <w:rsid w:val="00E52F18"/>
    <w:rsid w:val="00E52F52"/>
    <w:rsid w:val="00E530EA"/>
    <w:rsid w:val="00E53106"/>
    <w:rsid w:val="00E531CD"/>
    <w:rsid w:val="00E531D0"/>
    <w:rsid w:val="00E532BA"/>
    <w:rsid w:val="00E5331A"/>
    <w:rsid w:val="00E533D3"/>
    <w:rsid w:val="00E533F3"/>
    <w:rsid w:val="00E53404"/>
    <w:rsid w:val="00E5341C"/>
    <w:rsid w:val="00E534DF"/>
    <w:rsid w:val="00E53551"/>
    <w:rsid w:val="00E535FB"/>
    <w:rsid w:val="00E535FF"/>
    <w:rsid w:val="00E5366B"/>
    <w:rsid w:val="00E536CB"/>
    <w:rsid w:val="00E53726"/>
    <w:rsid w:val="00E5372A"/>
    <w:rsid w:val="00E53811"/>
    <w:rsid w:val="00E5383F"/>
    <w:rsid w:val="00E538A7"/>
    <w:rsid w:val="00E53929"/>
    <w:rsid w:val="00E53D14"/>
    <w:rsid w:val="00E53D78"/>
    <w:rsid w:val="00E53E63"/>
    <w:rsid w:val="00E53E69"/>
    <w:rsid w:val="00E53ED3"/>
    <w:rsid w:val="00E53FB0"/>
    <w:rsid w:val="00E53FC7"/>
    <w:rsid w:val="00E54059"/>
    <w:rsid w:val="00E540E6"/>
    <w:rsid w:val="00E54126"/>
    <w:rsid w:val="00E54147"/>
    <w:rsid w:val="00E541FE"/>
    <w:rsid w:val="00E542BE"/>
    <w:rsid w:val="00E542D9"/>
    <w:rsid w:val="00E54388"/>
    <w:rsid w:val="00E54434"/>
    <w:rsid w:val="00E54440"/>
    <w:rsid w:val="00E54528"/>
    <w:rsid w:val="00E5466F"/>
    <w:rsid w:val="00E546D3"/>
    <w:rsid w:val="00E54708"/>
    <w:rsid w:val="00E5473E"/>
    <w:rsid w:val="00E54756"/>
    <w:rsid w:val="00E54863"/>
    <w:rsid w:val="00E548FC"/>
    <w:rsid w:val="00E5490D"/>
    <w:rsid w:val="00E549CE"/>
    <w:rsid w:val="00E54A9C"/>
    <w:rsid w:val="00E54AD1"/>
    <w:rsid w:val="00E54BA1"/>
    <w:rsid w:val="00E54C51"/>
    <w:rsid w:val="00E54D17"/>
    <w:rsid w:val="00E54E04"/>
    <w:rsid w:val="00E54EE0"/>
    <w:rsid w:val="00E54FAA"/>
    <w:rsid w:val="00E54FB9"/>
    <w:rsid w:val="00E550C3"/>
    <w:rsid w:val="00E553B4"/>
    <w:rsid w:val="00E5541F"/>
    <w:rsid w:val="00E55455"/>
    <w:rsid w:val="00E55472"/>
    <w:rsid w:val="00E55505"/>
    <w:rsid w:val="00E5555F"/>
    <w:rsid w:val="00E5556D"/>
    <w:rsid w:val="00E555AB"/>
    <w:rsid w:val="00E55643"/>
    <w:rsid w:val="00E55677"/>
    <w:rsid w:val="00E556F5"/>
    <w:rsid w:val="00E5573F"/>
    <w:rsid w:val="00E55758"/>
    <w:rsid w:val="00E5575A"/>
    <w:rsid w:val="00E557F7"/>
    <w:rsid w:val="00E5584E"/>
    <w:rsid w:val="00E559F8"/>
    <w:rsid w:val="00E55A21"/>
    <w:rsid w:val="00E55A38"/>
    <w:rsid w:val="00E55AEA"/>
    <w:rsid w:val="00E55B55"/>
    <w:rsid w:val="00E55C05"/>
    <w:rsid w:val="00E55CAC"/>
    <w:rsid w:val="00E55CE2"/>
    <w:rsid w:val="00E55D31"/>
    <w:rsid w:val="00E55D71"/>
    <w:rsid w:val="00E55E26"/>
    <w:rsid w:val="00E55EB7"/>
    <w:rsid w:val="00E55EED"/>
    <w:rsid w:val="00E55F1B"/>
    <w:rsid w:val="00E55F2D"/>
    <w:rsid w:val="00E55F4C"/>
    <w:rsid w:val="00E55FD2"/>
    <w:rsid w:val="00E55FE4"/>
    <w:rsid w:val="00E55FF9"/>
    <w:rsid w:val="00E5626A"/>
    <w:rsid w:val="00E56274"/>
    <w:rsid w:val="00E56359"/>
    <w:rsid w:val="00E56401"/>
    <w:rsid w:val="00E56465"/>
    <w:rsid w:val="00E564D8"/>
    <w:rsid w:val="00E565DE"/>
    <w:rsid w:val="00E56620"/>
    <w:rsid w:val="00E56658"/>
    <w:rsid w:val="00E566B6"/>
    <w:rsid w:val="00E566C2"/>
    <w:rsid w:val="00E5679B"/>
    <w:rsid w:val="00E567A3"/>
    <w:rsid w:val="00E56871"/>
    <w:rsid w:val="00E568A3"/>
    <w:rsid w:val="00E569ED"/>
    <w:rsid w:val="00E56A31"/>
    <w:rsid w:val="00E56ADA"/>
    <w:rsid w:val="00E56B2B"/>
    <w:rsid w:val="00E56C3C"/>
    <w:rsid w:val="00E56D5B"/>
    <w:rsid w:val="00E56DE0"/>
    <w:rsid w:val="00E56E37"/>
    <w:rsid w:val="00E56EEA"/>
    <w:rsid w:val="00E57026"/>
    <w:rsid w:val="00E5705C"/>
    <w:rsid w:val="00E572E5"/>
    <w:rsid w:val="00E5738C"/>
    <w:rsid w:val="00E57530"/>
    <w:rsid w:val="00E5760D"/>
    <w:rsid w:val="00E57712"/>
    <w:rsid w:val="00E577E0"/>
    <w:rsid w:val="00E57843"/>
    <w:rsid w:val="00E57926"/>
    <w:rsid w:val="00E57A8E"/>
    <w:rsid w:val="00E57B1D"/>
    <w:rsid w:val="00E57B3C"/>
    <w:rsid w:val="00E57B3F"/>
    <w:rsid w:val="00E57C04"/>
    <w:rsid w:val="00E57CBE"/>
    <w:rsid w:val="00E57D11"/>
    <w:rsid w:val="00E57F92"/>
    <w:rsid w:val="00E60030"/>
    <w:rsid w:val="00E6006F"/>
    <w:rsid w:val="00E6011F"/>
    <w:rsid w:val="00E601F7"/>
    <w:rsid w:val="00E60219"/>
    <w:rsid w:val="00E60307"/>
    <w:rsid w:val="00E6032D"/>
    <w:rsid w:val="00E60338"/>
    <w:rsid w:val="00E6034F"/>
    <w:rsid w:val="00E6041E"/>
    <w:rsid w:val="00E604DB"/>
    <w:rsid w:val="00E60546"/>
    <w:rsid w:val="00E605A4"/>
    <w:rsid w:val="00E605AE"/>
    <w:rsid w:val="00E60620"/>
    <w:rsid w:val="00E6064B"/>
    <w:rsid w:val="00E6073C"/>
    <w:rsid w:val="00E607BA"/>
    <w:rsid w:val="00E608AF"/>
    <w:rsid w:val="00E60963"/>
    <w:rsid w:val="00E6098A"/>
    <w:rsid w:val="00E609B0"/>
    <w:rsid w:val="00E60A5B"/>
    <w:rsid w:val="00E60A89"/>
    <w:rsid w:val="00E60A9F"/>
    <w:rsid w:val="00E60B3C"/>
    <w:rsid w:val="00E60B8C"/>
    <w:rsid w:val="00E60BD6"/>
    <w:rsid w:val="00E60BF2"/>
    <w:rsid w:val="00E60CA0"/>
    <w:rsid w:val="00E60CA8"/>
    <w:rsid w:val="00E60D7B"/>
    <w:rsid w:val="00E60E5D"/>
    <w:rsid w:val="00E60ECE"/>
    <w:rsid w:val="00E60EF4"/>
    <w:rsid w:val="00E61030"/>
    <w:rsid w:val="00E61094"/>
    <w:rsid w:val="00E610AF"/>
    <w:rsid w:val="00E610BF"/>
    <w:rsid w:val="00E610F0"/>
    <w:rsid w:val="00E610FF"/>
    <w:rsid w:val="00E6120F"/>
    <w:rsid w:val="00E612C4"/>
    <w:rsid w:val="00E61337"/>
    <w:rsid w:val="00E613C6"/>
    <w:rsid w:val="00E614AC"/>
    <w:rsid w:val="00E615D4"/>
    <w:rsid w:val="00E615DD"/>
    <w:rsid w:val="00E6163A"/>
    <w:rsid w:val="00E6188F"/>
    <w:rsid w:val="00E618DB"/>
    <w:rsid w:val="00E6190A"/>
    <w:rsid w:val="00E61976"/>
    <w:rsid w:val="00E6198F"/>
    <w:rsid w:val="00E619A2"/>
    <w:rsid w:val="00E619F2"/>
    <w:rsid w:val="00E61A62"/>
    <w:rsid w:val="00E61AC2"/>
    <w:rsid w:val="00E61ADD"/>
    <w:rsid w:val="00E61AF5"/>
    <w:rsid w:val="00E61B6D"/>
    <w:rsid w:val="00E61C56"/>
    <w:rsid w:val="00E61C9D"/>
    <w:rsid w:val="00E61CD6"/>
    <w:rsid w:val="00E61CEB"/>
    <w:rsid w:val="00E61D71"/>
    <w:rsid w:val="00E61D8E"/>
    <w:rsid w:val="00E61E1D"/>
    <w:rsid w:val="00E61EDD"/>
    <w:rsid w:val="00E61F8E"/>
    <w:rsid w:val="00E61FE2"/>
    <w:rsid w:val="00E620A6"/>
    <w:rsid w:val="00E6215C"/>
    <w:rsid w:val="00E621DB"/>
    <w:rsid w:val="00E621F7"/>
    <w:rsid w:val="00E62248"/>
    <w:rsid w:val="00E62272"/>
    <w:rsid w:val="00E622C4"/>
    <w:rsid w:val="00E6245C"/>
    <w:rsid w:val="00E62490"/>
    <w:rsid w:val="00E62495"/>
    <w:rsid w:val="00E624A3"/>
    <w:rsid w:val="00E6256F"/>
    <w:rsid w:val="00E625FC"/>
    <w:rsid w:val="00E62678"/>
    <w:rsid w:val="00E626B9"/>
    <w:rsid w:val="00E626D3"/>
    <w:rsid w:val="00E62858"/>
    <w:rsid w:val="00E629B6"/>
    <w:rsid w:val="00E62A03"/>
    <w:rsid w:val="00E62ABE"/>
    <w:rsid w:val="00E62ABF"/>
    <w:rsid w:val="00E62B25"/>
    <w:rsid w:val="00E62C84"/>
    <w:rsid w:val="00E62CCB"/>
    <w:rsid w:val="00E62DA9"/>
    <w:rsid w:val="00E62E2F"/>
    <w:rsid w:val="00E62F83"/>
    <w:rsid w:val="00E62FCE"/>
    <w:rsid w:val="00E62FE2"/>
    <w:rsid w:val="00E63024"/>
    <w:rsid w:val="00E63054"/>
    <w:rsid w:val="00E630A8"/>
    <w:rsid w:val="00E6316F"/>
    <w:rsid w:val="00E63323"/>
    <w:rsid w:val="00E6343B"/>
    <w:rsid w:val="00E634DF"/>
    <w:rsid w:val="00E63543"/>
    <w:rsid w:val="00E636C1"/>
    <w:rsid w:val="00E636FF"/>
    <w:rsid w:val="00E63712"/>
    <w:rsid w:val="00E63799"/>
    <w:rsid w:val="00E63827"/>
    <w:rsid w:val="00E638CB"/>
    <w:rsid w:val="00E63975"/>
    <w:rsid w:val="00E6398E"/>
    <w:rsid w:val="00E639AB"/>
    <w:rsid w:val="00E639EF"/>
    <w:rsid w:val="00E63ABC"/>
    <w:rsid w:val="00E63AE7"/>
    <w:rsid w:val="00E63B27"/>
    <w:rsid w:val="00E63B36"/>
    <w:rsid w:val="00E63C03"/>
    <w:rsid w:val="00E63CCE"/>
    <w:rsid w:val="00E63D2A"/>
    <w:rsid w:val="00E63E8D"/>
    <w:rsid w:val="00E63FE4"/>
    <w:rsid w:val="00E64094"/>
    <w:rsid w:val="00E6410B"/>
    <w:rsid w:val="00E64140"/>
    <w:rsid w:val="00E64363"/>
    <w:rsid w:val="00E64367"/>
    <w:rsid w:val="00E64423"/>
    <w:rsid w:val="00E645DC"/>
    <w:rsid w:val="00E646CD"/>
    <w:rsid w:val="00E646DF"/>
    <w:rsid w:val="00E64789"/>
    <w:rsid w:val="00E647B6"/>
    <w:rsid w:val="00E6492D"/>
    <w:rsid w:val="00E64935"/>
    <w:rsid w:val="00E64945"/>
    <w:rsid w:val="00E6494B"/>
    <w:rsid w:val="00E649CE"/>
    <w:rsid w:val="00E64A8E"/>
    <w:rsid w:val="00E64B19"/>
    <w:rsid w:val="00E64B76"/>
    <w:rsid w:val="00E64BBA"/>
    <w:rsid w:val="00E64BFA"/>
    <w:rsid w:val="00E64C06"/>
    <w:rsid w:val="00E64C1C"/>
    <w:rsid w:val="00E64C29"/>
    <w:rsid w:val="00E64C4C"/>
    <w:rsid w:val="00E64CEC"/>
    <w:rsid w:val="00E64DFA"/>
    <w:rsid w:val="00E64E16"/>
    <w:rsid w:val="00E64E45"/>
    <w:rsid w:val="00E64F87"/>
    <w:rsid w:val="00E65034"/>
    <w:rsid w:val="00E65061"/>
    <w:rsid w:val="00E65094"/>
    <w:rsid w:val="00E650EC"/>
    <w:rsid w:val="00E650FD"/>
    <w:rsid w:val="00E6510B"/>
    <w:rsid w:val="00E651F0"/>
    <w:rsid w:val="00E6522E"/>
    <w:rsid w:val="00E65238"/>
    <w:rsid w:val="00E65490"/>
    <w:rsid w:val="00E654A8"/>
    <w:rsid w:val="00E65544"/>
    <w:rsid w:val="00E65565"/>
    <w:rsid w:val="00E65699"/>
    <w:rsid w:val="00E656BA"/>
    <w:rsid w:val="00E657A3"/>
    <w:rsid w:val="00E65804"/>
    <w:rsid w:val="00E65822"/>
    <w:rsid w:val="00E658EE"/>
    <w:rsid w:val="00E65911"/>
    <w:rsid w:val="00E65B04"/>
    <w:rsid w:val="00E65B0F"/>
    <w:rsid w:val="00E65CAB"/>
    <w:rsid w:val="00E65D16"/>
    <w:rsid w:val="00E65D1C"/>
    <w:rsid w:val="00E65D2F"/>
    <w:rsid w:val="00E65E13"/>
    <w:rsid w:val="00E65E4E"/>
    <w:rsid w:val="00E65E76"/>
    <w:rsid w:val="00E65E89"/>
    <w:rsid w:val="00E65EAA"/>
    <w:rsid w:val="00E6603A"/>
    <w:rsid w:val="00E66105"/>
    <w:rsid w:val="00E66144"/>
    <w:rsid w:val="00E66162"/>
    <w:rsid w:val="00E661E9"/>
    <w:rsid w:val="00E66239"/>
    <w:rsid w:val="00E66273"/>
    <w:rsid w:val="00E66383"/>
    <w:rsid w:val="00E663A5"/>
    <w:rsid w:val="00E6646D"/>
    <w:rsid w:val="00E664E4"/>
    <w:rsid w:val="00E664E6"/>
    <w:rsid w:val="00E66527"/>
    <w:rsid w:val="00E665C3"/>
    <w:rsid w:val="00E66603"/>
    <w:rsid w:val="00E66620"/>
    <w:rsid w:val="00E6662F"/>
    <w:rsid w:val="00E66712"/>
    <w:rsid w:val="00E6674C"/>
    <w:rsid w:val="00E66775"/>
    <w:rsid w:val="00E667B2"/>
    <w:rsid w:val="00E667E3"/>
    <w:rsid w:val="00E6688C"/>
    <w:rsid w:val="00E66943"/>
    <w:rsid w:val="00E669FC"/>
    <w:rsid w:val="00E66B09"/>
    <w:rsid w:val="00E66BEA"/>
    <w:rsid w:val="00E66C3A"/>
    <w:rsid w:val="00E66CAB"/>
    <w:rsid w:val="00E66EA2"/>
    <w:rsid w:val="00E66ED8"/>
    <w:rsid w:val="00E66EEC"/>
    <w:rsid w:val="00E66F4A"/>
    <w:rsid w:val="00E66FC5"/>
    <w:rsid w:val="00E67013"/>
    <w:rsid w:val="00E67029"/>
    <w:rsid w:val="00E670E8"/>
    <w:rsid w:val="00E67247"/>
    <w:rsid w:val="00E67281"/>
    <w:rsid w:val="00E673A3"/>
    <w:rsid w:val="00E67479"/>
    <w:rsid w:val="00E675E7"/>
    <w:rsid w:val="00E675F2"/>
    <w:rsid w:val="00E67646"/>
    <w:rsid w:val="00E67668"/>
    <w:rsid w:val="00E678E1"/>
    <w:rsid w:val="00E67925"/>
    <w:rsid w:val="00E67997"/>
    <w:rsid w:val="00E67A75"/>
    <w:rsid w:val="00E67AC1"/>
    <w:rsid w:val="00E67CAD"/>
    <w:rsid w:val="00E67CC0"/>
    <w:rsid w:val="00E67CC1"/>
    <w:rsid w:val="00E67D3C"/>
    <w:rsid w:val="00E67D61"/>
    <w:rsid w:val="00E67DD6"/>
    <w:rsid w:val="00E67E06"/>
    <w:rsid w:val="00E67E50"/>
    <w:rsid w:val="00E67F08"/>
    <w:rsid w:val="00E67F3F"/>
    <w:rsid w:val="00E67F62"/>
    <w:rsid w:val="00E700C6"/>
    <w:rsid w:val="00E7010E"/>
    <w:rsid w:val="00E70124"/>
    <w:rsid w:val="00E70257"/>
    <w:rsid w:val="00E702B3"/>
    <w:rsid w:val="00E702C1"/>
    <w:rsid w:val="00E70335"/>
    <w:rsid w:val="00E70395"/>
    <w:rsid w:val="00E70490"/>
    <w:rsid w:val="00E7069A"/>
    <w:rsid w:val="00E706A1"/>
    <w:rsid w:val="00E7071D"/>
    <w:rsid w:val="00E708DF"/>
    <w:rsid w:val="00E70906"/>
    <w:rsid w:val="00E70918"/>
    <w:rsid w:val="00E70A44"/>
    <w:rsid w:val="00E70AC4"/>
    <w:rsid w:val="00E70BDE"/>
    <w:rsid w:val="00E70E02"/>
    <w:rsid w:val="00E70E4E"/>
    <w:rsid w:val="00E70E78"/>
    <w:rsid w:val="00E70F5C"/>
    <w:rsid w:val="00E71072"/>
    <w:rsid w:val="00E7107D"/>
    <w:rsid w:val="00E710F8"/>
    <w:rsid w:val="00E71107"/>
    <w:rsid w:val="00E7123D"/>
    <w:rsid w:val="00E7143D"/>
    <w:rsid w:val="00E71493"/>
    <w:rsid w:val="00E7159E"/>
    <w:rsid w:val="00E71618"/>
    <w:rsid w:val="00E7164B"/>
    <w:rsid w:val="00E717B1"/>
    <w:rsid w:val="00E717C7"/>
    <w:rsid w:val="00E717D8"/>
    <w:rsid w:val="00E7183A"/>
    <w:rsid w:val="00E7186C"/>
    <w:rsid w:val="00E718E8"/>
    <w:rsid w:val="00E71912"/>
    <w:rsid w:val="00E71949"/>
    <w:rsid w:val="00E719D4"/>
    <w:rsid w:val="00E71AA9"/>
    <w:rsid w:val="00E71C05"/>
    <w:rsid w:val="00E71C1B"/>
    <w:rsid w:val="00E71C37"/>
    <w:rsid w:val="00E71C40"/>
    <w:rsid w:val="00E71C4E"/>
    <w:rsid w:val="00E71F37"/>
    <w:rsid w:val="00E71FA6"/>
    <w:rsid w:val="00E71FF5"/>
    <w:rsid w:val="00E720C5"/>
    <w:rsid w:val="00E720DF"/>
    <w:rsid w:val="00E720EA"/>
    <w:rsid w:val="00E7212C"/>
    <w:rsid w:val="00E721AD"/>
    <w:rsid w:val="00E72215"/>
    <w:rsid w:val="00E7228F"/>
    <w:rsid w:val="00E724D0"/>
    <w:rsid w:val="00E7252E"/>
    <w:rsid w:val="00E72543"/>
    <w:rsid w:val="00E72727"/>
    <w:rsid w:val="00E727E9"/>
    <w:rsid w:val="00E7285C"/>
    <w:rsid w:val="00E7286D"/>
    <w:rsid w:val="00E7288F"/>
    <w:rsid w:val="00E728C9"/>
    <w:rsid w:val="00E72B29"/>
    <w:rsid w:val="00E72B7B"/>
    <w:rsid w:val="00E72BD6"/>
    <w:rsid w:val="00E72C92"/>
    <w:rsid w:val="00E72DDB"/>
    <w:rsid w:val="00E72E5C"/>
    <w:rsid w:val="00E72E7F"/>
    <w:rsid w:val="00E73028"/>
    <w:rsid w:val="00E73065"/>
    <w:rsid w:val="00E732C2"/>
    <w:rsid w:val="00E73308"/>
    <w:rsid w:val="00E73321"/>
    <w:rsid w:val="00E73323"/>
    <w:rsid w:val="00E7338D"/>
    <w:rsid w:val="00E734F9"/>
    <w:rsid w:val="00E73533"/>
    <w:rsid w:val="00E73573"/>
    <w:rsid w:val="00E735CF"/>
    <w:rsid w:val="00E735E4"/>
    <w:rsid w:val="00E73735"/>
    <w:rsid w:val="00E73801"/>
    <w:rsid w:val="00E7384D"/>
    <w:rsid w:val="00E73983"/>
    <w:rsid w:val="00E73A65"/>
    <w:rsid w:val="00E73A7A"/>
    <w:rsid w:val="00E73A81"/>
    <w:rsid w:val="00E73AAB"/>
    <w:rsid w:val="00E73C7C"/>
    <w:rsid w:val="00E73CC1"/>
    <w:rsid w:val="00E73D71"/>
    <w:rsid w:val="00E73DC5"/>
    <w:rsid w:val="00E73E30"/>
    <w:rsid w:val="00E73E85"/>
    <w:rsid w:val="00E73EE0"/>
    <w:rsid w:val="00E74026"/>
    <w:rsid w:val="00E74057"/>
    <w:rsid w:val="00E743CA"/>
    <w:rsid w:val="00E743D6"/>
    <w:rsid w:val="00E743EC"/>
    <w:rsid w:val="00E74435"/>
    <w:rsid w:val="00E74526"/>
    <w:rsid w:val="00E745CA"/>
    <w:rsid w:val="00E74671"/>
    <w:rsid w:val="00E746B3"/>
    <w:rsid w:val="00E747B0"/>
    <w:rsid w:val="00E747BF"/>
    <w:rsid w:val="00E7487E"/>
    <w:rsid w:val="00E74899"/>
    <w:rsid w:val="00E74995"/>
    <w:rsid w:val="00E74C35"/>
    <w:rsid w:val="00E74CBB"/>
    <w:rsid w:val="00E74D1E"/>
    <w:rsid w:val="00E74DDD"/>
    <w:rsid w:val="00E74DDF"/>
    <w:rsid w:val="00E74DEC"/>
    <w:rsid w:val="00E74EB9"/>
    <w:rsid w:val="00E74EEC"/>
    <w:rsid w:val="00E7511A"/>
    <w:rsid w:val="00E75137"/>
    <w:rsid w:val="00E75148"/>
    <w:rsid w:val="00E752C1"/>
    <w:rsid w:val="00E753CB"/>
    <w:rsid w:val="00E7554B"/>
    <w:rsid w:val="00E7557E"/>
    <w:rsid w:val="00E755E3"/>
    <w:rsid w:val="00E75848"/>
    <w:rsid w:val="00E7584E"/>
    <w:rsid w:val="00E75A15"/>
    <w:rsid w:val="00E75A74"/>
    <w:rsid w:val="00E75A99"/>
    <w:rsid w:val="00E75ABD"/>
    <w:rsid w:val="00E75D0E"/>
    <w:rsid w:val="00E75DCD"/>
    <w:rsid w:val="00E75E51"/>
    <w:rsid w:val="00E75E54"/>
    <w:rsid w:val="00E75EAF"/>
    <w:rsid w:val="00E75EF5"/>
    <w:rsid w:val="00E75F7A"/>
    <w:rsid w:val="00E75FBA"/>
    <w:rsid w:val="00E76281"/>
    <w:rsid w:val="00E762CE"/>
    <w:rsid w:val="00E7636A"/>
    <w:rsid w:val="00E7649C"/>
    <w:rsid w:val="00E7664B"/>
    <w:rsid w:val="00E7665A"/>
    <w:rsid w:val="00E76667"/>
    <w:rsid w:val="00E767F9"/>
    <w:rsid w:val="00E76868"/>
    <w:rsid w:val="00E769B0"/>
    <w:rsid w:val="00E769E2"/>
    <w:rsid w:val="00E769E7"/>
    <w:rsid w:val="00E769F6"/>
    <w:rsid w:val="00E76A10"/>
    <w:rsid w:val="00E76A99"/>
    <w:rsid w:val="00E76B7D"/>
    <w:rsid w:val="00E76BC4"/>
    <w:rsid w:val="00E76BE8"/>
    <w:rsid w:val="00E76D70"/>
    <w:rsid w:val="00E76E8C"/>
    <w:rsid w:val="00E76EC3"/>
    <w:rsid w:val="00E76FBD"/>
    <w:rsid w:val="00E7704B"/>
    <w:rsid w:val="00E7706C"/>
    <w:rsid w:val="00E7707A"/>
    <w:rsid w:val="00E770A9"/>
    <w:rsid w:val="00E770B9"/>
    <w:rsid w:val="00E7713D"/>
    <w:rsid w:val="00E7726F"/>
    <w:rsid w:val="00E772C7"/>
    <w:rsid w:val="00E773C3"/>
    <w:rsid w:val="00E773E3"/>
    <w:rsid w:val="00E7740D"/>
    <w:rsid w:val="00E7746F"/>
    <w:rsid w:val="00E77570"/>
    <w:rsid w:val="00E775ED"/>
    <w:rsid w:val="00E77603"/>
    <w:rsid w:val="00E7761D"/>
    <w:rsid w:val="00E77681"/>
    <w:rsid w:val="00E7780D"/>
    <w:rsid w:val="00E778B4"/>
    <w:rsid w:val="00E7796C"/>
    <w:rsid w:val="00E77A9D"/>
    <w:rsid w:val="00E77AE8"/>
    <w:rsid w:val="00E77B39"/>
    <w:rsid w:val="00E77C61"/>
    <w:rsid w:val="00E77CA1"/>
    <w:rsid w:val="00E77CF3"/>
    <w:rsid w:val="00E77D88"/>
    <w:rsid w:val="00E77E90"/>
    <w:rsid w:val="00E77EC9"/>
    <w:rsid w:val="00E77F03"/>
    <w:rsid w:val="00E77F77"/>
    <w:rsid w:val="00E8024C"/>
    <w:rsid w:val="00E802C3"/>
    <w:rsid w:val="00E8030B"/>
    <w:rsid w:val="00E803A7"/>
    <w:rsid w:val="00E803B2"/>
    <w:rsid w:val="00E80421"/>
    <w:rsid w:val="00E804D2"/>
    <w:rsid w:val="00E804E6"/>
    <w:rsid w:val="00E8051E"/>
    <w:rsid w:val="00E8057C"/>
    <w:rsid w:val="00E80621"/>
    <w:rsid w:val="00E8063A"/>
    <w:rsid w:val="00E8064C"/>
    <w:rsid w:val="00E806B3"/>
    <w:rsid w:val="00E807BB"/>
    <w:rsid w:val="00E807F3"/>
    <w:rsid w:val="00E809A8"/>
    <w:rsid w:val="00E809D1"/>
    <w:rsid w:val="00E80A4C"/>
    <w:rsid w:val="00E80ADD"/>
    <w:rsid w:val="00E80B11"/>
    <w:rsid w:val="00E80BC3"/>
    <w:rsid w:val="00E80BC8"/>
    <w:rsid w:val="00E80C22"/>
    <w:rsid w:val="00E80C85"/>
    <w:rsid w:val="00E80CAE"/>
    <w:rsid w:val="00E80D9B"/>
    <w:rsid w:val="00E80DD7"/>
    <w:rsid w:val="00E80E27"/>
    <w:rsid w:val="00E80E82"/>
    <w:rsid w:val="00E810EF"/>
    <w:rsid w:val="00E810F5"/>
    <w:rsid w:val="00E810F9"/>
    <w:rsid w:val="00E811A0"/>
    <w:rsid w:val="00E81368"/>
    <w:rsid w:val="00E81380"/>
    <w:rsid w:val="00E814CE"/>
    <w:rsid w:val="00E814D0"/>
    <w:rsid w:val="00E8161D"/>
    <w:rsid w:val="00E816AA"/>
    <w:rsid w:val="00E816DC"/>
    <w:rsid w:val="00E81778"/>
    <w:rsid w:val="00E8179B"/>
    <w:rsid w:val="00E8189D"/>
    <w:rsid w:val="00E8193C"/>
    <w:rsid w:val="00E81ADC"/>
    <w:rsid w:val="00E81B95"/>
    <w:rsid w:val="00E81BEC"/>
    <w:rsid w:val="00E81C29"/>
    <w:rsid w:val="00E81C7E"/>
    <w:rsid w:val="00E81C90"/>
    <w:rsid w:val="00E81CFA"/>
    <w:rsid w:val="00E81D4B"/>
    <w:rsid w:val="00E81D6F"/>
    <w:rsid w:val="00E81E08"/>
    <w:rsid w:val="00E81E8E"/>
    <w:rsid w:val="00E81EEE"/>
    <w:rsid w:val="00E81F0C"/>
    <w:rsid w:val="00E82016"/>
    <w:rsid w:val="00E82113"/>
    <w:rsid w:val="00E82325"/>
    <w:rsid w:val="00E82359"/>
    <w:rsid w:val="00E82485"/>
    <w:rsid w:val="00E82517"/>
    <w:rsid w:val="00E82589"/>
    <w:rsid w:val="00E825D2"/>
    <w:rsid w:val="00E82613"/>
    <w:rsid w:val="00E82660"/>
    <w:rsid w:val="00E82713"/>
    <w:rsid w:val="00E827BA"/>
    <w:rsid w:val="00E827D5"/>
    <w:rsid w:val="00E828CB"/>
    <w:rsid w:val="00E828DA"/>
    <w:rsid w:val="00E82A28"/>
    <w:rsid w:val="00E82A4E"/>
    <w:rsid w:val="00E82AA9"/>
    <w:rsid w:val="00E82B30"/>
    <w:rsid w:val="00E82BC9"/>
    <w:rsid w:val="00E82D0A"/>
    <w:rsid w:val="00E8316F"/>
    <w:rsid w:val="00E83375"/>
    <w:rsid w:val="00E83450"/>
    <w:rsid w:val="00E83568"/>
    <w:rsid w:val="00E83760"/>
    <w:rsid w:val="00E83781"/>
    <w:rsid w:val="00E83860"/>
    <w:rsid w:val="00E83879"/>
    <w:rsid w:val="00E839C0"/>
    <w:rsid w:val="00E83C25"/>
    <w:rsid w:val="00E83C8F"/>
    <w:rsid w:val="00E83CF1"/>
    <w:rsid w:val="00E83D10"/>
    <w:rsid w:val="00E83D9C"/>
    <w:rsid w:val="00E83DA2"/>
    <w:rsid w:val="00E83DF2"/>
    <w:rsid w:val="00E83E8F"/>
    <w:rsid w:val="00E83F3B"/>
    <w:rsid w:val="00E83FDA"/>
    <w:rsid w:val="00E84022"/>
    <w:rsid w:val="00E8409D"/>
    <w:rsid w:val="00E840B5"/>
    <w:rsid w:val="00E84198"/>
    <w:rsid w:val="00E84230"/>
    <w:rsid w:val="00E8437C"/>
    <w:rsid w:val="00E8441D"/>
    <w:rsid w:val="00E84448"/>
    <w:rsid w:val="00E8449A"/>
    <w:rsid w:val="00E845F3"/>
    <w:rsid w:val="00E84718"/>
    <w:rsid w:val="00E847D5"/>
    <w:rsid w:val="00E847ED"/>
    <w:rsid w:val="00E8482C"/>
    <w:rsid w:val="00E84A14"/>
    <w:rsid w:val="00E84AEE"/>
    <w:rsid w:val="00E84BC0"/>
    <w:rsid w:val="00E84BF3"/>
    <w:rsid w:val="00E84C36"/>
    <w:rsid w:val="00E84C57"/>
    <w:rsid w:val="00E84CAB"/>
    <w:rsid w:val="00E84CC4"/>
    <w:rsid w:val="00E84E1F"/>
    <w:rsid w:val="00E84E5B"/>
    <w:rsid w:val="00E84E6C"/>
    <w:rsid w:val="00E84FA4"/>
    <w:rsid w:val="00E84FF4"/>
    <w:rsid w:val="00E85034"/>
    <w:rsid w:val="00E8506C"/>
    <w:rsid w:val="00E851F7"/>
    <w:rsid w:val="00E8535F"/>
    <w:rsid w:val="00E853C3"/>
    <w:rsid w:val="00E85432"/>
    <w:rsid w:val="00E855FA"/>
    <w:rsid w:val="00E85929"/>
    <w:rsid w:val="00E8596E"/>
    <w:rsid w:val="00E85A46"/>
    <w:rsid w:val="00E85AA4"/>
    <w:rsid w:val="00E85B8B"/>
    <w:rsid w:val="00E85C51"/>
    <w:rsid w:val="00E85CD6"/>
    <w:rsid w:val="00E85D3E"/>
    <w:rsid w:val="00E85D79"/>
    <w:rsid w:val="00E85DAE"/>
    <w:rsid w:val="00E85E21"/>
    <w:rsid w:val="00E85EBA"/>
    <w:rsid w:val="00E85F0D"/>
    <w:rsid w:val="00E85F51"/>
    <w:rsid w:val="00E86030"/>
    <w:rsid w:val="00E8607E"/>
    <w:rsid w:val="00E861BA"/>
    <w:rsid w:val="00E86213"/>
    <w:rsid w:val="00E86324"/>
    <w:rsid w:val="00E8633F"/>
    <w:rsid w:val="00E86407"/>
    <w:rsid w:val="00E864B4"/>
    <w:rsid w:val="00E866D2"/>
    <w:rsid w:val="00E8678E"/>
    <w:rsid w:val="00E867AF"/>
    <w:rsid w:val="00E867CE"/>
    <w:rsid w:val="00E86838"/>
    <w:rsid w:val="00E86888"/>
    <w:rsid w:val="00E868EF"/>
    <w:rsid w:val="00E86A62"/>
    <w:rsid w:val="00E86AD1"/>
    <w:rsid w:val="00E86B7F"/>
    <w:rsid w:val="00E86BD4"/>
    <w:rsid w:val="00E86BF7"/>
    <w:rsid w:val="00E86CB1"/>
    <w:rsid w:val="00E86D24"/>
    <w:rsid w:val="00E86D73"/>
    <w:rsid w:val="00E86DD7"/>
    <w:rsid w:val="00E86EF4"/>
    <w:rsid w:val="00E86EFD"/>
    <w:rsid w:val="00E86F2A"/>
    <w:rsid w:val="00E86F58"/>
    <w:rsid w:val="00E8700D"/>
    <w:rsid w:val="00E8707B"/>
    <w:rsid w:val="00E870E2"/>
    <w:rsid w:val="00E87145"/>
    <w:rsid w:val="00E87196"/>
    <w:rsid w:val="00E87203"/>
    <w:rsid w:val="00E87276"/>
    <w:rsid w:val="00E872DF"/>
    <w:rsid w:val="00E87312"/>
    <w:rsid w:val="00E8738B"/>
    <w:rsid w:val="00E8744E"/>
    <w:rsid w:val="00E874FC"/>
    <w:rsid w:val="00E8763D"/>
    <w:rsid w:val="00E87674"/>
    <w:rsid w:val="00E876DD"/>
    <w:rsid w:val="00E87728"/>
    <w:rsid w:val="00E87933"/>
    <w:rsid w:val="00E87983"/>
    <w:rsid w:val="00E879B6"/>
    <w:rsid w:val="00E879B8"/>
    <w:rsid w:val="00E87AE1"/>
    <w:rsid w:val="00E87B9B"/>
    <w:rsid w:val="00E87C3D"/>
    <w:rsid w:val="00E87CC6"/>
    <w:rsid w:val="00E87CFC"/>
    <w:rsid w:val="00E87D15"/>
    <w:rsid w:val="00E87EA7"/>
    <w:rsid w:val="00E87EC6"/>
    <w:rsid w:val="00E87F7B"/>
    <w:rsid w:val="00E900B6"/>
    <w:rsid w:val="00E900E8"/>
    <w:rsid w:val="00E90189"/>
    <w:rsid w:val="00E901AC"/>
    <w:rsid w:val="00E90210"/>
    <w:rsid w:val="00E9021B"/>
    <w:rsid w:val="00E9024F"/>
    <w:rsid w:val="00E9027C"/>
    <w:rsid w:val="00E903EA"/>
    <w:rsid w:val="00E90422"/>
    <w:rsid w:val="00E90474"/>
    <w:rsid w:val="00E90608"/>
    <w:rsid w:val="00E90614"/>
    <w:rsid w:val="00E90658"/>
    <w:rsid w:val="00E9068B"/>
    <w:rsid w:val="00E906A9"/>
    <w:rsid w:val="00E906D9"/>
    <w:rsid w:val="00E90783"/>
    <w:rsid w:val="00E9080B"/>
    <w:rsid w:val="00E9081D"/>
    <w:rsid w:val="00E90851"/>
    <w:rsid w:val="00E90860"/>
    <w:rsid w:val="00E908CF"/>
    <w:rsid w:val="00E90907"/>
    <w:rsid w:val="00E9090C"/>
    <w:rsid w:val="00E9092D"/>
    <w:rsid w:val="00E90997"/>
    <w:rsid w:val="00E909CD"/>
    <w:rsid w:val="00E909E6"/>
    <w:rsid w:val="00E90A13"/>
    <w:rsid w:val="00E90AAE"/>
    <w:rsid w:val="00E90B3F"/>
    <w:rsid w:val="00E90B46"/>
    <w:rsid w:val="00E90BF8"/>
    <w:rsid w:val="00E90CFD"/>
    <w:rsid w:val="00E90FF9"/>
    <w:rsid w:val="00E91016"/>
    <w:rsid w:val="00E911BB"/>
    <w:rsid w:val="00E9130D"/>
    <w:rsid w:val="00E913F4"/>
    <w:rsid w:val="00E91500"/>
    <w:rsid w:val="00E915C8"/>
    <w:rsid w:val="00E91606"/>
    <w:rsid w:val="00E916A2"/>
    <w:rsid w:val="00E916F9"/>
    <w:rsid w:val="00E91804"/>
    <w:rsid w:val="00E9187D"/>
    <w:rsid w:val="00E918AD"/>
    <w:rsid w:val="00E91944"/>
    <w:rsid w:val="00E919B2"/>
    <w:rsid w:val="00E91A04"/>
    <w:rsid w:val="00E91AFA"/>
    <w:rsid w:val="00E91B1C"/>
    <w:rsid w:val="00E91BC8"/>
    <w:rsid w:val="00E91DB6"/>
    <w:rsid w:val="00E91E3B"/>
    <w:rsid w:val="00E91E87"/>
    <w:rsid w:val="00E91ED0"/>
    <w:rsid w:val="00E91F1F"/>
    <w:rsid w:val="00E921E4"/>
    <w:rsid w:val="00E92268"/>
    <w:rsid w:val="00E92373"/>
    <w:rsid w:val="00E92382"/>
    <w:rsid w:val="00E9245C"/>
    <w:rsid w:val="00E92493"/>
    <w:rsid w:val="00E9257E"/>
    <w:rsid w:val="00E92602"/>
    <w:rsid w:val="00E9277C"/>
    <w:rsid w:val="00E9284F"/>
    <w:rsid w:val="00E928E4"/>
    <w:rsid w:val="00E9298C"/>
    <w:rsid w:val="00E92AB4"/>
    <w:rsid w:val="00E92AD8"/>
    <w:rsid w:val="00E92B04"/>
    <w:rsid w:val="00E92BF1"/>
    <w:rsid w:val="00E92D0B"/>
    <w:rsid w:val="00E92EB6"/>
    <w:rsid w:val="00E92FCB"/>
    <w:rsid w:val="00E93008"/>
    <w:rsid w:val="00E9301D"/>
    <w:rsid w:val="00E9306B"/>
    <w:rsid w:val="00E930BA"/>
    <w:rsid w:val="00E930BB"/>
    <w:rsid w:val="00E930C4"/>
    <w:rsid w:val="00E930DF"/>
    <w:rsid w:val="00E9329D"/>
    <w:rsid w:val="00E932C3"/>
    <w:rsid w:val="00E9339E"/>
    <w:rsid w:val="00E9346C"/>
    <w:rsid w:val="00E934C5"/>
    <w:rsid w:val="00E934EB"/>
    <w:rsid w:val="00E93660"/>
    <w:rsid w:val="00E9369F"/>
    <w:rsid w:val="00E936F6"/>
    <w:rsid w:val="00E93702"/>
    <w:rsid w:val="00E9372B"/>
    <w:rsid w:val="00E93733"/>
    <w:rsid w:val="00E9377D"/>
    <w:rsid w:val="00E937EF"/>
    <w:rsid w:val="00E93800"/>
    <w:rsid w:val="00E9383B"/>
    <w:rsid w:val="00E9384A"/>
    <w:rsid w:val="00E939CD"/>
    <w:rsid w:val="00E93A14"/>
    <w:rsid w:val="00E93A5A"/>
    <w:rsid w:val="00E93AA7"/>
    <w:rsid w:val="00E93B0A"/>
    <w:rsid w:val="00E93B30"/>
    <w:rsid w:val="00E93BB0"/>
    <w:rsid w:val="00E93BD8"/>
    <w:rsid w:val="00E93C0D"/>
    <w:rsid w:val="00E93CDD"/>
    <w:rsid w:val="00E93CEF"/>
    <w:rsid w:val="00E93D2F"/>
    <w:rsid w:val="00E93D40"/>
    <w:rsid w:val="00E93E11"/>
    <w:rsid w:val="00E93E41"/>
    <w:rsid w:val="00E9422E"/>
    <w:rsid w:val="00E942A0"/>
    <w:rsid w:val="00E94332"/>
    <w:rsid w:val="00E94473"/>
    <w:rsid w:val="00E9461A"/>
    <w:rsid w:val="00E94640"/>
    <w:rsid w:val="00E94674"/>
    <w:rsid w:val="00E946ED"/>
    <w:rsid w:val="00E9484A"/>
    <w:rsid w:val="00E94856"/>
    <w:rsid w:val="00E948AA"/>
    <w:rsid w:val="00E94908"/>
    <w:rsid w:val="00E9490F"/>
    <w:rsid w:val="00E94945"/>
    <w:rsid w:val="00E9496C"/>
    <w:rsid w:val="00E94988"/>
    <w:rsid w:val="00E949DB"/>
    <w:rsid w:val="00E94A3A"/>
    <w:rsid w:val="00E94BFE"/>
    <w:rsid w:val="00E94C08"/>
    <w:rsid w:val="00E94CF0"/>
    <w:rsid w:val="00E94DD8"/>
    <w:rsid w:val="00E94DEF"/>
    <w:rsid w:val="00E94EE5"/>
    <w:rsid w:val="00E94F4B"/>
    <w:rsid w:val="00E94FD8"/>
    <w:rsid w:val="00E95017"/>
    <w:rsid w:val="00E950C0"/>
    <w:rsid w:val="00E95168"/>
    <w:rsid w:val="00E9519B"/>
    <w:rsid w:val="00E9529E"/>
    <w:rsid w:val="00E9534F"/>
    <w:rsid w:val="00E9540F"/>
    <w:rsid w:val="00E955C8"/>
    <w:rsid w:val="00E956EA"/>
    <w:rsid w:val="00E959B6"/>
    <w:rsid w:val="00E95A16"/>
    <w:rsid w:val="00E95C3C"/>
    <w:rsid w:val="00E95C93"/>
    <w:rsid w:val="00E95DCA"/>
    <w:rsid w:val="00E95DF0"/>
    <w:rsid w:val="00E95E0A"/>
    <w:rsid w:val="00E95EBB"/>
    <w:rsid w:val="00E95F08"/>
    <w:rsid w:val="00E95FE8"/>
    <w:rsid w:val="00E96007"/>
    <w:rsid w:val="00E960DD"/>
    <w:rsid w:val="00E96123"/>
    <w:rsid w:val="00E9617D"/>
    <w:rsid w:val="00E96247"/>
    <w:rsid w:val="00E96396"/>
    <w:rsid w:val="00E963C0"/>
    <w:rsid w:val="00E964B0"/>
    <w:rsid w:val="00E964C7"/>
    <w:rsid w:val="00E964F9"/>
    <w:rsid w:val="00E965FB"/>
    <w:rsid w:val="00E96618"/>
    <w:rsid w:val="00E96646"/>
    <w:rsid w:val="00E966D7"/>
    <w:rsid w:val="00E9679F"/>
    <w:rsid w:val="00E96AFA"/>
    <w:rsid w:val="00E96B7D"/>
    <w:rsid w:val="00E96BF4"/>
    <w:rsid w:val="00E96C39"/>
    <w:rsid w:val="00E96D8F"/>
    <w:rsid w:val="00E96DF3"/>
    <w:rsid w:val="00E96E23"/>
    <w:rsid w:val="00E96F61"/>
    <w:rsid w:val="00E96F90"/>
    <w:rsid w:val="00E96F97"/>
    <w:rsid w:val="00E9704A"/>
    <w:rsid w:val="00E97205"/>
    <w:rsid w:val="00E97220"/>
    <w:rsid w:val="00E97336"/>
    <w:rsid w:val="00E973A3"/>
    <w:rsid w:val="00E97428"/>
    <w:rsid w:val="00E9744F"/>
    <w:rsid w:val="00E974EA"/>
    <w:rsid w:val="00E97529"/>
    <w:rsid w:val="00E97596"/>
    <w:rsid w:val="00E975C1"/>
    <w:rsid w:val="00E975E7"/>
    <w:rsid w:val="00E9770C"/>
    <w:rsid w:val="00E977C5"/>
    <w:rsid w:val="00E978F6"/>
    <w:rsid w:val="00E97A7A"/>
    <w:rsid w:val="00E97B54"/>
    <w:rsid w:val="00E97BE2"/>
    <w:rsid w:val="00E97CB6"/>
    <w:rsid w:val="00E97D95"/>
    <w:rsid w:val="00E97DA6"/>
    <w:rsid w:val="00E97E3E"/>
    <w:rsid w:val="00E97E64"/>
    <w:rsid w:val="00E97F09"/>
    <w:rsid w:val="00EA007C"/>
    <w:rsid w:val="00EA01A9"/>
    <w:rsid w:val="00EA026C"/>
    <w:rsid w:val="00EA02C4"/>
    <w:rsid w:val="00EA04A7"/>
    <w:rsid w:val="00EA04FE"/>
    <w:rsid w:val="00EA0501"/>
    <w:rsid w:val="00EA05AB"/>
    <w:rsid w:val="00EA05F6"/>
    <w:rsid w:val="00EA0796"/>
    <w:rsid w:val="00EA0861"/>
    <w:rsid w:val="00EA089D"/>
    <w:rsid w:val="00EA0947"/>
    <w:rsid w:val="00EA097B"/>
    <w:rsid w:val="00EA09DC"/>
    <w:rsid w:val="00EA0BD3"/>
    <w:rsid w:val="00EA0C6A"/>
    <w:rsid w:val="00EA0CBA"/>
    <w:rsid w:val="00EA0CCA"/>
    <w:rsid w:val="00EA0D14"/>
    <w:rsid w:val="00EA0D48"/>
    <w:rsid w:val="00EA0F36"/>
    <w:rsid w:val="00EA0F44"/>
    <w:rsid w:val="00EA0FE3"/>
    <w:rsid w:val="00EA0FF8"/>
    <w:rsid w:val="00EA115F"/>
    <w:rsid w:val="00EA1190"/>
    <w:rsid w:val="00EA11AD"/>
    <w:rsid w:val="00EA1216"/>
    <w:rsid w:val="00EA12CE"/>
    <w:rsid w:val="00EA1317"/>
    <w:rsid w:val="00EA13A4"/>
    <w:rsid w:val="00EA1452"/>
    <w:rsid w:val="00EA1493"/>
    <w:rsid w:val="00EA15B4"/>
    <w:rsid w:val="00EA16F0"/>
    <w:rsid w:val="00EA1717"/>
    <w:rsid w:val="00EA1786"/>
    <w:rsid w:val="00EA1854"/>
    <w:rsid w:val="00EA1882"/>
    <w:rsid w:val="00EA1897"/>
    <w:rsid w:val="00EA18CB"/>
    <w:rsid w:val="00EA1B7B"/>
    <w:rsid w:val="00EA1B9B"/>
    <w:rsid w:val="00EA1C85"/>
    <w:rsid w:val="00EA1C9B"/>
    <w:rsid w:val="00EA1CDC"/>
    <w:rsid w:val="00EA1CEC"/>
    <w:rsid w:val="00EA1E9C"/>
    <w:rsid w:val="00EA1EFD"/>
    <w:rsid w:val="00EA1F18"/>
    <w:rsid w:val="00EA2044"/>
    <w:rsid w:val="00EA210D"/>
    <w:rsid w:val="00EA2170"/>
    <w:rsid w:val="00EA22D6"/>
    <w:rsid w:val="00EA23B1"/>
    <w:rsid w:val="00EA23D8"/>
    <w:rsid w:val="00EA2467"/>
    <w:rsid w:val="00EA2528"/>
    <w:rsid w:val="00EA252C"/>
    <w:rsid w:val="00EA2548"/>
    <w:rsid w:val="00EA25F3"/>
    <w:rsid w:val="00EA26FB"/>
    <w:rsid w:val="00EA2787"/>
    <w:rsid w:val="00EA2802"/>
    <w:rsid w:val="00EA280D"/>
    <w:rsid w:val="00EA28A2"/>
    <w:rsid w:val="00EA28C7"/>
    <w:rsid w:val="00EA2A00"/>
    <w:rsid w:val="00EA2AD9"/>
    <w:rsid w:val="00EA2CAF"/>
    <w:rsid w:val="00EA2DA8"/>
    <w:rsid w:val="00EA2DB8"/>
    <w:rsid w:val="00EA2DE5"/>
    <w:rsid w:val="00EA2E09"/>
    <w:rsid w:val="00EA2E14"/>
    <w:rsid w:val="00EA2EB0"/>
    <w:rsid w:val="00EA2F91"/>
    <w:rsid w:val="00EA3066"/>
    <w:rsid w:val="00EA3315"/>
    <w:rsid w:val="00EA335A"/>
    <w:rsid w:val="00EA33FB"/>
    <w:rsid w:val="00EA3514"/>
    <w:rsid w:val="00EA351E"/>
    <w:rsid w:val="00EA35F5"/>
    <w:rsid w:val="00EA364D"/>
    <w:rsid w:val="00EA3754"/>
    <w:rsid w:val="00EA3784"/>
    <w:rsid w:val="00EA38E6"/>
    <w:rsid w:val="00EA39C0"/>
    <w:rsid w:val="00EA39EA"/>
    <w:rsid w:val="00EA39F1"/>
    <w:rsid w:val="00EA3A6A"/>
    <w:rsid w:val="00EA3BC9"/>
    <w:rsid w:val="00EA3C75"/>
    <w:rsid w:val="00EA3E86"/>
    <w:rsid w:val="00EA3FC1"/>
    <w:rsid w:val="00EA4017"/>
    <w:rsid w:val="00EA411A"/>
    <w:rsid w:val="00EA4134"/>
    <w:rsid w:val="00EA420F"/>
    <w:rsid w:val="00EA421D"/>
    <w:rsid w:val="00EA42EF"/>
    <w:rsid w:val="00EA443A"/>
    <w:rsid w:val="00EA445D"/>
    <w:rsid w:val="00EA466D"/>
    <w:rsid w:val="00EA467E"/>
    <w:rsid w:val="00EA46EE"/>
    <w:rsid w:val="00EA47E2"/>
    <w:rsid w:val="00EA4877"/>
    <w:rsid w:val="00EA487F"/>
    <w:rsid w:val="00EA48A9"/>
    <w:rsid w:val="00EA48B2"/>
    <w:rsid w:val="00EA48E8"/>
    <w:rsid w:val="00EA4A2B"/>
    <w:rsid w:val="00EA4A6A"/>
    <w:rsid w:val="00EA4A72"/>
    <w:rsid w:val="00EA4ACD"/>
    <w:rsid w:val="00EA4BE0"/>
    <w:rsid w:val="00EA4C32"/>
    <w:rsid w:val="00EA4D10"/>
    <w:rsid w:val="00EA4D50"/>
    <w:rsid w:val="00EA4E05"/>
    <w:rsid w:val="00EA4E9E"/>
    <w:rsid w:val="00EA4EC6"/>
    <w:rsid w:val="00EA4F40"/>
    <w:rsid w:val="00EA5035"/>
    <w:rsid w:val="00EA5052"/>
    <w:rsid w:val="00EA50F1"/>
    <w:rsid w:val="00EA5150"/>
    <w:rsid w:val="00EA526D"/>
    <w:rsid w:val="00EA52B1"/>
    <w:rsid w:val="00EA530F"/>
    <w:rsid w:val="00EA533E"/>
    <w:rsid w:val="00EA53C5"/>
    <w:rsid w:val="00EA53E6"/>
    <w:rsid w:val="00EA54AA"/>
    <w:rsid w:val="00EA5505"/>
    <w:rsid w:val="00EA5536"/>
    <w:rsid w:val="00EA55E2"/>
    <w:rsid w:val="00EA5666"/>
    <w:rsid w:val="00EA57D0"/>
    <w:rsid w:val="00EA58A6"/>
    <w:rsid w:val="00EA5976"/>
    <w:rsid w:val="00EA5A60"/>
    <w:rsid w:val="00EA5AC5"/>
    <w:rsid w:val="00EA5B65"/>
    <w:rsid w:val="00EA5B85"/>
    <w:rsid w:val="00EA5B8E"/>
    <w:rsid w:val="00EA5B9A"/>
    <w:rsid w:val="00EA5C0F"/>
    <w:rsid w:val="00EA5C13"/>
    <w:rsid w:val="00EA5C31"/>
    <w:rsid w:val="00EA5C5F"/>
    <w:rsid w:val="00EA5E43"/>
    <w:rsid w:val="00EA5E80"/>
    <w:rsid w:val="00EA5F6E"/>
    <w:rsid w:val="00EA5F93"/>
    <w:rsid w:val="00EA5FD0"/>
    <w:rsid w:val="00EA61A6"/>
    <w:rsid w:val="00EA626A"/>
    <w:rsid w:val="00EA6275"/>
    <w:rsid w:val="00EA633C"/>
    <w:rsid w:val="00EA64A6"/>
    <w:rsid w:val="00EA64D7"/>
    <w:rsid w:val="00EA651F"/>
    <w:rsid w:val="00EA65AE"/>
    <w:rsid w:val="00EA6688"/>
    <w:rsid w:val="00EA66C1"/>
    <w:rsid w:val="00EA675B"/>
    <w:rsid w:val="00EA6796"/>
    <w:rsid w:val="00EA6851"/>
    <w:rsid w:val="00EA6913"/>
    <w:rsid w:val="00EA6A4C"/>
    <w:rsid w:val="00EA6A66"/>
    <w:rsid w:val="00EA6A95"/>
    <w:rsid w:val="00EA6A9C"/>
    <w:rsid w:val="00EA6B03"/>
    <w:rsid w:val="00EA6BBE"/>
    <w:rsid w:val="00EA6CD5"/>
    <w:rsid w:val="00EA6D1C"/>
    <w:rsid w:val="00EA6E37"/>
    <w:rsid w:val="00EA6F19"/>
    <w:rsid w:val="00EA6F96"/>
    <w:rsid w:val="00EA6FD2"/>
    <w:rsid w:val="00EA6FF0"/>
    <w:rsid w:val="00EA706B"/>
    <w:rsid w:val="00EA7097"/>
    <w:rsid w:val="00EA70BC"/>
    <w:rsid w:val="00EA716D"/>
    <w:rsid w:val="00EA71E2"/>
    <w:rsid w:val="00EA726B"/>
    <w:rsid w:val="00EA735D"/>
    <w:rsid w:val="00EA7420"/>
    <w:rsid w:val="00EA7487"/>
    <w:rsid w:val="00EA7539"/>
    <w:rsid w:val="00EA7605"/>
    <w:rsid w:val="00EA7648"/>
    <w:rsid w:val="00EA783C"/>
    <w:rsid w:val="00EA785F"/>
    <w:rsid w:val="00EA797D"/>
    <w:rsid w:val="00EA79C1"/>
    <w:rsid w:val="00EA7A35"/>
    <w:rsid w:val="00EA7A97"/>
    <w:rsid w:val="00EA7B1D"/>
    <w:rsid w:val="00EA7B8F"/>
    <w:rsid w:val="00EA7C06"/>
    <w:rsid w:val="00EA7C0B"/>
    <w:rsid w:val="00EA7D37"/>
    <w:rsid w:val="00EA7DBC"/>
    <w:rsid w:val="00EA7DD0"/>
    <w:rsid w:val="00EA7E93"/>
    <w:rsid w:val="00EA7F21"/>
    <w:rsid w:val="00EA7F37"/>
    <w:rsid w:val="00EA7F8B"/>
    <w:rsid w:val="00EB000A"/>
    <w:rsid w:val="00EB00C7"/>
    <w:rsid w:val="00EB0108"/>
    <w:rsid w:val="00EB015D"/>
    <w:rsid w:val="00EB015E"/>
    <w:rsid w:val="00EB02E8"/>
    <w:rsid w:val="00EB045B"/>
    <w:rsid w:val="00EB04EA"/>
    <w:rsid w:val="00EB05C6"/>
    <w:rsid w:val="00EB0652"/>
    <w:rsid w:val="00EB06F9"/>
    <w:rsid w:val="00EB0717"/>
    <w:rsid w:val="00EB071E"/>
    <w:rsid w:val="00EB07A4"/>
    <w:rsid w:val="00EB083C"/>
    <w:rsid w:val="00EB08DC"/>
    <w:rsid w:val="00EB0976"/>
    <w:rsid w:val="00EB099A"/>
    <w:rsid w:val="00EB09B1"/>
    <w:rsid w:val="00EB09E3"/>
    <w:rsid w:val="00EB0A36"/>
    <w:rsid w:val="00EB0A48"/>
    <w:rsid w:val="00EB0A91"/>
    <w:rsid w:val="00EB0AA5"/>
    <w:rsid w:val="00EB0AA7"/>
    <w:rsid w:val="00EB0D71"/>
    <w:rsid w:val="00EB0DE2"/>
    <w:rsid w:val="00EB0EB0"/>
    <w:rsid w:val="00EB0EB1"/>
    <w:rsid w:val="00EB0F1D"/>
    <w:rsid w:val="00EB0F99"/>
    <w:rsid w:val="00EB1001"/>
    <w:rsid w:val="00EB1174"/>
    <w:rsid w:val="00EB11E0"/>
    <w:rsid w:val="00EB1251"/>
    <w:rsid w:val="00EB1295"/>
    <w:rsid w:val="00EB12D0"/>
    <w:rsid w:val="00EB12DB"/>
    <w:rsid w:val="00EB130A"/>
    <w:rsid w:val="00EB1327"/>
    <w:rsid w:val="00EB13F3"/>
    <w:rsid w:val="00EB1461"/>
    <w:rsid w:val="00EB14CC"/>
    <w:rsid w:val="00EB1635"/>
    <w:rsid w:val="00EB1772"/>
    <w:rsid w:val="00EB1791"/>
    <w:rsid w:val="00EB17A3"/>
    <w:rsid w:val="00EB1833"/>
    <w:rsid w:val="00EB1921"/>
    <w:rsid w:val="00EB199A"/>
    <w:rsid w:val="00EB1A46"/>
    <w:rsid w:val="00EB1AE2"/>
    <w:rsid w:val="00EB1AFD"/>
    <w:rsid w:val="00EB1B7B"/>
    <w:rsid w:val="00EB1D71"/>
    <w:rsid w:val="00EB1D7A"/>
    <w:rsid w:val="00EB1DDD"/>
    <w:rsid w:val="00EB1E2F"/>
    <w:rsid w:val="00EB1E47"/>
    <w:rsid w:val="00EB1FB4"/>
    <w:rsid w:val="00EB1FF2"/>
    <w:rsid w:val="00EB2007"/>
    <w:rsid w:val="00EB2074"/>
    <w:rsid w:val="00EB2087"/>
    <w:rsid w:val="00EB20A7"/>
    <w:rsid w:val="00EB20BC"/>
    <w:rsid w:val="00EB2184"/>
    <w:rsid w:val="00EB223B"/>
    <w:rsid w:val="00EB22E3"/>
    <w:rsid w:val="00EB2308"/>
    <w:rsid w:val="00EB236C"/>
    <w:rsid w:val="00EB2392"/>
    <w:rsid w:val="00EB23E3"/>
    <w:rsid w:val="00EB24C3"/>
    <w:rsid w:val="00EB25A8"/>
    <w:rsid w:val="00EB2839"/>
    <w:rsid w:val="00EB2851"/>
    <w:rsid w:val="00EB2A2B"/>
    <w:rsid w:val="00EB2A6B"/>
    <w:rsid w:val="00EB2AEE"/>
    <w:rsid w:val="00EB2CFB"/>
    <w:rsid w:val="00EB2DE5"/>
    <w:rsid w:val="00EB2E6F"/>
    <w:rsid w:val="00EB2E8D"/>
    <w:rsid w:val="00EB3050"/>
    <w:rsid w:val="00EB3058"/>
    <w:rsid w:val="00EB331F"/>
    <w:rsid w:val="00EB3349"/>
    <w:rsid w:val="00EB33C4"/>
    <w:rsid w:val="00EB345F"/>
    <w:rsid w:val="00EB3473"/>
    <w:rsid w:val="00EB348A"/>
    <w:rsid w:val="00EB34B8"/>
    <w:rsid w:val="00EB34E9"/>
    <w:rsid w:val="00EB353A"/>
    <w:rsid w:val="00EB356E"/>
    <w:rsid w:val="00EB3614"/>
    <w:rsid w:val="00EB366C"/>
    <w:rsid w:val="00EB3782"/>
    <w:rsid w:val="00EB37B2"/>
    <w:rsid w:val="00EB3867"/>
    <w:rsid w:val="00EB38E5"/>
    <w:rsid w:val="00EB38F7"/>
    <w:rsid w:val="00EB38F8"/>
    <w:rsid w:val="00EB39A7"/>
    <w:rsid w:val="00EB3A56"/>
    <w:rsid w:val="00EB3A5C"/>
    <w:rsid w:val="00EB3AC9"/>
    <w:rsid w:val="00EB3ACB"/>
    <w:rsid w:val="00EB3B2B"/>
    <w:rsid w:val="00EB3B46"/>
    <w:rsid w:val="00EB3B90"/>
    <w:rsid w:val="00EB3BC2"/>
    <w:rsid w:val="00EB3C5E"/>
    <w:rsid w:val="00EB3CEB"/>
    <w:rsid w:val="00EB3D84"/>
    <w:rsid w:val="00EB3DEC"/>
    <w:rsid w:val="00EB3EBC"/>
    <w:rsid w:val="00EB3EE4"/>
    <w:rsid w:val="00EB3FCA"/>
    <w:rsid w:val="00EB3FDE"/>
    <w:rsid w:val="00EB404B"/>
    <w:rsid w:val="00EB404F"/>
    <w:rsid w:val="00EB408D"/>
    <w:rsid w:val="00EB412A"/>
    <w:rsid w:val="00EB41E5"/>
    <w:rsid w:val="00EB4298"/>
    <w:rsid w:val="00EB42D0"/>
    <w:rsid w:val="00EB4357"/>
    <w:rsid w:val="00EB4361"/>
    <w:rsid w:val="00EB4366"/>
    <w:rsid w:val="00EB437D"/>
    <w:rsid w:val="00EB442E"/>
    <w:rsid w:val="00EB443B"/>
    <w:rsid w:val="00EB446C"/>
    <w:rsid w:val="00EB44B8"/>
    <w:rsid w:val="00EB452E"/>
    <w:rsid w:val="00EB4594"/>
    <w:rsid w:val="00EB4608"/>
    <w:rsid w:val="00EB46D9"/>
    <w:rsid w:val="00EB46ED"/>
    <w:rsid w:val="00EB4712"/>
    <w:rsid w:val="00EB4740"/>
    <w:rsid w:val="00EB477B"/>
    <w:rsid w:val="00EB47AB"/>
    <w:rsid w:val="00EB47FE"/>
    <w:rsid w:val="00EB489E"/>
    <w:rsid w:val="00EB48C4"/>
    <w:rsid w:val="00EB48E9"/>
    <w:rsid w:val="00EB4936"/>
    <w:rsid w:val="00EB4940"/>
    <w:rsid w:val="00EB4943"/>
    <w:rsid w:val="00EB4A52"/>
    <w:rsid w:val="00EB4AF1"/>
    <w:rsid w:val="00EB4C40"/>
    <w:rsid w:val="00EB4C95"/>
    <w:rsid w:val="00EB4D5B"/>
    <w:rsid w:val="00EB4D87"/>
    <w:rsid w:val="00EB4F20"/>
    <w:rsid w:val="00EB4F6B"/>
    <w:rsid w:val="00EB5016"/>
    <w:rsid w:val="00EB50BF"/>
    <w:rsid w:val="00EB51AA"/>
    <w:rsid w:val="00EB51EF"/>
    <w:rsid w:val="00EB5227"/>
    <w:rsid w:val="00EB5281"/>
    <w:rsid w:val="00EB5282"/>
    <w:rsid w:val="00EB5297"/>
    <w:rsid w:val="00EB52B8"/>
    <w:rsid w:val="00EB5378"/>
    <w:rsid w:val="00EB53EF"/>
    <w:rsid w:val="00EB5405"/>
    <w:rsid w:val="00EB5455"/>
    <w:rsid w:val="00EB54C1"/>
    <w:rsid w:val="00EB5529"/>
    <w:rsid w:val="00EB563F"/>
    <w:rsid w:val="00EB572A"/>
    <w:rsid w:val="00EB57B3"/>
    <w:rsid w:val="00EB5823"/>
    <w:rsid w:val="00EB5903"/>
    <w:rsid w:val="00EB59E8"/>
    <w:rsid w:val="00EB5A57"/>
    <w:rsid w:val="00EB5CE4"/>
    <w:rsid w:val="00EB5D99"/>
    <w:rsid w:val="00EB5EF9"/>
    <w:rsid w:val="00EB5F0E"/>
    <w:rsid w:val="00EB5F3F"/>
    <w:rsid w:val="00EB5FAD"/>
    <w:rsid w:val="00EB5FD5"/>
    <w:rsid w:val="00EB5FE4"/>
    <w:rsid w:val="00EB61E4"/>
    <w:rsid w:val="00EB6304"/>
    <w:rsid w:val="00EB631F"/>
    <w:rsid w:val="00EB632D"/>
    <w:rsid w:val="00EB63A6"/>
    <w:rsid w:val="00EB63C1"/>
    <w:rsid w:val="00EB6400"/>
    <w:rsid w:val="00EB6483"/>
    <w:rsid w:val="00EB6496"/>
    <w:rsid w:val="00EB6506"/>
    <w:rsid w:val="00EB65D0"/>
    <w:rsid w:val="00EB6665"/>
    <w:rsid w:val="00EB675F"/>
    <w:rsid w:val="00EB67A6"/>
    <w:rsid w:val="00EB690E"/>
    <w:rsid w:val="00EB6919"/>
    <w:rsid w:val="00EB699F"/>
    <w:rsid w:val="00EB6AA4"/>
    <w:rsid w:val="00EB6BBE"/>
    <w:rsid w:val="00EB6C57"/>
    <w:rsid w:val="00EB6CF3"/>
    <w:rsid w:val="00EB6D40"/>
    <w:rsid w:val="00EB6E0C"/>
    <w:rsid w:val="00EB6E52"/>
    <w:rsid w:val="00EB6E95"/>
    <w:rsid w:val="00EB6E9A"/>
    <w:rsid w:val="00EB6EAB"/>
    <w:rsid w:val="00EB6FC7"/>
    <w:rsid w:val="00EB6FFF"/>
    <w:rsid w:val="00EB7056"/>
    <w:rsid w:val="00EB70CA"/>
    <w:rsid w:val="00EB72B0"/>
    <w:rsid w:val="00EB735A"/>
    <w:rsid w:val="00EB73B8"/>
    <w:rsid w:val="00EB74AB"/>
    <w:rsid w:val="00EB756E"/>
    <w:rsid w:val="00EB7585"/>
    <w:rsid w:val="00EB75F9"/>
    <w:rsid w:val="00EB763F"/>
    <w:rsid w:val="00EB7696"/>
    <w:rsid w:val="00EB76AF"/>
    <w:rsid w:val="00EB773A"/>
    <w:rsid w:val="00EB7791"/>
    <w:rsid w:val="00EB77D9"/>
    <w:rsid w:val="00EB795C"/>
    <w:rsid w:val="00EB7A03"/>
    <w:rsid w:val="00EB7ADA"/>
    <w:rsid w:val="00EB7CCE"/>
    <w:rsid w:val="00EB7CE1"/>
    <w:rsid w:val="00EB7D41"/>
    <w:rsid w:val="00EB7D87"/>
    <w:rsid w:val="00EB7E16"/>
    <w:rsid w:val="00EB7E31"/>
    <w:rsid w:val="00EB7E69"/>
    <w:rsid w:val="00EB7EC4"/>
    <w:rsid w:val="00EB7FBB"/>
    <w:rsid w:val="00EC0040"/>
    <w:rsid w:val="00EC00F6"/>
    <w:rsid w:val="00EC010D"/>
    <w:rsid w:val="00EC0155"/>
    <w:rsid w:val="00EC01D9"/>
    <w:rsid w:val="00EC01F9"/>
    <w:rsid w:val="00EC0287"/>
    <w:rsid w:val="00EC0488"/>
    <w:rsid w:val="00EC052A"/>
    <w:rsid w:val="00EC053E"/>
    <w:rsid w:val="00EC055C"/>
    <w:rsid w:val="00EC06AA"/>
    <w:rsid w:val="00EC074E"/>
    <w:rsid w:val="00EC08B9"/>
    <w:rsid w:val="00EC0984"/>
    <w:rsid w:val="00EC09C8"/>
    <w:rsid w:val="00EC0A8E"/>
    <w:rsid w:val="00EC0B5D"/>
    <w:rsid w:val="00EC0B8A"/>
    <w:rsid w:val="00EC0B8C"/>
    <w:rsid w:val="00EC0C1E"/>
    <w:rsid w:val="00EC0C7F"/>
    <w:rsid w:val="00EC0D1E"/>
    <w:rsid w:val="00EC0D93"/>
    <w:rsid w:val="00EC0DE2"/>
    <w:rsid w:val="00EC0EC6"/>
    <w:rsid w:val="00EC0F3B"/>
    <w:rsid w:val="00EC0F67"/>
    <w:rsid w:val="00EC109F"/>
    <w:rsid w:val="00EC10AB"/>
    <w:rsid w:val="00EC1149"/>
    <w:rsid w:val="00EC1162"/>
    <w:rsid w:val="00EC1255"/>
    <w:rsid w:val="00EC1275"/>
    <w:rsid w:val="00EC128C"/>
    <w:rsid w:val="00EC1333"/>
    <w:rsid w:val="00EC1369"/>
    <w:rsid w:val="00EC13A8"/>
    <w:rsid w:val="00EC13FE"/>
    <w:rsid w:val="00EC149F"/>
    <w:rsid w:val="00EC155A"/>
    <w:rsid w:val="00EC15BE"/>
    <w:rsid w:val="00EC160C"/>
    <w:rsid w:val="00EC164F"/>
    <w:rsid w:val="00EC1895"/>
    <w:rsid w:val="00EC18C8"/>
    <w:rsid w:val="00EC196C"/>
    <w:rsid w:val="00EC19D1"/>
    <w:rsid w:val="00EC1A02"/>
    <w:rsid w:val="00EC1AA9"/>
    <w:rsid w:val="00EC1B6A"/>
    <w:rsid w:val="00EC1C4F"/>
    <w:rsid w:val="00EC1D17"/>
    <w:rsid w:val="00EC1D26"/>
    <w:rsid w:val="00EC1D6C"/>
    <w:rsid w:val="00EC1E18"/>
    <w:rsid w:val="00EC1E49"/>
    <w:rsid w:val="00EC1E7B"/>
    <w:rsid w:val="00EC1EB3"/>
    <w:rsid w:val="00EC1F9A"/>
    <w:rsid w:val="00EC2058"/>
    <w:rsid w:val="00EC20AB"/>
    <w:rsid w:val="00EC236F"/>
    <w:rsid w:val="00EC2466"/>
    <w:rsid w:val="00EC2470"/>
    <w:rsid w:val="00EC24B9"/>
    <w:rsid w:val="00EC2846"/>
    <w:rsid w:val="00EC294F"/>
    <w:rsid w:val="00EC2ACA"/>
    <w:rsid w:val="00EC2B59"/>
    <w:rsid w:val="00EC2B8A"/>
    <w:rsid w:val="00EC2BC7"/>
    <w:rsid w:val="00EC2C46"/>
    <w:rsid w:val="00EC2C94"/>
    <w:rsid w:val="00EC2D07"/>
    <w:rsid w:val="00EC2D44"/>
    <w:rsid w:val="00EC2D85"/>
    <w:rsid w:val="00EC2DAA"/>
    <w:rsid w:val="00EC2E6F"/>
    <w:rsid w:val="00EC2EA3"/>
    <w:rsid w:val="00EC2F2E"/>
    <w:rsid w:val="00EC2F88"/>
    <w:rsid w:val="00EC30AC"/>
    <w:rsid w:val="00EC30F0"/>
    <w:rsid w:val="00EC321A"/>
    <w:rsid w:val="00EC32AB"/>
    <w:rsid w:val="00EC332A"/>
    <w:rsid w:val="00EC340B"/>
    <w:rsid w:val="00EC34B9"/>
    <w:rsid w:val="00EC34F7"/>
    <w:rsid w:val="00EC3588"/>
    <w:rsid w:val="00EC3621"/>
    <w:rsid w:val="00EC3643"/>
    <w:rsid w:val="00EC3668"/>
    <w:rsid w:val="00EC3694"/>
    <w:rsid w:val="00EC36AA"/>
    <w:rsid w:val="00EC36FA"/>
    <w:rsid w:val="00EC3932"/>
    <w:rsid w:val="00EC393E"/>
    <w:rsid w:val="00EC3A4A"/>
    <w:rsid w:val="00EC3ABC"/>
    <w:rsid w:val="00EC3C35"/>
    <w:rsid w:val="00EC3C95"/>
    <w:rsid w:val="00EC3D75"/>
    <w:rsid w:val="00EC3F8F"/>
    <w:rsid w:val="00EC3FE6"/>
    <w:rsid w:val="00EC4092"/>
    <w:rsid w:val="00EC40B5"/>
    <w:rsid w:val="00EC40DA"/>
    <w:rsid w:val="00EC40F1"/>
    <w:rsid w:val="00EC42BA"/>
    <w:rsid w:val="00EC4445"/>
    <w:rsid w:val="00EC45D0"/>
    <w:rsid w:val="00EC45E9"/>
    <w:rsid w:val="00EC461E"/>
    <w:rsid w:val="00EC4655"/>
    <w:rsid w:val="00EC46A5"/>
    <w:rsid w:val="00EC46D1"/>
    <w:rsid w:val="00EC4739"/>
    <w:rsid w:val="00EC47B4"/>
    <w:rsid w:val="00EC48B2"/>
    <w:rsid w:val="00EC49FF"/>
    <w:rsid w:val="00EC4A7D"/>
    <w:rsid w:val="00EC4C1C"/>
    <w:rsid w:val="00EC4CE6"/>
    <w:rsid w:val="00EC4D59"/>
    <w:rsid w:val="00EC4D76"/>
    <w:rsid w:val="00EC4D8C"/>
    <w:rsid w:val="00EC4DE3"/>
    <w:rsid w:val="00EC4E09"/>
    <w:rsid w:val="00EC4E46"/>
    <w:rsid w:val="00EC4EB8"/>
    <w:rsid w:val="00EC4EB9"/>
    <w:rsid w:val="00EC4F2E"/>
    <w:rsid w:val="00EC4F62"/>
    <w:rsid w:val="00EC5121"/>
    <w:rsid w:val="00EC5160"/>
    <w:rsid w:val="00EC51BF"/>
    <w:rsid w:val="00EC5346"/>
    <w:rsid w:val="00EC53B0"/>
    <w:rsid w:val="00EC543E"/>
    <w:rsid w:val="00EC545D"/>
    <w:rsid w:val="00EC575A"/>
    <w:rsid w:val="00EC5974"/>
    <w:rsid w:val="00EC5B1E"/>
    <w:rsid w:val="00EC5B91"/>
    <w:rsid w:val="00EC5CA9"/>
    <w:rsid w:val="00EC5D33"/>
    <w:rsid w:val="00EC5F27"/>
    <w:rsid w:val="00EC5FB0"/>
    <w:rsid w:val="00EC61F8"/>
    <w:rsid w:val="00EC6215"/>
    <w:rsid w:val="00EC628E"/>
    <w:rsid w:val="00EC629B"/>
    <w:rsid w:val="00EC62EB"/>
    <w:rsid w:val="00EC63B4"/>
    <w:rsid w:val="00EC63C9"/>
    <w:rsid w:val="00EC6677"/>
    <w:rsid w:val="00EC6750"/>
    <w:rsid w:val="00EC6782"/>
    <w:rsid w:val="00EC6887"/>
    <w:rsid w:val="00EC6964"/>
    <w:rsid w:val="00EC69EE"/>
    <w:rsid w:val="00EC6AA3"/>
    <w:rsid w:val="00EC6BB0"/>
    <w:rsid w:val="00EC6C0F"/>
    <w:rsid w:val="00EC6CE3"/>
    <w:rsid w:val="00EC6D28"/>
    <w:rsid w:val="00EC6EC3"/>
    <w:rsid w:val="00EC6F40"/>
    <w:rsid w:val="00EC70EC"/>
    <w:rsid w:val="00EC7205"/>
    <w:rsid w:val="00EC72AC"/>
    <w:rsid w:val="00EC730B"/>
    <w:rsid w:val="00EC737E"/>
    <w:rsid w:val="00EC743D"/>
    <w:rsid w:val="00EC75E7"/>
    <w:rsid w:val="00EC7600"/>
    <w:rsid w:val="00EC7608"/>
    <w:rsid w:val="00EC76EE"/>
    <w:rsid w:val="00EC7720"/>
    <w:rsid w:val="00EC776E"/>
    <w:rsid w:val="00EC783D"/>
    <w:rsid w:val="00EC79C0"/>
    <w:rsid w:val="00EC7A60"/>
    <w:rsid w:val="00EC7ACD"/>
    <w:rsid w:val="00EC7C3C"/>
    <w:rsid w:val="00EC7CBE"/>
    <w:rsid w:val="00EC7E1E"/>
    <w:rsid w:val="00EC7EBF"/>
    <w:rsid w:val="00EC7EF3"/>
    <w:rsid w:val="00EC7F7F"/>
    <w:rsid w:val="00EC7F96"/>
    <w:rsid w:val="00EC7FFD"/>
    <w:rsid w:val="00ED001F"/>
    <w:rsid w:val="00ED005B"/>
    <w:rsid w:val="00ED021B"/>
    <w:rsid w:val="00ED0495"/>
    <w:rsid w:val="00ED0558"/>
    <w:rsid w:val="00ED06BA"/>
    <w:rsid w:val="00ED06DC"/>
    <w:rsid w:val="00ED080D"/>
    <w:rsid w:val="00ED0815"/>
    <w:rsid w:val="00ED0864"/>
    <w:rsid w:val="00ED08D0"/>
    <w:rsid w:val="00ED0969"/>
    <w:rsid w:val="00ED097A"/>
    <w:rsid w:val="00ED09BE"/>
    <w:rsid w:val="00ED09CC"/>
    <w:rsid w:val="00ED0AF9"/>
    <w:rsid w:val="00ED0C20"/>
    <w:rsid w:val="00ED0CE2"/>
    <w:rsid w:val="00ED0DA6"/>
    <w:rsid w:val="00ED0E87"/>
    <w:rsid w:val="00ED0E9C"/>
    <w:rsid w:val="00ED1040"/>
    <w:rsid w:val="00ED109C"/>
    <w:rsid w:val="00ED10CF"/>
    <w:rsid w:val="00ED1112"/>
    <w:rsid w:val="00ED11D6"/>
    <w:rsid w:val="00ED1280"/>
    <w:rsid w:val="00ED13CA"/>
    <w:rsid w:val="00ED145B"/>
    <w:rsid w:val="00ED14FC"/>
    <w:rsid w:val="00ED1557"/>
    <w:rsid w:val="00ED15DA"/>
    <w:rsid w:val="00ED16CF"/>
    <w:rsid w:val="00ED16EF"/>
    <w:rsid w:val="00ED173A"/>
    <w:rsid w:val="00ED18DC"/>
    <w:rsid w:val="00ED19B6"/>
    <w:rsid w:val="00ED1B19"/>
    <w:rsid w:val="00ED1B64"/>
    <w:rsid w:val="00ED1B90"/>
    <w:rsid w:val="00ED1B94"/>
    <w:rsid w:val="00ED1C27"/>
    <w:rsid w:val="00ED1C33"/>
    <w:rsid w:val="00ED1CC8"/>
    <w:rsid w:val="00ED1D86"/>
    <w:rsid w:val="00ED1ED2"/>
    <w:rsid w:val="00ED1F15"/>
    <w:rsid w:val="00ED213D"/>
    <w:rsid w:val="00ED2144"/>
    <w:rsid w:val="00ED214D"/>
    <w:rsid w:val="00ED21AE"/>
    <w:rsid w:val="00ED22AF"/>
    <w:rsid w:val="00ED22D0"/>
    <w:rsid w:val="00ED251A"/>
    <w:rsid w:val="00ED25EE"/>
    <w:rsid w:val="00ED2671"/>
    <w:rsid w:val="00ED26BE"/>
    <w:rsid w:val="00ED27A0"/>
    <w:rsid w:val="00ED28D5"/>
    <w:rsid w:val="00ED296F"/>
    <w:rsid w:val="00ED2A5E"/>
    <w:rsid w:val="00ED2AB3"/>
    <w:rsid w:val="00ED2C1D"/>
    <w:rsid w:val="00ED2D04"/>
    <w:rsid w:val="00ED2D1C"/>
    <w:rsid w:val="00ED2E17"/>
    <w:rsid w:val="00ED2E32"/>
    <w:rsid w:val="00ED2E3F"/>
    <w:rsid w:val="00ED2ED1"/>
    <w:rsid w:val="00ED2F30"/>
    <w:rsid w:val="00ED2F9D"/>
    <w:rsid w:val="00ED2FBA"/>
    <w:rsid w:val="00ED3031"/>
    <w:rsid w:val="00ED31D2"/>
    <w:rsid w:val="00ED31E5"/>
    <w:rsid w:val="00ED31EA"/>
    <w:rsid w:val="00ED33B2"/>
    <w:rsid w:val="00ED3407"/>
    <w:rsid w:val="00ED362B"/>
    <w:rsid w:val="00ED37A3"/>
    <w:rsid w:val="00ED38CE"/>
    <w:rsid w:val="00ED3974"/>
    <w:rsid w:val="00ED39D3"/>
    <w:rsid w:val="00ED39E9"/>
    <w:rsid w:val="00ED3A60"/>
    <w:rsid w:val="00ED3A7D"/>
    <w:rsid w:val="00ED3B24"/>
    <w:rsid w:val="00ED3BD3"/>
    <w:rsid w:val="00ED3C83"/>
    <w:rsid w:val="00ED3C85"/>
    <w:rsid w:val="00ED3CE3"/>
    <w:rsid w:val="00ED3D2E"/>
    <w:rsid w:val="00ED3E5B"/>
    <w:rsid w:val="00ED3FC4"/>
    <w:rsid w:val="00ED4153"/>
    <w:rsid w:val="00ED41A4"/>
    <w:rsid w:val="00ED42C2"/>
    <w:rsid w:val="00ED433C"/>
    <w:rsid w:val="00ED43A8"/>
    <w:rsid w:val="00ED43E5"/>
    <w:rsid w:val="00ED44A4"/>
    <w:rsid w:val="00ED44BB"/>
    <w:rsid w:val="00ED4504"/>
    <w:rsid w:val="00ED4542"/>
    <w:rsid w:val="00ED4560"/>
    <w:rsid w:val="00ED461C"/>
    <w:rsid w:val="00ED4713"/>
    <w:rsid w:val="00ED471E"/>
    <w:rsid w:val="00ED47E7"/>
    <w:rsid w:val="00ED4A9F"/>
    <w:rsid w:val="00ED4B3F"/>
    <w:rsid w:val="00ED4CE7"/>
    <w:rsid w:val="00ED4D2A"/>
    <w:rsid w:val="00ED4E1A"/>
    <w:rsid w:val="00ED4F99"/>
    <w:rsid w:val="00ED4FD6"/>
    <w:rsid w:val="00ED5072"/>
    <w:rsid w:val="00ED50D3"/>
    <w:rsid w:val="00ED5247"/>
    <w:rsid w:val="00ED52B7"/>
    <w:rsid w:val="00ED52D7"/>
    <w:rsid w:val="00ED5630"/>
    <w:rsid w:val="00ED5651"/>
    <w:rsid w:val="00ED5672"/>
    <w:rsid w:val="00ED57A6"/>
    <w:rsid w:val="00ED592F"/>
    <w:rsid w:val="00ED5947"/>
    <w:rsid w:val="00ED59AB"/>
    <w:rsid w:val="00ED59BA"/>
    <w:rsid w:val="00ED5A76"/>
    <w:rsid w:val="00ED5A9F"/>
    <w:rsid w:val="00ED5AC7"/>
    <w:rsid w:val="00ED5B3C"/>
    <w:rsid w:val="00ED5B6D"/>
    <w:rsid w:val="00ED5BB3"/>
    <w:rsid w:val="00ED5CE8"/>
    <w:rsid w:val="00ED5DA4"/>
    <w:rsid w:val="00ED5E89"/>
    <w:rsid w:val="00ED5FD1"/>
    <w:rsid w:val="00ED600A"/>
    <w:rsid w:val="00ED6080"/>
    <w:rsid w:val="00ED61BA"/>
    <w:rsid w:val="00ED620F"/>
    <w:rsid w:val="00ED623A"/>
    <w:rsid w:val="00ED6362"/>
    <w:rsid w:val="00ED63BE"/>
    <w:rsid w:val="00ED63CA"/>
    <w:rsid w:val="00ED63FA"/>
    <w:rsid w:val="00ED679B"/>
    <w:rsid w:val="00ED692B"/>
    <w:rsid w:val="00ED69AF"/>
    <w:rsid w:val="00ED69F3"/>
    <w:rsid w:val="00ED6B56"/>
    <w:rsid w:val="00ED6BA7"/>
    <w:rsid w:val="00ED6C21"/>
    <w:rsid w:val="00ED6DA6"/>
    <w:rsid w:val="00ED6E22"/>
    <w:rsid w:val="00ED6E30"/>
    <w:rsid w:val="00ED6EDF"/>
    <w:rsid w:val="00ED6EE4"/>
    <w:rsid w:val="00ED6F27"/>
    <w:rsid w:val="00ED6F5A"/>
    <w:rsid w:val="00ED7291"/>
    <w:rsid w:val="00ED72A4"/>
    <w:rsid w:val="00ED7345"/>
    <w:rsid w:val="00ED735F"/>
    <w:rsid w:val="00ED7387"/>
    <w:rsid w:val="00ED73F3"/>
    <w:rsid w:val="00ED7464"/>
    <w:rsid w:val="00ED762C"/>
    <w:rsid w:val="00ED77BF"/>
    <w:rsid w:val="00ED7866"/>
    <w:rsid w:val="00ED7878"/>
    <w:rsid w:val="00ED78F9"/>
    <w:rsid w:val="00ED7A66"/>
    <w:rsid w:val="00ED7A76"/>
    <w:rsid w:val="00ED7AB0"/>
    <w:rsid w:val="00ED7AF9"/>
    <w:rsid w:val="00ED7B0A"/>
    <w:rsid w:val="00ED7B72"/>
    <w:rsid w:val="00ED7C4F"/>
    <w:rsid w:val="00ED7C6E"/>
    <w:rsid w:val="00ED7C79"/>
    <w:rsid w:val="00ED7DAB"/>
    <w:rsid w:val="00ED7F3C"/>
    <w:rsid w:val="00EE00E4"/>
    <w:rsid w:val="00EE0103"/>
    <w:rsid w:val="00EE010F"/>
    <w:rsid w:val="00EE01EB"/>
    <w:rsid w:val="00EE0277"/>
    <w:rsid w:val="00EE037F"/>
    <w:rsid w:val="00EE0433"/>
    <w:rsid w:val="00EE0534"/>
    <w:rsid w:val="00EE055B"/>
    <w:rsid w:val="00EE06EB"/>
    <w:rsid w:val="00EE07AB"/>
    <w:rsid w:val="00EE07B7"/>
    <w:rsid w:val="00EE0843"/>
    <w:rsid w:val="00EE08F5"/>
    <w:rsid w:val="00EE09D8"/>
    <w:rsid w:val="00EE0A10"/>
    <w:rsid w:val="00EE0AB7"/>
    <w:rsid w:val="00EE0ABB"/>
    <w:rsid w:val="00EE0B58"/>
    <w:rsid w:val="00EE0B91"/>
    <w:rsid w:val="00EE0BA3"/>
    <w:rsid w:val="00EE0C01"/>
    <w:rsid w:val="00EE0DBA"/>
    <w:rsid w:val="00EE0E43"/>
    <w:rsid w:val="00EE0E4F"/>
    <w:rsid w:val="00EE0EA5"/>
    <w:rsid w:val="00EE0F1B"/>
    <w:rsid w:val="00EE0F73"/>
    <w:rsid w:val="00EE0FF1"/>
    <w:rsid w:val="00EE1122"/>
    <w:rsid w:val="00EE1176"/>
    <w:rsid w:val="00EE11B1"/>
    <w:rsid w:val="00EE12D8"/>
    <w:rsid w:val="00EE12DD"/>
    <w:rsid w:val="00EE14AE"/>
    <w:rsid w:val="00EE1525"/>
    <w:rsid w:val="00EE15EB"/>
    <w:rsid w:val="00EE166A"/>
    <w:rsid w:val="00EE16B9"/>
    <w:rsid w:val="00EE1735"/>
    <w:rsid w:val="00EE183E"/>
    <w:rsid w:val="00EE1911"/>
    <w:rsid w:val="00EE196A"/>
    <w:rsid w:val="00EE197C"/>
    <w:rsid w:val="00EE1A14"/>
    <w:rsid w:val="00EE1AE3"/>
    <w:rsid w:val="00EE1C11"/>
    <w:rsid w:val="00EE1C17"/>
    <w:rsid w:val="00EE1C47"/>
    <w:rsid w:val="00EE1C57"/>
    <w:rsid w:val="00EE1CD6"/>
    <w:rsid w:val="00EE1E59"/>
    <w:rsid w:val="00EE1E97"/>
    <w:rsid w:val="00EE2033"/>
    <w:rsid w:val="00EE2178"/>
    <w:rsid w:val="00EE2278"/>
    <w:rsid w:val="00EE233D"/>
    <w:rsid w:val="00EE2487"/>
    <w:rsid w:val="00EE2537"/>
    <w:rsid w:val="00EE25B5"/>
    <w:rsid w:val="00EE25F3"/>
    <w:rsid w:val="00EE267A"/>
    <w:rsid w:val="00EE271D"/>
    <w:rsid w:val="00EE2738"/>
    <w:rsid w:val="00EE273B"/>
    <w:rsid w:val="00EE2802"/>
    <w:rsid w:val="00EE281B"/>
    <w:rsid w:val="00EE2995"/>
    <w:rsid w:val="00EE2A2A"/>
    <w:rsid w:val="00EE2A42"/>
    <w:rsid w:val="00EE2A4A"/>
    <w:rsid w:val="00EE2B43"/>
    <w:rsid w:val="00EE2B9B"/>
    <w:rsid w:val="00EE2BA8"/>
    <w:rsid w:val="00EE2BE2"/>
    <w:rsid w:val="00EE2C98"/>
    <w:rsid w:val="00EE2D16"/>
    <w:rsid w:val="00EE2D19"/>
    <w:rsid w:val="00EE2D30"/>
    <w:rsid w:val="00EE2D4D"/>
    <w:rsid w:val="00EE2F38"/>
    <w:rsid w:val="00EE3015"/>
    <w:rsid w:val="00EE3076"/>
    <w:rsid w:val="00EE3094"/>
    <w:rsid w:val="00EE30E8"/>
    <w:rsid w:val="00EE3167"/>
    <w:rsid w:val="00EE3255"/>
    <w:rsid w:val="00EE328D"/>
    <w:rsid w:val="00EE32E9"/>
    <w:rsid w:val="00EE34A7"/>
    <w:rsid w:val="00EE3525"/>
    <w:rsid w:val="00EE35BA"/>
    <w:rsid w:val="00EE3731"/>
    <w:rsid w:val="00EE378E"/>
    <w:rsid w:val="00EE3846"/>
    <w:rsid w:val="00EE384F"/>
    <w:rsid w:val="00EE3940"/>
    <w:rsid w:val="00EE397D"/>
    <w:rsid w:val="00EE3A1A"/>
    <w:rsid w:val="00EE3A26"/>
    <w:rsid w:val="00EE3A71"/>
    <w:rsid w:val="00EE3A9F"/>
    <w:rsid w:val="00EE3AB8"/>
    <w:rsid w:val="00EE3BEE"/>
    <w:rsid w:val="00EE3BF6"/>
    <w:rsid w:val="00EE3C3C"/>
    <w:rsid w:val="00EE3C62"/>
    <w:rsid w:val="00EE3C99"/>
    <w:rsid w:val="00EE3D65"/>
    <w:rsid w:val="00EE3D6D"/>
    <w:rsid w:val="00EE3D77"/>
    <w:rsid w:val="00EE3E0B"/>
    <w:rsid w:val="00EE3EA5"/>
    <w:rsid w:val="00EE3EAC"/>
    <w:rsid w:val="00EE3F29"/>
    <w:rsid w:val="00EE3F3F"/>
    <w:rsid w:val="00EE3FC1"/>
    <w:rsid w:val="00EE3FF8"/>
    <w:rsid w:val="00EE406D"/>
    <w:rsid w:val="00EE40D5"/>
    <w:rsid w:val="00EE462B"/>
    <w:rsid w:val="00EE4634"/>
    <w:rsid w:val="00EE467F"/>
    <w:rsid w:val="00EE46A9"/>
    <w:rsid w:val="00EE47F3"/>
    <w:rsid w:val="00EE485B"/>
    <w:rsid w:val="00EE48B4"/>
    <w:rsid w:val="00EE48EE"/>
    <w:rsid w:val="00EE4991"/>
    <w:rsid w:val="00EE4A4D"/>
    <w:rsid w:val="00EE4B00"/>
    <w:rsid w:val="00EE4B52"/>
    <w:rsid w:val="00EE4B83"/>
    <w:rsid w:val="00EE4B9F"/>
    <w:rsid w:val="00EE4BE4"/>
    <w:rsid w:val="00EE4C5E"/>
    <w:rsid w:val="00EE4D32"/>
    <w:rsid w:val="00EE4F09"/>
    <w:rsid w:val="00EE4F27"/>
    <w:rsid w:val="00EE4F97"/>
    <w:rsid w:val="00EE5016"/>
    <w:rsid w:val="00EE508C"/>
    <w:rsid w:val="00EE5134"/>
    <w:rsid w:val="00EE514E"/>
    <w:rsid w:val="00EE527F"/>
    <w:rsid w:val="00EE52AA"/>
    <w:rsid w:val="00EE53C3"/>
    <w:rsid w:val="00EE5501"/>
    <w:rsid w:val="00EE5600"/>
    <w:rsid w:val="00EE57BF"/>
    <w:rsid w:val="00EE5830"/>
    <w:rsid w:val="00EE58E9"/>
    <w:rsid w:val="00EE5939"/>
    <w:rsid w:val="00EE5A11"/>
    <w:rsid w:val="00EE5A25"/>
    <w:rsid w:val="00EE5A3E"/>
    <w:rsid w:val="00EE5B8D"/>
    <w:rsid w:val="00EE5BA5"/>
    <w:rsid w:val="00EE5C47"/>
    <w:rsid w:val="00EE5C8C"/>
    <w:rsid w:val="00EE5F1C"/>
    <w:rsid w:val="00EE5F27"/>
    <w:rsid w:val="00EE5FAB"/>
    <w:rsid w:val="00EE5FC3"/>
    <w:rsid w:val="00EE606C"/>
    <w:rsid w:val="00EE6093"/>
    <w:rsid w:val="00EE6103"/>
    <w:rsid w:val="00EE617E"/>
    <w:rsid w:val="00EE61CE"/>
    <w:rsid w:val="00EE6348"/>
    <w:rsid w:val="00EE63F7"/>
    <w:rsid w:val="00EE63F8"/>
    <w:rsid w:val="00EE645B"/>
    <w:rsid w:val="00EE654A"/>
    <w:rsid w:val="00EE656A"/>
    <w:rsid w:val="00EE661D"/>
    <w:rsid w:val="00EE6620"/>
    <w:rsid w:val="00EE68EA"/>
    <w:rsid w:val="00EE69A0"/>
    <w:rsid w:val="00EE69D4"/>
    <w:rsid w:val="00EE6A03"/>
    <w:rsid w:val="00EE6A14"/>
    <w:rsid w:val="00EE6AE4"/>
    <w:rsid w:val="00EE6B00"/>
    <w:rsid w:val="00EE6B8D"/>
    <w:rsid w:val="00EE6C17"/>
    <w:rsid w:val="00EE6C39"/>
    <w:rsid w:val="00EE6DDF"/>
    <w:rsid w:val="00EE6E74"/>
    <w:rsid w:val="00EE6F52"/>
    <w:rsid w:val="00EE70F7"/>
    <w:rsid w:val="00EE7165"/>
    <w:rsid w:val="00EE7270"/>
    <w:rsid w:val="00EE72CB"/>
    <w:rsid w:val="00EE733E"/>
    <w:rsid w:val="00EE748D"/>
    <w:rsid w:val="00EE7535"/>
    <w:rsid w:val="00EE753C"/>
    <w:rsid w:val="00EE7647"/>
    <w:rsid w:val="00EE76E1"/>
    <w:rsid w:val="00EE76FC"/>
    <w:rsid w:val="00EE7719"/>
    <w:rsid w:val="00EE7880"/>
    <w:rsid w:val="00EE796F"/>
    <w:rsid w:val="00EE7A08"/>
    <w:rsid w:val="00EE7A81"/>
    <w:rsid w:val="00EE7A87"/>
    <w:rsid w:val="00EE7B70"/>
    <w:rsid w:val="00EE7BB1"/>
    <w:rsid w:val="00EE7BC0"/>
    <w:rsid w:val="00EE7C55"/>
    <w:rsid w:val="00EE7D0D"/>
    <w:rsid w:val="00EE7EF2"/>
    <w:rsid w:val="00EE7F6D"/>
    <w:rsid w:val="00EF0129"/>
    <w:rsid w:val="00EF014F"/>
    <w:rsid w:val="00EF026D"/>
    <w:rsid w:val="00EF0299"/>
    <w:rsid w:val="00EF02B9"/>
    <w:rsid w:val="00EF02F7"/>
    <w:rsid w:val="00EF03BA"/>
    <w:rsid w:val="00EF03E3"/>
    <w:rsid w:val="00EF0426"/>
    <w:rsid w:val="00EF044B"/>
    <w:rsid w:val="00EF04E7"/>
    <w:rsid w:val="00EF0612"/>
    <w:rsid w:val="00EF067E"/>
    <w:rsid w:val="00EF0757"/>
    <w:rsid w:val="00EF077E"/>
    <w:rsid w:val="00EF07FD"/>
    <w:rsid w:val="00EF0949"/>
    <w:rsid w:val="00EF0A80"/>
    <w:rsid w:val="00EF0B77"/>
    <w:rsid w:val="00EF0B9D"/>
    <w:rsid w:val="00EF0CBD"/>
    <w:rsid w:val="00EF0CD8"/>
    <w:rsid w:val="00EF0CE0"/>
    <w:rsid w:val="00EF0CF1"/>
    <w:rsid w:val="00EF0DDA"/>
    <w:rsid w:val="00EF0F18"/>
    <w:rsid w:val="00EF0F6D"/>
    <w:rsid w:val="00EF0F90"/>
    <w:rsid w:val="00EF0F99"/>
    <w:rsid w:val="00EF1000"/>
    <w:rsid w:val="00EF1157"/>
    <w:rsid w:val="00EF11C0"/>
    <w:rsid w:val="00EF1295"/>
    <w:rsid w:val="00EF1354"/>
    <w:rsid w:val="00EF1374"/>
    <w:rsid w:val="00EF137C"/>
    <w:rsid w:val="00EF13F5"/>
    <w:rsid w:val="00EF145E"/>
    <w:rsid w:val="00EF154E"/>
    <w:rsid w:val="00EF1564"/>
    <w:rsid w:val="00EF15F8"/>
    <w:rsid w:val="00EF1621"/>
    <w:rsid w:val="00EF171F"/>
    <w:rsid w:val="00EF174C"/>
    <w:rsid w:val="00EF177F"/>
    <w:rsid w:val="00EF17EF"/>
    <w:rsid w:val="00EF185B"/>
    <w:rsid w:val="00EF18E2"/>
    <w:rsid w:val="00EF1A16"/>
    <w:rsid w:val="00EF1AAB"/>
    <w:rsid w:val="00EF1C44"/>
    <w:rsid w:val="00EF1C88"/>
    <w:rsid w:val="00EF1CB2"/>
    <w:rsid w:val="00EF1D5C"/>
    <w:rsid w:val="00EF1D85"/>
    <w:rsid w:val="00EF1DDE"/>
    <w:rsid w:val="00EF1E6F"/>
    <w:rsid w:val="00EF1ED1"/>
    <w:rsid w:val="00EF1F2B"/>
    <w:rsid w:val="00EF2209"/>
    <w:rsid w:val="00EF2254"/>
    <w:rsid w:val="00EF22A5"/>
    <w:rsid w:val="00EF2304"/>
    <w:rsid w:val="00EF23CC"/>
    <w:rsid w:val="00EF23FC"/>
    <w:rsid w:val="00EF252F"/>
    <w:rsid w:val="00EF2562"/>
    <w:rsid w:val="00EF2615"/>
    <w:rsid w:val="00EF2657"/>
    <w:rsid w:val="00EF2676"/>
    <w:rsid w:val="00EF2694"/>
    <w:rsid w:val="00EF26BB"/>
    <w:rsid w:val="00EF26D6"/>
    <w:rsid w:val="00EF26E2"/>
    <w:rsid w:val="00EF27FD"/>
    <w:rsid w:val="00EF28D3"/>
    <w:rsid w:val="00EF2AFA"/>
    <w:rsid w:val="00EF2BD4"/>
    <w:rsid w:val="00EF2CFC"/>
    <w:rsid w:val="00EF2F0B"/>
    <w:rsid w:val="00EF2F60"/>
    <w:rsid w:val="00EF2FA4"/>
    <w:rsid w:val="00EF3222"/>
    <w:rsid w:val="00EF327B"/>
    <w:rsid w:val="00EF32E9"/>
    <w:rsid w:val="00EF340B"/>
    <w:rsid w:val="00EF3443"/>
    <w:rsid w:val="00EF34CB"/>
    <w:rsid w:val="00EF353A"/>
    <w:rsid w:val="00EF35FA"/>
    <w:rsid w:val="00EF3620"/>
    <w:rsid w:val="00EF3636"/>
    <w:rsid w:val="00EF36A6"/>
    <w:rsid w:val="00EF370A"/>
    <w:rsid w:val="00EF3894"/>
    <w:rsid w:val="00EF38F2"/>
    <w:rsid w:val="00EF3900"/>
    <w:rsid w:val="00EF39F1"/>
    <w:rsid w:val="00EF3A66"/>
    <w:rsid w:val="00EF3A84"/>
    <w:rsid w:val="00EF3B91"/>
    <w:rsid w:val="00EF3BE1"/>
    <w:rsid w:val="00EF3C38"/>
    <w:rsid w:val="00EF3C4C"/>
    <w:rsid w:val="00EF3CA4"/>
    <w:rsid w:val="00EF3CC8"/>
    <w:rsid w:val="00EF3CD2"/>
    <w:rsid w:val="00EF3DC6"/>
    <w:rsid w:val="00EF4036"/>
    <w:rsid w:val="00EF4075"/>
    <w:rsid w:val="00EF4238"/>
    <w:rsid w:val="00EF428A"/>
    <w:rsid w:val="00EF4315"/>
    <w:rsid w:val="00EF4324"/>
    <w:rsid w:val="00EF438B"/>
    <w:rsid w:val="00EF44A0"/>
    <w:rsid w:val="00EF45B9"/>
    <w:rsid w:val="00EF45E3"/>
    <w:rsid w:val="00EF462D"/>
    <w:rsid w:val="00EF46B6"/>
    <w:rsid w:val="00EF4794"/>
    <w:rsid w:val="00EF4821"/>
    <w:rsid w:val="00EF4924"/>
    <w:rsid w:val="00EF4925"/>
    <w:rsid w:val="00EF4937"/>
    <w:rsid w:val="00EF4966"/>
    <w:rsid w:val="00EF496C"/>
    <w:rsid w:val="00EF4A77"/>
    <w:rsid w:val="00EF4B1C"/>
    <w:rsid w:val="00EF4D98"/>
    <w:rsid w:val="00EF4DAA"/>
    <w:rsid w:val="00EF4E16"/>
    <w:rsid w:val="00EF4FE0"/>
    <w:rsid w:val="00EF5046"/>
    <w:rsid w:val="00EF5061"/>
    <w:rsid w:val="00EF5137"/>
    <w:rsid w:val="00EF519E"/>
    <w:rsid w:val="00EF5213"/>
    <w:rsid w:val="00EF522C"/>
    <w:rsid w:val="00EF5241"/>
    <w:rsid w:val="00EF5264"/>
    <w:rsid w:val="00EF530F"/>
    <w:rsid w:val="00EF5365"/>
    <w:rsid w:val="00EF54FF"/>
    <w:rsid w:val="00EF5501"/>
    <w:rsid w:val="00EF55A8"/>
    <w:rsid w:val="00EF5604"/>
    <w:rsid w:val="00EF565F"/>
    <w:rsid w:val="00EF56C1"/>
    <w:rsid w:val="00EF57D7"/>
    <w:rsid w:val="00EF5854"/>
    <w:rsid w:val="00EF585F"/>
    <w:rsid w:val="00EF590C"/>
    <w:rsid w:val="00EF5993"/>
    <w:rsid w:val="00EF5B2B"/>
    <w:rsid w:val="00EF5BE0"/>
    <w:rsid w:val="00EF5C3E"/>
    <w:rsid w:val="00EF5C9C"/>
    <w:rsid w:val="00EF5CB7"/>
    <w:rsid w:val="00EF5D4B"/>
    <w:rsid w:val="00EF5DBB"/>
    <w:rsid w:val="00EF5E41"/>
    <w:rsid w:val="00EF5EA6"/>
    <w:rsid w:val="00EF5EC8"/>
    <w:rsid w:val="00EF5F8B"/>
    <w:rsid w:val="00EF5F9B"/>
    <w:rsid w:val="00EF6060"/>
    <w:rsid w:val="00EF6115"/>
    <w:rsid w:val="00EF6264"/>
    <w:rsid w:val="00EF62ED"/>
    <w:rsid w:val="00EF631E"/>
    <w:rsid w:val="00EF6354"/>
    <w:rsid w:val="00EF636E"/>
    <w:rsid w:val="00EF63E7"/>
    <w:rsid w:val="00EF640E"/>
    <w:rsid w:val="00EF64A0"/>
    <w:rsid w:val="00EF64E5"/>
    <w:rsid w:val="00EF652B"/>
    <w:rsid w:val="00EF659C"/>
    <w:rsid w:val="00EF65D5"/>
    <w:rsid w:val="00EF66AF"/>
    <w:rsid w:val="00EF673B"/>
    <w:rsid w:val="00EF674A"/>
    <w:rsid w:val="00EF6761"/>
    <w:rsid w:val="00EF688B"/>
    <w:rsid w:val="00EF6982"/>
    <w:rsid w:val="00EF6983"/>
    <w:rsid w:val="00EF69E1"/>
    <w:rsid w:val="00EF6A70"/>
    <w:rsid w:val="00EF6A84"/>
    <w:rsid w:val="00EF6AA9"/>
    <w:rsid w:val="00EF6AB9"/>
    <w:rsid w:val="00EF6B36"/>
    <w:rsid w:val="00EF6B37"/>
    <w:rsid w:val="00EF6B5B"/>
    <w:rsid w:val="00EF6DE0"/>
    <w:rsid w:val="00EF6E25"/>
    <w:rsid w:val="00EF6E44"/>
    <w:rsid w:val="00EF6EB8"/>
    <w:rsid w:val="00EF6F01"/>
    <w:rsid w:val="00EF6F78"/>
    <w:rsid w:val="00EF6FA5"/>
    <w:rsid w:val="00EF6FCF"/>
    <w:rsid w:val="00EF7002"/>
    <w:rsid w:val="00EF7082"/>
    <w:rsid w:val="00EF7209"/>
    <w:rsid w:val="00EF7360"/>
    <w:rsid w:val="00EF7364"/>
    <w:rsid w:val="00EF73CA"/>
    <w:rsid w:val="00EF73D7"/>
    <w:rsid w:val="00EF73E9"/>
    <w:rsid w:val="00EF7486"/>
    <w:rsid w:val="00EF756A"/>
    <w:rsid w:val="00EF75CB"/>
    <w:rsid w:val="00EF75EB"/>
    <w:rsid w:val="00EF75EC"/>
    <w:rsid w:val="00EF7644"/>
    <w:rsid w:val="00EF766B"/>
    <w:rsid w:val="00EF7699"/>
    <w:rsid w:val="00EF774E"/>
    <w:rsid w:val="00EF77C1"/>
    <w:rsid w:val="00EF7955"/>
    <w:rsid w:val="00EF79E0"/>
    <w:rsid w:val="00EF79EF"/>
    <w:rsid w:val="00EF7A11"/>
    <w:rsid w:val="00EF7A2B"/>
    <w:rsid w:val="00EF7ACD"/>
    <w:rsid w:val="00EF7BA1"/>
    <w:rsid w:val="00EF7C12"/>
    <w:rsid w:val="00EF7C14"/>
    <w:rsid w:val="00EF7CF1"/>
    <w:rsid w:val="00EF7D29"/>
    <w:rsid w:val="00EF7DEE"/>
    <w:rsid w:val="00EF7E01"/>
    <w:rsid w:val="00EF7E05"/>
    <w:rsid w:val="00EF7E80"/>
    <w:rsid w:val="00EF7F70"/>
    <w:rsid w:val="00F00083"/>
    <w:rsid w:val="00F000A1"/>
    <w:rsid w:val="00F00108"/>
    <w:rsid w:val="00F001E5"/>
    <w:rsid w:val="00F00308"/>
    <w:rsid w:val="00F00484"/>
    <w:rsid w:val="00F00486"/>
    <w:rsid w:val="00F0055D"/>
    <w:rsid w:val="00F005FB"/>
    <w:rsid w:val="00F0060D"/>
    <w:rsid w:val="00F0061E"/>
    <w:rsid w:val="00F0072E"/>
    <w:rsid w:val="00F0075F"/>
    <w:rsid w:val="00F00849"/>
    <w:rsid w:val="00F008AA"/>
    <w:rsid w:val="00F008F5"/>
    <w:rsid w:val="00F00918"/>
    <w:rsid w:val="00F00925"/>
    <w:rsid w:val="00F00A69"/>
    <w:rsid w:val="00F00A6A"/>
    <w:rsid w:val="00F00AD0"/>
    <w:rsid w:val="00F00DF7"/>
    <w:rsid w:val="00F00EF0"/>
    <w:rsid w:val="00F00F88"/>
    <w:rsid w:val="00F0100C"/>
    <w:rsid w:val="00F01055"/>
    <w:rsid w:val="00F012FC"/>
    <w:rsid w:val="00F01375"/>
    <w:rsid w:val="00F0144D"/>
    <w:rsid w:val="00F0155D"/>
    <w:rsid w:val="00F01871"/>
    <w:rsid w:val="00F019E1"/>
    <w:rsid w:val="00F01A69"/>
    <w:rsid w:val="00F01A6C"/>
    <w:rsid w:val="00F01A73"/>
    <w:rsid w:val="00F01A9D"/>
    <w:rsid w:val="00F01A9F"/>
    <w:rsid w:val="00F01AAD"/>
    <w:rsid w:val="00F01ADA"/>
    <w:rsid w:val="00F01B7C"/>
    <w:rsid w:val="00F01C05"/>
    <w:rsid w:val="00F01C27"/>
    <w:rsid w:val="00F01D99"/>
    <w:rsid w:val="00F01EAF"/>
    <w:rsid w:val="00F01FF0"/>
    <w:rsid w:val="00F02042"/>
    <w:rsid w:val="00F0208C"/>
    <w:rsid w:val="00F021F0"/>
    <w:rsid w:val="00F02214"/>
    <w:rsid w:val="00F02304"/>
    <w:rsid w:val="00F0230E"/>
    <w:rsid w:val="00F02350"/>
    <w:rsid w:val="00F0268A"/>
    <w:rsid w:val="00F026F2"/>
    <w:rsid w:val="00F02777"/>
    <w:rsid w:val="00F02917"/>
    <w:rsid w:val="00F029E4"/>
    <w:rsid w:val="00F02AA7"/>
    <w:rsid w:val="00F02AAE"/>
    <w:rsid w:val="00F02ABD"/>
    <w:rsid w:val="00F02B0E"/>
    <w:rsid w:val="00F02B87"/>
    <w:rsid w:val="00F02B9D"/>
    <w:rsid w:val="00F02BDD"/>
    <w:rsid w:val="00F02D4A"/>
    <w:rsid w:val="00F02D4C"/>
    <w:rsid w:val="00F02DB4"/>
    <w:rsid w:val="00F02DB8"/>
    <w:rsid w:val="00F02E0D"/>
    <w:rsid w:val="00F02E17"/>
    <w:rsid w:val="00F02E76"/>
    <w:rsid w:val="00F02F7C"/>
    <w:rsid w:val="00F0305B"/>
    <w:rsid w:val="00F03064"/>
    <w:rsid w:val="00F03112"/>
    <w:rsid w:val="00F0314B"/>
    <w:rsid w:val="00F031E4"/>
    <w:rsid w:val="00F0332B"/>
    <w:rsid w:val="00F033FF"/>
    <w:rsid w:val="00F03409"/>
    <w:rsid w:val="00F03440"/>
    <w:rsid w:val="00F034BD"/>
    <w:rsid w:val="00F034E0"/>
    <w:rsid w:val="00F035CC"/>
    <w:rsid w:val="00F036BD"/>
    <w:rsid w:val="00F036EC"/>
    <w:rsid w:val="00F0370B"/>
    <w:rsid w:val="00F03715"/>
    <w:rsid w:val="00F037CF"/>
    <w:rsid w:val="00F03891"/>
    <w:rsid w:val="00F0392B"/>
    <w:rsid w:val="00F03B78"/>
    <w:rsid w:val="00F03C08"/>
    <w:rsid w:val="00F03C69"/>
    <w:rsid w:val="00F03C89"/>
    <w:rsid w:val="00F03E19"/>
    <w:rsid w:val="00F03E39"/>
    <w:rsid w:val="00F03EB2"/>
    <w:rsid w:val="00F03EFC"/>
    <w:rsid w:val="00F03F15"/>
    <w:rsid w:val="00F03F53"/>
    <w:rsid w:val="00F04028"/>
    <w:rsid w:val="00F04089"/>
    <w:rsid w:val="00F040C1"/>
    <w:rsid w:val="00F04179"/>
    <w:rsid w:val="00F041A6"/>
    <w:rsid w:val="00F04226"/>
    <w:rsid w:val="00F04329"/>
    <w:rsid w:val="00F04375"/>
    <w:rsid w:val="00F043FF"/>
    <w:rsid w:val="00F04418"/>
    <w:rsid w:val="00F04556"/>
    <w:rsid w:val="00F045F3"/>
    <w:rsid w:val="00F0466F"/>
    <w:rsid w:val="00F04687"/>
    <w:rsid w:val="00F0478A"/>
    <w:rsid w:val="00F047E3"/>
    <w:rsid w:val="00F04892"/>
    <w:rsid w:val="00F048B7"/>
    <w:rsid w:val="00F0498C"/>
    <w:rsid w:val="00F04996"/>
    <w:rsid w:val="00F04ABA"/>
    <w:rsid w:val="00F04B5E"/>
    <w:rsid w:val="00F04B62"/>
    <w:rsid w:val="00F04BB6"/>
    <w:rsid w:val="00F04C69"/>
    <w:rsid w:val="00F04C86"/>
    <w:rsid w:val="00F04D03"/>
    <w:rsid w:val="00F04DDA"/>
    <w:rsid w:val="00F04DEC"/>
    <w:rsid w:val="00F04E98"/>
    <w:rsid w:val="00F04EAE"/>
    <w:rsid w:val="00F04EFE"/>
    <w:rsid w:val="00F04FCC"/>
    <w:rsid w:val="00F0504E"/>
    <w:rsid w:val="00F0505A"/>
    <w:rsid w:val="00F05118"/>
    <w:rsid w:val="00F052A8"/>
    <w:rsid w:val="00F052C9"/>
    <w:rsid w:val="00F05303"/>
    <w:rsid w:val="00F0532B"/>
    <w:rsid w:val="00F05340"/>
    <w:rsid w:val="00F0568A"/>
    <w:rsid w:val="00F0570B"/>
    <w:rsid w:val="00F057B9"/>
    <w:rsid w:val="00F0583B"/>
    <w:rsid w:val="00F058C5"/>
    <w:rsid w:val="00F058CE"/>
    <w:rsid w:val="00F058F7"/>
    <w:rsid w:val="00F059EB"/>
    <w:rsid w:val="00F05A37"/>
    <w:rsid w:val="00F05BFB"/>
    <w:rsid w:val="00F05C3E"/>
    <w:rsid w:val="00F05CBE"/>
    <w:rsid w:val="00F05CF6"/>
    <w:rsid w:val="00F05DF5"/>
    <w:rsid w:val="00F05E5C"/>
    <w:rsid w:val="00F05E81"/>
    <w:rsid w:val="00F05FF1"/>
    <w:rsid w:val="00F06083"/>
    <w:rsid w:val="00F060D1"/>
    <w:rsid w:val="00F06279"/>
    <w:rsid w:val="00F062E8"/>
    <w:rsid w:val="00F0630C"/>
    <w:rsid w:val="00F0637C"/>
    <w:rsid w:val="00F063A8"/>
    <w:rsid w:val="00F064C3"/>
    <w:rsid w:val="00F064D8"/>
    <w:rsid w:val="00F06592"/>
    <w:rsid w:val="00F065C5"/>
    <w:rsid w:val="00F06749"/>
    <w:rsid w:val="00F06912"/>
    <w:rsid w:val="00F06997"/>
    <w:rsid w:val="00F06B75"/>
    <w:rsid w:val="00F06BEF"/>
    <w:rsid w:val="00F06C0E"/>
    <w:rsid w:val="00F06C3D"/>
    <w:rsid w:val="00F06C5F"/>
    <w:rsid w:val="00F06CFD"/>
    <w:rsid w:val="00F06D42"/>
    <w:rsid w:val="00F06E20"/>
    <w:rsid w:val="00F06E91"/>
    <w:rsid w:val="00F06F7A"/>
    <w:rsid w:val="00F06FB8"/>
    <w:rsid w:val="00F06FED"/>
    <w:rsid w:val="00F0702F"/>
    <w:rsid w:val="00F07075"/>
    <w:rsid w:val="00F07081"/>
    <w:rsid w:val="00F07101"/>
    <w:rsid w:val="00F07182"/>
    <w:rsid w:val="00F071D6"/>
    <w:rsid w:val="00F07217"/>
    <w:rsid w:val="00F07220"/>
    <w:rsid w:val="00F072AD"/>
    <w:rsid w:val="00F072AE"/>
    <w:rsid w:val="00F072DF"/>
    <w:rsid w:val="00F07386"/>
    <w:rsid w:val="00F07495"/>
    <w:rsid w:val="00F0750F"/>
    <w:rsid w:val="00F075A5"/>
    <w:rsid w:val="00F07663"/>
    <w:rsid w:val="00F077DF"/>
    <w:rsid w:val="00F07A0D"/>
    <w:rsid w:val="00F07A0E"/>
    <w:rsid w:val="00F07A38"/>
    <w:rsid w:val="00F07A7D"/>
    <w:rsid w:val="00F07B28"/>
    <w:rsid w:val="00F07B83"/>
    <w:rsid w:val="00F07CAA"/>
    <w:rsid w:val="00F07D15"/>
    <w:rsid w:val="00F07D2B"/>
    <w:rsid w:val="00F07ED3"/>
    <w:rsid w:val="00F07F28"/>
    <w:rsid w:val="00F1000B"/>
    <w:rsid w:val="00F10031"/>
    <w:rsid w:val="00F10092"/>
    <w:rsid w:val="00F10101"/>
    <w:rsid w:val="00F10144"/>
    <w:rsid w:val="00F10321"/>
    <w:rsid w:val="00F105BA"/>
    <w:rsid w:val="00F105F1"/>
    <w:rsid w:val="00F10781"/>
    <w:rsid w:val="00F1080C"/>
    <w:rsid w:val="00F1084A"/>
    <w:rsid w:val="00F10905"/>
    <w:rsid w:val="00F10922"/>
    <w:rsid w:val="00F109E6"/>
    <w:rsid w:val="00F10A0F"/>
    <w:rsid w:val="00F10DBA"/>
    <w:rsid w:val="00F10DF1"/>
    <w:rsid w:val="00F10E45"/>
    <w:rsid w:val="00F10F12"/>
    <w:rsid w:val="00F11093"/>
    <w:rsid w:val="00F110DC"/>
    <w:rsid w:val="00F11169"/>
    <w:rsid w:val="00F112AF"/>
    <w:rsid w:val="00F11320"/>
    <w:rsid w:val="00F11340"/>
    <w:rsid w:val="00F113C0"/>
    <w:rsid w:val="00F113D9"/>
    <w:rsid w:val="00F11482"/>
    <w:rsid w:val="00F114BC"/>
    <w:rsid w:val="00F1152F"/>
    <w:rsid w:val="00F1155C"/>
    <w:rsid w:val="00F115D4"/>
    <w:rsid w:val="00F115E8"/>
    <w:rsid w:val="00F11707"/>
    <w:rsid w:val="00F1172A"/>
    <w:rsid w:val="00F1172B"/>
    <w:rsid w:val="00F118B7"/>
    <w:rsid w:val="00F11924"/>
    <w:rsid w:val="00F11972"/>
    <w:rsid w:val="00F11979"/>
    <w:rsid w:val="00F11AB2"/>
    <w:rsid w:val="00F11C62"/>
    <w:rsid w:val="00F11D3C"/>
    <w:rsid w:val="00F11D71"/>
    <w:rsid w:val="00F11D8A"/>
    <w:rsid w:val="00F11F72"/>
    <w:rsid w:val="00F1209B"/>
    <w:rsid w:val="00F121F7"/>
    <w:rsid w:val="00F12294"/>
    <w:rsid w:val="00F123BC"/>
    <w:rsid w:val="00F1254D"/>
    <w:rsid w:val="00F12562"/>
    <w:rsid w:val="00F125B4"/>
    <w:rsid w:val="00F125D4"/>
    <w:rsid w:val="00F12694"/>
    <w:rsid w:val="00F126CB"/>
    <w:rsid w:val="00F12725"/>
    <w:rsid w:val="00F12775"/>
    <w:rsid w:val="00F12804"/>
    <w:rsid w:val="00F1283C"/>
    <w:rsid w:val="00F12A57"/>
    <w:rsid w:val="00F12A70"/>
    <w:rsid w:val="00F12DB0"/>
    <w:rsid w:val="00F12F78"/>
    <w:rsid w:val="00F12F8C"/>
    <w:rsid w:val="00F13295"/>
    <w:rsid w:val="00F132CE"/>
    <w:rsid w:val="00F13363"/>
    <w:rsid w:val="00F133DA"/>
    <w:rsid w:val="00F1345D"/>
    <w:rsid w:val="00F13609"/>
    <w:rsid w:val="00F1386A"/>
    <w:rsid w:val="00F139FA"/>
    <w:rsid w:val="00F13A73"/>
    <w:rsid w:val="00F13AA2"/>
    <w:rsid w:val="00F13B27"/>
    <w:rsid w:val="00F13B87"/>
    <w:rsid w:val="00F13D3F"/>
    <w:rsid w:val="00F13D48"/>
    <w:rsid w:val="00F13E96"/>
    <w:rsid w:val="00F13F5D"/>
    <w:rsid w:val="00F140FD"/>
    <w:rsid w:val="00F14142"/>
    <w:rsid w:val="00F1415D"/>
    <w:rsid w:val="00F141E2"/>
    <w:rsid w:val="00F14283"/>
    <w:rsid w:val="00F142AC"/>
    <w:rsid w:val="00F142EB"/>
    <w:rsid w:val="00F14374"/>
    <w:rsid w:val="00F14391"/>
    <w:rsid w:val="00F143BF"/>
    <w:rsid w:val="00F14433"/>
    <w:rsid w:val="00F14463"/>
    <w:rsid w:val="00F1449A"/>
    <w:rsid w:val="00F144F8"/>
    <w:rsid w:val="00F145E7"/>
    <w:rsid w:val="00F145FD"/>
    <w:rsid w:val="00F146A1"/>
    <w:rsid w:val="00F14851"/>
    <w:rsid w:val="00F148F2"/>
    <w:rsid w:val="00F1491D"/>
    <w:rsid w:val="00F14A85"/>
    <w:rsid w:val="00F14AD9"/>
    <w:rsid w:val="00F14ADA"/>
    <w:rsid w:val="00F14C83"/>
    <w:rsid w:val="00F14FBE"/>
    <w:rsid w:val="00F1502A"/>
    <w:rsid w:val="00F150F2"/>
    <w:rsid w:val="00F1515A"/>
    <w:rsid w:val="00F15328"/>
    <w:rsid w:val="00F153FF"/>
    <w:rsid w:val="00F1548C"/>
    <w:rsid w:val="00F154CC"/>
    <w:rsid w:val="00F1554E"/>
    <w:rsid w:val="00F15627"/>
    <w:rsid w:val="00F15629"/>
    <w:rsid w:val="00F15685"/>
    <w:rsid w:val="00F157F3"/>
    <w:rsid w:val="00F1584B"/>
    <w:rsid w:val="00F15888"/>
    <w:rsid w:val="00F1589C"/>
    <w:rsid w:val="00F158DA"/>
    <w:rsid w:val="00F158DF"/>
    <w:rsid w:val="00F158E9"/>
    <w:rsid w:val="00F1592B"/>
    <w:rsid w:val="00F1595F"/>
    <w:rsid w:val="00F15965"/>
    <w:rsid w:val="00F159B0"/>
    <w:rsid w:val="00F159C3"/>
    <w:rsid w:val="00F15B14"/>
    <w:rsid w:val="00F15B37"/>
    <w:rsid w:val="00F15C18"/>
    <w:rsid w:val="00F15C4F"/>
    <w:rsid w:val="00F15CB2"/>
    <w:rsid w:val="00F15D96"/>
    <w:rsid w:val="00F15E6E"/>
    <w:rsid w:val="00F15F19"/>
    <w:rsid w:val="00F160B9"/>
    <w:rsid w:val="00F16107"/>
    <w:rsid w:val="00F1610B"/>
    <w:rsid w:val="00F16123"/>
    <w:rsid w:val="00F16146"/>
    <w:rsid w:val="00F1624A"/>
    <w:rsid w:val="00F16253"/>
    <w:rsid w:val="00F165FF"/>
    <w:rsid w:val="00F16690"/>
    <w:rsid w:val="00F166B8"/>
    <w:rsid w:val="00F1685F"/>
    <w:rsid w:val="00F1695E"/>
    <w:rsid w:val="00F16A4A"/>
    <w:rsid w:val="00F16B29"/>
    <w:rsid w:val="00F16B4A"/>
    <w:rsid w:val="00F16C0B"/>
    <w:rsid w:val="00F16C33"/>
    <w:rsid w:val="00F16CD2"/>
    <w:rsid w:val="00F16CD8"/>
    <w:rsid w:val="00F16D0E"/>
    <w:rsid w:val="00F16DE5"/>
    <w:rsid w:val="00F16ECC"/>
    <w:rsid w:val="00F16F1E"/>
    <w:rsid w:val="00F1700E"/>
    <w:rsid w:val="00F17069"/>
    <w:rsid w:val="00F170DA"/>
    <w:rsid w:val="00F17120"/>
    <w:rsid w:val="00F1721A"/>
    <w:rsid w:val="00F17282"/>
    <w:rsid w:val="00F17393"/>
    <w:rsid w:val="00F173D9"/>
    <w:rsid w:val="00F17462"/>
    <w:rsid w:val="00F174AF"/>
    <w:rsid w:val="00F174E4"/>
    <w:rsid w:val="00F175B6"/>
    <w:rsid w:val="00F17682"/>
    <w:rsid w:val="00F176A1"/>
    <w:rsid w:val="00F17785"/>
    <w:rsid w:val="00F177BA"/>
    <w:rsid w:val="00F1780C"/>
    <w:rsid w:val="00F17935"/>
    <w:rsid w:val="00F17A53"/>
    <w:rsid w:val="00F17A8E"/>
    <w:rsid w:val="00F17AEF"/>
    <w:rsid w:val="00F17C48"/>
    <w:rsid w:val="00F17CDA"/>
    <w:rsid w:val="00F17D51"/>
    <w:rsid w:val="00F17D6B"/>
    <w:rsid w:val="00F17E39"/>
    <w:rsid w:val="00F17E40"/>
    <w:rsid w:val="00F17EB3"/>
    <w:rsid w:val="00F17EE6"/>
    <w:rsid w:val="00F17F40"/>
    <w:rsid w:val="00F20003"/>
    <w:rsid w:val="00F20036"/>
    <w:rsid w:val="00F20084"/>
    <w:rsid w:val="00F200ED"/>
    <w:rsid w:val="00F200FB"/>
    <w:rsid w:val="00F2018F"/>
    <w:rsid w:val="00F201F7"/>
    <w:rsid w:val="00F202B3"/>
    <w:rsid w:val="00F203C5"/>
    <w:rsid w:val="00F2061A"/>
    <w:rsid w:val="00F206ED"/>
    <w:rsid w:val="00F207F0"/>
    <w:rsid w:val="00F208C0"/>
    <w:rsid w:val="00F20900"/>
    <w:rsid w:val="00F20905"/>
    <w:rsid w:val="00F20928"/>
    <w:rsid w:val="00F20931"/>
    <w:rsid w:val="00F2095E"/>
    <w:rsid w:val="00F2096F"/>
    <w:rsid w:val="00F20A2B"/>
    <w:rsid w:val="00F20A34"/>
    <w:rsid w:val="00F20C99"/>
    <w:rsid w:val="00F20CAC"/>
    <w:rsid w:val="00F20CBC"/>
    <w:rsid w:val="00F20D33"/>
    <w:rsid w:val="00F20D3B"/>
    <w:rsid w:val="00F20D50"/>
    <w:rsid w:val="00F20D69"/>
    <w:rsid w:val="00F20D89"/>
    <w:rsid w:val="00F20DCF"/>
    <w:rsid w:val="00F20E33"/>
    <w:rsid w:val="00F20E89"/>
    <w:rsid w:val="00F20E94"/>
    <w:rsid w:val="00F20E98"/>
    <w:rsid w:val="00F20F9D"/>
    <w:rsid w:val="00F20FB6"/>
    <w:rsid w:val="00F2111A"/>
    <w:rsid w:val="00F21168"/>
    <w:rsid w:val="00F2116D"/>
    <w:rsid w:val="00F212AF"/>
    <w:rsid w:val="00F212BC"/>
    <w:rsid w:val="00F212C1"/>
    <w:rsid w:val="00F21354"/>
    <w:rsid w:val="00F21366"/>
    <w:rsid w:val="00F21417"/>
    <w:rsid w:val="00F21418"/>
    <w:rsid w:val="00F21508"/>
    <w:rsid w:val="00F2150F"/>
    <w:rsid w:val="00F21522"/>
    <w:rsid w:val="00F21545"/>
    <w:rsid w:val="00F2159F"/>
    <w:rsid w:val="00F2169B"/>
    <w:rsid w:val="00F21756"/>
    <w:rsid w:val="00F2189D"/>
    <w:rsid w:val="00F21A11"/>
    <w:rsid w:val="00F21A43"/>
    <w:rsid w:val="00F21ABA"/>
    <w:rsid w:val="00F21BD8"/>
    <w:rsid w:val="00F21C23"/>
    <w:rsid w:val="00F21C66"/>
    <w:rsid w:val="00F21D59"/>
    <w:rsid w:val="00F21E0E"/>
    <w:rsid w:val="00F21E6E"/>
    <w:rsid w:val="00F21EC6"/>
    <w:rsid w:val="00F21EF9"/>
    <w:rsid w:val="00F21F13"/>
    <w:rsid w:val="00F21FDC"/>
    <w:rsid w:val="00F21FFA"/>
    <w:rsid w:val="00F220C2"/>
    <w:rsid w:val="00F2214C"/>
    <w:rsid w:val="00F22205"/>
    <w:rsid w:val="00F2227B"/>
    <w:rsid w:val="00F22288"/>
    <w:rsid w:val="00F2244D"/>
    <w:rsid w:val="00F225C7"/>
    <w:rsid w:val="00F22940"/>
    <w:rsid w:val="00F2298B"/>
    <w:rsid w:val="00F229E9"/>
    <w:rsid w:val="00F22AA9"/>
    <w:rsid w:val="00F22AF9"/>
    <w:rsid w:val="00F22BCA"/>
    <w:rsid w:val="00F22D3F"/>
    <w:rsid w:val="00F22DCD"/>
    <w:rsid w:val="00F22E31"/>
    <w:rsid w:val="00F230DA"/>
    <w:rsid w:val="00F230F9"/>
    <w:rsid w:val="00F23177"/>
    <w:rsid w:val="00F23221"/>
    <w:rsid w:val="00F2323E"/>
    <w:rsid w:val="00F23255"/>
    <w:rsid w:val="00F23319"/>
    <w:rsid w:val="00F233FB"/>
    <w:rsid w:val="00F234C6"/>
    <w:rsid w:val="00F23570"/>
    <w:rsid w:val="00F235BC"/>
    <w:rsid w:val="00F235D9"/>
    <w:rsid w:val="00F235FC"/>
    <w:rsid w:val="00F236B6"/>
    <w:rsid w:val="00F236BB"/>
    <w:rsid w:val="00F236C2"/>
    <w:rsid w:val="00F23762"/>
    <w:rsid w:val="00F23829"/>
    <w:rsid w:val="00F238A8"/>
    <w:rsid w:val="00F239E3"/>
    <w:rsid w:val="00F23C47"/>
    <w:rsid w:val="00F23CC3"/>
    <w:rsid w:val="00F23D59"/>
    <w:rsid w:val="00F23D8D"/>
    <w:rsid w:val="00F23DD9"/>
    <w:rsid w:val="00F23E24"/>
    <w:rsid w:val="00F23F07"/>
    <w:rsid w:val="00F24036"/>
    <w:rsid w:val="00F2403A"/>
    <w:rsid w:val="00F2413E"/>
    <w:rsid w:val="00F2417F"/>
    <w:rsid w:val="00F2424D"/>
    <w:rsid w:val="00F242CF"/>
    <w:rsid w:val="00F242ED"/>
    <w:rsid w:val="00F24328"/>
    <w:rsid w:val="00F244E4"/>
    <w:rsid w:val="00F244F1"/>
    <w:rsid w:val="00F2455E"/>
    <w:rsid w:val="00F24577"/>
    <w:rsid w:val="00F24597"/>
    <w:rsid w:val="00F246F6"/>
    <w:rsid w:val="00F248BA"/>
    <w:rsid w:val="00F249B9"/>
    <w:rsid w:val="00F24AFE"/>
    <w:rsid w:val="00F24B39"/>
    <w:rsid w:val="00F24C0A"/>
    <w:rsid w:val="00F24C2C"/>
    <w:rsid w:val="00F24C4A"/>
    <w:rsid w:val="00F24C7B"/>
    <w:rsid w:val="00F24CED"/>
    <w:rsid w:val="00F24D0F"/>
    <w:rsid w:val="00F24D29"/>
    <w:rsid w:val="00F24DD3"/>
    <w:rsid w:val="00F24DD9"/>
    <w:rsid w:val="00F24E7D"/>
    <w:rsid w:val="00F24F16"/>
    <w:rsid w:val="00F24FA9"/>
    <w:rsid w:val="00F24FC8"/>
    <w:rsid w:val="00F24FD8"/>
    <w:rsid w:val="00F24FEA"/>
    <w:rsid w:val="00F25003"/>
    <w:rsid w:val="00F251E7"/>
    <w:rsid w:val="00F25223"/>
    <w:rsid w:val="00F2524A"/>
    <w:rsid w:val="00F252F6"/>
    <w:rsid w:val="00F25310"/>
    <w:rsid w:val="00F2537C"/>
    <w:rsid w:val="00F25391"/>
    <w:rsid w:val="00F253E2"/>
    <w:rsid w:val="00F254E0"/>
    <w:rsid w:val="00F25526"/>
    <w:rsid w:val="00F25574"/>
    <w:rsid w:val="00F2568C"/>
    <w:rsid w:val="00F2569D"/>
    <w:rsid w:val="00F256ED"/>
    <w:rsid w:val="00F257F8"/>
    <w:rsid w:val="00F25824"/>
    <w:rsid w:val="00F25839"/>
    <w:rsid w:val="00F25857"/>
    <w:rsid w:val="00F258E8"/>
    <w:rsid w:val="00F2592D"/>
    <w:rsid w:val="00F25944"/>
    <w:rsid w:val="00F25978"/>
    <w:rsid w:val="00F25A2C"/>
    <w:rsid w:val="00F25AF7"/>
    <w:rsid w:val="00F25B0B"/>
    <w:rsid w:val="00F25BD6"/>
    <w:rsid w:val="00F25BF3"/>
    <w:rsid w:val="00F25D19"/>
    <w:rsid w:val="00F25E6B"/>
    <w:rsid w:val="00F25E83"/>
    <w:rsid w:val="00F25EEC"/>
    <w:rsid w:val="00F25F25"/>
    <w:rsid w:val="00F25F97"/>
    <w:rsid w:val="00F25FCE"/>
    <w:rsid w:val="00F25FFB"/>
    <w:rsid w:val="00F2620F"/>
    <w:rsid w:val="00F26238"/>
    <w:rsid w:val="00F2629F"/>
    <w:rsid w:val="00F262C5"/>
    <w:rsid w:val="00F2633E"/>
    <w:rsid w:val="00F263A6"/>
    <w:rsid w:val="00F263A7"/>
    <w:rsid w:val="00F26443"/>
    <w:rsid w:val="00F264D9"/>
    <w:rsid w:val="00F2663C"/>
    <w:rsid w:val="00F2665E"/>
    <w:rsid w:val="00F26703"/>
    <w:rsid w:val="00F267F0"/>
    <w:rsid w:val="00F26814"/>
    <w:rsid w:val="00F26954"/>
    <w:rsid w:val="00F26A4B"/>
    <w:rsid w:val="00F26BC6"/>
    <w:rsid w:val="00F26BF3"/>
    <w:rsid w:val="00F26C2F"/>
    <w:rsid w:val="00F26CBA"/>
    <w:rsid w:val="00F26CFA"/>
    <w:rsid w:val="00F26D3A"/>
    <w:rsid w:val="00F26DE0"/>
    <w:rsid w:val="00F26EBB"/>
    <w:rsid w:val="00F26EBC"/>
    <w:rsid w:val="00F26EEC"/>
    <w:rsid w:val="00F26F56"/>
    <w:rsid w:val="00F26F81"/>
    <w:rsid w:val="00F27065"/>
    <w:rsid w:val="00F270A5"/>
    <w:rsid w:val="00F270F0"/>
    <w:rsid w:val="00F2720D"/>
    <w:rsid w:val="00F27237"/>
    <w:rsid w:val="00F2734D"/>
    <w:rsid w:val="00F273C0"/>
    <w:rsid w:val="00F27533"/>
    <w:rsid w:val="00F2757A"/>
    <w:rsid w:val="00F27680"/>
    <w:rsid w:val="00F27682"/>
    <w:rsid w:val="00F2774E"/>
    <w:rsid w:val="00F27759"/>
    <w:rsid w:val="00F277D5"/>
    <w:rsid w:val="00F2789D"/>
    <w:rsid w:val="00F278EE"/>
    <w:rsid w:val="00F279AF"/>
    <w:rsid w:val="00F27A30"/>
    <w:rsid w:val="00F27A6D"/>
    <w:rsid w:val="00F27AB8"/>
    <w:rsid w:val="00F27B12"/>
    <w:rsid w:val="00F27B42"/>
    <w:rsid w:val="00F27D69"/>
    <w:rsid w:val="00F27E3A"/>
    <w:rsid w:val="00F27EB2"/>
    <w:rsid w:val="00F27F48"/>
    <w:rsid w:val="00F300C8"/>
    <w:rsid w:val="00F302B1"/>
    <w:rsid w:val="00F3053E"/>
    <w:rsid w:val="00F30552"/>
    <w:rsid w:val="00F306DF"/>
    <w:rsid w:val="00F307D7"/>
    <w:rsid w:val="00F3091F"/>
    <w:rsid w:val="00F30A29"/>
    <w:rsid w:val="00F30BF9"/>
    <w:rsid w:val="00F30C06"/>
    <w:rsid w:val="00F30C0B"/>
    <w:rsid w:val="00F30CA2"/>
    <w:rsid w:val="00F30D3B"/>
    <w:rsid w:val="00F30DA8"/>
    <w:rsid w:val="00F30E35"/>
    <w:rsid w:val="00F30E4C"/>
    <w:rsid w:val="00F30F4D"/>
    <w:rsid w:val="00F30FC5"/>
    <w:rsid w:val="00F31148"/>
    <w:rsid w:val="00F31157"/>
    <w:rsid w:val="00F31160"/>
    <w:rsid w:val="00F31298"/>
    <w:rsid w:val="00F31343"/>
    <w:rsid w:val="00F31375"/>
    <w:rsid w:val="00F31395"/>
    <w:rsid w:val="00F314BC"/>
    <w:rsid w:val="00F31611"/>
    <w:rsid w:val="00F3161B"/>
    <w:rsid w:val="00F3162B"/>
    <w:rsid w:val="00F316F8"/>
    <w:rsid w:val="00F3193B"/>
    <w:rsid w:val="00F31942"/>
    <w:rsid w:val="00F31A9F"/>
    <w:rsid w:val="00F31B27"/>
    <w:rsid w:val="00F31B9D"/>
    <w:rsid w:val="00F31D93"/>
    <w:rsid w:val="00F31DB6"/>
    <w:rsid w:val="00F31DDC"/>
    <w:rsid w:val="00F31E41"/>
    <w:rsid w:val="00F31E47"/>
    <w:rsid w:val="00F31ED5"/>
    <w:rsid w:val="00F31F24"/>
    <w:rsid w:val="00F32006"/>
    <w:rsid w:val="00F32014"/>
    <w:rsid w:val="00F322AB"/>
    <w:rsid w:val="00F32380"/>
    <w:rsid w:val="00F323FC"/>
    <w:rsid w:val="00F32400"/>
    <w:rsid w:val="00F32411"/>
    <w:rsid w:val="00F324B0"/>
    <w:rsid w:val="00F32519"/>
    <w:rsid w:val="00F32537"/>
    <w:rsid w:val="00F325B6"/>
    <w:rsid w:val="00F325D4"/>
    <w:rsid w:val="00F32680"/>
    <w:rsid w:val="00F326C6"/>
    <w:rsid w:val="00F326EC"/>
    <w:rsid w:val="00F326F5"/>
    <w:rsid w:val="00F3285F"/>
    <w:rsid w:val="00F32A9E"/>
    <w:rsid w:val="00F32B5B"/>
    <w:rsid w:val="00F32B5D"/>
    <w:rsid w:val="00F32B99"/>
    <w:rsid w:val="00F32C17"/>
    <w:rsid w:val="00F32C32"/>
    <w:rsid w:val="00F32C41"/>
    <w:rsid w:val="00F32C47"/>
    <w:rsid w:val="00F32C7C"/>
    <w:rsid w:val="00F32CCE"/>
    <w:rsid w:val="00F32D04"/>
    <w:rsid w:val="00F32FA2"/>
    <w:rsid w:val="00F3301F"/>
    <w:rsid w:val="00F3304A"/>
    <w:rsid w:val="00F33085"/>
    <w:rsid w:val="00F330C8"/>
    <w:rsid w:val="00F330E8"/>
    <w:rsid w:val="00F3311D"/>
    <w:rsid w:val="00F3326F"/>
    <w:rsid w:val="00F334CB"/>
    <w:rsid w:val="00F33507"/>
    <w:rsid w:val="00F33510"/>
    <w:rsid w:val="00F33570"/>
    <w:rsid w:val="00F336C9"/>
    <w:rsid w:val="00F33954"/>
    <w:rsid w:val="00F33A72"/>
    <w:rsid w:val="00F33A9E"/>
    <w:rsid w:val="00F33AE7"/>
    <w:rsid w:val="00F33B36"/>
    <w:rsid w:val="00F33CC9"/>
    <w:rsid w:val="00F33CCB"/>
    <w:rsid w:val="00F33D01"/>
    <w:rsid w:val="00F33DB7"/>
    <w:rsid w:val="00F33DDC"/>
    <w:rsid w:val="00F33E43"/>
    <w:rsid w:val="00F33E4E"/>
    <w:rsid w:val="00F33E93"/>
    <w:rsid w:val="00F33EE3"/>
    <w:rsid w:val="00F33F79"/>
    <w:rsid w:val="00F33FD1"/>
    <w:rsid w:val="00F3405C"/>
    <w:rsid w:val="00F3411F"/>
    <w:rsid w:val="00F341B0"/>
    <w:rsid w:val="00F34283"/>
    <w:rsid w:val="00F34298"/>
    <w:rsid w:val="00F342E6"/>
    <w:rsid w:val="00F3430A"/>
    <w:rsid w:val="00F34319"/>
    <w:rsid w:val="00F34380"/>
    <w:rsid w:val="00F3441F"/>
    <w:rsid w:val="00F3446E"/>
    <w:rsid w:val="00F3449B"/>
    <w:rsid w:val="00F34514"/>
    <w:rsid w:val="00F34517"/>
    <w:rsid w:val="00F3456A"/>
    <w:rsid w:val="00F3457F"/>
    <w:rsid w:val="00F345F6"/>
    <w:rsid w:val="00F34636"/>
    <w:rsid w:val="00F34954"/>
    <w:rsid w:val="00F349CB"/>
    <w:rsid w:val="00F349F2"/>
    <w:rsid w:val="00F34CB9"/>
    <w:rsid w:val="00F34CF4"/>
    <w:rsid w:val="00F34D68"/>
    <w:rsid w:val="00F34E4E"/>
    <w:rsid w:val="00F34F27"/>
    <w:rsid w:val="00F34F34"/>
    <w:rsid w:val="00F34FCC"/>
    <w:rsid w:val="00F34FE8"/>
    <w:rsid w:val="00F35036"/>
    <w:rsid w:val="00F350D8"/>
    <w:rsid w:val="00F350F1"/>
    <w:rsid w:val="00F351C4"/>
    <w:rsid w:val="00F35230"/>
    <w:rsid w:val="00F35268"/>
    <w:rsid w:val="00F3537D"/>
    <w:rsid w:val="00F3538D"/>
    <w:rsid w:val="00F353A1"/>
    <w:rsid w:val="00F3543E"/>
    <w:rsid w:val="00F3544A"/>
    <w:rsid w:val="00F35563"/>
    <w:rsid w:val="00F355AA"/>
    <w:rsid w:val="00F3569F"/>
    <w:rsid w:val="00F356A4"/>
    <w:rsid w:val="00F357E3"/>
    <w:rsid w:val="00F35874"/>
    <w:rsid w:val="00F358A7"/>
    <w:rsid w:val="00F358CF"/>
    <w:rsid w:val="00F358F4"/>
    <w:rsid w:val="00F35934"/>
    <w:rsid w:val="00F35ACB"/>
    <w:rsid w:val="00F35ADD"/>
    <w:rsid w:val="00F35AF4"/>
    <w:rsid w:val="00F35B82"/>
    <w:rsid w:val="00F35C45"/>
    <w:rsid w:val="00F35C52"/>
    <w:rsid w:val="00F35D22"/>
    <w:rsid w:val="00F35D24"/>
    <w:rsid w:val="00F35D48"/>
    <w:rsid w:val="00F35F4D"/>
    <w:rsid w:val="00F35F82"/>
    <w:rsid w:val="00F35FF4"/>
    <w:rsid w:val="00F36008"/>
    <w:rsid w:val="00F36010"/>
    <w:rsid w:val="00F36045"/>
    <w:rsid w:val="00F36056"/>
    <w:rsid w:val="00F3605E"/>
    <w:rsid w:val="00F360BF"/>
    <w:rsid w:val="00F361B9"/>
    <w:rsid w:val="00F36230"/>
    <w:rsid w:val="00F3623A"/>
    <w:rsid w:val="00F362D8"/>
    <w:rsid w:val="00F362FF"/>
    <w:rsid w:val="00F3631F"/>
    <w:rsid w:val="00F3636F"/>
    <w:rsid w:val="00F36434"/>
    <w:rsid w:val="00F364F9"/>
    <w:rsid w:val="00F36528"/>
    <w:rsid w:val="00F36535"/>
    <w:rsid w:val="00F36609"/>
    <w:rsid w:val="00F366AD"/>
    <w:rsid w:val="00F366EB"/>
    <w:rsid w:val="00F366F1"/>
    <w:rsid w:val="00F36925"/>
    <w:rsid w:val="00F36955"/>
    <w:rsid w:val="00F3695C"/>
    <w:rsid w:val="00F369DC"/>
    <w:rsid w:val="00F36A2E"/>
    <w:rsid w:val="00F36A55"/>
    <w:rsid w:val="00F36A5A"/>
    <w:rsid w:val="00F36AA0"/>
    <w:rsid w:val="00F36AF6"/>
    <w:rsid w:val="00F36B05"/>
    <w:rsid w:val="00F36BAD"/>
    <w:rsid w:val="00F36BDF"/>
    <w:rsid w:val="00F36BE3"/>
    <w:rsid w:val="00F36C8D"/>
    <w:rsid w:val="00F36CD6"/>
    <w:rsid w:val="00F36DF8"/>
    <w:rsid w:val="00F36E63"/>
    <w:rsid w:val="00F36E82"/>
    <w:rsid w:val="00F36E85"/>
    <w:rsid w:val="00F36F69"/>
    <w:rsid w:val="00F370F7"/>
    <w:rsid w:val="00F37196"/>
    <w:rsid w:val="00F37244"/>
    <w:rsid w:val="00F372C2"/>
    <w:rsid w:val="00F3736D"/>
    <w:rsid w:val="00F3736F"/>
    <w:rsid w:val="00F373EC"/>
    <w:rsid w:val="00F3744F"/>
    <w:rsid w:val="00F3749E"/>
    <w:rsid w:val="00F374AD"/>
    <w:rsid w:val="00F374CC"/>
    <w:rsid w:val="00F374D1"/>
    <w:rsid w:val="00F375B1"/>
    <w:rsid w:val="00F375BB"/>
    <w:rsid w:val="00F375CF"/>
    <w:rsid w:val="00F375E5"/>
    <w:rsid w:val="00F375E8"/>
    <w:rsid w:val="00F375EB"/>
    <w:rsid w:val="00F37650"/>
    <w:rsid w:val="00F37656"/>
    <w:rsid w:val="00F377EA"/>
    <w:rsid w:val="00F378AA"/>
    <w:rsid w:val="00F378CB"/>
    <w:rsid w:val="00F37982"/>
    <w:rsid w:val="00F37987"/>
    <w:rsid w:val="00F379E8"/>
    <w:rsid w:val="00F37B3E"/>
    <w:rsid w:val="00F37B90"/>
    <w:rsid w:val="00F37C4A"/>
    <w:rsid w:val="00F37C55"/>
    <w:rsid w:val="00F37D50"/>
    <w:rsid w:val="00F37E78"/>
    <w:rsid w:val="00F37F4D"/>
    <w:rsid w:val="00F37FEC"/>
    <w:rsid w:val="00F40010"/>
    <w:rsid w:val="00F400A0"/>
    <w:rsid w:val="00F40140"/>
    <w:rsid w:val="00F40356"/>
    <w:rsid w:val="00F40419"/>
    <w:rsid w:val="00F4041B"/>
    <w:rsid w:val="00F4051A"/>
    <w:rsid w:val="00F40568"/>
    <w:rsid w:val="00F40570"/>
    <w:rsid w:val="00F40602"/>
    <w:rsid w:val="00F40607"/>
    <w:rsid w:val="00F4061C"/>
    <w:rsid w:val="00F4066C"/>
    <w:rsid w:val="00F406A2"/>
    <w:rsid w:val="00F406C1"/>
    <w:rsid w:val="00F4077F"/>
    <w:rsid w:val="00F40827"/>
    <w:rsid w:val="00F40837"/>
    <w:rsid w:val="00F40974"/>
    <w:rsid w:val="00F409B5"/>
    <w:rsid w:val="00F40AFA"/>
    <w:rsid w:val="00F40B22"/>
    <w:rsid w:val="00F40B44"/>
    <w:rsid w:val="00F40D77"/>
    <w:rsid w:val="00F40E09"/>
    <w:rsid w:val="00F40E25"/>
    <w:rsid w:val="00F40ED6"/>
    <w:rsid w:val="00F40F72"/>
    <w:rsid w:val="00F41026"/>
    <w:rsid w:val="00F4109E"/>
    <w:rsid w:val="00F410A6"/>
    <w:rsid w:val="00F410AE"/>
    <w:rsid w:val="00F41127"/>
    <w:rsid w:val="00F4118E"/>
    <w:rsid w:val="00F411AB"/>
    <w:rsid w:val="00F41245"/>
    <w:rsid w:val="00F4127F"/>
    <w:rsid w:val="00F412A9"/>
    <w:rsid w:val="00F41417"/>
    <w:rsid w:val="00F414D2"/>
    <w:rsid w:val="00F41702"/>
    <w:rsid w:val="00F4196A"/>
    <w:rsid w:val="00F41B3D"/>
    <w:rsid w:val="00F42027"/>
    <w:rsid w:val="00F42077"/>
    <w:rsid w:val="00F42275"/>
    <w:rsid w:val="00F4232D"/>
    <w:rsid w:val="00F4236C"/>
    <w:rsid w:val="00F423CF"/>
    <w:rsid w:val="00F4241E"/>
    <w:rsid w:val="00F4246A"/>
    <w:rsid w:val="00F42480"/>
    <w:rsid w:val="00F42501"/>
    <w:rsid w:val="00F4250E"/>
    <w:rsid w:val="00F42655"/>
    <w:rsid w:val="00F42698"/>
    <w:rsid w:val="00F426C2"/>
    <w:rsid w:val="00F4271A"/>
    <w:rsid w:val="00F42720"/>
    <w:rsid w:val="00F429C3"/>
    <w:rsid w:val="00F429E1"/>
    <w:rsid w:val="00F42A1A"/>
    <w:rsid w:val="00F42A4A"/>
    <w:rsid w:val="00F42AA2"/>
    <w:rsid w:val="00F42B3C"/>
    <w:rsid w:val="00F42C1E"/>
    <w:rsid w:val="00F42E42"/>
    <w:rsid w:val="00F42E83"/>
    <w:rsid w:val="00F42F0A"/>
    <w:rsid w:val="00F42F22"/>
    <w:rsid w:val="00F42FDC"/>
    <w:rsid w:val="00F43010"/>
    <w:rsid w:val="00F43056"/>
    <w:rsid w:val="00F4307D"/>
    <w:rsid w:val="00F4317E"/>
    <w:rsid w:val="00F431EE"/>
    <w:rsid w:val="00F4329B"/>
    <w:rsid w:val="00F433C9"/>
    <w:rsid w:val="00F4348C"/>
    <w:rsid w:val="00F4353D"/>
    <w:rsid w:val="00F4371A"/>
    <w:rsid w:val="00F43859"/>
    <w:rsid w:val="00F43988"/>
    <w:rsid w:val="00F43A67"/>
    <w:rsid w:val="00F43A77"/>
    <w:rsid w:val="00F43B90"/>
    <w:rsid w:val="00F43C2A"/>
    <w:rsid w:val="00F43C47"/>
    <w:rsid w:val="00F43C4B"/>
    <w:rsid w:val="00F43CE5"/>
    <w:rsid w:val="00F43CEA"/>
    <w:rsid w:val="00F43D7F"/>
    <w:rsid w:val="00F43DAF"/>
    <w:rsid w:val="00F43E5D"/>
    <w:rsid w:val="00F43E82"/>
    <w:rsid w:val="00F43EC8"/>
    <w:rsid w:val="00F43F32"/>
    <w:rsid w:val="00F43F4A"/>
    <w:rsid w:val="00F440DD"/>
    <w:rsid w:val="00F440F2"/>
    <w:rsid w:val="00F4416C"/>
    <w:rsid w:val="00F442B6"/>
    <w:rsid w:val="00F442CD"/>
    <w:rsid w:val="00F442F8"/>
    <w:rsid w:val="00F4449D"/>
    <w:rsid w:val="00F444B9"/>
    <w:rsid w:val="00F444D4"/>
    <w:rsid w:val="00F44501"/>
    <w:rsid w:val="00F4458F"/>
    <w:rsid w:val="00F44693"/>
    <w:rsid w:val="00F44699"/>
    <w:rsid w:val="00F4472F"/>
    <w:rsid w:val="00F4482E"/>
    <w:rsid w:val="00F44881"/>
    <w:rsid w:val="00F449A7"/>
    <w:rsid w:val="00F44A4D"/>
    <w:rsid w:val="00F44AE6"/>
    <w:rsid w:val="00F44BD1"/>
    <w:rsid w:val="00F44C06"/>
    <w:rsid w:val="00F44CBD"/>
    <w:rsid w:val="00F44CED"/>
    <w:rsid w:val="00F44DA9"/>
    <w:rsid w:val="00F44DAA"/>
    <w:rsid w:val="00F44E3F"/>
    <w:rsid w:val="00F44F8B"/>
    <w:rsid w:val="00F44FB8"/>
    <w:rsid w:val="00F45039"/>
    <w:rsid w:val="00F45054"/>
    <w:rsid w:val="00F450D7"/>
    <w:rsid w:val="00F45163"/>
    <w:rsid w:val="00F45255"/>
    <w:rsid w:val="00F453A5"/>
    <w:rsid w:val="00F453F4"/>
    <w:rsid w:val="00F45412"/>
    <w:rsid w:val="00F45498"/>
    <w:rsid w:val="00F45529"/>
    <w:rsid w:val="00F455BF"/>
    <w:rsid w:val="00F4568F"/>
    <w:rsid w:val="00F457A3"/>
    <w:rsid w:val="00F457BF"/>
    <w:rsid w:val="00F457C9"/>
    <w:rsid w:val="00F45853"/>
    <w:rsid w:val="00F45875"/>
    <w:rsid w:val="00F45886"/>
    <w:rsid w:val="00F45908"/>
    <w:rsid w:val="00F45921"/>
    <w:rsid w:val="00F45A82"/>
    <w:rsid w:val="00F45AC4"/>
    <w:rsid w:val="00F45C6D"/>
    <w:rsid w:val="00F45D6E"/>
    <w:rsid w:val="00F45D7D"/>
    <w:rsid w:val="00F45D81"/>
    <w:rsid w:val="00F45D8D"/>
    <w:rsid w:val="00F45DC8"/>
    <w:rsid w:val="00F45EF3"/>
    <w:rsid w:val="00F4606C"/>
    <w:rsid w:val="00F460EF"/>
    <w:rsid w:val="00F4611E"/>
    <w:rsid w:val="00F4621E"/>
    <w:rsid w:val="00F462E0"/>
    <w:rsid w:val="00F46675"/>
    <w:rsid w:val="00F466D1"/>
    <w:rsid w:val="00F466F7"/>
    <w:rsid w:val="00F467C8"/>
    <w:rsid w:val="00F467E5"/>
    <w:rsid w:val="00F4690D"/>
    <w:rsid w:val="00F46913"/>
    <w:rsid w:val="00F4696C"/>
    <w:rsid w:val="00F469FD"/>
    <w:rsid w:val="00F46A54"/>
    <w:rsid w:val="00F46A8B"/>
    <w:rsid w:val="00F46C43"/>
    <w:rsid w:val="00F46C51"/>
    <w:rsid w:val="00F46E06"/>
    <w:rsid w:val="00F46E85"/>
    <w:rsid w:val="00F46E9F"/>
    <w:rsid w:val="00F46EB9"/>
    <w:rsid w:val="00F46F22"/>
    <w:rsid w:val="00F46FB3"/>
    <w:rsid w:val="00F47114"/>
    <w:rsid w:val="00F47187"/>
    <w:rsid w:val="00F4729F"/>
    <w:rsid w:val="00F47306"/>
    <w:rsid w:val="00F47364"/>
    <w:rsid w:val="00F47444"/>
    <w:rsid w:val="00F47503"/>
    <w:rsid w:val="00F477DC"/>
    <w:rsid w:val="00F4798F"/>
    <w:rsid w:val="00F47ABB"/>
    <w:rsid w:val="00F47AD7"/>
    <w:rsid w:val="00F47B57"/>
    <w:rsid w:val="00F47C1D"/>
    <w:rsid w:val="00F47C5D"/>
    <w:rsid w:val="00F47C71"/>
    <w:rsid w:val="00F47FA2"/>
    <w:rsid w:val="00F500B5"/>
    <w:rsid w:val="00F50106"/>
    <w:rsid w:val="00F5026D"/>
    <w:rsid w:val="00F5033E"/>
    <w:rsid w:val="00F5037D"/>
    <w:rsid w:val="00F503E3"/>
    <w:rsid w:val="00F50525"/>
    <w:rsid w:val="00F5065B"/>
    <w:rsid w:val="00F50730"/>
    <w:rsid w:val="00F5076D"/>
    <w:rsid w:val="00F50863"/>
    <w:rsid w:val="00F5086E"/>
    <w:rsid w:val="00F508A1"/>
    <w:rsid w:val="00F5093A"/>
    <w:rsid w:val="00F5095B"/>
    <w:rsid w:val="00F50A19"/>
    <w:rsid w:val="00F50AEA"/>
    <w:rsid w:val="00F50AF0"/>
    <w:rsid w:val="00F50BDC"/>
    <w:rsid w:val="00F50CFC"/>
    <w:rsid w:val="00F50DEC"/>
    <w:rsid w:val="00F50E05"/>
    <w:rsid w:val="00F50E23"/>
    <w:rsid w:val="00F50EA4"/>
    <w:rsid w:val="00F50EDB"/>
    <w:rsid w:val="00F50EFB"/>
    <w:rsid w:val="00F50F5E"/>
    <w:rsid w:val="00F5108F"/>
    <w:rsid w:val="00F510D4"/>
    <w:rsid w:val="00F5112A"/>
    <w:rsid w:val="00F5130E"/>
    <w:rsid w:val="00F51352"/>
    <w:rsid w:val="00F513C3"/>
    <w:rsid w:val="00F513F5"/>
    <w:rsid w:val="00F51454"/>
    <w:rsid w:val="00F515F4"/>
    <w:rsid w:val="00F517ED"/>
    <w:rsid w:val="00F5185D"/>
    <w:rsid w:val="00F518C1"/>
    <w:rsid w:val="00F51966"/>
    <w:rsid w:val="00F51994"/>
    <w:rsid w:val="00F519A6"/>
    <w:rsid w:val="00F51A2F"/>
    <w:rsid w:val="00F51B1B"/>
    <w:rsid w:val="00F51B98"/>
    <w:rsid w:val="00F51C61"/>
    <w:rsid w:val="00F51D39"/>
    <w:rsid w:val="00F51D59"/>
    <w:rsid w:val="00F51DB8"/>
    <w:rsid w:val="00F51DEB"/>
    <w:rsid w:val="00F51E2B"/>
    <w:rsid w:val="00F51E32"/>
    <w:rsid w:val="00F51F45"/>
    <w:rsid w:val="00F5212E"/>
    <w:rsid w:val="00F52221"/>
    <w:rsid w:val="00F5225E"/>
    <w:rsid w:val="00F522E3"/>
    <w:rsid w:val="00F52365"/>
    <w:rsid w:val="00F5236F"/>
    <w:rsid w:val="00F52384"/>
    <w:rsid w:val="00F523AE"/>
    <w:rsid w:val="00F52576"/>
    <w:rsid w:val="00F5259D"/>
    <w:rsid w:val="00F525DD"/>
    <w:rsid w:val="00F52646"/>
    <w:rsid w:val="00F52708"/>
    <w:rsid w:val="00F52765"/>
    <w:rsid w:val="00F5288A"/>
    <w:rsid w:val="00F528A6"/>
    <w:rsid w:val="00F52912"/>
    <w:rsid w:val="00F529BC"/>
    <w:rsid w:val="00F52A28"/>
    <w:rsid w:val="00F52B00"/>
    <w:rsid w:val="00F52B13"/>
    <w:rsid w:val="00F52BEB"/>
    <w:rsid w:val="00F52C3D"/>
    <w:rsid w:val="00F52CBE"/>
    <w:rsid w:val="00F52FA0"/>
    <w:rsid w:val="00F52FC7"/>
    <w:rsid w:val="00F52FCB"/>
    <w:rsid w:val="00F53047"/>
    <w:rsid w:val="00F5305F"/>
    <w:rsid w:val="00F53104"/>
    <w:rsid w:val="00F53415"/>
    <w:rsid w:val="00F534AD"/>
    <w:rsid w:val="00F534BD"/>
    <w:rsid w:val="00F5357C"/>
    <w:rsid w:val="00F53619"/>
    <w:rsid w:val="00F5365E"/>
    <w:rsid w:val="00F536AB"/>
    <w:rsid w:val="00F53723"/>
    <w:rsid w:val="00F5377D"/>
    <w:rsid w:val="00F537D8"/>
    <w:rsid w:val="00F5394D"/>
    <w:rsid w:val="00F5396F"/>
    <w:rsid w:val="00F5397C"/>
    <w:rsid w:val="00F53980"/>
    <w:rsid w:val="00F5398C"/>
    <w:rsid w:val="00F53A31"/>
    <w:rsid w:val="00F53A4C"/>
    <w:rsid w:val="00F53B7E"/>
    <w:rsid w:val="00F53C08"/>
    <w:rsid w:val="00F53C80"/>
    <w:rsid w:val="00F53EAE"/>
    <w:rsid w:val="00F53EBB"/>
    <w:rsid w:val="00F53F3C"/>
    <w:rsid w:val="00F54017"/>
    <w:rsid w:val="00F54031"/>
    <w:rsid w:val="00F54088"/>
    <w:rsid w:val="00F5414A"/>
    <w:rsid w:val="00F5416E"/>
    <w:rsid w:val="00F543BE"/>
    <w:rsid w:val="00F543D6"/>
    <w:rsid w:val="00F54401"/>
    <w:rsid w:val="00F54473"/>
    <w:rsid w:val="00F544C5"/>
    <w:rsid w:val="00F54550"/>
    <w:rsid w:val="00F5476F"/>
    <w:rsid w:val="00F54B78"/>
    <w:rsid w:val="00F54CA9"/>
    <w:rsid w:val="00F54E01"/>
    <w:rsid w:val="00F54E51"/>
    <w:rsid w:val="00F54E74"/>
    <w:rsid w:val="00F54E7D"/>
    <w:rsid w:val="00F54EA6"/>
    <w:rsid w:val="00F54ED2"/>
    <w:rsid w:val="00F54F52"/>
    <w:rsid w:val="00F54F83"/>
    <w:rsid w:val="00F55110"/>
    <w:rsid w:val="00F55189"/>
    <w:rsid w:val="00F551BC"/>
    <w:rsid w:val="00F5525E"/>
    <w:rsid w:val="00F552DE"/>
    <w:rsid w:val="00F552F5"/>
    <w:rsid w:val="00F553AF"/>
    <w:rsid w:val="00F55424"/>
    <w:rsid w:val="00F55582"/>
    <w:rsid w:val="00F556BB"/>
    <w:rsid w:val="00F556E1"/>
    <w:rsid w:val="00F558A6"/>
    <w:rsid w:val="00F559AA"/>
    <w:rsid w:val="00F55AEC"/>
    <w:rsid w:val="00F55B79"/>
    <w:rsid w:val="00F55B85"/>
    <w:rsid w:val="00F55C3D"/>
    <w:rsid w:val="00F55F21"/>
    <w:rsid w:val="00F55FC1"/>
    <w:rsid w:val="00F5600D"/>
    <w:rsid w:val="00F5600F"/>
    <w:rsid w:val="00F56014"/>
    <w:rsid w:val="00F5603A"/>
    <w:rsid w:val="00F560B4"/>
    <w:rsid w:val="00F56194"/>
    <w:rsid w:val="00F561DD"/>
    <w:rsid w:val="00F56223"/>
    <w:rsid w:val="00F56249"/>
    <w:rsid w:val="00F5637E"/>
    <w:rsid w:val="00F563A1"/>
    <w:rsid w:val="00F563CF"/>
    <w:rsid w:val="00F56442"/>
    <w:rsid w:val="00F564E1"/>
    <w:rsid w:val="00F564F0"/>
    <w:rsid w:val="00F56517"/>
    <w:rsid w:val="00F56540"/>
    <w:rsid w:val="00F565AB"/>
    <w:rsid w:val="00F567AB"/>
    <w:rsid w:val="00F567BF"/>
    <w:rsid w:val="00F568D2"/>
    <w:rsid w:val="00F569E6"/>
    <w:rsid w:val="00F56AC8"/>
    <w:rsid w:val="00F56BE9"/>
    <w:rsid w:val="00F56C12"/>
    <w:rsid w:val="00F56E68"/>
    <w:rsid w:val="00F56E83"/>
    <w:rsid w:val="00F56EBE"/>
    <w:rsid w:val="00F56F9E"/>
    <w:rsid w:val="00F57052"/>
    <w:rsid w:val="00F5712F"/>
    <w:rsid w:val="00F571EC"/>
    <w:rsid w:val="00F57230"/>
    <w:rsid w:val="00F57254"/>
    <w:rsid w:val="00F5730D"/>
    <w:rsid w:val="00F5746F"/>
    <w:rsid w:val="00F57489"/>
    <w:rsid w:val="00F5776D"/>
    <w:rsid w:val="00F577C3"/>
    <w:rsid w:val="00F577DC"/>
    <w:rsid w:val="00F577E2"/>
    <w:rsid w:val="00F57913"/>
    <w:rsid w:val="00F579DF"/>
    <w:rsid w:val="00F57A07"/>
    <w:rsid w:val="00F57A0E"/>
    <w:rsid w:val="00F57A81"/>
    <w:rsid w:val="00F57A95"/>
    <w:rsid w:val="00F57B3D"/>
    <w:rsid w:val="00F57BB7"/>
    <w:rsid w:val="00F57BD2"/>
    <w:rsid w:val="00F57C9E"/>
    <w:rsid w:val="00F57DBE"/>
    <w:rsid w:val="00F57E15"/>
    <w:rsid w:val="00F57E1D"/>
    <w:rsid w:val="00F57E6A"/>
    <w:rsid w:val="00F57F55"/>
    <w:rsid w:val="00F57FD2"/>
    <w:rsid w:val="00F600D8"/>
    <w:rsid w:val="00F60259"/>
    <w:rsid w:val="00F602C3"/>
    <w:rsid w:val="00F602CA"/>
    <w:rsid w:val="00F602CD"/>
    <w:rsid w:val="00F60310"/>
    <w:rsid w:val="00F6038C"/>
    <w:rsid w:val="00F603C4"/>
    <w:rsid w:val="00F603ED"/>
    <w:rsid w:val="00F60442"/>
    <w:rsid w:val="00F604DA"/>
    <w:rsid w:val="00F60669"/>
    <w:rsid w:val="00F6073B"/>
    <w:rsid w:val="00F60796"/>
    <w:rsid w:val="00F60937"/>
    <w:rsid w:val="00F609DD"/>
    <w:rsid w:val="00F60B9E"/>
    <w:rsid w:val="00F60BC2"/>
    <w:rsid w:val="00F60BF9"/>
    <w:rsid w:val="00F60C29"/>
    <w:rsid w:val="00F60C67"/>
    <w:rsid w:val="00F60C7A"/>
    <w:rsid w:val="00F60CEE"/>
    <w:rsid w:val="00F60D43"/>
    <w:rsid w:val="00F60E89"/>
    <w:rsid w:val="00F60F5B"/>
    <w:rsid w:val="00F60FAA"/>
    <w:rsid w:val="00F61024"/>
    <w:rsid w:val="00F61194"/>
    <w:rsid w:val="00F611DB"/>
    <w:rsid w:val="00F6130A"/>
    <w:rsid w:val="00F61408"/>
    <w:rsid w:val="00F61414"/>
    <w:rsid w:val="00F61467"/>
    <w:rsid w:val="00F6151B"/>
    <w:rsid w:val="00F6157F"/>
    <w:rsid w:val="00F615C3"/>
    <w:rsid w:val="00F615D2"/>
    <w:rsid w:val="00F61660"/>
    <w:rsid w:val="00F61701"/>
    <w:rsid w:val="00F61871"/>
    <w:rsid w:val="00F619AF"/>
    <w:rsid w:val="00F61A13"/>
    <w:rsid w:val="00F61A89"/>
    <w:rsid w:val="00F61AE7"/>
    <w:rsid w:val="00F61AFE"/>
    <w:rsid w:val="00F61BA0"/>
    <w:rsid w:val="00F61D21"/>
    <w:rsid w:val="00F61D3C"/>
    <w:rsid w:val="00F61DE2"/>
    <w:rsid w:val="00F61E31"/>
    <w:rsid w:val="00F61E87"/>
    <w:rsid w:val="00F61F31"/>
    <w:rsid w:val="00F61FA3"/>
    <w:rsid w:val="00F61FE8"/>
    <w:rsid w:val="00F62087"/>
    <w:rsid w:val="00F620E1"/>
    <w:rsid w:val="00F62124"/>
    <w:rsid w:val="00F62126"/>
    <w:rsid w:val="00F62227"/>
    <w:rsid w:val="00F6224F"/>
    <w:rsid w:val="00F622AC"/>
    <w:rsid w:val="00F62325"/>
    <w:rsid w:val="00F62327"/>
    <w:rsid w:val="00F62330"/>
    <w:rsid w:val="00F6247B"/>
    <w:rsid w:val="00F6247C"/>
    <w:rsid w:val="00F6249B"/>
    <w:rsid w:val="00F626D3"/>
    <w:rsid w:val="00F6275F"/>
    <w:rsid w:val="00F62808"/>
    <w:rsid w:val="00F629BA"/>
    <w:rsid w:val="00F62A53"/>
    <w:rsid w:val="00F62C55"/>
    <w:rsid w:val="00F62F01"/>
    <w:rsid w:val="00F62F43"/>
    <w:rsid w:val="00F62FA1"/>
    <w:rsid w:val="00F63021"/>
    <w:rsid w:val="00F6302F"/>
    <w:rsid w:val="00F6313A"/>
    <w:rsid w:val="00F63149"/>
    <w:rsid w:val="00F6315A"/>
    <w:rsid w:val="00F631BB"/>
    <w:rsid w:val="00F63278"/>
    <w:rsid w:val="00F6327D"/>
    <w:rsid w:val="00F632A7"/>
    <w:rsid w:val="00F63368"/>
    <w:rsid w:val="00F633A8"/>
    <w:rsid w:val="00F633B3"/>
    <w:rsid w:val="00F63412"/>
    <w:rsid w:val="00F63416"/>
    <w:rsid w:val="00F6345A"/>
    <w:rsid w:val="00F63490"/>
    <w:rsid w:val="00F63526"/>
    <w:rsid w:val="00F63818"/>
    <w:rsid w:val="00F63822"/>
    <w:rsid w:val="00F63843"/>
    <w:rsid w:val="00F6388D"/>
    <w:rsid w:val="00F63A23"/>
    <w:rsid w:val="00F63BA3"/>
    <w:rsid w:val="00F63BD0"/>
    <w:rsid w:val="00F63C5D"/>
    <w:rsid w:val="00F63C72"/>
    <w:rsid w:val="00F63D10"/>
    <w:rsid w:val="00F63DBB"/>
    <w:rsid w:val="00F63F46"/>
    <w:rsid w:val="00F63FE2"/>
    <w:rsid w:val="00F640C3"/>
    <w:rsid w:val="00F640CC"/>
    <w:rsid w:val="00F640F6"/>
    <w:rsid w:val="00F642B6"/>
    <w:rsid w:val="00F64419"/>
    <w:rsid w:val="00F64528"/>
    <w:rsid w:val="00F645C3"/>
    <w:rsid w:val="00F6470D"/>
    <w:rsid w:val="00F648A3"/>
    <w:rsid w:val="00F6496A"/>
    <w:rsid w:val="00F64984"/>
    <w:rsid w:val="00F64B20"/>
    <w:rsid w:val="00F64B74"/>
    <w:rsid w:val="00F64BED"/>
    <w:rsid w:val="00F64C3F"/>
    <w:rsid w:val="00F64CCD"/>
    <w:rsid w:val="00F64DB1"/>
    <w:rsid w:val="00F64DF6"/>
    <w:rsid w:val="00F64F3B"/>
    <w:rsid w:val="00F64FAA"/>
    <w:rsid w:val="00F650B3"/>
    <w:rsid w:val="00F65169"/>
    <w:rsid w:val="00F65343"/>
    <w:rsid w:val="00F65386"/>
    <w:rsid w:val="00F653FF"/>
    <w:rsid w:val="00F65477"/>
    <w:rsid w:val="00F654BC"/>
    <w:rsid w:val="00F654EB"/>
    <w:rsid w:val="00F654EC"/>
    <w:rsid w:val="00F654FB"/>
    <w:rsid w:val="00F655F4"/>
    <w:rsid w:val="00F6563C"/>
    <w:rsid w:val="00F656B0"/>
    <w:rsid w:val="00F6584F"/>
    <w:rsid w:val="00F65925"/>
    <w:rsid w:val="00F659C5"/>
    <w:rsid w:val="00F65AA0"/>
    <w:rsid w:val="00F65AAA"/>
    <w:rsid w:val="00F65B76"/>
    <w:rsid w:val="00F65B8F"/>
    <w:rsid w:val="00F65D3A"/>
    <w:rsid w:val="00F65D89"/>
    <w:rsid w:val="00F65E03"/>
    <w:rsid w:val="00F65E99"/>
    <w:rsid w:val="00F65EF0"/>
    <w:rsid w:val="00F65F66"/>
    <w:rsid w:val="00F6607D"/>
    <w:rsid w:val="00F660ED"/>
    <w:rsid w:val="00F66109"/>
    <w:rsid w:val="00F66154"/>
    <w:rsid w:val="00F66259"/>
    <w:rsid w:val="00F6629F"/>
    <w:rsid w:val="00F662F4"/>
    <w:rsid w:val="00F66385"/>
    <w:rsid w:val="00F66444"/>
    <w:rsid w:val="00F6655F"/>
    <w:rsid w:val="00F665A7"/>
    <w:rsid w:val="00F665D0"/>
    <w:rsid w:val="00F66641"/>
    <w:rsid w:val="00F6669C"/>
    <w:rsid w:val="00F666C7"/>
    <w:rsid w:val="00F6675A"/>
    <w:rsid w:val="00F6675F"/>
    <w:rsid w:val="00F66858"/>
    <w:rsid w:val="00F66915"/>
    <w:rsid w:val="00F66951"/>
    <w:rsid w:val="00F66954"/>
    <w:rsid w:val="00F66B00"/>
    <w:rsid w:val="00F66B4F"/>
    <w:rsid w:val="00F66B5B"/>
    <w:rsid w:val="00F66CB9"/>
    <w:rsid w:val="00F66D1D"/>
    <w:rsid w:val="00F66D22"/>
    <w:rsid w:val="00F66D26"/>
    <w:rsid w:val="00F66DA1"/>
    <w:rsid w:val="00F66EC6"/>
    <w:rsid w:val="00F66ECC"/>
    <w:rsid w:val="00F66F28"/>
    <w:rsid w:val="00F66F35"/>
    <w:rsid w:val="00F66F5D"/>
    <w:rsid w:val="00F66FF3"/>
    <w:rsid w:val="00F671F1"/>
    <w:rsid w:val="00F67205"/>
    <w:rsid w:val="00F6729A"/>
    <w:rsid w:val="00F672DB"/>
    <w:rsid w:val="00F67338"/>
    <w:rsid w:val="00F67387"/>
    <w:rsid w:val="00F67420"/>
    <w:rsid w:val="00F674A4"/>
    <w:rsid w:val="00F674C5"/>
    <w:rsid w:val="00F675D4"/>
    <w:rsid w:val="00F676BC"/>
    <w:rsid w:val="00F678B6"/>
    <w:rsid w:val="00F678DD"/>
    <w:rsid w:val="00F6790B"/>
    <w:rsid w:val="00F67921"/>
    <w:rsid w:val="00F67AE5"/>
    <w:rsid w:val="00F67CB6"/>
    <w:rsid w:val="00F67D4E"/>
    <w:rsid w:val="00F67E76"/>
    <w:rsid w:val="00F67E7D"/>
    <w:rsid w:val="00F67EE8"/>
    <w:rsid w:val="00F67F52"/>
    <w:rsid w:val="00F70017"/>
    <w:rsid w:val="00F70037"/>
    <w:rsid w:val="00F70044"/>
    <w:rsid w:val="00F7008B"/>
    <w:rsid w:val="00F7011E"/>
    <w:rsid w:val="00F70182"/>
    <w:rsid w:val="00F701DC"/>
    <w:rsid w:val="00F70252"/>
    <w:rsid w:val="00F70364"/>
    <w:rsid w:val="00F703D0"/>
    <w:rsid w:val="00F703DC"/>
    <w:rsid w:val="00F70478"/>
    <w:rsid w:val="00F704CE"/>
    <w:rsid w:val="00F7050F"/>
    <w:rsid w:val="00F705B5"/>
    <w:rsid w:val="00F70635"/>
    <w:rsid w:val="00F7064D"/>
    <w:rsid w:val="00F706A6"/>
    <w:rsid w:val="00F70735"/>
    <w:rsid w:val="00F70767"/>
    <w:rsid w:val="00F707F4"/>
    <w:rsid w:val="00F70856"/>
    <w:rsid w:val="00F7093E"/>
    <w:rsid w:val="00F709A5"/>
    <w:rsid w:val="00F709F2"/>
    <w:rsid w:val="00F70A1F"/>
    <w:rsid w:val="00F70A65"/>
    <w:rsid w:val="00F70AA9"/>
    <w:rsid w:val="00F70AE8"/>
    <w:rsid w:val="00F70B67"/>
    <w:rsid w:val="00F70BA0"/>
    <w:rsid w:val="00F70C52"/>
    <w:rsid w:val="00F70D57"/>
    <w:rsid w:val="00F70E9E"/>
    <w:rsid w:val="00F70F79"/>
    <w:rsid w:val="00F71050"/>
    <w:rsid w:val="00F71101"/>
    <w:rsid w:val="00F71161"/>
    <w:rsid w:val="00F711C7"/>
    <w:rsid w:val="00F711F9"/>
    <w:rsid w:val="00F71207"/>
    <w:rsid w:val="00F7121F"/>
    <w:rsid w:val="00F71297"/>
    <w:rsid w:val="00F712C8"/>
    <w:rsid w:val="00F712D5"/>
    <w:rsid w:val="00F7137C"/>
    <w:rsid w:val="00F713FB"/>
    <w:rsid w:val="00F714D5"/>
    <w:rsid w:val="00F71672"/>
    <w:rsid w:val="00F7177D"/>
    <w:rsid w:val="00F71796"/>
    <w:rsid w:val="00F717BB"/>
    <w:rsid w:val="00F717EA"/>
    <w:rsid w:val="00F71840"/>
    <w:rsid w:val="00F71904"/>
    <w:rsid w:val="00F719A8"/>
    <w:rsid w:val="00F71BCD"/>
    <w:rsid w:val="00F71E42"/>
    <w:rsid w:val="00F72048"/>
    <w:rsid w:val="00F72223"/>
    <w:rsid w:val="00F7224E"/>
    <w:rsid w:val="00F72292"/>
    <w:rsid w:val="00F723F3"/>
    <w:rsid w:val="00F7256A"/>
    <w:rsid w:val="00F72639"/>
    <w:rsid w:val="00F7264E"/>
    <w:rsid w:val="00F7267E"/>
    <w:rsid w:val="00F72766"/>
    <w:rsid w:val="00F727E6"/>
    <w:rsid w:val="00F7281F"/>
    <w:rsid w:val="00F729C6"/>
    <w:rsid w:val="00F72AF0"/>
    <w:rsid w:val="00F72AF3"/>
    <w:rsid w:val="00F72B3E"/>
    <w:rsid w:val="00F72BA6"/>
    <w:rsid w:val="00F72BC1"/>
    <w:rsid w:val="00F72BFE"/>
    <w:rsid w:val="00F72C7F"/>
    <w:rsid w:val="00F72CC8"/>
    <w:rsid w:val="00F72D34"/>
    <w:rsid w:val="00F72DC0"/>
    <w:rsid w:val="00F72E2D"/>
    <w:rsid w:val="00F72E90"/>
    <w:rsid w:val="00F7300B"/>
    <w:rsid w:val="00F73024"/>
    <w:rsid w:val="00F73067"/>
    <w:rsid w:val="00F730BE"/>
    <w:rsid w:val="00F730E1"/>
    <w:rsid w:val="00F730FA"/>
    <w:rsid w:val="00F73211"/>
    <w:rsid w:val="00F73221"/>
    <w:rsid w:val="00F73292"/>
    <w:rsid w:val="00F732BE"/>
    <w:rsid w:val="00F73381"/>
    <w:rsid w:val="00F73405"/>
    <w:rsid w:val="00F7340F"/>
    <w:rsid w:val="00F734CC"/>
    <w:rsid w:val="00F734E3"/>
    <w:rsid w:val="00F7371B"/>
    <w:rsid w:val="00F737C9"/>
    <w:rsid w:val="00F739AC"/>
    <w:rsid w:val="00F73AFC"/>
    <w:rsid w:val="00F73B3E"/>
    <w:rsid w:val="00F73B9D"/>
    <w:rsid w:val="00F73BF0"/>
    <w:rsid w:val="00F73EDD"/>
    <w:rsid w:val="00F73F7C"/>
    <w:rsid w:val="00F7409F"/>
    <w:rsid w:val="00F740A5"/>
    <w:rsid w:val="00F740D0"/>
    <w:rsid w:val="00F740FA"/>
    <w:rsid w:val="00F74103"/>
    <w:rsid w:val="00F74158"/>
    <w:rsid w:val="00F741B3"/>
    <w:rsid w:val="00F741E4"/>
    <w:rsid w:val="00F7426A"/>
    <w:rsid w:val="00F742B6"/>
    <w:rsid w:val="00F74373"/>
    <w:rsid w:val="00F74451"/>
    <w:rsid w:val="00F7451E"/>
    <w:rsid w:val="00F745CE"/>
    <w:rsid w:val="00F74669"/>
    <w:rsid w:val="00F7469D"/>
    <w:rsid w:val="00F74702"/>
    <w:rsid w:val="00F7474A"/>
    <w:rsid w:val="00F7479A"/>
    <w:rsid w:val="00F74847"/>
    <w:rsid w:val="00F74951"/>
    <w:rsid w:val="00F74A16"/>
    <w:rsid w:val="00F74A3B"/>
    <w:rsid w:val="00F74A77"/>
    <w:rsid w:val="00F74B15"/>
    <w:rsid w:val="00F74B7C"/>
    <w:rsid w:val="00F74D04"/>
    <w:rsid w:val="00F74D4B"/>
    <w:rsid w:val="00F74DC0"/>
    <w:rsid w:val="00F74DD3"/>
    <w:rsid w:val="00F74F01"/>
    <w:rsid w:val="00F74FC7"/>
    <w:rsid w:val="00F74FF7"/>
    <w:rsid w:val="00F7512E"/>
    <w:rsid w:val="00F752D7"/>
    <w:rsid w:val="00F752F4"/>
    <w:rsid w:val="00F7531E"/>
    <w:rsid w:val="00F753FA"/>
    <w:rsid w:val="00F75451"/>
    <w:rsid w:val="00F7561F"/>
    <w:rsid w:val="00F7578A"/>
    <w:rsid w:val="00F7582E"/>
    <w:rsid w:val="00F75857"/>
    <w:rsid w:val="00F7589A"/>
    <w:rsid w:val="00F758AD"/>
    <w:rsid w:val="00F758E8"/>
    <w:rsid w:val="00F75BA7"/>
    <w:rsid w:val="00F75BE1"/>
    <w:rsid w:val="00F75C61"/>
    <w:rsid w:val="00F75C92"/>
    <w:rsid w:val="00F75CF0"/>
    <w:rsid w:val="00F75D56"/>
    <w:rsid w:val="00F75DDA"/>
    <w:rsid w:val="00F75DE8"/>
    <w:rsid w:val="00F75DF1"/>
    <w:rsid w:val="00F75FE3"/>
    <w:rsid w:val="00F76039"/>
    <w:rsid w:val="00F760F0"/>
    <w:rsid w:val="00F7634C"/>
    <w:rsid w:val="00F7634F"/>
    <w:rsid w:val="00F764BC"/>
    <w:rsid w:val="00F7651F"/>
    <w:rsid w:val="00F766E7"/>
    <w:rsid w:val="00F76762"/>
    <w:rsid w:val="00F7686C"/>
    <w:rsid w:val="00F768A1"/>
    <w:rsid w:val="00F76A66"/>
    <w:rsid w:val="00F76AB3"/>
    <w:rsid w:val="00F76C52"/>
    <w:rsid w:val="00F76D8C"/>
    <w:rsid w:val="00F76E8A"/>
    <w:rsid w:val="00F76F82"/>
    <w:rsid w:val="00F76F96"/>
    <w:rsid w:val="00F77026"/>
    <w:rsid w:val="00F770B5"/>
    <w:rsid w:val="00F77138"/>
    <w:rsid w:val="00F7719A"/>
    <w:rsid w:val="00F77264"/>
    <w:rsid w:val="00F772A3"/>
    <w:rsid w:val="00F77300"/>
    <w:rsid w:val="00F7731C"/>
    <w:rsid w:val="00F774CC"/>
    <w:rsid w:val="00F7751F"/>
    <w:rsid w:val="00F77541"/>
    <w:rsid w:val="00F775ED"/>
    <w:rsid w:val="00F77618"/>
    <w:rsid w:val="00F776A5"/>
    <w:rsid w:val="00F779A8"/>
    <w:rsid w:val="00F77A6D"/>
    <w:rsid w:val="00F77B38"/>
    <w:rsid w:val="00F77CEE"/>
    <w:rsid w:val="00F77D2C"/>
    <w:rsid w:val="00F77EAD"/>
    <w:rsid w:val="00F77EC4"/>
    <w:rsid w:val="00F77F78"/>
    <w:rsid w:val="00F77FA0"/>
    <w:rsid w:val="00F77FD7"/>
    <w:rsid w:val="00F80084"/>
    <w:rsid w:val="00F800A5"/>
    <w:rsid w:val="00F80192"/>
    <w:rsid w:val="00F804B9"/>
    <w:rsid w:val="00F8051F"/>
    <w:rsid w:val="00F8053C"/>
    <w:rsid w:val="00F80617"/>
    <w:rsid w:val="00F80745"/>
    <w:rsid w:val="00F80805"/>
    <w:rsid w:val="00F80868"/>
    <w:rsid w:val="00F808B9"/>
    <w:rsid w:val="00F808D3"/>
    <w:rsid w:val="00F808E3"/>
    <w:rsid w:val="00F80957"/>
    <w:rsid w:val="00F80C31"/>
    <w:rsid w:val="00F80C86"/>
    <w:rsid w:val="00F80CBB"/>
    <w:rsid w:val="00F80D5F"/>
    <w:rsid w:val="00F80DA3"/>
    <w:rsid w:val="00F80DE6"/>
    <w:rsid w:val="00F80DF5"/>
    <w:rsid w:val="00F80DFC"/>
    <w:rsid w:val="00F80E6C"/>
    <w:rsid w:val="00F80E75"/>
    <w:rsid w:val="00F80E76"/>
    <w:rsid w:val="00F80E84"/>
    <w:rsid w:val="00F81052"/>
    <w:rsid w:val="00F8106C"/>
    <w:rsid w:val="00F810A6"/>
    <w:rsid w:val="00F811A6"/>
    <w:rsid w:val="00F81221"/>
    <w:rsid w:val="00F81252"/>
    <w:rsid w:val="00F812B0"/>
    <w:rsid w:val="00F81358"/>
    <w:rsid w:val="00F81428"/>
    <w:rsid w:val="00F814E9"/>
    <w:rsid w:val="00F815B8"/>
    <w:rsid w:val="00F816BE"/>
    <w:rsid w:val="00F816C9"/>
    <w:rsid w:val="00F81867"/>
    <w:rsid w:val="00F818E5"/>
    <w:rsid w:val="00F81910"/>
    <w:rsid w:val="00F81929"/>
    <w:rsid w:val="00F81984"/>
    <w:rsid w:val="00F81B36"/>
    <w:rsid w:val="00F81B3E"/>
    <w:rsid w:val="00F81B85"/>
    <w:rsid w:val="00F81BCA"/>
    <w:rsid w:val="00F81BD8"/>
    <w:rsid w:val="00F81CB8"/>
    <w:rsid w:val="00F81E53"/>
    <w:rsid w:val="00F81F2C"/>
    <w:rsid w:val="00F81F35"/>
    <w:rsid w:val="00F82036"/>
    <w:rsid w:val="00F82042"/>
    <w:rsid w:val="00F820AC"/>
    <w:rsid w:val="00F8218A"/>
    <w:rsid w:val="00F82392"/>
    <w:rsid w:val="00F8265E"/>
    <w:rsid w:val="00F82690"/>
    <w:rsid w:val="00F826A1"/>
    <w:rsid w:val="00F8272E"/>
    <w:rsid w:val="00F827E4"/>
    <w:rsid w:val="00F82854"/>
    <w:rsid w:val="00F828AB"/>
    <w:rsid w:val="00F82952"/>
    <w:rsid w:val="00F8299E"/>
    <w:rsid w:val="00F829F1"/>
    <w:rsid w:val="00F82B98"/>
    <w:rsid w:val="00F82CFE"/>
    <w:rsid w:val="00F830C9"/>
    <w:rsid w:val="00F8327C"/>
    <w:rsid w:val="00F8342D"/>
    <w:rsid w:val="00F83464"/>
    <w:rsid w:val="00F836CE"/>
    <w:rsid w:val="00F8371C"/>
    <w:rsid w:val="00F837F3"/>
    <w:rsid w:val="00F8392E"/>
    <w:rsid w:val="00F83CF1"/>
    <w:rsid w:val="00F83D2C"/>
    <w:rsid w:val="00F83DE1"/>
    <w:rsid w:val="00F83DE8"/>
    <w:rsid w:val="00F83EC8"/>
    <w:rsid w:val="00F83EFD"/>
    <w:rsid w:val="00F83F36"/>
    <w:rsid w:val="00F83F89"/>
    <w:rsid w:val="00F840B0"/>
    <w:rsid w:val="00F84270"/>
    <w:rsid w:val="00F84285"/>
    <w:rsid w:val="00F843B6"/>
    <w:rsid w:val="00F843FD"/>
    <w:rsid w:val="00F84449"/>
    <w:rsid w:val="00F84533"/>
    <w:rsid w:val="00F84569"/>
    <w:rsid w:val="00F845E8"/>
    <w:rsid w:val="00F848C5"/>
    <w:rsid w:val="00F84B5F"/>
    <w:rsid w:val="00F84BB7"/>
    <w:rsid w:val="00F84C05"/>
    <w:rsid w:val="00F84CA2"/>
    <w:rsid w:val="00F84D26"/>
    <w:rsid w:val="00F84D81"/>
    <w:rsid w:val="00F84DD1"/>
    <w:rsid w:val="00F84FA5"/>
    <w:rsid w:val="00F8509F"/>
    <w:rsid w:val="00F850AB"/>
    <w:rsid w:val="00F851FC"/>
    <w:rsid w:val="00F85206"/>
    <w:rsid w:val="00F8520F"/>
    <w:rsid w:val="00F8527A"/>
    <w:rsid w:val="00F8543E"/>
    <w:rsid w:val="00F85496"/>
    <w:rsid w:val="00F854A9"/>
    <w:rsid w:val="00F85566"/>
    <w:rsid w:val="00F855C3"/>
    <w:rsid w:val="00F855E5"/>
    <w:rsid w:val="00F8567A"/>
    <w:rsid w:val="00F856C1"/>
    <w:rsid w:val="00F85974"/>
    <w:rsid w:val="00F859FC"/>
    <w:rsid w:val="00F85B7A"/>
    <w:rsid w:val="00F85BE6"/>
    <w:rsid w:val="00F85D5A"/>
    <w:rsid w:val="00F85DF5"/>
    <w:rsid w:val="00F85E9D"/>
    <w:rsid w:val="00F85EF4"/>
    <w:rsid w:val="00F85F2A"/>
    <w:rsid w:val="00F85FAA"/>
    <w:rsid w:val="00F86003"/>
    <w:rsid w:val="00F860B0"/>
    <w:rsid w:val="00F860B6"/>
    <w:rsid w:val="00F86134"/>
    <w:rsid w:val="00F86180"/>
    <w:rsid w:val="00F86182"/>
    <w:rsid w:val="00F86385"/>
    <w:rsid w:val="00F868C3"/>
    <w:rsid w:val="00F868CD"/>
    <w:rsid w:val="00F868E6"/>
    <w:rsid w:val="00F8690B"/>
    <w:rsid w:val="00F86930"/>
    <w:rsid w:val="00F869A8"/>
    <w:rsid w:val="00F869B8"/>
    <w:rsid w:val="00F869C7"/>
    <w:rsid w:val="00F86AB7"/>
    <w:rsid w:val="00F86C18"/>
    <w:rsid w:val="00F86C26"/>
    <w:rsid w:val="00F86D1B"/>
    <w:rsid w:val="00F86D7B"/>
    <w:rsid w:val="00F86DFF"/>
    <w:rsid w:val="00F86F22"/>
    <w:rsid w:val="00F86F5D"/>
    <w:rsid w:val="00F86F76"/>
    <w:rsid w:val="00F87093"/>
    <w:rsid w:val="00F870BF"/>
    <w:rsid w:val="00F87168"/>
    <w:rsid w:val="00F87269"/>
    <w:rsid w:val="00F87296"/>
    <w:rsid w:val="00F87499"/>
    <w:rsid w:val="00F8757C"/>
    <w:rsid w:val="00F875CD"/>
    <w:rsid w:val="00F875E7"/>
    <w:rsid w:val="00F87649"/>
    <w:rsid w:val="00F87806"/>
    <w:rsid w:val="00F8785B"/>
    <w:rsid w:val="00F87A08"/>
    <w:rsid w:val="00F87A17"/>
    <w:rsid w:val="00F87A98"/>
    <w:rsid w:val="00F87AB5"/>
    <w:rsid w:val="00F87AF5"/>
    <w:rsid w:val="00F87BA6"/>
    <w:rsid w:val="00F87BD8"/>
    <w:rsid w:val="00F87CA8"/>
    <w:rsid w:val="00F87CAF"/>
    <w:rsid w:val="00F87CBA"/>
    <w:rsid w:val="00F87CCA"/>
    <w:rsid w:val="00F87D24"/>
    <w:rsid w:val="00F87D9E"/>
    <w:rsid w:val="00F87DC0"/>
    <w:rsid w:val="00F87DD2"/>
    <w:rsid w:val="00F87DED"/>
    <w:rsid w:val="00F87E26"/>
    <w:rsid w:val="00F87E63"/>
    <w:rsid w:val="00F87F0F"/>
    <w:rsid w:val="00F87F61"/>
    <w:rsid w:val="00F90024"/>
    <w:rsid w:val="00F90120"/>
    <w:rsid w:val="00F90145"/>
    <w:rsid w:val="00F901EA"/>
    <w:rsid w:val="00F9020D"/>
    <w:rsid w:val="00F90220"/>
    <w:rsid w:val="00F9041E"/>
    <w:rsid w:val="00F90680"/>
    <w:rsid w:val="00F90683"/>
    <w:rsid w:val="00F9073C"/>
    <w:rsid w:val="00F907B1"/>
    <w:rsid w:val="00F9083E"/>
    <w:rsid w:val="00F90899"/>
    <w:rsid w:val="00F908C9"/>
    <w:rsid w:val="00F9093C"/>
    <w:rsid w:val="00F90A52"/>
    <w:rsid w:val="00F90C00"/>
    <w:rsid w:val="00F90C77"/>
    <w:rsid w:val="00F90C7E"/>
    <w:rsid w:val="00F90D18"/>
    <w:rsid w:val="00F90D51"/>
    <w:rsid w:val="00F90F44"/>
    <w:rsid w:val="00F90FF0"/>
    <w:rsid w:val="00F9100A"/>
    <w:rsid w:val="00F910D6"/>
    <w:rsid w:val="00F91111"/>
    <w:rsid w:val="00F91321"/>
    <w:rsid w:val="00F914CB"/>
    <w:rsid w:val="00F91509"/>
    <w:rsid w:val="00F91518"/>
    <w:rsid w:val="00F915E2"/>
    <w:rsid w:val="00F915F8"/>
    <w:rsid w:val="00F9169C"/>
    <w:rsid w:val="00F91851"/>
    <w:rsid w:val="00F91866"/>
    <w:rsid w:val="00F91880"/>
    <w:rsid w:val="00F91893"/>
    <w:rsid w:val="00F918B0"/>
    <w:rsid w:val="00F918D1"/>
    <w:rsid w:val="00F91A31"/>
    <w:rsid w:val="00F91AA1"/>
    <w:rsid w:val="00F91AE0"/>
    <w:rsid w:val="00F91BDC"/>
    <w:rsid w:val="00F91C15"/>
    <w:rsid w:val="00F91CE8"/>
    <w:rsid w:val="00F91D44"/>
    <w:rsid w:val="00F91D4B"/>
    <w:rsid w:val="00F91F0D"/>
    <w:rsid w:val="00F91FC9"/>
    <w:rsid w:val="00F91FE1"/>
    <w:rsid w:val="00F9201C"/>
    <w:rsid w:val="00F920C8"/>
    <w:rsid w:val="00F922E5"/>
    <w:rsid w:val="00F922F3"/>
    <w:rsid w:val="00F9246B"/>
    <w:rsid w:val="00F92486"/>
    <w:rsid w:val="00F924FB"/>
    <w:rsid w:val="00F9252D"/>
    <w:rsid w:val="00F92581"/>
    <w:rsid w:val="00F9259D"/>
    <w:rsid w:val="00F925A3"/>
    <w:rsid w:val="00F925DF"/>
    <w:rsid w:val="00F9262D"/>
    <w:rsid w:val="00F9278E"/>
    <w:rsid w:val="00F9282A"/>
    <w:rsid w:val="00F92871"/>
    <w:rsid w:val="00F92964"/>
    <w:rsid w:val="00F9297F"/>
    <w:rsid w:val="00F929A2"/>
    <w:rsid w:val="00F929EE"/>
    <w:rsid w:val="00F92ABC"/>
    <w:rsid w:val="00F92B40"/>
    <w:rsid w:val="00F92C5B"/>
    <w:rsid w:val="00F92D4F"/>
    <w:rsid w:val="00F92DD2"/>
    <w:rsid w:val="00F92E05"/>
    <w:rsid w:val="00F92E5D"/>
    <w:rsid w:val="00F92E75"/>
    <w:rsid w:val="00F92E83"/>
    <w:rsid w:val="00F92FFA"/>
    <w:rsid w:val="00F93057"/>
    <w:rsid w:val="00F9313A"/>
    <w:rsid w:val="00F9316F"/>
    <w:rsid w:val="00F9318A"/>
    <w:rsid w:val="00F931E6"/>
    <w:rsid w:val="00F932E2"/>
    <w:rsid w:val="00F932F5"/>
    <w:rsid w:val="00F93466"/>
    <w:rsid w:val="00F93492"/>
    <w:rsid w:val="00F93564"/>
    <w:rsid w:val="00F936F7"/>
    <w:rsid w:val="00F93817"/>
    <w:rsid w:val="00F938DD"/>
    <w:rsid w:val="00F93A07"/>
    <w:rsid w:val="00F93A74"/>
    <w:rsid w:val="00F93B13"/>
    <w:rsid w:val="00F93B96"/>
    <w:rsid w:val="00F93CB5"/>
    <w:rsid w:val="00F93CFC"/>
    <w:rsid w:val="00F93D8E"/>
    <w:rsid w:val="00F93DCF"/>
    <w:rsid w:val="00F93E0A"/>
    <w:rsid w:val="00F93EBA"/>
    <w:rsid w:val="00F93F38"/>
    <w:rsid w:val="00F93F6E"/>
    <w:rsid w:val="00F93FC4"/>
    <w:rsid w:val="00F94016"/>
    <w:rsid w:val="00F940CF"/>
    <w:rsid w:val="00F94187"/>
    <w:rsid w:val="00F941B6"/>
    <w:rsid w:val="00F942B9"/>
    <w:rsid w:val="00F94379"/>
    <w:rsid w:val="00F943B8"/>
    <w:rsid w:val="00F9440E"/>
    <w:rsid w:val="00F944FC"/>
    <w:rsid w:val="00F94513"/>
    <w:rsid w:val="00F94517"/>
    <w:rsid w:val="00F94557"/>
    <w:rsid w:val="00F9461F"/>
    <w:rsid w:val="00F94675"/>
    <w:rsid w:val="00F94685"/>
    <w:rsid w:val="00F946B1"/>
    <w:rsid w:val="00F94872"/>
    <w:rsid w:val="00F948DA"/>
    <w:rsid w:val="00F94936"/>
    <w:rsid w:val="00F94BEB"/>
    <w:rsid w:val="00F94CEA"/>
    <w:rsid w:val="00F94CF8"/>
    <w:rsid w:val="00F94D66"/>
    <w:rsid w:val="00F94DA9"/>
    <w:rsid w:val="00F94DD5"/>
    <w:rsid w:val="00F94E0F"/>
    <w:rsid w:val="00F94E32"/>
    <w:rsid w:val="00F94E67"/>
    <w:rsid w:val="00F94ECB"/>
    <w:rsid w:val="00F94FD7"/>
    <w:rsid w:val="00F95104"/>
    <w:rsid w:val="00F95117"/>
    <w:rsid w:val="00F9523F"/>
    <w:rsid w:val="00F95262"/>
    <w:rsid w:val="00F95278"/>
    <w:rsid w:val="00F952EE"/>
    <w:rsid w:val="00F95326"/>
    <w:rsid w:val="00F95337"/>
    <w:rsid w:val="00F95405"/>
    <w:rsid w:val="00F954B5"/>
    <w:rsid w:val="00F954BF"/>
    <w:rsid w:val="00F95526"/>
    <w:rsid w:val="00F95693"/>
    <w:rsid w:val="00F956B2"/>
    <w:rsid w:val="00F956C5"/>
    <w:rsid w:val="00F9571F"/>
    <w:rsid w:val="00F9581C"/>
    <w:rsid w:val="00F958D4"/>
    <w:rsid w:val="00F95931"/>
    <w:rsid w:val="00F9596A"/>
    <w:rsid w:val="00F95978"/>
    <w:rsid w:val="00F959EE"/>
    <w:rsid w:val="00F95A8F"/>
    <w:rsid w:val="00F95B49"/>
    <w:rsid w:val="00F95BC8"/>
    <w:rsid w:val="00F95CCC"/>
    <w:rsid w:val="00F95D1A"/>
    <w:rsid w:val="00F95DE7"/>
    <w:rsid w:val="00F95DED"/>
    <w:rsid w:val="00F96175"/>
    <w:rsid w:val="00F9618F"/>
    <w:rsid w:val="00F962F7"/>
    <w:rsid w:val="00F96306"/>
    <w:rsid w:val="00F963F7"/>
    <w:rsid w:val="00F96417"/>
    <w:rsid w:val="00F96504"/>
    <w:rsid w:val="00F965A0"/>
    <w:rsid w:val="00F9662F"/>
    <w:rsid w:val="00F966B0"/>
    <w:rsid w:val="00F966FD"/>
    <w:rsid w:val="00F96710"/>
    <w:rsid w:val="00F96732"/>
    <w:rsid w:val="00F96754"/>
    <w:rsid w:val="00F96779"/>
    <w:rsid w:val="00F9686D"/>
    <w:rsid w:val="00F968D6"/>
    <w:rsid w:val="00F9690F"/>
    <w:rsid w:val="00F969EA"/>
    <w:rsid w:val="00F96A28"/>
    <w:rsid w:val="00F96A3D"/>
    <w:rsid w:val="00F96AC5"/>
    <w:rsid w:val="00F96B2C"/>
    <w:rsid w:val="00F96BC2"/>
    <w:rsid w:val="00F96C5D"/>
    <w:rsid w:val="00F96D29"/>
    <w:rsid w:val="00F96E28"/>
    <w:rsid w:val="00F96F12"/>
    <w:rsid w:val="00F96FD7"/>
    <w:rsid w:val="00F96FDD"/>
    <w:rsid w:val="00F97073"/>
    <w:rsid w:val="00F970FC"/>
    <w:rsid w:val="00F9719A"/>
    <w:rsid w:val="00F971D4"/>
    <w:rsid w:val="00F97289"/>
    <w:rsid w:val="00F972A0"/>
    <w:rsid w:val="00F972FF"/>
    <w:rsid w:val="00F973A6"/>
    <w:rsid w:val="00F97416"/>
    <w:rsid w:val="00F97421"/>
    <w:rsid w:val="00F97578"/>
    <w:rsid w:val="00F9769C"/>
    <w:rsid w:val="00F976ED"/>
    <w:rsid w:val="00F977CE"/>
    <w:rsid w:val="00F978D9"/>
    <w:rsid w:val="00F97934"/>
    <w:rsid w:val="00F97965"/>
    <w:rsid w:val="00F979D3"/>
    <w:rsid w:val="00F97B07"/>
    <w:rsid w:val="00F97B38"/>
    <w:rsid w:val="00F97CCE"/>
    <w:rsid w:val="00F97FBC"/>
    <w:rsid w:val="00FA0178"/>
    <w:rsid w:val="00FA01ED"/>
    <w:rsid w:val="00FA0384"/>
    <w:rsid w:val="00FA0398"/>
    <w:rsid w:val="00FA043C"/>
    <w:rsid w:val="00FA0476"/>
    <w:rsid w:val="00FA0523"/>
    <w:rsid w:val="00FA06E2"/>
    <w:rsid w:val="00FA0703"/>
    <w:rsid w:val="00FA078A"/>
    <w:rsid w:val="00FA0801"/>
    <w:rsid w:val="00FA081B"/>
    <w:rsid w:val="00FA08A3"/>
    <w:rsid w:val="00FA08D4"/>
    <w:rsid w:val="00FA0A28"/>
    <w:rsid w:val="00FA0A3B"/>
    <w:rsid w:val="00FA0C15"/>
    <w:rsid w:val="00FA0C3D"/>
    <w:rsid w:val="00FA0CDF"/>
    <w:rsid w:val="00FA0CED"/>
    <w:rsid w:val="00FA0E21"/>
    <w:rsid w:val="00FA0F65"/>
    <w:rsid w:val="00FA1019"/>
    <w:rsid w:val="00FA1045"/>
    <w:rsid w:val="00FA1130"/>
    <w:rsid w:val="00FA11A0"/>
    <w:rsid w:val="00FA1238"/>
    <w:rsid w:val="00FA124A"/>
    <w:rsid w:val="00FA1276"/>
    <w:rsid w:val="00FA12A4"/>
    <w:rsid w:val="00FA12DB"/>
    <w:rsid w:val="00FA1338"/>
    <w:rsid w:val="00FA13E5"/>
    <w:rsid w:val="00FA1446"/>
    <w:rsid w:val="00FA148E"/>
    <w:rsid w:val="00FA1498"/>
    <w:rsid w:val="00FA158A"/>
    <w:rsid w:val="00FA15D5"/>
    <w:rsid w:val="00FA15D7"/>
    <w:rsid w:val="00FA1614"/>
    <w:rsid w:val="00FA182B"/>
    <w:rsid w:val="00FA187B"/>
    <w:rsid w:val="00FA1908"/>
    <w:rsid w:val="00FA1945"/>
    <w:rsid w:val="00FA19B6"/>
    <w:rsid w:val="00FA19BD"/>
    <w:rsid w:val="00FA19CE"/>
    <w:rsid w:val="00FA19ED"/>
    <w:rsid w:val="00FA1D5E"/>
    <w:rsid w:val="00FA1D75"/>
    <w:rsid w:val="00FA1D78"/>
    <w:rsid w:val="00FA1D88"/>
    <w:rsid w:val="00FA1D96"/>
    <w:rsid w:val="00FA1E8F"/>
    <w:rsid w:val="00FA1FE8"/>
    <w:rsid w:val="00FA208C"/>
    <w:rsid w:val="00FA2248"/>
    <w:rsid w:val="00FA2277"/>
    <w:rsid w:val="00FA22C4"/>
    <w:rsid w:val="00FA22D4"/>
    <w:rsid w:val="00FA2367"/>
    <w:rsid w:val="00FA23CD"/>
    <w:rsid w:val="00FA23F5"/>
    <w:rsid w:val="00FA24C8"/>
    <w:rsid w:val="00FA24EB"/>
    <w:rsid w:val="00FA26E5"/>
    <w:rsid w:val="00FA2837"/>
    <w:rsid w:val="00FA283B"/>
    <w:rsid w:val="00FA292E"/>
    <w:rsid w:val="00FA2941"/>
    <w:rsid w:val="00FA2AD4"/>
    <w:rsid w:val="00FA2B3E"/>
    <w:rsid w:val="00FA2BB7"/>
    <w:rsid w:val="00FA2BF7"/>
    <w:rsid w:val="00FA2C09"/>
    <w:rsid w:val="00FA2C1D"/>
    <w:rsid w:val="00FA2C52"/>
    <w:rsid w:val="00FA2C6D"/>
    <w:rsid w:val="00FA2CFE"/>
    <w:rsid w:val="00FA2DD0"/>
    <w:rsid w:val="00FA2ECC"/>
    <w:rsid w:val="00FA2ECD"/>
    <w:rsid w:val="00FA30F4"/>
    <w:rsid w:val="00FA31C4"/>
    <w:rsid w:val="00FA31C9"/>
    <w:rsid w:val="00FA323A"/>
    <w:rsid w:val="00FA3268"/>
    <w:rsid w:val="00FA3372"/>
    <w:rsid w:val="00FA33F4"/>
    <w:rsid w:val="00FA34E7"/>
    <w:rsid w:val="00FA3602"/>
    <w:rsid w:val="00FA3840"/>
    <w:rsid w:val="00FA3972"/>
    <w:rsid w:val="00FA3A3B"/>
    <w:rsid w:val="00FA3A47"/>
    <w:rsid w:val="00FA3A4F"/>
    <w:rsid w:val="00FA3C26"/>
    <w:rsid w:val="00FA3CA2"/>
    <w:rsid w:val="00FA3D17"/>
    <w:rsid w:val="00FA3D83"/>
    <w:rsid w:val="00FA3DBD"/>
    <w:rsid w:val="00FA3EE6"/>
    <w:rsid w:val="00FA4061"/>
    <w:rsid w:val="00FA41E0"/>
    <w:rsid w:val="00FA43DF"/>
    <w:rsid w:val="00FA4415"/>
    <w:rsid w:val="00FA4516"/>
    <w:rsid w:val="00FA46C6"/>
    <w:rsid w:val="00FA470C"/>
    <w:rsid w:val="00FA475E"/>
    <w:rsid w:val="00FA477A"/>
    <w:rsid w:val="00FA4786"/>
    <w:rsid w:val="00FA47E7"/>
    <w:rsid w:val="00FA4956"/>
    <w:rsid w:val="00FA4968"/>
    <w:rsid w:val="00FA4970"/>
    <w:rsid w:val="00FA4A6B"/>
    <w:rsid w:val="00FA4AEE"/>
    <w:rsid w:val="00FA4B91"/>
    <w:rsid w:val="00FA4BC0"/>
    <w:rsid w:val="00FA4BF5"/>
    <w:rsid w:val="00FA4C49"/>
    <w:rsid w:val="00FA4C5D"/>
    <w:rsid w:val="00FA4C65"/>
    <w:rsid w:val="00FA4C88"/>
    <w:rsid w:val="00FA4D3C"/>
    <w:rsid w:val="00FA4E1A"/>
    <w:rsid w:val="00FA4E27"/>
    <w:rsid w:val="00FA4E4A"/>
    <w:rsid w:val="00FA4F11"/>
    <w:rsid w:val="00FA4FAE"/>
    <w:rsid w:val="00FA502B"/>
    <w:rsid w:val="00FA508C"/>
    <w:rsid w:val="00FA5180"/>
    <w:rsid w:val="00FA5259"/>
    <w:rsid w:val="00FA5321"/>
    <w:rsid w:val="00FA535A"/>
    <w:rsid w:val="00FA542A"/>
    <w:rsid w:val="00FA54A5"/>
    <w:rsid w:val="00FA54B6"/>
    <w:rsid w:val="00FA54D9"/>
    <w:rsid w:val="00FA55CA"/>
    <w:rsid w:val="00FA56E9"/>
    <w:rsid w:val="00FA5734"/>
    <w:rsid w:val="00FA57E3"/>
    <w:rsid w:val="00FA599D"/>
    <w:rsid w:val="00FA5A79"/>
    <w:rsid w:val="00FA5B0F"/>
    <w:rsid w:val="00FA5B4E"/>
    <w:rsid w:val="00FA5BC0"/>
    <w:rsid w:val="00FA5C3B"/>
    <w:rsid w:val="00FA5C74"/>
    <w:rsid w:val="00FA5E00"/>
    <w:rsid w:val="00FA5E81"/>
    <w:rsid w:val="00FA5F1F"/>
    <w:rsid w:val="00FA6127"/>
    <w:rsid w:val="00FA6147"/>
    <w:rsid w:val="00FA6489"/>
    <w:rsid w:val="00FA656A"/>
    <w:rsid w:val="00FA65E7"/>
    <w:rsid w:val="00FA6717"/>
    <w:rsid w:val="00FA6730"/>
    <w:rsid w:val="00FA6747"/>
    <w:rsid w:val="00FA677A"/>
    <w:rsid w:val="00FA67F7"/>
    <w:rsid w:val="00FA6899"/>
    <w:rsid w:val="00FA6998"/>
    <w:rsid w:val="00FA69EA"/>
    <w:rsid w:val="00FA69FA"/>
    <w:rsid w:val="00FA6A63"/>
    <w:rsid w:val="00FA6A78"/>
    <w:rsid w:val="00FA6DB4"/>
    <w:rsid w:val="00FA6E86"/>
    <w:rsid w:val="00FA6F36"/>
    <w:rsid w:val="00FA6FBA"/>
    <w:rsid w:val="00FA70B6"/>
    <w:rsid w:val="00FA70F4"/>
    <w:rsid w:val="00FA717C"/>
    <w:rsid w:val="00FA71B7"/>
    <w:rsid w:val="00FA71E1"/>
    <w:rsid w:val="00FA7242"/>
    <w:rsid w:val="00FA72EA"/>
    <w:rsid w:val="00FA73C5"/>
    <w:rsid w:val="00FA7451"/>
    <w:rsid w:val="00FA74F8"/>
    <w:rsid w:val="00FA7529"/>
    <w:rsid w:val="00FA7565"/>
    <w:rsid w:val="00FA7660"/>
    <w:rsid w:val="00FA76A7"/>
    <w:rsid w:val="00FA76AA"/>
    <w:rsid w:val="00FA770A"/>
    <w:rsid w:val="00FA7760"/>
    <w:rsid w:val="00FA7981"/>
    <w:rsid w:val="00FA79BE"/>
    <w:rsid w:val="00FA7B08"/>
    <w:rsid w:val="00FA7BAA"/>
    <w:rsid w:val="00FA7BB7"/>
    <w:rsid w:val="00FA7CAF"/>
    <w:rsid w:val="00FA7CB1"/>
    <w:rsid w:val="00FA7D58"/>
    <w:rsid w:val="00FA7D89"/>
    <w:rsid w:val="00FA7EB5"/>
    <w:rsid w:val="00FA7EBF"/>
    <w:rsid w:val="00FA7EC4"/>
    <w:rsid w:val="00FB0037"/>
    <w:rsid w:val="00FB0080"/>
    <w:rsid w:val="00FB0096"/>
    <w:rsid w:val="00FB00BC"/>
    <w:rsid w:val="00FB012C"/>
    <w:rsid w:val="00FB0138"/>
    <w:rsid w:val="00FB0163"/>
    <w:rsid w:val="00FB017D"/>
    <w:rsid w:val="00FB024D"/>
    <w:rsid w:val="00FB02F2"/>
    <w:rsid w:val="00FB0336"/>
    <w:rsid w:val="00FB03A3"/>
    <w:rsid w:val="00FB0505"/>
    <w:rsid w:val="00FB05F6"/>
    <w:rsid w:val="00FB0617"/>
    <w:rsid w:val="00FB063A"/>
    <w:rsid w:val="00FB0691"/>
    <w:rsid w:val="00FB06CE"/>
    <w:rsid w:val="00FB06D9"/>
    <w:rsid w:val="00FB0702"/>
    <w:rsid w:val="00FB0725"/>
    <w:rsid w:val="00FB08D5"/>
    <w:rsid w:val="00FB08F2"/>
    <w:rsid w:val="00FB0909"/>
    <w:rsid w:val="00FB09B1"/>
    <w:rsid w:val="00FB0A23"/>
    <w:rsid w:val="00FB0A5C"/>
    <w:rsid w:val="00FB0B4B"/>
    <w:rsid w:val="00FB0BD7"/>
    <w:rsid w:val="00FB0CD9"/>
    <w:rsid w:val="00FB0D09"/>
    <w:rsid w:val="00FB0DB6"/>
    <w:rsid w:val="00FB0EEF"/>
    <w:rsid w:val="00FB0F46"/>
    <w:rsid w:val="00FB0FBA"/>
    <w:rsid w:val="00FB1006"/>
    <w:rsid w:val="00FB1068"/>
    <w:rsid w:val="00FB10BB"/>
    <w:rsid w:val="00FB10BF"/>
    <w:rsid w:val="00FB1177"/>
    <w:rsid w:val="00FB11CC"/>
    <w:rsid w:val="00FB124B"/>
    <w:rsid w:val="00FB13B2"/>
    <w:rsid w:val="00FB15AC"/>
    <w:rsid w:val="00FB15E4"/>
    <w:rsid w:val="00FB170D"/>
    <w:rsid w:val="00FB1718"/>
    <w:rsid w:val="00FB1762"/>
    <w:rsid w:val="00FB17C3"/>
    <w:rsid w:val="00FB17EC"/>
    <w:rsid w:val="00FB1904"/>
    <w:rsid w:val="00FB199C"/>
    <w:rsid w:val="00FB1A1B"/>
    <w:rsid w:val="00FB1BCA"/>
    <w:rsid w:val="00FB1C89"/>
    <w:rsid w:val="00FB1E20"/>
    <w:rsid w:val="00FB1E4F"/>
    <w:rsid w:val="00FB1E6B"/>
    <w:rsid w:val="00FB1FAB"/>
    <w:rsid w:val="00FB2234"/>
    <w:rsid w:val="00FB223C"/>
    <w:rsid w:val="00FB232B"/>
    <w:rsid w:val="00FB233E"/>
    <w:rsid w:val="00FB2399"/>
    <w:rsid w:val="00FB2409"/>
    <w:rsid w:val="00FB24B7"/>
    <w:rsid w:val="00FB2531"/>
    <w:rsid w:val="00FB256B"/>
    <w:rsid w:val="00FB2673"/>
    <w:rsid w:val="00FB268A"/>
    <w:rsid w:val="00FB268C"/>
    <w:rsid w:val="00FB26CA"/>
    <w:rsid w:val="00FB27F8"/>
    <w:rsid w:val="00FB28E6"/>
    <w:rsid w:val="00FB2AE7"/>
    <w:rsid w:val="00FB2B12"/>
    <w:rsid w:val="00FB2B7C"/>
    <w:rsid w:val="00FB2C52"/>
    <w:rsid w:val="00FB2CDC"/>
    <w:rsid w:val="00FB2E7E"/>
    <w:rsid w:val="00FB2EAA"/>
    <w:rsid w:val="00FB2FAC"/>
    <w:rsid w:val="00FB3055"/>
    <w:rsid w:val="00FB3223"/>
    <w:rsid w:val="00FB3233"/>
    <w:rsid w:val="00FB332F"/>
    <w:rsid w:val="00FB33F6"/>
    <w:rsid w:val="00FB341F"/>
    <w:rsid w:val="00FB3446"/>
    <w:rsid w:val="00FB345C"/>
    <w:rsid w:val="00FB3575"/>
    <w:rsid w:val="00FB35ED"/>
    <w:rsid w:val="00FB3645"/>
    <w:rsid w:val="00FB36D7"/>
    <w:rsid w:val="00FB38E9"/>
    <w:rsid w:val="00FB3914"/>
    <w:rsid w:val="00FB3955"/>
    <w:rsid w:val="00FB396F"/>
    <w:rsid w:val="00FB39A9"/>
    <w:rsid w:val="00FB39C3"/>
    <w:rsid w:val="00FB3A3F"/>
    <w:rsid w:val="00FB3B4E"/>
    <w:rsid w:val="00FB3B73"/>
    <w:rsid w:val="00FB3BAF"/>
    <w:rsid w:val="00FB3DC0"/>
    <w:rsid w:val="00FB3E60"/>
    <w:rsid w:val="00FB3EBA"/>
    <w:rsid w:val="00FB3EC1"/>
    <w:rsid w:val="00FB3F34"/>
    <w:rsid w:val="00FB401D"/>
    <w:rsid w:val="00FB4128"/>
    <w:rsid w:val="00FB41BA"/>
    <w:rsid w:val="00FB41C0"/>
    <w:rsid w:val="00FB41E0"/>
    <w:rsid w:val="00FB41E3"/>
    <w:rsid w:val="00FB43A4"/>
    <w:rsid w:val="00FB4487"/>
    <w:rsid w:val="00FB44DC"/>
    <w:rsid w:val="00FB450F"/>
    <w:rsid w:val="00FB476E"/>
    <w:rsid w:val="00FB47FF"/>
    <w:rsid w:val="00FB482B"/>
    <w:rsid w:val="00FB483F"/>
    <w:rsid w:val="00FB48C2"/>
    <w:rsid w:val="00FB4900"/>
    <w:rsid w:val="00FB4929"/>
    <w:rsid w:val="00FB495D"/>
    <w:rsid w:val="00FB4ABF"/>
    <w:rsid w:val="00FB4AFA"/>
    <w:rsid w:val="00FB4B0E"/>
    <w:rsid w:val="00FB4C9F"/>
    <w:rsid w:val="00FB4DB2"/>
    <w:rsid w:val="00FB4EFA"/>
    <w:rsid w:val="00FB4EFC"/>
    <w:rsid w:val="00FB4F33"/>
    <w:rsid w:val="00FB4F38"/>
    <w:rsid w:val="00FB500D"/>
    <w:rsid w:val="00FB50EC"/>
    <w:rsid w:val="00FB513E"/>
    <w:rsid w:val="00FB51B5"/>
    <w:rsid w:val="00FB51E1"/>
    <w:rsid w:val="00FB5236"/>
    <w:rsid w:val="00FB524D"/>
    <w:rsid w:val="00FB52C7"/>
    <w:rsid w:val="00FB53E2"/>
    <w:rsid w:val="00FB54B7"/>
    <w:rsid w:val="00FB5505"/>
    <w:rsid w:val="00FB558F"/>
    <w:rsid w:val="00FB566E"/>
    <w:rsid w:val="00FB56B3"/>
    <w:rsid w:val="00FB56C8"/>
    <w:rsid w:val="00FB5746"/>
    <w:rsid w:val="00FB574D"/>
    <w:rsid w:val="00FB5785"/>
    <w:rsid w:val="00FB57BF"/>
    <w:rsid w:val="00FB58B5"/>
    <w:rsid w:val="00FB5A88"/>
    <w:rsid w:val="00FB5AF2"/>
    <w:rsid w:val="00FB5CCB"/>
    <w:rsid w:val="00FB5E19"/>
    <w:rsid w:val="00FB5E66"/>
    <w:rsid w:val="00FB5F63"/>
    <w:rsid w:val="00FB5FFB"/>
    <w:rsid w:val="00FB6086"/>
    <w:rsid w:val="00FB62C6"/>
    <w:rsid w:val="00FB635A"/>
    <w:rsid w:val="00FB6375"/>
    <w:rsid w:val="00FB639D"/>
    <w:rsid w:val="00FB64CC"/>
    <w:rsid w:val="00FB661F"/>
    <w:rsid w:val="00FB6854"/>
    <w:rsid w:val="00FB6869"/>
    <w:rsid w:val="00FB6871"/>
    <w:rsid w:val="00FB68E4"/>
    <w:rsid w:val="00FB6AF7"/>
    <w:rsid w:val="00FB6B0E"/>
    <w:rsid w:val="00FB6B1B"/>
    <w:rsid w:val="00FB6B1D"/>
    <w:rsid w:val="00FB6B93"/>
    <w:rsid w:val="00FB6D53"/>
    <w:rsid w:val="00FB6D8C"/>
    <w:rsid w:val="00FB6E78"/>
    <w:rsid w:val="00FB6EEF"/>
    <w:rsid w:val="00FB6F0A"/>
    <w:rsid w:val="00FB6F3A"/>
    <w:rsid w:val="00FB6FC4"/>
    <w:rsid w:val="00FB7060"/>
    <w:rsid w:val="00FB714D"/>
    <w:rsid w:val="00FB71A1"/>
    <w:rsid w:val="00FB71DC"/>
    <w:rsid w:val="00FB7398"/>
    <w:rsid w:val="00FB7403"/>
    <w:rsid w:val="00FB74CF"/>
    <w:rsid w:val="00FB757E"/>
    <w:rsid w:val="00FB76F2"/>
    <w:rsid w:val="00FB7823"/>
    <w:rsid w:val="00FB78DA"/>
    <w:rsid w:val="00FB792E"/>
    <w:rsid w:val="00FB7A47"/>
    <w:rsid w:val="00FB7A91"/>
    <w:rsid w:val="00FB7AA2"/>
    <w:rsid w:val="00FB7AC9"/>
    <w:rsid w:val="00FB7B08"/>
    <w:rsid w:val="00FB7B4C"/>
    <w:rsid w:val="00FB7D31"/>
    <w:rsid w:val="00FB7D38"/>
    <w:rsid w:val="00FB7D63"/>
    <w:rsid w:val="00FB7DE0"/>
    <w:rsid w:val="00FB7E0A"/>
    <w:rsid w:val="00FB7E46"/>
    <w:rsid w:val="00FB7E94"/>
    <w:rsid w:val="00FB7EB6"/>
    <w:rsid w:val="00FB7F06"/>
    <w:rsid w:val="00FB7F0D"/>
    <w:rsid w:val="00FB7F5B"/>
    <w:rsid w:val="00FB7F70"/>
    <w:rsid w:val="00FB7FDF"/>
    <w:rsid w:val="00FC012A"/>
    <w:rsid w:val="00FC01F0"/>
    <w:rsid w:val="00FC021E"/>
    <w:rsid w:val="00FC022E"/>
    <w:rsid w:val="00FC025C"/>
    <w:rsid w:val="00FC028B"/>
    <w:rsid w:val="00FC036F"/>
    <w:rsid w:val="00FC03F2"/>
    <w:rsid w:val="00FC04F3"/>
    <w:rsid w:val="00FC067A"/>
    <w:rsid w:val="00FC071C"/>
    <w:rsid w:val="00FC082A"/>
    <w:rsid w:val="00FC08AB"/>
    <w:rsid w:val="00FC0989"/>
    <w:rsid w:val="00FC0B6B"/>
    <w:rsid w:val="00FC0BFD"/>
    <w:rsid w:val="00FC0C39"/>
    <w:rsid w:val="00FC0C92"/>
    <w:rsid w:val="00FC0D8D"/>
    <w:rsid w:val="00FC0ED1"/>
    <w:rsid w:val="00FC0FBD"/>
    <w:rsid w:val="00FC0FDC"/>
    <w:rsid w:val="00FC10F7"/>
    <w:rsid w:val="00FC129B"/>
    <w:rsid w:val="00FC13D3"/>
    <w:rsid w:val="00FC1502"/>
    <w:rsid w:val="00FC1525"/>
    <w:rsid w:val="00FC15A5"/>
    <w:rsid w:val="00FC1683"/>
    <w:rsid w:val="00FC1687"/>
    <w:rsid w:val="00FC16CA"/>
    <w:rsid w:val="00FC1753"/>
    <w:rsid w:val="00FC17C5"/>
    <w:rsid w:val="00FC1870"/>
    <w:rsid w:val="00FC1906"/>
    <w:rsid w:val="00FC19A0"/>
    <w:rsid w:val="00FC19A4"/>
    <w:rsid w:val="00FC1A20"/>
    <w:rsid w:val="00FC1A9B"/>
    <w:rsid w:val="00FC1B40"/>
    <w:rsid w:val="00FC1BE7"/>
    <w:rsid w:val="00FC1CA0"/>
    <w:rsid w:val="00FC1D26"/>
    <w:rsid w:val="00FC1D8E"/>
    <w:rsid w:val="00FC1D95"/>
    <w:rsid w:val="00FC1DE3"/>
    <w:rsid w:val="00FC1EE1"/>
    <w:rsid w:val="00FC206E"/>
    <w:rsid w:val="00FC2090"/>
    <w:rsid w:val="00FC20A4"/>
    <w:rsid w:val="00FC2178"/>
    <w:rsid w:val="00FC2327"/>
    <w:rsid w:val="00FC23EF"/>
    <w:rsid w:val="00FC2423"/>
    <w:rsid w:val="00FC2453"/>
    <w:rsid w:val="00FC2548"/>
    <w:rsid w:val="00FC274D"/>
    <w:rsid w:val="00FC27F2"/>
    <w:rsid w:val="00FC288A"/>
    <w:rsid w:val="00FC28D3"/>
    <w:rsid w:val="00FC297E"/>
    <w:rsid w:val="00FC2B31"/>
    <w:rsid w:val="00FC2B8C"/>
    <w:rsid w:val="00FC2C1F"/>
    <w:rsid w:val="00FC2C22"/>
    <w:rsid w:val="00FC2D88"/>
    <w:rsid w:val="00FC2E75"/>
    <w:rsid w:val="00FC2EA7"/>
    <w:rsid w:val="00FC2EB9"/>
    <w:rsid w:val="00FC2FB3"/>
    <w:rsid w:val="00FC30BB"/>
    <w:rsid w:val="00FC30E4"/>
    <w:rsid w:val="00FC316A"/>
    <w:rsid w:val="00FC317A"/>
    <w:rsid w:val="00FC3306"/>
    <w:rsid w:val="00FC3400"/>
    <w:rsid w:val="00FC346A"/>
    <w:rsid w:val="00FC34DF"/>
    <w:rsid w:val="00FC3554"/>
    <w:rsid w:val="00FC359E"/>
    <w:rsid w:val="00FC35D7"/>
    <w:rsid w:val="00FC35DA"/>
    <w:rsid w:val="00FC3638"/>
    <w:rsid w:val="00FC3648"/>
    <w:rsid w:val="00FC3658"/>
    <w:rsid w:val="00FC37F1"/>
    <w:rsid w:val="00FC3845"/>
    <w:rsid w:val="00FC3853"/>
    <w:rsid w:val="00FC38F0"/>
    <w:rsid w:val="00FC392B"/>
    <w:rsid w:val="00FC39C7"/>
    <w:rsid w:val="00FC39F7"/>
    <w:rsid w:val="00FC3A94"/>
    <w:rsid w:val="00FC3D5F"/>
    <w:rsid w:val="00FC3E3D"/>
    <w:rsid w:val="00FC3E76"/>
    <w:rsid w:val="00FC3EA2"/>
    <w:rsid w:val="00FC3F14"/>
    <w:rsid w:val="00FC3F62"/>
    <w:rsid w:val="00FC3FEA"/>
    <w:rsid w:val="00FC40FA"/>
    <w:rsid w:val="00FC4252"/>
    <w:rsid w:val="00FC429C"/>
    <w:rsid w:val="00FC432D"/>
    <w:rsid w:val="00FC4388"/>
    <w:rsid w:val="00FC4443"/>
    <w:rsid w:val="00FC44A2"/>
    <w:rsid w:val="00FC45E8"/>
    <w:rsid w:val="00FC45EA"/>
    <w:rsid w:val="00FC4748"/>
    <w:rsid w:val="00FC4762"/>
    <w:rsid w:val="00FC47A5"/>
    <w:rsid w:val="00FC490D"/>
    <w:rsid w:val="00FC4967"/>
    <w:rsid w:val="00FC499B"/>
    <w:rsid w:val="00FC49A9"/>
    <w:rsid w:val="00FC4AB9"/>
    <w:rsid w:val="00FC4BE0"/>
    <w:rsid w:val="00FC4CAE"/>
    <w:rsid w:val="00FC4CBF"/>
    <w:rsid w:val="00FC4CFC"/>
    <w:rsid w:val="00FC4D4F"/>
    <w:rsid w:val="00FC4DCE"/>
    <w:rsid w:val="00FC4E5F"/>
    <w:rsid w:val="00FC4F41"/>
    <w:rsid w:val="00FC4FC6"/>
    <w:rsid w:val="00FC4FD0"/>
    <w:rsid w:val="00FC50BD"/>
    <w:rsid w:val="00FC50F3"/>
    <w:rsid w:val="00FC518A"/>
    <w:rsid w:val="00FC52A5"/>
    <w:rsid w:val="00FC543F"/>
    <w:rsid w:val="00FC5497"/>
    <w:rsid w:val="00FC5574"/>
    <w:rsid w:val="00FC567C"/>
    <w:rsid w:val="00FC575B"/>
    <w:rsid w:val="00FC5768"/>
    <w:rsid w:val="00FC578A"/>
    <w:rsid w:val="00FC59B2"/>
    <w:rsid w:val="00FC5A9F"/>
    <w:rsid w:val="00FC5C1C"/>
    <w:rsid w:val="00FC5C7F"/>
    <w:rsid w:val="00FC5CF3"/>
    <w:rsid w:val="00FC5D1B"/>
    <w:rsid w:val="00FC5D97"/>
    <w:rsid w:val="00FC5E10"/>
    <w:rsid w:val="00FC5E48"/>
    <w:rsid w:val="00FC5E95"/>
    <w:rsid w:val="00FC5F4E"/>
    <w:rsid w:val="00FC6002"/>
    <w:rsid w:val="00FC6005"/>
    <w:rsid w:val="00FC601C"/>
    <w:rsid w:val="00FC619A"/>
    <w:rsid w:val="00FC62B2"/>
    <w:rsid w:val="00FC62C0"/>
    <w:rsid w:val="00FC6317"/>
    <w:rsid w:val="00FC6370"/>
    <w:rsid w:val="00FC6428"/>
    <w:rsid w:val="00FC6489"/>
    <w:rsid w:val="00FC64FC"/>
    <w:rsid w:val="00FC6581"/>
    <w:rsid w:val="00FC662E"/>
    <w:rsid w:val="00FC66B6"/>
    <w:rsid w:val="00FC670F"/>
    <w:rsid w:val="00FC672C"/>
    <w:rsid w:val="00FC67A3"/>
    <w:rsid w:val="00FC67B0"/>
    <w:rsid w:val="00FC683C"/>
    <w:rsid w:val="00FC68E6"/>
    <w:rsid w:val="00FC68F9"/>
    <w:rsid w:val="00FC692C"/>
    <w:rsid w:val="00FC6973"/>
    <w:rsid w:val="00FC69AA"/>
    <w:rsid w:val="00FC6B2E"/>
    <w:rsid w:val="00FC6B55"/>
    <w:rsid w:val="00FC6E48"/>
    <w:rsid w:val="00FC6F07"/>
    <w:rsid w:val="00FC6FC0"/>
    <w:rsid w:val="00FC7007"/>
    <w:rsid w:val="00FC7032"/>
    <w:rsid w:val="00FC71D7"/>
    <w:rsid w:val="00FC7344"/>
    <w:rsid w:val="00FC7387"/>
    <w:rsid w:val="00FC73AF"/>
    <w:rsid w:val="00FC7481"/>
    <w:rsid w:val="00FC74F1"/>
    <w:rsid w:val="00FC7615"/>
    <w:rsid w:val="00FC7634"/>
    <w:rsid w:val="00FC77A8"/>
    <w:rsid w:val="00FC7830"/>
    <w:rsid w:val="00FC7854"/>
    <w:rsid w:val="00FC788F"/>
    <w:rsid w:val="00FC78C0"/>
    <w:rsid w:val="00FC78F2"/>
    <w:rsid w:val="00FC7929"/>
    <w:rsid w:val="00FC79B8"/>
    <w:rsid w:val="00FC79D0"/>
    <w:rsid w:val="00FC79DA"/>
    <w:rsid w:val="00FC7A0D"/>
    <w:rsid w:val="00FC7A25"/>
    <w:rsid w:val="00FC7C0B"/>
    <w:rsid w:val="00FC7C26"/>
    <w:rsid w:val="00FC7C32"/>
    <w:rsid w:val="00FC7CDB"/>
    <w:rsid w:val="00FC7D67"/>
    <w:rsid w:val="00FC7DBC"/>
    <w:rsid w:val="00FC7DC5"/>
    <w:rsid w:val="00FC7E09"/>
    <w:rsid w:val="00FC7E6E"/>
    <w:rsid w:val="00FC7ECA"/>
    <w:rsid w:val="00FC7EE6"/>
    <w:rsid w:val="00FC7FA5"/>
    <w:rsid w:val="00FC7FB6"/>
    <w:rsid w:val="00FD003C"/>
    <w:rsid w:val="00FD021D"/>
    <w:rsid w:val="00FD028A"/>
    <w:rsid w:val="00FD02C8"/>
    <w:rsid w:val="00FD0353"/>
    <w:rsid w:val="00FD037A"/>
    <w:rsid w:val="00FD0447"/>
    <w:rsid w:val="00FD0588"/>
    <w:rsid w:val="00FD05C1"/>
    <w:rsid w:val="00FD05E2"/>
    <w:rsid w:val="00FD06C4"/>
    <w:rsid w:val="00FD07BD"/>
    <w:rsid w:val="00FD08D9"/>
    <w:rsid w:val="00FD095B"/>
    <w:rsid w:val="00FD0979"/>
    <w:rsid w:val="00FD0AAF"/>
    <w:rsid w:val="00FD0AD6"/>
    <w:rsid w:val="00FD0ADD"/>
    <w:rsid w:val="00FD0B1F"/>
    <w:rsid w:val="00FD0B96"/>
    <w:rsid w:val="00FD0D18"/>
    <w:rsid w:val="00FD0DD8"/>
    <w:rsid w:val="00FD0DED"/>
    <w:rsid w:val="00FD0F57"/>
    <w:rsid w:val="00FD1017"/>
    <w:rsid w:val="00FD1115"/>
    <w:rsid w:val="00FD111A"/>
    <w:rsid w:val="00FD117B"/>
    <w:rsid w:val="00FD11BC"/>
    <w:rsid w:val="00FD13A8"/>
    <w:rsid w:val="00FD13BA"/>
    <w:rsid w:val="00FD156C"/>
    <w:rsid w:val="00FD1604"/>
    <w:rsid w:val="00FD1623"/>
    <w:rsid w:val="00FD16AD"/>
    <w:rsid w:val="00FD1758"/>
    <w:rsid w:val="00FD17AD"/>
    <w:rsid w:val="00FD19D6"/>
    <w:rsid w:val="00FD1A91"/>
    <w:rsid w:val="00FD1AE6"/>
    <w:rsid w:val="00FD1C12"/>
    <w:rsid w:val="00FD1C17"/>
    <w:rsid w:val="00FD1CB1"/>
    <w:rsid w:val="00FD1CD1"/>
    <w:rsid w:val="00FD1D1D"/>
    <w:rsid w:val="00FD1D21"/>
    <w:rsid w:val="00FD1D79"/>
    <w:rsid w:val="00FD1D90"/>
    <w:rsid w:val="00FD1DAF"/>
    <w:rsid w:val="00FD1FBD"/>
    <w:rsid w:val="00FD2045"/>
    <w:rsid w:val="00FD2096"/>
    <w:rsid w:val="00FD22BA"/>
    <w:rsid w:val="00FD2302"/>
    <w:rsid w:val="00FD25BC"/>
    <w:rsid w:val="00FD2614"/>
    <w:rsid w:val="00FD27D2"/>
    <w:rsid w:val="00FD2818"/>
    <w:rsid w:val="00FD28A6"/>
    <w:rsid w:val="00FD29F0"/>
    <w:rsid w:val="00FD2FA5"/>
    <w:rsid w:val="00FD2FB1"/>
    <w:rsid w:val="00FD30BA"/>
    <w:rsid w:val="00FD3192"/>
    <w:rsid w:val="00FD31B9"/>
    <w:rsid w:val="00FD31E0"/>
    <w:rsid w:val="00FD31E5"/>
    <w:rsid w:val="00FD3230"/>
    <w:rsid w:val="00FD32E7"/>
    <w:rsid w:val="00FD332E"/>
    <w:rsid w:val="00FD3382"/>
    <w:rsid w:val="00FD3398"/>
    <w:rsid w:val="00FD3419"/>
    <w:rsid w:val="00FD3478"/>
    <w:rsid w:val="00FD34E4"/>
    <w:rsid w:val="00FD3538"/>
    <w:rsid w:val="00FD3570"/>
    <w:rsid w:val="00FD35D6"/>
    <w:rsid w:val="00FD35EA"/>
    <w:rsid w:val="00FD36A9"/>
    <w:rsid w:val="00FD3771"/>
    <w:rsid w:val="00FD3793"/>
    <w:rsid w:val="00FD37E0"/>
    <w:rsid w:val="00FD3A70"/>
    <w:rsid w:val="00FD3A81"/>
    <w:rsid w:val="00FD3AA8"/>
    <w:rsid w:val="00FD3AD0"/>
    <w:rsid w:val="00FD3B0B"/>
    <w:rsid w:val="00FD3B7B"/>
    <w:rsid w:val="00FD3BCC"/>
    <w:rsid w:val="00FD3C3E"/>
    <w:rsid w:val="00FD3DBA"/>
    <w:rsid w:val="00FD3DFF"/>
    <w:rsid w:val="00FD3E10"/>
    <w:rsid w:val="00FD3E43"/>
    <w:rsid w:val="00FD3E4C"/>
    <w:rsid w:val="00FD3F1A"/>
    <w:rsid w:val="00FD3F28"/>
    <w:rsid w:val="00FD3F68"/>
    <w:rsid w:val="00FD40D7"/>
    <w:rsid w:val="00FD4130"/>
    <w:rsid w:val="00FD41FA"/>
    <w:rsid w:val="00FD4236"/>
    <w:rsid w:val="00FD4274"/>
    <w:rsid w:val="00FD4275"/>
    <w:rsid w:val="00FD4299"/>
    <w:rsid w:val="00FD42FF"/>
    <w:rsid w:val="00FD431D"/>
    <w:rsid w:val="00FD43EB"/>
    <w:rsid w:val="00FD43F1"/>
    <w:rsid w:val="00FD445B"/>
    <w:rsid w:val="00FD453F"/>
    <w:rsid w:val="00FD4557"/>
    <w:rsid w:val="00FD45DD"/>
    <w:rsid w:val="00FD47B1"/>
    <w:rsid w:val="00FD481E"/>
    <w:rsid w:val="00FD487C"/>
    <w:rsid w:val="00FD48AA"/>
    <w:rsid w:val="00FD48AD"/>
    <w:rsid w:val="00FD495A"/>
    <w:rsid w:val="00FD4993"/>
    <w:rsid w:val="00FD4A96"/>
    <w:rsid w:val="00FD4B89"/>
    <w:rsid w:val="00FD4B91"/>
    <w:rsid w:val="00FD4CE0"/>
    <w:rsid w:val="00FD4D74"/>
    <w:rsid w:val="00FD4F28"/>
    <w:rsid w:val="00FD4FF8"/>
    <w:rsid w:val="00FD5164"/>
    <w:rsid w:val="00FD5202"/>
    <w:rsid w:val="00FD5255"/>
    <w:rsid w:val="00FD535C"/>
    <w:rsid w:val="00FD53A2"/>
    <w:rsid w:val="00FD53C8"/>
    <w:rsid w:val="00FD550F"/>
    <w:rsid w:val="00FD5580"/>
    <w:rsid w:val="00FD55CE"/>
    <w:rsid w:val="00FD57A9"/>
    <w:rsid w:val="00FD5833"/>
    <w:rsid w:val="00FD5889"/>
    <w:rsid w:val="00FD596F"/>
    <w:rsid w:val="00FD5ACD"/>
    <w:rsid w:val="00FD5ADC"/>
    <w:rsid w:val="00FD5BDF"/>
    <w:rsid w:val="00FD5C47"/>
    <w:rsid w:val="00FD5E67"/>
    <w:rsid w:val="00FD5F3D"/>
    <w:rsid w:val="00FD5F4B"/>
    <w:rsid w:val="00FD5F95"/>
    <w:rsid w:val="00FD6032"/>
    <w:rsid w:val="00FD6071"/>
    <w:rsid w:val="00FD6128"/>
    <w:rsid w:val="00FD6134"/>
    <w:rsid w:val="00FD619C"/>
    <w:rsid w:val="00FD62BE"/>
    <w:rsid w:val="00FD639D"/>
    <w:rsid w:val="00FD65B0"/>
    <w:rsid w:val="00FD65B7"/>
    <w:rsid w:val="00FD66C1"/>
    <w:rsid w:val="00FD6748"/>
    <w:rsid w:val="00FD683A"/>
    <w:rsid w:val="00FD6914"/>
    <w:rsid w:val="00FD6A30"/>
    <w:rsid w:val="00FD6A42"/>
    <w:rsid w:val="00FD6A5D"/>
    <w:rsid w:val="00FD6A78"/>
    <w:rsid w:val="00FD6AAC"/>
    <w:rsid w:val="00FD6ACD"/>
    <w:rsid w:val="00FD6B33"/>
    <w:rsid w:val="00FD6B5B"/>
    <w:rsid w:val="00FD6B61"/>
    <w:rsid w:val="00FD6CA8"/>
    <w:rsid w:val="00FD6DAA"/>
    <w:rsid w:val="00FD6DAF"/>
    <w:rsid w:val="00FD6E0C"/>
    <w:rsid w:val="00FD6F59"/>
    <w:rsid w:val="00FD6F6A"/>
    <w:rsid w:val="00FD6F93"/>
    <w:rsid w:val="00FD7044"/>
    <w:rsid w:val="00FD710F"/>
    <w:rsid w:val="00FD71FF"/>
    <w:rsid w:val="00FD729F"/>
    <w:rsid w:val="00FD72DF"/>
    <w:rsid w:val="00FD7359"/>
    <w:rsid w:val="00FD73CE"/>
    <w:rsid w:val="00FD74AE"/>
    <w:rsid w:val="00FD7541"/>
    <w:rsid w:val="00FD75C7"/>
    <w:rsid w:val="00FD76FD"/>
    <w:rsid w:val="00FD781C"/>
    <w:rsid w:val="00FD7845"/>
    <w:rsid w:val="00FD78A7"/>
    <w:rsid w:val="00FD78EB"/>
    <w:rsid w:val="00FD79E2"/>
    <w:rsid w:val="00FD7A25"/>
    <w:rsid w:val="00FD7AE0"/>
    <w:rsid w:val="00FD7B58"/>
    <w:rsid w:val="00FD7C78"/>
    <w:rsid w:val="00FD7CE7"/>
    <w:rsid w:val="00FD7D01"/>
    <w:rsid w:val="00FD7DC3"/>
    <w:rsid w:val="00FD7E14"/>
    <w:rsid w:val="00FE00ED"/>
    <w:rsid w:val="00FE02C9"/>
    <w:rsid w:val="00FE02F2"/>
    <w:rsid w:val="00FE0544"/>
    <w:rsid w:val="00FE06E0"/>
    <w:rsid w:val="00FE0813"/>
    <w:rsid w:val="00FE083B"/>
    <w:rsid w:val="00FE0880"/>
    <w:rsid w:val="00FE08FF"/>
    <w:rsid w:val="00FE0932"/>
    <w:rsid w:val="00FE0A26"/>
    <w:rsid w:val="00FE0A47"/>
    <w:rsid w:val="00FE0B3A"/>
    <w:rsid w:val="00FE0CBC"/>
    <w:rsid w:val="00FE0D13"/>
    <w:rsid w:val="00FE0D42"/>
    <w:rsid w:val="00FE0E09"/>
    <w:rsid w:val="00FE0ED3"/>
    <w:rsid w:val="00FE0FC6"/>
    <w:rsid w:val="00FE1079"/>
    <w:rsid w:val="00FE119C"/>
    <w:rsid w:val="00FE125E"/>
    <w:rsid w:val="00FE1295"/>
    <w:rsid w:val="00FE12A9"/>
    <w:rsid w:val="00FE12C3"/>
    <w:rsid w:val="00FE1300"/>
    <w:rsid w:val="00FE132A"/>
    <w:rsid w:val="00FE1467"/>
    <w:rsid w:val="00FE1491"/>
    <w:rsid w:val="00FE1657"/>
    <w:rsid w:val="00FE16C2"/>
    <w:rsid w:val="00FE17A3"/>
    <w:rsid w:val="00FE1843"/>
    <w:rsid w:val="00FE18FE"/>
    <w:rsid w:val="00FE1935"/>
    <w:rsid w:val="00FE1C10"/>
    <w:rsid w:val="00FE1C6D"/>
    <w:rsid w:val="00FE1C7A"/>
    <w:rsid w:val="00FE1CC4"/>
    <w:rsid w:val="00FE1D35"/>
    <w:rsid w:val="00FE1D46"/>
    <w:rsid w:val="00FE1D83"/>
    <w:rsid w:val="00FE1D9E"/>
    <w:rsid w:val="00FE1DAE"/>
    <w:rsid w:val="00FE1E2E"/>
    <w:rsid w:val="00FE1E5F"/>
    <w:rsid w:val="00FE1E61"/>
    <w:rsid w:val="00FE1E63"/>
    <w:rsid w:val="00FE1FCC"/>
    <w:rsid w:val="00FE1FD6"/>
    <w:rsid w:val="00FE20E4"/>
    <w:rsid w:val="00FE2115"/>
    <w:rsid w:val="00FE2235"/>
    <w:rsid w:val="00FE223E"/>
    <w:rsid w:val="00FE2242"/>
    <w:rsid w:val="00FE23D9"/>
    <w:rsid w:val="00FE244B"/>
    <w:rsid w:val="00FE24E7"/>
    <w:rsid w:val="00FE257F"/>
    <w:rsid w:val="00FE2580"/>
    <w:rsid w:val="00FE25BF"/>
    <w:rsid w:val="00FE281B"/>
    <w:rsid w:val="00FE2875"/>
    <w:rsid w:val="00FE28A9"/>
    <w:rsid w:val="00FE28E9"/>
    <w:rsid w:val="00FE28F0"/>
    <w:rsid w:val="00FE2928"/>
    <w:rsid w:val="00FE298C"/>
    <w:rsid w:val="00FE2A8B"/>
    <w:rsid w:val="00FE2AAA"/>
    <w:rsid w:val="00FE2ADB"/>
    <w:rsid w:val="00FE2B99"/>
    <w:rsid w:val="00FE2D40"/>
    <w:rsid w:val="00FE2DD1"/>
    <w:rsid w:val="00FE2ED1"/>
    <w:rsid w:val="00FE2F33"/>
    <w:rsid w:val="00FE2F37"/>
    <w:rsid w:val="00FE2FA0"/>
    <w:rsid w:val="00FE3018"/>
    <w:rsid w:val="00FE30FB"/>
    <w:rsid w:val="00FE3315"/>
    <w:rsid w:val="00FE3339"/>
    <w:rsid w:val="00FE349E"/>
    <w:rsid w:val="00FE3539"/>
    <w:rsid w:val="00FE3580"/>
    <w:rsid w:val="00FE35C1"/>
    <w:rsid w:val="00FE36D8"/>
    <w:rsid w:val="00FE3722"/>
    <w:rsid w:val="00FE3880"/>
    <w:rsid w:val="00FE3998"/>
    <w:rsid w:val="00FE3AB8"/>
    <w:rsid w:val="00FE3B42"/>
    <w:rsid w:val="00FE3B8E"/>
    <w:rsid w:val="00FE3BC3"/>
    <w:rsid w:val="00FE3BC9"/>
    <w:rsid w:val="00FE3E59"/>
    <w:rsid w:val="00FE3EDF"/>
    <w:rsid w:val="00FE3F01"/>
    <w:rsid w:val="00FE3FB7"/>
    <w:rsid w:val="00FE423B"/>
    <w:rsid w:val="00FE4284"/>
    <w:rsid w:val="00FE4490"/>
    <w:rsid w:val="00FE4564"/>
    <w:rsid w:val="00FE4578"/>
    <w:rsid w:val="00FE4581"/>
    <w:rsid w:val="00FE45E6"/>
    <w:rsid w:val="00FE465B"/>
    <w:rsid w:val="00FE46F9"/>
    <w:rsid w:val="00FE4765"/>
    <w:rsid w:val="00FE4781"/>
    <w:rsid w:val="00FE4862"/>
    <w:rsid w:val="00FE49DA"/>
    <w:rsid w:val="00FE4A42"/>
    <w:rsid w:val="00FE4B3B"/>
    <w:rsid w:val="00FE4B71"/>
    <w:rsid w:val="00FE4C11"/>
    <w:rsid w:val="00FE4D5E"/>
    <w:rsid w:val="00FE4E2F"/>
    <w:rsid w:val="00FE4E47"/>
    <w:rsid w:val="00FE4E5C"/>
    <w:rsid w:val="00FE4EDC"/>
    <w:rsid w:val="00FE4EF5"/>
    <w:rsid w:val="00FE4FC6"/>
    <w:rsid w:val="00FE5083"/>
    <w:rsid w:val="00FE5093"/>
    <w:rsid w:val="00FE511B"/>
    <w:rsid w:val="00FE5385"/>
    <w:rsid w:val="00FE5387"/>
    <w:rsid w:val="00FE538C"/>
    <w:rsid w:val="00FE543B"/>
    <w:rsid w:val="00FE5483"/>
    <w:rsid w:val="00FE5514"/>
    <w:rsid w:val="00FE5686"/>
    <w:rsid w:val="00FE5699"/>
    <w:rsid w:val="00FE56B1"/>
    <w:rsid w:val="00FE56D4"/>
    <w:rsid w:val="00FE5798"/>
    <w:rsid w:val="00FE57C6"/>
    <w:rsid w:val="00FE5997"/>
    <w:rsid w:val="00FE5A14"/>
    <w:rsid w:val="00FE5AE3"/>
    <w:rsid w:val="00FE5AF7"/>
    <w:rsid w:val="00FE5B19"/>
    <w:rsid w:val="00FE5C87"/>
    <w:rsid w:val="00FE5D36"/>
    <w:rsid w:val="00FE5D3F"/>
    <w:rsid w:val="00FE5DCE"/>
    <w:rsid w:val="00FE5EEB"/>
    <w:rsid w:val="00FE5F98"/>
    <w:rsid w:val="00FE5FD4"/>
    <w:rsid w:val="00FE5FDA"/>
    <w:rsid w:val="00FE6103"/>
    <w:rsid w:val="00FE6215"/>
    <w:rsid w:val="00FE6226"/>
    <w:rsid w:val="00FE623C"/>
    <w:rsid w:val="00FE62A8"/>
    <w:rsid w:val="00FE635A"/>
    <w:rsid w:val="00FE6499"/>
    <w:rsid w:val="00FE64D4"/>
    <w:rsid w:val="00FE64DC"/>
    <w:rsid w:val="00FE6531"/>
    <w:rsid w:val="00FE6594"/>
    <w:rsid w:val="00FE65AA"/>
    <w:rsid w:val="00FE66E1"/>
    <w:rsid w:val="00FE68C5"/>
    <w:rsid w:val="00FE6943"/>
    <w:rsid w:val="00FE6A65"/>
    <w:rsid w:val="00FE6ADB"/>
    <w:rsid w:val="00FE6C08"/>
    <w:rsid w:val="00FE6C40"/>
    <w:rsid w:val="00FE6C9D"/>
    <w:rsid w:val="00FE6D1D"/>
    <w:rsid w:val="00FE6D73"/>
    <w:rsid w:val="00FE6D93"/>
    <w:rsid w:val="00FE6D98"/>
    <w:rsid w:val="00FE6F2B"/>
    <w:rsid w:val="00FE6F8C"/>
    <w:rsid w:val="00FE7017"/>
    <w:rsid w:val="00FE705F"/>
    <w:rsid w:val="00FE706C"/>
    <w:rsid w:val="00FE724C"/>
    <w:rsid w:val="00FE7275"/>
    <w:rsid w:val="00FE72C7"/>
    <w:rsid w:val="00FE72E4"/>
    <w:rsid w:val="00FE72EE"/>
    <w:rsid w:val="00FE7341"/>
    <w:rsid w:val="00FE737C"/>
    <w:rsid w:val="00FE739F"/>
    <w:rsid w:val="00FE756B"/>
    <w:rsid w:val="00FE7649"/>
    <w:rsid w:val="00FE76E7"/>
    <w:rsid w:val="00FE7939"/>
    <w:rsid w:val="00FE79F0"/>
    <w:rsid w:val="00FE7A84"/>
    <w:rsid w:val="00FE7B15"/>
    <w:rsid w:val="00FE7B4A"/>
    <w:rsid w:val="00FE7C10"/>
    <w:rsid w:val="00FE7D73"/>
    <w:rsid w:val="00FE7DF2"/>
    <w:rsid w:val="00FE7EA9"/>
    <w:rsid w:val="00FE7EC4"/>
    <w:rsid w:val="00FE7FD3"/>
    <w:rsid w:val="00FF004E"/>
    <w:rsid w:val="00FF01F1"/>
    <w:rsid w:val="00FF02CA"/>
    <w:rsid w:val="00FF04B0"/>
    <w:rsid w:val="00FF0551"/>
    <w:rsid w:val="00FF0677"/>
    <w:rsid w:val="00FF06BD"/>
    <w:rsid w:val="00FF06FA"/>
    <w:rsid w:val="00FF0715"/>
    <w:rsid w:val="00FF075E"/>
    <w:rsid w:val="00FF07E2"/>
    <w:rsid w:val="00FF09A6"/>
    <w:rsid w:val="00FF09D8"/>
    <w:rsid w:val="00FF0A28"/>
    <w:rsid w:val="00FF0AA4"/>
    <w:rsid w:val="00FF0B10"/>
    <w:rsid w:val="00FF0B19"/>
    <w:rsid w:val="00FF0B8F"/>
    <w:rsid w:val="00FF0BEA"/>
    <w:rsid w:val="00FF0CD9"/>
    <w:rsid w:val="00FF0D20"/>
    <w:rsid w:val="00FF0D68"/>
    <w:rsid w:val="00FF0D9E"/>
    <w:rsid w:val="00FF0E49"/>
    <w:rsid w:val="00FF0EDF"/>
    <w:rsid w:val="00FF0EE4"/>
    <w:rsid w:val="00FF0EEA"/>
    <w:rsid w:val="00FF0F81"/>
    <w:rsid w:val="00FF1012"/>
    <w:rsid w:val="00FF1028"/>
    <w:rsid w:val="00FF10E1"/>
    <w:rsid w:val="00FF113A"/>
    <w:rsid w:val="00FF127C"/>
    <w:rsid w:val="00FF129D"/>
    <w:rsid w:val="00FF13C3"/>
    <w:rsid w:val="00FF143B"/>
    <w:rsid w:val="00FF146D"/>
    <w:rsid w:val="00FF14BD"/>
    <w:rsid w:val="00FF151A"/>
    <w:rsid w:val="00FF1637"/>
    <w:rsid w:val="00FF166F"/>
    <w:rsid w:val="00FF169F"/>
    <w:rsid w:val="00FF1915"/>
    <w:rsid w:val="00FF1ABE"/>
    <w:rsid w:val="00FF1BB6"/>
    <w:rsid w:val="00FF1C0D"/>
    <w:rsid w:val="00FF1DEB"/>
    <w:rsid w:val="00FF1E1A"/>
    <w:rsid w:val="00FF1E49"/>
    <w:rsid w:val="00FF2151"/>
    <w:rsid w:val="00FF21D5"/>
    <w:rsid w:val="00FF2206"/>
    <w:rsid w:val="00FF223F"/>
    <w:rsid w:val="00FF2299"/>
    <w:rsid w:val="00FF22C3"/>
    <w:rsid w:val="00FF22CF"/>
    <w:rsid w:val="00FF22F2"/>
    <w:rsid w:val="00FF237B"/>
    <w:rsid w:val="00FF23A3"/>
    <w:rsid w:val="00FF23EA"/>
    <w:rsid w:val="00FF26FD"/>
    <w:rsid w:val="00FF2743"/>
    <w:rsid w:val="00FF27D6"/>
    <w:rsid w:val="00FF288A"/>
    <w:rsid w:val="00FF299B"/>
    <w:rsid w:val="00FF29D7"/>
    <w:rsid w:val="00FF2C79"/>
    <w:rsid w:val="00FF2C91"/>
    <w:rsid w:val="00FF2D03"/>
    <w:rsid w:val="00FF2D96"/>
    <w:rsid w:val="00FF2EC8"/>
    <w:rsid w:val="00FF2EDE"/>
    <w:rsid w:val="00FF3000"/>
    <w:rsid w:val="00FF301B"/>
    <w:rsid w:val="00FF30BF"/>
    <w:rsid w:val="00FF318B"/>
    <w:rsid w:val="00FF31C4"/>
    <w:rsid w:val="00FF3236"/>
    <w:rsid w:val="00FF3304"/>
    <w:rsid w:val="00FF3373"/>
    <w:rsid w:val="00FF343F"/>
    <w:rsid w:val="00FF34C0"/>
    <w:rsid w:val="00FF35A1"/>
    <w:rsid w:val="00FF35F3"/>
    <w:rsid w:val="00FF3666"/>
    <w:rsid w:val="00FF37A4"/>
    <w:rsid w:val="00FF3863"/>
    <w:rsid w:val="00FF3956"/>
    <w:rsid w:val="00FF3978"/>
    <w:rsid w:val="00FF3AC8"/>
    <w:rsid w:val="00FF3B83"/>
    <w:rsid w:val="00FF3C16"/>
    <w:rsid w:val="00FF3D0F"/>
    <w:rsid w:val="00FF3D60"/>
    <w:rsid w:val="00FF3EDC"/>
    <w:rsid w:val="00FF3F0C"/>
    <w:rsid w:val="00FF3FA3"/>
    <w:rsid w:val="00FF3FF8"/>
    <w:rsid w:val="00FF42C1"/>
    <w:rsid w:val="00FF4478"/>
    <w:rsid w:val="00FF44F8"/>
    <w:rsid w:val="00FF4561"/>
    <w:rsid w:val="00FF469E"/>
    <w:rsid w:val="00FF4735"/>
    <w:rsid w:val="00FF4764"/>
    <w:rsid w:val="00FF478F"/>
    <w:rsid w:val="00FF4799"/>
    <w:rsid w:val="00FF4878"/>
    <w:rsid w:val="00FF4A07"/>
    <w:rsid w:val="00FF4A4D"/>
    <w:rsid w:val="00FF4A73"/>
    <w:rsid w:val="00FF4B83"/>
    <w:rsid w:val="00FF4BEC"/>
    <w:rsid w:val="00FF4C00"/>
    <w:rsid w:val="00FF4C23"/>
    <w:rsid w:val="00FF4D3E"/>
    <w:rsid w:val="00FF4DCD"/>
    <w:rsid w:val="00FF4E30"/>
    <w:rsid w:val="00FF4E61"/>
    <w:rsid w:val="00FF4E90"/>
    <w:rsid w:val="00FF4FCB"/>
    <w:rsid w:val="00FF5013"/>
    <w:rsid w:val="00FF5042"/>
    <w:rsid w:val="00FF50FF"/>
    <w:rsid w:val="00FF51E0"/>
    <w:rsid w:val="00FF527C"/>
    <w:rsid w:val="00FF5322"/>
    <w:rsid w:val="00FF5333"/>
    <w:rsid w:val="00FF536D"/>
    <w:rsid w:val="00FF5396"/>
    <w:rsid w:val="00FF53DF"/>
    <w:rsid w:val="00FF551E"/>
    <w:rsid w:val="00FF5583"/>
    <w:rsid w:val="00FF5622"/>
    <w:rsid w:val="00FF571C"/>
    <w:rsid w:val="00FF57B0"/>
    <w:rsid w:val="00FF57B8"/>
    <w:rsid w:val="00FF5917"/>
    <w:rsid w:val="00FF5936"/>
    <w:rsid w:val="00FF59B2"/>
    <w:rsid w:val="00FF59DA"/>
    <w:rsid w:val="00FF5A91"/>
    <w:rsid w:val="00FF5AA8"/>
    <w:rsid w:val="00FF5B0E"/>
    <w:rsid w:val="00FF5C0D"/>
    <w:rsid w:val="00FF5C4D"/>
    <w:rsid w:val="00FF5D72"/>
    <w:rsid w:val="00FF5E33"/>
    <w:rsid w:val="00FF5F16"/>
    <w:rsid w:val="00FF5F43"/>
    <w:rsid w:val="00FF5F88"/>
    <w:rsid w:val="00FF5F8D"/>
    <w:rsid w:val="00FF5F98"/>
    <w:rsid w:val="00FF6001"/>
    <w:rsid w:val="00FF60A6"/>
    <w:rsid w:val="00FF60EF"/>
    <w:rsid w:val="00FF60FE"/>
    <w:rsid w:val="00FF6136"/>
    <w:rsid w:val="00FF6250"/>
    <w:rsid w:val="00FF63C5"/>
    <w:rsid w:val="00FF63D3"/>
    <w:rsid w:val="00FF649D"/>
    <w:rsid w:val="00FF65DB"/>
    <w:rsid w:val="00FF6600"/>
    <w:rsid w:val="00FF6631"/>
    <w:rsid w:val="00FF66E9"/>
    <w:rsid w:val="00FF66FA"/>
    <w:rsid w:val="00FF672F"/>
    <w:rsid w:val="00FF675B"/>
    <w:rsid w:val="00FF6884"/>
    <w:rsid w:val="00FF6914"/>
    <w:rsid w:val="00FF6945"/>
    <w:rsid w:val="00FF6955"/>
    <w:rsid w:val="00FF6A42"/>
    <w:rsid w:val="00FF6ADD"/>
    <w:rsid w:val="00FF6B2E"/>
    <w:rsid w:val="00FF6B36"/>
    <w:rsid w:val="00FF6B3B"/>
    <w:rsid w:val="00FF6B77"/>
    <w:rsid w:val="00FF6C44"/>
    <w:rsid w:val="00FF6D27"/>
    <w:rsid w:val="00FF6DFC"/>
    <w:rsid w:val="00FF6E8C"/>
    <w:rsid w:val="00FF7171"/>
    <w:rsid w:val="00FF71E6"/>
    <w:rsid w:val="00FF7263"/>
    <w:rsid w:val="00FF72D8"/>
    <w:rsid w:val="00FF731D"/>
    <w:rsid w:val="00FF73C9"/>
    <w:rsid w:val="00FF73ED"/>
    <w:rsid w:val="00FF75E7"/>
    <w:rsid w:val="00FF76F7"/>
    <w:rsid w:val="00FF7742"/>
    <w:rsid w:val="00FF7799"/>
    <w:rsid w:val="00FF7977"/>
    <w:rsid w:val="00FF7A9D"/>
    <w:rsid w:val="00FF7B8E"/>
    <w:rsid w:val="00FF7BE4"/>
    <w:rsid w:val="00FF7C75"/>
    <w:rsid w:val="00FF7C87"/>
    <w:rsid w:val="00FF7CD9"/>
    <w:rsid w:val="00FF7D63"/>
    <w:rsid w:val="00FF7E13"/>
    <w:rsid w:val="00FF7E29"/>
    <w:rsid w:val="00FF7F3F"/>
    <w:rsid w:val="00FF7F9C"/>
    <w:rsid w:val="012FE9FB"/>
    <w:rsid w:val="013911F7"/>
    <w:rsid w:val="0152AE97"/>
    <w:rsid w:val="01576096"/>
    <w:rsid w:val="016E835E"/>
    <w:rsid w:val="018E0040"/>
    <w:rsid w:val="025946C6"/>
    <w:rsid w:val="02874228"/>
    <w:rsid w:val="029DDCC3"/>
    <w:rsid w:val="02A2D583"/>
    <w:rsid w:val="02B91FE1"/>
    <w:rsid w:val="02BBF6A7"/>
    <w:rsid w:val="02E5FF53"/>
    <w:rsid w:val="02EE9455"/>
    <w:rsid w:val="02F96713"/>
    <w:rsid w:val="0318ED24"/>
    <w:rsid w:val="033F9C4E"/>
    <w:rsid w:val="035D5255"/>
    <w:rsid w:val="03740FD9"/>
    <w:rsid w:val="03B0A77D"/>
    <w:rsid w:val="03D3D70F"/>
    <w:rsid w:val="03ED47F6"/>
    <w:rsid w:val="03F23452"/>
    <w:rsid w:val="03FD2930"/>
    <w:rsid w:val="0417543D"/>
    <w:rsid w:val="04218C6F"/>
    <w:rsid w:val="04376C5D"/>
    <w:rsid w:val="0451B576"/>
    <w:rsid w:val="047762D5"/>
    <w:rsid w:val="0483ADF1"/>
    <w:rsid w:val="04CBD674"/>
    <w:rsid w:val="04DF1795"/>
    <w:rsid w:val="04F199ED"/>
    <w:rsid w:val="05287609"/>
    <w:rsid w:val="055844FC"/>
    <w:rsid w:val="05D253CD"/>
    <w:rsid w:val="05FF7E05"/>
    <w:rsid w:val="068A5C0A"/>
    <w:rsid w:val="0698CE6A"/>
    <w:rsid w:val="06BDB040"/>
    <w:rsid w:val="06C1B04C"/>
    <w:rsid w:val="07021EEB"/>
    <w:rsid w:val="07166DAA"/>
    <w:rsid w:val="071947F7"/>
    <w:rsid w:val="0728D339"/>
    <w:rsid w:val="0737E717"/>
    <w:rsid w:val="078EFDD0"/>
    <w:rsid w:val="07A6C1C2"/>
    <w:rsid w:val="07ABD13A"/>
    <w:rsid w:val="07E72DBB"/>
    <w:rsid w:val="07F44D82"/>
    <w:rsid w:val="0800E7E4"/>
    <w:rsid w:val="080D44FA"/>
    <w:rsid w:val="082ED08F"/>
    <w:rsid w:val="08412CC6"/>
    <w:rsid w:val="0851AC0F"/>
    <w:rsid w:val="088EFB80"/>
    <w:rsid w:val="0892BC65"/>
    <w:rsid w:val="08ADEB3C"/>
    <w:rsid w:val="08C90695"/>
    <w:rsid w:val="08D324A4"/>
    <w:rsid w:val="08DBF047"/>
    <w:rsid w:val="08E107E7"/>
    <w:rsid w:val="09228A14"/>
    <w:rsid w:val="09319909"/>
    <w:rsid w:val="093A6409"/>
    <w:rsid w:val="096C52B0"/>
    <w:rsid w:val="09BC04B2"/>
    <w:rsid w:val="09D0A84C"/>
    <w:rsid w:val="09E887C7"/>
    <w:rsid w:val="09F4443B"/>
    <w:rsid w:val="09F707A4"/>
    <w:rsid w:val="0A386708"/>
    <w:rsid w:val="0A4816D4"/>
    <w:rsid w:val="0A5093AD"/>
    <w:rsid w:val="0A52A37E"/>
    <w:rsid w:val="0A88DEE1"/>
    <w:rsid w:val="0AAB329F"/>
    <w:rsid w:val="0ABD0F0E"/>
    <w:rsid w:val="0B1B753C"/>
    <w:rsid w:val="0B1DC17C"/>
    <w:rsid w:val="0B4FF92E"/>
    <w:rsid w:val="0B5B0B85"/>
    <w:rsid w:val="0B80C8FB"/>
    <w:rsid w:val="0B9475BC"/>
    <w:rsid w:val="0B951028"/>
    <w:rsid w:val="0C148FE0"/>
    <w:rsid w:val="0C3767B3"/>
    <w:rsid w:val="0C6DDFFF"/>
    <w:rsid w:val="0C788BE7"/>
    <w:rsid w:val="0CA036FB"/>
    <w:rsid w:val="0CA08264"/>
    <w:rsid w:val="0CB810D3"/>
    <w:rsid w:val="0CB9C4CF"/>
    <w:rsid w:val="0D06B5CC"/>
    <w:rsid w:val="0D5C0B45"/>
    <w:rsid w:val="0DAEB50A"/>
    <w:rsid w:val="0DB17B05"/>
    <w:rsid w:val="0DB55B6D"/>
    <w:rsid w:val="0DC36B7C"/>
    <w:rsid w:val="0E17F014"/>
    <w:rsid w:val="0E3DD57F"/>
    <w:rsid w:val="0E8F3206"/>
    <w:rsid w:val="0ED5C4F2"/>
    <w:rsid w:val="0EE01C61"/>
    <w:rsid w:val="0EEC4FBB"/>
    <w:rsid w:val="0F15C797"/>
    <w:rsid w:val="0F5018B0"/>
    <w:rsid w:val="0F5DD386"/>
    <w:rsid w:val="0F8B6099"/>
    <w:rsid w:val="0F9C2A69"/>
    <w:rsid w:val="0FB20837"/>
    <w:rsid w:val="0FD9BC01"/>
    <w:rsid w:val="0FE48666"/>
    <w:rsid w:val="0FEA2FF3"/>
    <w:rsid w:val="0FED4A49"/>
    <w:rsid w:val="0FEDCDB9"/>
    <w:rsid w:val="0FFB6815"/>
    <w:rsid w:val="10337DA9"/>
    <w:rsid w:val="105361F5"/>
    <w:rsid w:val="1060D9CA"/>
    <w:rsid w:val="109128B3"/>
    <w:rsid w:val="10AB66E1"/>
    <w:rsid w:val="118828DD"/>
    <w:rsid w:val="11989831"/>
    <w:rsid w:val="1199662F"/>
    <w:rsid w:val="11B31DBF"/>
    <w:rsid w:val="120CC285"/>
    <w:rsid w:val="1219EBC7"/>
    <w:rsid w:val="12979786"/>
    <w:rsid w:val="12A0BB05"/>
    <w:rsid w:val="12BC5A66"/>
    <w:rsid w:val="12CF8589"/>
    <w:rsid w:val="12D51F25"/>
    <w:rsid w:val="1327875B"/>
    <w:rsid w:val="136673E1"/>
    <w:rsid w:val="136BBF54"/>
    <w:rsid w:val="1372664B"/>
    <w:rsid w:val="1373FCC5"/>
    <w:rsid w:val="1399DF07"/>
    <w:rsid w:val="13DDEBAE"/>
    <w:rsid w:val="14122881"/>
    <w:rsid w:val="1422FB29"/>
    <w:rsid w:val="143674F4"/>
    <w:rsid w:val="14626FFE"/>
    <w:rsid w:val="147A5636"/>
    <w:rsid w:val="148C0DD3"/>
    <w:rsid w:val="14C40922"/>
    <w:rsid w:val="14E09351"/>
    <w:rsid w:val="1554F086"/>
    <w:rsid w:val="15680B49"/>
    <w:rsid w:val="156F4944"/>
    <w:rsid w:val="15746E6F"/>
    <w:rsid w:val="158B2555"/>
    <w:rsid w:val="1595BAA0"/>
    <w:rsid w:val="15F49CCB"/>
    <w:rsid w:val="15F74D58"/>
    <w:rsid w:val="15FADF15"/>
    <w:rsid w:val="16069BE9"/>
    <w:rsid w:val="16687645"/>
    <w:rsid w:val="168A7821"/>
    <w:rsid w:val="169A658F"/>
    <w:rsid w:val="16C98401"/>
    <w:rsid w:val="16CEF93A"/>
    <w:rsid w:val="16E73141"/>
    <w:rsid w:val="170A5A78"/>
    <w:rsid w:val="170F601C"/>
    <w:rsid w:val="171A13FC"/>
    <w:rsid w:val="17281C11"/>
    <w:rsid w:val="1791E472"/>
    <w:rsid w:val="17C59947"/>
    <w:rsid w:val="1826A071"/>
    <w:rsid w:val="18291AEF"/>
    <w:rsid w:val="18360BDE"/>
    <w:rsid w:val="18592EE1"/>
    <w:rsid w:val="18822F23"/>
    <w:rsid w:val="18BBB187"/>
    <w:rsid w:val="18D54F32"/>
    <w:rsid w:val="18DE8C52"/>
    <w:rsid w:val="1915BE98"/>
    <w:rsid w:val="193E1321"/>
    <w:rsid w:val="19463EE1"/>
    <w:rsid w:val="19530A40"/>
    <w:rsid w:val="1955FCD7"/>
    <w:rsid w:val="19B97202"/>
    <w:rsid w:val="19C78436"/>
    <w:rsid w:val="19D6DD5F"/>
    <w:rsid w:val="19DFDB64"/>
    <w:rsid w:val="1A0E601E"/>
    <w:rsid w:val="1A3B01DA"/>
    <w:rsid w:val="1A59E3FC"/>
    <w:rsid w:val="1A5AAE32"/>
    <w:rsid w:val="1A683912"/>
    <w:rsid w:val="1A9B5028"/>
    <w:rsid w:val="1AA69639"/>
    <w:rsid w:val="1AAB6E89"/>
    <w:rsid w:val="1AADE02C"/>
    <w:rsid w:val="1AC787F8"/>
    <w:rsid w:val="1ADD8B79"/>
    <w:rsid w:val="1AFA42E5"/>
    <w:rsid w:val="1B25EFB8"/>
    <w:rsid w:val="1B58251F"/>
    <w:rsid w:val="1B66E333"/>
    <w:rsid w:val="1B7B96E0"/>
    <w:rsid w:val="1B8CD3E0"/>
    <w:rsid w:val="1BDB1F0E"/>
    <w:rsid w:val="1C12021F"/>
    <w:rsid w:val="1C1938C0"/>
    <w:rsid w:val="1C1AE469"/>
    <w:rsid w:val="1C25D0D6"/>
    <w:rsid w:val="1C28AD16"/>
    <w:rsid w:val="1C40803C"/>
    <w:rsid w:val="1CAA64AB"/>
    <w:rsid w:val="1CAA7A7C"/>
    <w:rsid w:val="1CC5406B"/>
    <w:rsid w:val="1CE0F8C4"/>
    <w:rsid w:val="1CF138E3"/>
    <w:rsid w:val="1D3995EB"/>
    <w:rsid w:val="1D910326"/>
    <w:rsid w:val="1D9504CA"/>
    <w:rsid w:val="1DE49384"/>
    <w:rsid w:val="1DE4ED6E"/>
    <w:rsid w:val="1E2B2661"/>
    <w:rsid w:val="1E4C7F52"/>
    <w:rsid w:val="1E53E903"/>
    <w:rsid w:val="1E5F5BA5"/>
    <w:rsid w:val="1E7825F2"/>
    <w:rsid w:val="1EB18109"/>
    <w:rsid w:val="1ED146D1"/>
    <w:rsid w:val="1F33BC36"/>
    <w:rsid w:val="1F48499C"/>
    <w:rsid w:val="1F9F2DE9"/>
    <w:rsid w:val="1FF3BF8E"/>
    <w:rsid w:val="200D37BA"/>
    <w:rsid w:val="202A76BE"/>
    <w:rsid w:val="204378C1"/>
    <w:rsid w:val="20C83876"/>
    <w:rsid w:val="20DF89F7"/>
    <w:rsid w:val="210539F7"/>
    <w:rsid w:val="21101207"/>
    <w:rsid w:val="2110D412"/>
    <w:rsid w:val="212CD3C4"/>
    <w:rsid w:val="214E3A36"/>
    <w:rsid w:val="2157A324"/>
    <w:rsid w:val="21AEFB9D"/>
    <w:rsid w:val="21BB3B51"/>
    <w:rsid w:val="21BDF2AF"/>
    <w:rsid w:val="21F3DCEF"/>
    <w:rsid w:val="21F7BD26"/>
    <w:rsid w:val="222A3452"/>
    <w:rsid w:val="2245A0E5"/>
    <w:rsid w:val="225835DE"/>
    <w:rsid w:val="2289B4C7"/>
    <w:rsid w:val="22B92545"/>
    <w:rsid w:val="22C23F78"/>
    <w:rsid w:val="22E14ED9"/>
    <w:rsid w:val="22E2BAC5"/>
    <w:rsid w:val="23532C48"/>
    <w:rsid w:val="2354F4C2"/>
    <w:rsid w:val="236E8779"/>
    <w:rsid w:val="23A44A01"/>
    <w:rsid w:val="23ADC700"/>
    <w:rsid w:val="23B2D96E"/>
    <w:rsid w:val="23B3FF0D"/>
    <w:rsid w:val="23C0E893"/>
    <w:rsid w:val="240F6731"/>
    <w:rsid w:val="24105D96"/>
    <w:rsid w:val="2414EC6C"/>
    <w:rsid w:val="244915BB"/>
    <w:rsid w:val="2469EAC7"/>
    <w:rsid w:val="2500BDA3"/>
    <w:rsid w:val="2521492D"/>
    <w:rsid w:val="252C1A4F"/>
    <w:rsid w:val="258385F3"/>
    <w:rsid w:val="2585B45A"/>
    <w:rsid w:val="25B8CF9C"/>
    <w:rsid w:val="260F859A"/>
    <w:rsid w:val="2612B2B7"/>
    <w:rsid w:val="261B6D7C"/>
    <w:rsid w:val="2641B095"/>
    <w:rsid w:val="265E821A"/>
    <w:rsid w:val="268B576F"/>
    <w:rsid w:val="268EC188"/>
    <w:rsid w:val="26A36F52"/>
    <w:rsid w:val="26B42DEA"/>
    <w:rsid w:val="26D5FBDA"/>
    <w:rsid w:val="26D9C0AA"/>
    <w:rsid w:val="273F2F2A"/>
    <w:rsid w:val="277417A2"/>
    <w:rsid w:val="2777D704"/>
    <w:rsid w:val="2779D570"/>
    <w:rsid w:val="278FE47B"/>
    <w:rsid w:val="2798C0CC"/>
    <w:rsid w:val="27AFF084"/>
    <w:rsid w:val="27B212BE"/>
    <w:rsid w:val="27DAE595"/>
    <w:rsid w:val="27FDAC1E"/>
    <w:rsid w:val="2827C148"/>
    <w:rsid w:val="282EA502"/>
    <w:rsid w:val="2856BD78"/>
    <w:rsid w:val="28578EAB"/>
    <w:rsid w:val="28BA2A40"/>
    <w:rsid w:val="28BEE80B"/>
    <w:rsid w:val="28CAA12F"/>
    <w:rsid w:val="28CAD377"/>
    <w:rsid w:val="28ED62C4"/>
    <w:rsid w:val="28F0D243"/>
    <w:rsid w:val="29157EB3"/>
    <w:rsid w:val="2989C4D3"/>
    <w:rsid w:val="2994E250"/>
    <w:rsid w:val="29999334"/>
    <w:rsid w:val="29B71B92"/>
    <w:rsid w:val="29C608A0"/>
    <w:rsid w:val="29F5A885"/>
    <w:rsid w:val="29F63C2B"/>
    <w:rsid w:val="2A0DB0C8"/>
    <w:rsid w:val="2A2F988B"/>
    <w:rsid w:val="2A3A4F7F"/>
    <w:rsid w:val="2A5209C1"/>
    <w:rsid w:val="2A5B4ED6"/>
    <w:rsid w:val="2A7D26C2"/>
    <w:rsid w:val="2A8087DD"/>
    <w:rsid w:val="2A93659F"/>
    <w:rsid w:val="2AB13C40"/>
    <w:rsid w:val="2AE2548A"/>
    <w:rsid w:val="2B02A05F"/>
    <w:rsid w:val="2B13C525"/>
    <w:rsid w:val="2B1AE3D8"/>
    <w:rsid w:val="2B2DADDD"/>
    <w:rsid w:val="2BA682A5"/>
    <w:rsid w:val="2BA7E820"/>
    <w:rsid w:val="2BC86572"/>
    <w:rsid w:val="2BD7E835"/>
    <w:rsid w:val="2BD9211E"/>
    <w:rsid w:val="2C50C7CD"/>
    <w:rsid w:val="2C71E45E"/>
    <w:rsid w:val="2C7430C0"/>
    <w:rsid w:val="2CAB5DA9"/>
    <w:rsid w:val="2CB15B8B"/>
    <w:rsid w:val="2CC07B06"/>
    <w:rsid w:val="2CF749C6"/>
    <w:rsid w:val="2CFB6F20"/>
    <w:rsid w:val="2CFB9382"/>
    <w:rsid w:val="2D27873E"/>
    <w:rsid w:val="2D5EC0CA"/>
    <w:rsid w:val="2D74F24D"/>
    <w:rsid w:val="2D7DCD63"/>
    <w:rsid w:val="2D8AEC28"/>
    <w:rsid w:val="2D8F2D5F"/>
    <w:rsid w:val="2DA7A5A3"/>
    <w:rsid w:val="2DF7DE53"/>
    <w:rsid w:val="2E2BA398"/>
    <w:rsid w:val="2E38C6AE"/>
    <w:rsid w:val="2E62C312"/>
    <w:rsid w:val="2E7554D6"/>
    <w:rsid w:val="2E7B020B"/>
    <w:rsid w:val="2EE3A530"/>
    <w:rsid w:val="2EF0BC8C"/>
    <w:rsid w:val="2F28C2D7"/>
    <w:rsid w:val="2F32414E"/>
    <w:rsid w:val="2F3C2779"/>
    <w:rsid w:val="2F5EE761"/>
    <w:rsid w:val="2F8319D7"/>
    <w:rsid w:val="2F95E2EB"/>
    <w:rsid w:val="2FA3AD5A"/>
    <w:rsid w:val="2FCDBAA6"/>
    <w:rsid w:val="2FD43889"/>
    <w:rsid w:val="2FFD0DCF"/>
    <w:rsid w:val="3028804F"/>
    <w:rsid w:val="304807CF"/>
    <w:rsid w:val="30610CF8"/>
    <w:rsid w:val="3086EF2C"/>
    <w:rsid w:val="309F88DF"/>
    <w:rsid w:val="30BA01DD"/>
    <w:rsid w:val="30D3A6BF"/>
    <w:rsid w:val="314BB13E"/>
    <w:rsid w:val="315318E0"/>
    <w:rsid w:val="31534855"/>
    <w:rsid w:val="3169090B"/>
    <w:rsid w:val="31950EED"/>
    <w:rsid w:val="31A2CF7C"/>
    <w:rsid w:val="31BCAEB9"/>
    <w:rsid w:val="31EE5310"/>
    <w:rsid w:val="321D0225"/>
    <w:rsid w:val="322B0755"/>
    <w:rsid w:val="322B4999"/>
    <w:rsid w:val="3243E5B9"/>
    <w:rsid w:val="3248B1DE"/>
    <w:rsid w:val="32509C6D"/>
    <w:rsid w:val="32644CF0"/>
    <w:rsid w:val="3265972F"/>
    <w:rsid w:val="32CDC9DC"/>
    <w:rsid w:val="3305EEBB"/>
    <w:rsid w:val="334BF0B4"/>
    <w:rsid w:val="335E86C8"/>
    <w:rsid w:val="335ECC84"/>
    <w:rsid w:val="3380277C"/>
    <w:rsid w:val="3386DAF9"/>
    <w:rsid w:val="33A2A06C"/>
    <w:rsid w:val="33C89B48"/>
    <w:rsid w:val="33C8CF14"/>
    <w:rsid w:val="3407687B"/>
    <w:rsid w:val="3414C2D7"/>
    <w:rsid w:val="3429569C"/>
    <w:rsid w:val="34500275"/>
    <w:rsid w:val="3461D3E7"/>
    <w:rsid w:val="3469436F"/>
    <w:rsid w:val="34749CFC"/>
    <w:rsid w:val="348107D3"/>
    <w:rsid w:val="34963AA6"/>
    <w:rsid w:val="34A6DD5A"/>
    <w:rsid w:val="34B0F14E"/>
    <w:rsid w:val="34BA05B2"/>
    <w:rsid w:val="34CE704C"/>
    <w:rsid w:val="34E020ED"/>
    <w:rsid w:val="34FD3C60"/>
    <w:rsid w:val="3519CE62"/>
    <w:rsid w:val="3520929E"/>
    <w:rsid w:val="3536FB1A"/>
    <w:rsid w:val="3540C0A9"/>
    <w:rsid w:val="3548E5EA"/>
    <w:rsid w:val="354E17CB"/>
    <w:rsid w:val="35525986"/>
    <w:rsid w:val="35598845"/>
    <w:rsid w:val="3562B0DA"/>
    <w:rsid w:val="357D81D3"/>
    <w:rsid w:val="357ECDD2"/>
    <w:rsid w:val="358CAC5E"/>
    <w:rsid w:val="35A98654"/>
    <w:rsid w:val="35AA93AE"/>
    <w:rsid w:val="36052B7C"/>
    <w:rsid w:val="360972D8"/>
    <w:rsid w:val="36307D0F"/>
    <w:rsid w:val="3689650B"/>
    <w:rsid w:val="36994F2B"/>
    <w:rsid w:val="36A22A58"/>
    <w:rsid w:val="36ACD688"/>
    <w:rsid w:val="36DAE752"/>
    <w:rsid w:val="36DE1288"/>
    <w:rsid w:val="36E2C094"/>
    <w:rsid w:val="36F9E651"/>
    <w:rsid w:val="37283365"/>
    <w:rsid w:val="373D7357"/>
    <w:rsid w:val="3745EAB3"/>
    <w:rsid w:val="376EB434"/>
    <w:rsid w:val="3784FD74"/>
    <w:rsid w:val="3797CF1C"/>
    <w:rsid w:val="37ADFA52"/>
    <w:rsid w:val="37CB38F9"/>
    <w:rsid w:val="38212E6F"/>
    <w:rsid w:val="382CDE09"/>
    <w:rsid w:val="3838CC83"/>
    <w:rsid w:val="38FE7B58"/>
    <w:rsid w:val="3901735F"/>
    <w:rsid w:val="3951E79D"/>
    <w:rsid w:val="395558AC"/>
    <w:rsid w:val="39864DC8"/>
    <w:rsid w:val="3986AF1D"/>
    <w:rsid w:val="3995BC0D"/>
    <w:rsid w:val="399B7360"/>
    <w:rsid w:val="399D25E1"/>
    <w:rsid w:val="39AD8E07"/>
    <w:rsid w:val="39C38394"/>
    <w:rsid w:val="39C50B29"/>
    <w:rsid w:val="39CD4341"/>
    <w:rsid w:val="3A732DAD"/>
    <w:rsid w:val="3ABD41B4"/>
    <w:rsid w:val="3ACDF3A9"/>
    <w:rsid w:val="3AD91B3F"/>
    <w:rsid w:val="3AF70955"/>
    <w:rsid w:val="3B13826B"/>
    <w:rsid w:val="3B23EC21"/>
    <w:rsid w:val="3B3A9C87"/>
    <w:rsid w:val="3B3CDA7E"/>
    <w:rsid w:val="3B45E22A"/>
    <w:rsid w:val="3B77C643"/>
    <w:rsid w:val="3B848EC1"/>
    <w:rsid w:val="3BBA5E0D"/>
    <w:rsid w:val="3BEA13F6"/>
    <w:rsid w:val="3BFD44F7"/>
    <w:rsid w:val="3C0FBFA3"/>
    <w:rsid w:val="3C3753F3"/>
    <w:rsid w:val="3C607E06"/>
    <w:rsid w:val="3CB0EA78"/>
    <w:rsid w:val="3CB50949"/>
    <w:rsid w:val="3CD2B3E2"/>
    <w:rsid w:val="3D00D54F"/>
    <w:rsid w:val="3D0224D2"/>
    <w:rsid w:val="3D1097B8"/>
    <w:rsid w:val="3D1B09D0"/>
    <w:rsid w:val="3D1E1C4E"/>
    <w:rsid w:val="3D21DE6B"/>
    <w:rsid w:val="3D25BAFA"/>
    <w:rsid w:val="3D6DAD01"/>
    <w:rsid w:val="3D921FA7"/>
    <w:rsid w:val="3DA68FE9"/>
    <w:rsid w:val="3E1A4501"/>
    <w:rsid w:val="3E24D631"/>
    <w:rsid w:val="3E26F354"/>
    <w:rsid w:val="3E54F558"/>
    <w:rsid w:val="3E563CF1"/>
    <w:rsid w:val="3F0D68B3"/>
    <w:rsid w:val="3F1A8AD0"/>
    <w:rsid w:val="3F3ABA7C"/>
    <w:rsid w:val="3F8F21D8"/>
    <w:rsid w:val="3FA22F03"/>
    <w:rsid w:val="3FB88AEE"/>
    <w:rsid w:val="3FC71D25"/>
    <w:rsid w:val="3FE974CA"/>
    <w:rsid w:val="3FFB9629"/>
    <w:rsid w:val="401DAA7E"/>
    <w:rsid w:val="40268EAE"/>
    <w:rsid w:val="40453775"/>
    <w:rsid w:val="40A5CEC2"/>
    <w:rsid w:val="40D08466"/>
    <w:rsid w:val="40D66140"/>
    <w:rsid w:val="4116E7B6"/>
    <w:rsid w:val="413C4206"/>
    <w:rsid w:val="418F5EB6"/>
    <w:rsid w:val="41BDD7FE"/>
    <w:rsid w:val="41CF2CAD"/>
    <w:rsid w:val="41F0FD0C"/>
    <w:rsid w:val="420DAB63"/>
    <w:rsid w:val="422D40D2"/>
    <w:rsid w:val="4259B714"/>
    <w:rsid w:val="42983978"/>
    <w:rsid w:val="42DF1058"/>
    <w:rsid w:val="4312B86A"/>
    <w:rsid w:val="43248C61"/>
    <w:rsid w:val="4324DA91"/>
    <w:rsid w:val="4326A330"/>
    <w:rsid w:val="4332D767"/>
    <w:rsid w:val="433587B3"/>
    <w:rsid w:val="43624F41"/>
    <w:rsid w:val="4368B642"/>
    <w:rsid w:val="436FCC78"/>
    <w:rsid w:val="43998D71"/>
    <w:rsid w:val="43AF22FE"/>
    <w:rsid w:val="43CDEC4A"/>
    <w:rsid w:val="43CED5EA"/>
    <w:rsid w:val="43CFEE8E"/>
    <w:rsid w:val="43DEAAE4"/>
    <w:rsid w:val="441D28BB"/>
    <w:rsid w:val="444B7224"/>
    <w:rsid w:val="44586444"/>
    <w:rsid w:val="449109FA"/>
    <w:rsid w:val="44B30839"/>
    <w:rsid w:val="44DE772C"/>
    <w:rsid w:val="44E98F39"/>
    <w:rsid w:val="44EDD944"/>
    <w:rsid w:val="451745CF"/>
    <w:rsid w:val="4541F5D5"/>
    <w:rsid w:val="4586EE3B"/>
    <w:rsid w:val="45AF00DD"/>
    <w:rsid w:val="45D52C3B"/>
    <w:rsid w:val="45E35F41"/>
    <w:rsid w:val="46013325"/>
    <w:rsid w:val="4617F456"/>
    <w:rsid w:val="463FA072"/>
    <w:rsid w:val="465E6A8E"/>
    <w:rsid w:val="4679EB80"/>
    <w:rsid w:val="469375F6"/>
    <w:rsid w:val="46A5D3D8"/>
    <w:rsid w:val="46ABCDBA"/>
    <w:rsid w:val="46CC87BA"/>
    <w:rsid w:val="46D6D438"/>
    <w:rsid w:val="4720D62F"/>
    <w:rsid w:val="476E57EA"/>
    <w:rsid w:val="47D5AD37"/>
    <w:rsid w:val="47E59045"/>
    <w:rsid w:val="47FB0023"/>
    <w:rsid w:val="47FC8C33"/>
    <w:rsid w:val="4830F7BC"/>
    <w:rsid w:val="484A7AD4"/>
    <w:rsid w:val="48506AF9"/>
    <w:rsid w:val="48631362"/>
    <w:rsid w:val="48793451"/>
    <w:rsid w:val="487A82F5"/>
    <w:rsid w:val="48E0589E"/>
    <w:rsid w:val="490CE996"/>
    <w:rsid w:val="490D713F"/>
    <w:rsid w:val="49434CB0"/>
    <w:rsid w:val="4944BDDA"/>
    <w:rsid w:val="496733D2"/>
    <w:rsid w:val="496AAF47"/>
    <w:rsid w:val="49834F40"/>
    <w:rsid w:val="499A55E1"/>
    <w:rsid w:val="49A01354"/>
    <w:rsid w:val="49B9E659"/>
    <w:rsid w:val="49FA2882"/>
    <w:rsid w:val="49FEDF1A"/>
    <w:rsid w:val="4A1DEC6D"/>
    <w:rsid w:val="4A4B9BAE"/>
    <w:rsid w:val="4A5163D4"/>
    <w:rsid w:val="4A8492DD"/>
    <w:rsid w:val="4A9430C1"/>
    <w:rsid w:val="4AB0F2E2"/>
    <w:rsid w:val="4ACC8909"/>
    <w:rsid w:val="4AE9E267"/>
    <w:rsid w:val="4AF0E0ED"/>
    <w:rsid w:val="4B061675"/>
    <w:rsid w:val="4B404E4E"/>
    <w:rsid w:val="4B572547"/>
    <w:rsid w:val="4B57E6AC"/>
    <w:rsid w:val="4B5BDF2E"/>
    <w:rsid w:val="4B72CB64"/>
    <w:rsid w:val="4B7A3259"/>
    <w:rsid w:val="4BA46569"/>
    <w:rsid w:val="4BA82E1E"/>
    <w:rsid w:val="4BB1F094"/>
    <w:rsid w:val="4BC1C158"/>
    <w:rsid w:val="4BE6B1D4"/>
    <w:rsid w:val="4C01E4B4"/>
    <w:rsid w:val="4C1C18E0"/>
    <w:rsid w:val="4C5F01D5"/>
    <w:rsid w:val="4C65E6A6"/>
    <w:rsid w:val="4C7231C2"/>
    <w:rsid w:val="4CAEAFF9"/>
    <w:rsid w:val="4CE813A2"/>
    <w:rsid w:val="4D05D7F4"/>
    <w:rsid w:val="4D3D27B7"/>
    <w:rsid w:val="4D442819"/>
    <w:rsid w:val="4DC06943"/>
    <w:rsid w:val="4DD299BC"/>
    <w:rsid w:val="4E357052"/>
    <w:rsid w:val="4E5682A0"/>
    <w:rsid w:val="4ECB6373"/>
    <w:rsid w:val="4EF91A49"/>
    <w:rsid w:val="4F102204"/>
    <w:rsid w:val="4F2828A9"/>
    <w:rsid w:val="4F49CCB4"/>
    <w:rsid w:val="4FD8EF8E"/>
    <w:rsid w:val="4FF70417"/>
    <w:rsid w:val="50381EC5"/>
    <w:rsid w:val="50470420"/>
    <w:rsid w:val="5065D369"/>
    <w:rsid w:val="50ABFAC3"/>
    <w:rsid w:val="50AE1D18"/>
    <w:rsid w:val="50E162F1"/>
    <w:rsid w:val="50EFA284"/>
    <w:rsid w:val="514DB785"/>
    <w:rsid w:val="51612279"/>
    <w:rsid w:val="51672579"/>
    <w:rsid w:val="516B96C5"/>
    <w:rsid w:val="51776ABB"/>
    <w:rsid w:val="520AE2AC"/>
    <w:rsid w:val="52583DD5"/>
    <w:rsid w:val="52645727"/>
    <w:rsid w:val="52BC30D0"/>
    <w:rsid w:val="52EADFC7"/>
    <w:rsid w:val="52FDA24D"/>
    <w:rsid w:val="5316766C"/>
    <w:rsid w:val="533A668D"/>
    <w:rsid w:val="5347D1E3"/>
    <w:rsid w:val="53528EA5"/>
    <w:rsid w:val="536717FA"/>
    <w:rsid w:val="536F5844"/>
    <w:rsid w:val="539CE0B4"/>
    <w:rsid w:val="53C2241D"/>
    <w:rsid w:val="53DA3431"/>
    <w:rsid w:val="53DCBF2A"/>
    <w:rsid w:val="53E88FE1"/>
    <w:rsid w:val="5429C422"/>
    <w:rsid w:val="5447B19B"/>
    <w:rsid w:val="545EA835"/>
    <w:rsid w:val="548F0BD0"/>
    <w:rsid w:val="54C0EC94"/>
    <w:rsid w:val="54C133F3"/>
    <w:rsid w:val="54DDC3C4"/>
    <w:rsid w:val="54F0FBEE"/>
    <w:rsid w:val="550170D9"/>
    <w:rsid w:val="5524D4DE"/>
    <w:rsid w:val="55793661"/>
    <w:rsid w:val="55857225"/>
    <w:rsid w:val="5591908C"/>
    <w:rsid w:val="559E8753"/>
    <w:rsid w:val="55BFE117"/>
    <w:rsid w:val="55EC5D3F"/>
    <w:rsid w:val="55FE9A53"/>
    <w:rsid w:val="5634A172"/>
    <w:rsid w:val="567A9B54"/>
    <w:rsid w:val="568BD847"/>
    <w:rsid w:val="56F9FCC7"/>
    <w:rsid w:val="5707C1F6"/>
    <w:rsid w:val="5726FCB9"/>
    <w:rsid w:val="573A6908"/>
    <w:rsid w:val="57A81718"/>
    <w:rsid w:val="57C28B81"/>
    <w:rsid w:val="57D3A300"/>
    <w:rsid w:val="57E2599C"/>
    <w:rsid w:val="57FAF0B8"/>
    <w:rsid w:val="5856FC93"/>
    <w:rsid w:val="5917A5CF"/>
    <w:rsid w:val="59209CB5"/>
    <w:rsid w:val="592D3832"/>
    <w:rsid w:val="5935EE39"/>
    <w:rsid w:val="593D57BF"/>
    <w:rsid w:val="59780E3D"/>
    <w:rsid w:val="597A2950"/>
    <w:rsid w:val="59C620B0"/>
    <w:rsid w:val="59ED81B0"/>
    <w:rsid w:val="5A2D80A5"/>
    <w:rsid w:val="5A33D01B"/>
    <w:rsid w:val="5A56E405"/>
    <w:rsid w:val="5A633000"/>
    <w:rsid w:val="5A73BF9D"/>
    <w:rsid w:val="5A8AEE19"/>
    <w:rsid w:val="5ACEC6D0"/>
    <w:rsid w:val="5AD3F4F1"/>
    <w:rsid w:val="5AE8321F"/>
    <w:rsid w:val="5AF00DB4"/>
    <w:rsid w:val="5AFC22EA"/>
    <w:rsid w:val="5B319670"/>
    <w:rsid w:val="5B74BEE4"/>
    <w:rsid w:val="5B9F7638"/>
    <w:rsid w:val="5BB90FD3"/>
    <w:rsid w:val="5BC4D22B"/>
    <w:rsid w:val="5BCB5CE2"/>
    <w:rsid w:val="5BE8C57F"/>
    <w:rsid w:val="5C22F34B"/>
    <w:rsid w:val="5C4F549E"/>
    <w:rsid w:val="5C7A1673"/>
    <w:rsid w:val="5C885E84"/>
    <w:rsid w:val="5CDCEE8D"/>
    <w:rsid w:val="5CF87C46"/>
    <w:rsid w:val="5CFB9883"/>
    <w:rsid w:val="5D027EF5"/>
    <w:rsid w:val="5D1B914B"/>
    <w:rsid w:val="5D1D2128"/>
    <w:rsid w:val="5D2639E4"/>
    <w:rsid w:val="5D2ECCDE"/>
    <w:rsid w:val="5D30AB03"/>
    <w:rsid w:val="5D3FEFDE"/>
    <w:rsid w:val="5D5844AF"/>
    <w:rsid w:val="5D71110E"/>
    <w:rsid w:val="5D829C0A"/>
    <w:rsid w:val="5DA01C0F"/>
    <w:rsid w:val="5DC0611B"/>
    <w:rsid w:val="5DC100C2"/>
    <w:rsid w:val="5DC9443A"/>
    <w:rsid w:val="5DD12DCF"/>
    <w:rsid w:val="5E718FC6"/>
    <w:rsid w:val="5E7718EA"/>
    <w:rsid w:val="5E9D1985"/>
    <w:rsid w:val="5ED0E643"/>
    <w:rsid w:val="5ED7EB2E"/>
    <w:rsid w:val="5EEC4724"/>
    <w:rsid w:val="5EFF6FA7"/>
    <w:rsid w:val="5F19E8D4"/>
    <w:rsid w:val="5F75990C"/>
    <w:rsid w:val="5F891DEA"/>
    <w:rsid w:val="5FEFE8CF"/>
    <w:rsid w:val="60357D84"/>
    <w:rsid w:val="6050237B"/>
    <w:rsid w:val="6057F0DF"/>
    <w:rsid w:val="60731E6F"/>
    <w:rsid w:val="6074ABC8"/>
    <w:rsid w:val="60A73D2D"/>
    <w:rsid w:val="610BA830"/>
    <w:rsid w:val="611FFAA5"/>
    <w:rsid w:val="612397DE"/>
    <w:rsid w:val="612776E9"/>
    <w:rsid w:val="614A7901"/>
    <w:rsid w:val="615EB951"/>
    <w:rsid w:val="618DA8FB"/>
    <w:rsid w:val="618EDF97"/>
    <w:rsid w:val="619B5024"/>
    <w:rsid w:val="61A22238"/>
    <w:rsid w:val="61ADADA5"/>
    <w:rsid w:val="61DC91BD"/>
    <w:rsid w:val="61EA6F3C"/>
    <w:rsid w:val="61EE2A13"/>
    <w:rsid w:val="61F3BA1A"/>
    <w:rsid w:val="625CC1FC"/>
    <w:rsid w:val="627329A5"/>
    <w:rsid w:val="62786697"/>
    <w:rsid w:val="6293567C"/>
    <w:rsid w:val="62D12174"/>
    <w:rsid w:val="63166A96"/>
    <w:rsid w:val="6326777A"/>
    <w:rsid w:val="634F9794"/>
    <w:rsid w:val="63500A6B"/>
    <w:rsid w:val="63758998"/>
    <w:rsid w:val="637D0DBB"/>
    <w:rsid w:val="6381C2D1"/>
    <w:rsid w:val="63AC7231"/>
    <w:rsid w:val="63DED2B8"/>
    <w:rsid w:val="63DFB04C"/>
    <w:rsid w:val="63E5CD6E"/>
    <w:rsid w:val="642E9AF5"/>
    <w:rsid w:val="64B55383"/>
    <w:rsid w:val="64C0AB74"/>
    <w:rsid w:val="64F4ABBA"/>
    <w:rsid w:val="65219C8E"/>
    <w:rsid w:val="653130B4"/>
    <w:rsid w:val="6547C191"/>
    <w:rsid w:val="654EC0EA"/>
    <w:rsid w:val="656EAD52"/>
    <w:rsid w:val="65CBDDAF"/>
    <w:rsid w:val="660591AF"/>
    <w:rsid w:val="66507776"/>
    <w:rsid w:val="66581A96"/>
    <w:rsid w:val="66671ECA"/>
    <w:rsid w:val="66872E40"/>
    <w:rsid w:val="66AE6352"/>
    <w:rsid w:val="66C43D4D"/>
    <w:rsid w:val="66CCA226"/>
    <w:rsid w:val="66D0D459"/>
    <w:rsid w:val="670AC954"/>
    <w:rsid w:val="674F7B4D"/>
    <w:rsid w:val="67B323ED"/>
    <w:rsid w:val="68198213"/>
    <w:rsid w:val="681D8328"/>
    <w:rsid w:val="688327E4"/>
    <w:rsid w:val="68853E44"/>
    <w:rsid w:val="68B52335"/>
    <w:rsid w:val="68FC848A"/>
    <w:rsid w:val="695AB628"/>
    <w:rsid w:val="6986364D"/>
    <w:rsid w:val="69D30124"/>
    <w:rsid w:val="69E228C2"/>
    <w:rsid w:val="69E44CE1"/>
    <w:rsid w:val="69FFD764"/>
    <w:rsid w:val="6A2CAE55"/>
    <w:rsid w:val="6A4057DC"/>
    <w:rsid w:val="6A54EE18"/>
    <w:rsid w:val="6A5EB3C8"/>
    <w:rsid w:val="6A7A25EA"/>
    <w:rsid w:val="6AA1ACC7"/>
    <w:rsid w:val="6AA50BCF"/>
    <w:rsid w:val="6AAFE64D"/>
    <w:rsid w:val="6AC97561"/>
    <w:rsid w:val="6AEF88F0"/>
    <w:rsid w:val="6B0971E6"/>
    <w:rsid w:val="6B0C806C"/>
    <w:rsid w:val="6B1893DD"/>
    <w:rsid w:val="6B2C21C1"/>
    <w:rsid w:val="6B390F78"/>
    <w:rsid w:val="6B515E66"/>
    <w:rsid w:val="6B5D5C84"/>
    <w:rsid w:val="6B9E6BEC"/>
    <w:rsid w:val="6BA03B23"/>
    <w:rsid w:val="6BB1D6A4"/>
    <w:rsid w:val="6BEB18DF"/>
    <w:rsid w:val="6BF3CFDB"/>
    <w:rsid w:val="6C1926D4"/>
    <w:rsid w:val="6C41914F"/>
    <w:rsid w:val="6C47F9A5"/>
    <w:rsid w:val="6C4BB133"/>
    <w:rsid w:val="6C65C3CC"/>
    <w:rsid w:val="6C6D5B20"/>
    <w:rsid w:val="6C8B3616"/>
    <w:rsid w:val="6C8BA43F"/>
    <w:rsid w:val="6C9A7B7B"/>
    <w:rsid w:val="6CE41097"/>
    <w:rsid w:val="6CF145F5"/>
    <w:rsid w:val="6D01729B"/>
    <w:rsid w:val="6D1A731A"/>
    <w:rsid w:val="6D1C4D28"/>
    <w:rsid w:val="6D25E45D"/>
    <w:rsid w:val="6D380E69"/>
    <w:rsid w:val="6D5B3063"/>
    <w:rsid w:val="6D98213F"/>
    <w:rsid w:val="6DB04C18"/>
    <w:rsid w:val="6DB83ABE"/>
    <w:rsid w:val="6DC59025"/>
    <w:rsid w:val="6DEBD5E0"/>
    <w:rsid w:val="6DEF7424"/>
    <w:rsid w:val="6E02222C"/>
    <w:rsid w:val="6E4DE4A0"/>
    <w:rsid w:val="6E576874"/>
    <w:rsid w:val="6E68A137"/>
    <w:rsid w:val="6E9D43CB"/>
    <w:rsid w:val="6EC4677C"/>
    <w:rsid w:val="6EDC517F"/>
    <w:rsid w:val="6EE26F8C"/>
    <w:rsid w:val="6EE5AB0B"/>
    <w:rsid w:val="6F707CEC"/>
    <w:rsid w:val="6F925085"/>
    <w:rsid w:val="6FA93581"/>
    <w:rsid w:val="6FD5B425"/>
    <w:rsid w:val="6FD7031B"/>
    <w:rsid w:val="6FEB597A"/>
    <w:rsid w:val="6FF53544"/>
    <w:rsid w:val="70864697"/>
    <w:rsid w:val="70869CFB"/>
    <w:rsid w:val="7087AD67"/>
    <w:rsid w:val="70962BF8"/>
    <w:rsid w:val="70BC8792"/>
    <w:rsid w:val="7112670B"/>
    <w:rsid w:val="711452E7"/>
    <w:rsid w:val="711B62BA"/>
    <w:rsid w:val="71225B23"/>
    <w:rsid w:val="712EAF58"/>
    <w:rsid w:val="714068A0"/>
    <w:rsid w:val="7197039D"/>
    <w:rsid w:val="719F9ED3"/>
    <w:rsid w:val="71D43FA7"/>
    <w:rsid w:val="71EDB198"/>
    <w:rsid w:val="7223731A"/>
    <w:rsid w:val="72503B11"/>
    <w:rsid w:val="72688419"/>
    <w:rsid w:val="72A82382"/>
    <w:rsid w:val="72C30086"/>
    <w:rsid w:val="72DD8B37"/>
    <w:rsid w:val="730048C0"/>
    <w:rsid w:val="7317BE7A"/>
    <w:rsid w:val="732F0B6C"/>
    <w:rsid w:val="733AB84E"/>
    <w:rsid w:val="7345B001"/>
    <w:rsid w:val="73589047"/>
    <w:rsid w:val="73758912"/>
    <w:rsid w:val="73B568C8"/>
    <w:rsid w:val="73CC2116"/>
    <w:rsid w:val="73CCD025"/>
    <w:rsid w:val="73D17735"/>
    <w:rsid w:val="73E4060E"/>
    <w:rsid w:val="73E8F83B"/>
    <w:rsid w:val="73EE5758"/>
    <w:rsid w:val="7403203F"/>
    <w:rsid w:val="746AE6A4"/>
    <w:rsid w:val="746E8E11"/>
    <w:rsid w:val="748AFFED"/>
    <w:rsid w:val="749C4608"/>
    <w:rsid w:val="749F5BD3"/>
    <w:rsid w:val="74BAEF65"/>
    <w:rsid w:val="74C40E59"/>
    <w:rsid w:val="7501A0D5"/>
    <w:rsid w:val="750D7448"/>
    <w:rsid w:val="7565050D"/>
    <w:rsid w:val="758617C8"/>
    <w:rsid w:val="75899E73"/>
    <w:rsid w:val="75A1B5CC"/>
    <w:rsid w:val="75AADD69"/>
    <w:rsid w:val="76104C66"/>
    <w:rsid w:val="7614D100"/>
    <w:rsid w:val="7642B8D7"/>
    <w:rsid w:val="7661F8CF"/>
    <w:rsid w:val="767B0A4B"/>
    <w:rsid w:val="767C8495"/>
    <w:rsid w:val="769DD3A1"/>
    <w:rsid w:val="76B92D98"/>
    <w:rsid w:val="76D1DB90"/>
    <w:rsid w:val="76E9D3C7"/>
    <w:rsid w:val="771D62DE"/>
    <w:rsid w:val="7727290A"/>
    <w:rsid w:val="7748C274"/>
    <w:rsid w:val="7748E303"/>
    <w:rsid w:val="778E72F6"/>
    <w:rsid w:val="779E65D8"/>
    <w:rsid w:val="77A90489"/>
    <w:rsid w:val="77B42D1B"/>
    <w:rsid w:val="77BAF58D"/>
    <w:rsid w:val="77DBA9B7"/>
    <w:rsid w:val="7808BDDD"/>
    <w:rsid w:val="782859C7"/>
    <w:rsid w:val="7838B7B6"/>
    <w:rsid w:val="7870FF66"/>
    <w:rsid w:val="7871F134"/>
    <w:rsid w:val="788CF764"/>
    <w:rsid w:val="78EC2C11"/>
    <w:rsid w:val="78EC38C8"/>
    <w:rsid w:val="79077AFF"/>
    <w:rsid w:val="792DF0D0"/>
    <w:rsid w:val="792E1FE9"/>
    <w:rsid w:val="79325190"/>
    <w:rsid w:val="79347229"/>
    <w:rsid w:val="7934EE78"/>
    <w:rsid w:val="797CD7E0"/>
    <w:rsid w:val="79825AAC"/>
    <w:rsid w:val="79B054FD"/>
    <w:rsid w:val="79C8A24B"/>
    <w:rsid w:val="7A027530"/>
    <w:rsid w:val="7A46C8CA"/>
    <w:rsid w:val="7A990846"/>
    <w:rsid w:val="7A9BD3F0"/>
    <w:rsid w:val="7A9CBBC5"/>
    <w:rsid w:val="7AA85AD1"/>
    <w:rsid w:val="7ACAAB22"/>
    <w:rsid w:val="7ADA5391"/>
    <w:rsid w:val="7AE1C0AD"/>
    <w:rsid w:val="7AF39893"/>
    <w:rsid w:val="7B20591F"/>
    <w:rsid w:val="7B5AC22B"/>
    <w:rsid w:val="7B75BA2D"/>
    <w:rsid w:val="7B83672C"/>
    <w:rsid w:val="7BAB45D5"/>
    <w:rsid w:val="7BC55B47"/>
    <w:rsid w:val="7C2A740E"/>
    <w:rsid w:val="7C75E3FA"/>
    <w:rsid w:val="7C81AD09"/>
    <w:rsid w:val="7C9303AF"/>
    <w:rsid w:val="7CA14BB0"/>
    <w:rsid w:val="7CBC80A1"/>
    <w:rsid w:val="7CDF45AD"/>
    <w:rsid w:val="7D11F369"/>
    <w:rsid w:val="7D17AA0C"/>
    <w:rsid w:val="7D18B351"/>
    <w:rsid w:val="7D1E7351"/>
    <w:rsid w:val="7D5D8664"/>
    <w:rsid w:val="7D6D300B"/>
    <w:rsid w:val="7D7186A3"/>
    <w:rsid w:val="7D8E2006"/>
    <w:rsid w:val="7DB244DE"/>
    <w:rsid w:val="7DC3DED0"/>
    <w:rsid w:val="7DC702D3"/>
    <w:rsid w:val="7DD5C5C1"/>
    <w:rsid w:val="7DE6BBD1"/>
    <w:rsid w:val="7DEBD3A9"/>
    <w:rsid w:val="7DFC898E"/>
    <w:rsid w:val="7E22B191"/>
    <w:rsid w:val="7E5B62C0"/>
    <w:rsid w:val="7E7EA0F2"/>
    <w:rsid w:val="7E9E4567"/>
    <w:rsid w:val="7EAD4764"/>
    <w:rsid w:val="7EAD890D"/>
    <w:rsid w:val="7EEF42F9"/>
    <w:rsid w:val="7EF5E510"/>
    <w:rsid w:val="7EFB016A"/>
    <w:rsid w:val="7F185D95"/>
    <w:rsid w:val="7F1878F4"/>
    <w:rsid w:val="7F277AFF"/>
    <w:rsid w:val="7F3534B8"/>
    <w:rsid w:val="7F480A21"/>
    <w:rsid w:val="7F66DA36"/>
    <w:rsid w:val="7F8F934C"/>
    <w:rsid w:val="7FA9BF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silver" stroke="f">
      <v:fill color="silver" opacity=".5"/>
      <v:stroke on="f"/>
    </o:shapedefaults>
    <o:shapelayout v:ext="edit">
      <o:idmap v:ext="edit" data="2"/>
    </o:shapelayout>
  </w:shapeDefaults>
  <w:decimalSymbol w:val="."/>
  <w:listSeparator w:val=";"/>
  <w14:docId w14:val="08ED7031"/>
  <w15:docId w15:val="{DB2A32EC-E762-44EE-8550-F6FDA66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FD"/>
    <w:pPr>
      <w:spacing w:line="360" w:lineRule="auto"/>
      <w:jc w:val="both"/>
    </w:pPr>
    <w:rPr>
      <w:rFonts w:ascii="Arial" w:hAnsi="Arial"/>
      <w:sz w:val="22"/>
      <w:szCs w:val="24"/>
    </w:rPr>
  </w:style>
  <w:style w:type="paragraph" w:styleId="Titre1">
    <w:name w:val="heading 1"/>
    <w:next w:val="Paragraphe"/>
    <w:link w:val="Titre1Car"/>
    <w:qFormat/>
    <w:rsid w:val="00EF1CB2"/>
    <w:pPr>
      <w:keepNext/>
      <w:numPr>
        <w:numId w:val="4"/>
      </w:numPr>
      <w:spacing w:before="240" w:after="240"/>
      <w:ind w:left="431" w:hanging="431"/>
      <w:outlineLvl w:val="0"/>
    </w:pPr>
    <w:rPr>
      <w:rFonts w:ascii="Arial Gras" w:hAnsi="Arial Gras"/>
      <w:b/>
      <w:bCs/>
      <w:caps/>
      <w:kern w:val="28"/>
      <w:sz w:val="22"/>
      <w:szCs w:val="22"/>
    </w:rPr>
  </w:style>
  <w:style w:type="paragraph" w:styleId="Titre2">
    <w:name w:val="heading 2"/>
    <w:basedOn w:val="Titre1"/>
    <w:next w:val="Paragraphe"/>
    <w:link w:val="Titre2Car"/>
    <w:autoRedefine/>
    <w:qFormat/>
    <w:rsid w:val="00244DFE"/>
    <w:pPr>
      <w:numPr>
        <w:ilvl w:val="1"/>
      </w:numPr>
      <w:tabs>
        <w:tab w:val="left" w:pos="1701"/>
      </w:tabs>
      <w:outlineLvl w:val="1"/>
    </w:pPr>
    <w:rPr>
      <w:bCs w:val="0"/>
      <w:caps w:val="0"/>
    </w:rPr>
  </w:style>
  <w:style w:type="paragraph" w:styleId="Titre3">
    <w:name w:val="heading 3"/>
    <w:basedOn w:val="Titre2"/>
    <w:next w:val="Paragraphe"/>
    <w:link w:val="Titre3Car"/>
    <w:qFormat/>
    <w:rsid w:val="00EE3731"/>
    <w:pPr>
      <w:numPr>
        <w:ilvl w:val="2"/>
      </w:numPr>
      <w:outlineLvl w:val="2"/>
    </w:pPr>
    <w:rPr>
      <w:b w:val="0"/>
      <w:bCs/>
      <w:i/>
      <w:iCs/>
    </w:rPr>
  </w:style>
  <w:style w:type="paragraph" w:styleId="Titre4">
    <w:name w:val="heading 4"/>
    <w:basedOn w:val="Titre3"/>
    <w:next w:val="Paragraphe"/>
    <w:link w:val="Titre4Car"/>
    <w:autoRedefine/>
    <w:qFormat/>
    <w:rsid w:val="001E26FD"/>
    <w:pPr>
      <w:numPr>
        <w:ilvl w:val="0"/>
        <w:numId w:val="12"/>
      </w:numPr>
      <w:tabs>
        <w:tab w:val="left" w:pos="425"/>
      </w:tabs>
      <w:ind w:left="426"/>
      <w:outlineLvl w:val="3"/>
    </w:pPr>
    <w:rPr>
      <w:rFonts w:eastAsia="Calibri"/>
      <w:bCs w:val="0"/>
      <w:i w:val="0"/>
      <w:iCs w:val="0"/>
      <w:lang w:eastAsia="en-US"/>
    </w:rPr>
  </w:style>
  <w:style w:type="paragraph" w:styleId="Titre5">
    <w:name w:val="heading 5"/>
    <w:basedOn w:val="Normal"/>
    <w:next w:val="Normal"/>
    <w:link w:val="Titre5Car"/>
    <w:pPr>
      <w:numPr>
        <w:ilvl w:val="4"/>
        <w:numId w:val="4"/>
      </w:numPr>
      <w:spacing w:before="240" w:after="60"/>
      <w:outlineLvl w:val="4"/>
    </w:pPr>
    <w:rPr>
      <w:szCs w:val="22"/>
    </w:rPr>
  </w:style>
  <w:style w:type="paragraph" w:styleId="Titre6">
    <w:name w:val="heading 6"/>
    <w:basedOn w:val="Paragraphe"/>
    <w:next w:val="Normal"/>
    <w:link w:val="Titre6Car"/>
    <w:rsid w:val="00710427"/>
    <w:pPr>
      <w:numPr>
        <w:ilvl w:val="5"/>
        <w:numId w:val="4"/>
      </w:numPr>
      <w:outlineLvl w:val="5"/>
    </w:pPr>
    <w:rPr>
      <w:rFonts w:eastAsia="Calibri"/>
    </w:rPr>
  </w:style>
  <w:style w:type="paragraph" w:styleId="Titre7">
    <w:name w:val="heading 7"/>
    <w:basedOn w:val="Normal"/>
    <w:next w:val="Normal"/>
    <w:link w:val="Titre7Car"/>
    <w:pPr>
      <w:numPr>
        <w:ilvl w:val="6"/>
        <w:numId w:val="4"/>
      </w:numPr>
      <w:spacing w:before="240" w:after="60"/>
      <w:outlineLvl w:val="6"/>
    </w:pPr>
    <w:rPr>
      <w:rFonts w:cs="Arial"/>
      <w:sz w:val="20"/>
      <w:szCs w:val="20"/>
    </w:rPr>
  </w:style>
  <w:style w:type="paragraph" w:styleId="Titre8">
    <w:name w:val="heading 8"/>
    <w:basedOn w:val="Normal"/>
    <w:next w:val="Normal"/>
    <w:link w:val="Titre8Car"/>
    <w:pPr>
      <w:numPr>
        <w:ilvl w:val="7"/>
        <w:numId w:val="4"/>
      </w:numPr>
      <w:spacing w:before="240" w:after="60"/>
      <w:outlineLvl w:val="7"/>
    </w:pPr>
    <w:rPr>
      <w:rFonts w:cs="Arial"/>
      <w:i/>
      <w:iCs/>
      <w:sz w:val="20"/>
      <w:szCs w:val="20"/>
    </w:rPr>
  </w:style>
  <w:style w:type="paragraph" w:styleId="Titre9">
    <w:name w:val="heading 9"/>
    <w:basedOn w:val="Normal"/>
    <w:next w:val="Normal"/>
    <w:link w:val="Titre9Car"/>
    <w:pPr>
      <w:numPr>
        <w:ilvl w:val="8"/>
        <w:numId w:val="4"/>
      </w:numPr>
      <w:spacing w:before="240" w:after="60"/>
      <w:outlineLvl w:val="8"/>
    </w:pPr>
    <w:rPr>
      <w:rFonts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s de bas de page, Car Car Car,Car Car Car Car, Car Car Car Car Car,Car Car Car,Car Car Car Car Car Car,Car,Note de bas de page1,5_G,fn,Footnote ak,Footnotes,Footnote Text Char1,Footnote Text Char Char,fn Char Char,fn Char1,ft"/>
    <w:basedOn w:val="Normal"/>
    <w:link w:val="NotedebasdepageCar"/>
    <w:autoRedefine/>
    <w:uiPriority w:val="99"/>
    <w:qFormat/>
    <w:rsid w:val="00DB6A40"/>
    <w:pPr>
      <w:tabs>
        <w:tab w:val="left" w:pos="709"/>
      </w:tabs>
      <w:spacing w:after="120" w:line="240" w:lineRule="auto"/>
      <w:ind w:left="709" w:hanging="709"/>
      <w:jc w:val="left"/>
    </w:pPr>
    <w:rPr>
      <w:sz w:val="18"/>
      <w:lang w:val="fr-FR"/>
    </w:rPr>
  </w:style>
  <w:style w:type="character" w:styleId="Appelnotedebasdep">
    <w:name w:val="footnote reference"/>
    <w:aliases w:val="Ref,de nota al pie,Appel note de bas de p,de nota al pie + (Asian) MS Mincho,11 pt,4_G"/>
    <w:basedOn w:val="Policepardfaut"/>
    <w:uiPriority w:val="99"/>
    <w:unhideWhenUsed/>
    <w:qFormat/>
    <w:rsid w:val="00227A1B"/>
    <w:rPr>
      <w:vertAlign w:val="superscript"/>
    </w:rPr>
  </w:style>
  <w:style w:type="paragraph" w:styleId="Citation">
    <w:name w:val="Quote"/>
    <w:next w:val="Paragraphe"/>
    <w:link w:val="CitationCar"/>
    <w:autoRedefine/>
    <w:qFormat/>
    <w:rsid w:val="00332EE1"/>
    <w:pPr>
      <w:spacing w:before="240" w:after="240"/>
      <w:ind w:left="720" w:right="720"/>
    </w:pPr>
    <w:rPr>
      <w:rFonts w:ascii="Arial" w:hAnsi="Arial"/>
      <w:szCs w:val="22"/>
    </w:rPr>
  </w:style>
  <w:style w:type="paragraph" w:styleId="Titre">
    <w:name w:val="Title"/>
    <w:basedOn w:val="Normal"/>
    <w:next w:val="Normal"/>
    <w:link w:val="TitreCar"/>
    <w:qFormat/>
    <w:rsid w:val="00005CCB"/>
    <w:pPr>
      <w:spacing w:before="240" w:after="240" w:line="240" w:lineRule="auto"/>
      <w:outlineLvl w:val="0"/>
    </w:pPr>
    <w:rPr>
      <w:b/>
      <w:bCs/>
      <w:caps/>
      <w:kern w:val="28"/>
      <w:szCs w:val="22"/>
    </w:rPr>
  </w:style>
  <w:style w:type="paragraph" w:styleId="En-tte">
    <w:name w:val="header"/>
    <w:basedOn w:val="Normal"/>
    <w:link w:val="En-tteCar"/>
    <w:uiPriority w:val="99"/>
    <w:pPr>
      <w:tabs>
        <w:tab w:val="center" w:pos="4320"/>
        <w:tab w:val="right" w:pos="8640"/>
      </w:tabs>
    </w:pPr>
  </w:style>
  <w:style w:type="paragraph" w:styleId="Corpsdetexte">
    <w:name w:val="Body Text"/>
    <w:basedOn w:val="Normal"/>
    <w:link w:val="CorpsdetexteCar"/>
    <w:unhideWhenUsed/>
    <w:rsid w:val="00381BDA"/>
    <w:pPr>
      <w:spacing w:after="120"/>
    </w:pPr>
  </w:style>
  <w:style w:type="paragraph" w:styleId="Textedebulles">
    <w:name w:val="Balloon Text"/>
    <w:basedOn w:val="Normal"/>
    <w:link w:val="TextedebullesCar"/>
    <w:semiHidden/>
    <w:rsid w:val="00212687"/>
    <w:rPr>
      <w:rFonts w:ascii="Tahoma" w:hAnsi="Tahoma" w:cs="Tahoma"/>
      <w:sz w:val="16"/>
      <w:szCs w:val="16"/>
    </w:rPr>
  </w:style>
  <w:style w:type="character" w:styleId="Lienhypertexte">
    <w:name w:val="Hyperlink"/>
    <w:rsid w:val="00D715D3"/>
    <w:rPr>
      <w:color w:val="0000FF"/>
      <w:u w:val="single"/>
    </w:rPr>
  </w:style>
  <w:style w:type="paragraph" w:styleId="Citationintense">
    <w:name w:val="Intense Quote"/>
    <w:basedOn w:val="Normal"/>
    <w:next w:val="Normal"/>
    <w:link w:val="CitationintenseCar"/>
    <w:uiPriority w:val="30"/>
    <w:rsid w:val="0056553A"/>
    <w:pPr>
      <w:ind w:left="720" w:right="720"/>
      <w:jc w:val="left"/>
    </w:pPr>
    <w:rPr>
      <w:bCs/>
      <w:iCs/>
      <w:sz w:val="20"/>
    </w:rPr>
  </w:style>
  <w:style w:type="character" w:customStyle="1" w:styleId="CitationintenseCar">
    <w:name w:val="Citation intense Car"/>
    <w:link w:val="Citationintense"/>
    <w:uiPriority w:val="30"/>
    <w:rsid w:val="0056553A"/>
    <w:rPr>
      <w:rFonts w:ascii="Arial" w:hAnsi="Arial"/>
      <w:bCs/>
      <w:iCs/>
      <w:szCs w:val="24"/>
    </w:rPr>
  </w:style>
  <w:style w:type="numbering" w:customStyle="1" w:styleId="Aucuneliste1">
    <w:name w:val="Aucune liste1"/>
    <w:next w:val="Aucuneliste"/>
    <w:uiPriority w:val="99"/>
    <w:semiHidden/>
    <w:unhideWhenUsed/>
    <w:rsid w:val="00DE3F88"/>
  </w:style>
  <w:style w:type="character" w:customStyle="1" w:styleId="CorpsdetexteCar">
    <w:name w:val="Corps de texte Car"/>
    <w:basedOn w:val="Policepardfaut"/>
    <w:link w:val="Corpsdetexte"/>
    <w:rsid w:val="00381BDA"/>
    <w:rPr>
      <w:rFonts w:ascii="Arial" w:hAnsi="Arial"/>
      <w:sz w:val="22"/>
      <w:szCs w:val="24"/>
    </w:rPr>
  </w:style>
  <w:style w:type="character" w:customStyle="1" w:styleId="NotedebasdepageCar">
    <w:name w:val="Note de bas de page Car"/>
    <w:aliases w:val="Notes de bas de page Car, Car Car Car Car,Car Car Car Car Car, Car Car Car Car Car Car,Car Car Car Car1,Car Car Car Car Car Car Car1,Car Car,Note de bas de page1 Car,5_G Car,fn Car,Footnote ak Car,Footnotes Car,fn Char Char Car"/>
    <w:link w:val="Notedebasdepage"/>
    <w:uiPriority w:val="99"/>
    <w:qFormat/>
    <w:rsid w:val="00DB6A40"/>
    <w:rPr>
      <w:rFonts w:ascii="Arial" w:hAnsi="Arial"/>
      <w:sz w:val="18"/>
      <w:szCs w:val="24"/>
      <w:lang w:val="fr-FR"/>
    </w:rPr>
  </w:style>
  <w:style w:type="paragraph" w:customStyle="1" w:styleId="TitreRecommandation">
    <w:name w:val="Titre Recommandation"/>
    <w:qFormat/>
    <w:rsid w:val="00227A1B"/>
    <w:pPr>
      <w:spacing w:after="120"/>
    </w:pPr>
    <w:rPr>
      <w:rFonts w:ascii="Arial Gras" w:hAnsi="Arial Gras"/>
      <w:b/>
      <w:caps/>
      <w:sz w:val="22"/>
      <w:szCs w:val="24"/>
    </w:rPr>
  </w:style>
  <w:style w:type="paragraph" w:customStyle="1" w:styleId="Texterecommandation">
    <w:name w:val="Texte recommandation"/>
    <w:next w:val="Paragraphe"/>
    <w:link w:val="TexterecommandationCar"/>
    <w:qFormat/>
    <w:rsid w:val="00230BF4"/>
    <w:pPr>
      <w:tabs>
        <w:tab w:val="left" w:pos="709"/>
      </w:tabs>
      <w:spacing w:after="240"/>
      <w:ind w:firstLine="709"/>
    </w:pPr>
    <w:rPr>
      <w:rFonts w:ascii="Arial Gras" w:eastAsia="Calibri" w:hAnsi="Arial Gras"/>
      <w:b/>
      <w:sz w:val="22"/>
      <w:szCs w:val="24"/>
    </w:rPr>
  </w:style>
  <w:style w:type="paragraph" w:styleId="TM1">
    <w:name w:val="toc 1"/>
    <w:next w:val="Paragraphe"/>
    <w:autoRedefine/>
    <w:uiPriority w:val="39"/>
    <w:unhideWhenUsed/>
    <w:rsid w:val="00475019"/>
    <w:pPr>
      <w:tabs>
        <w:tab w:val="right" w:leader="dot" w:pos="9350"/>
      </w:tabs>
      <w:spacing w:after="100"/>
    </w:pPr>
    <w:rPr>
      <w:rFonts w:ascii="Arial Gras" w:hAnsi="Arial Gras"/>
      <w:b/>
      <w:caps/>
      <w:sz w:val="22"/>
      <w:szCs w:val="24"/>
    </w:rPr>
  </w:style>
  <w:style w:type="character" w:customStyle="1" w:styleId="TexterecommandationCar">
    <w:name w:val="Texte recommandation Car"/>
    <w:basedOn w:val="Policepardfaut"/>
    <w:link w:val="Texterecommandation"/>
    <w:rsid w:val="00230BF4"/>
    <w:rPr>
      <w:rFonts w:ascii="Arial Gras" w:eastAsia="Calibri" w:hAnsi="Arial Gras"/>
      <w:b/>
      <w:sz w:val="22"/>
      <w:szCs w:val="24"/>
    </w:rPr>
  </w:style>
  <w:style w:type="paragraph" w:styleId="En-ttedetabledesmatires">
    <w:name w:val="TOC Heading"/>
    <w:basedOn w:val="Titre1"/>
    <w:next w:val="Normal"/>
    <w:uiPriority w:val="39"/>
    <w:unhideWhenUsed/>
    <w:rsid w:val="0078286C"/>
    <w:pPr>
      <w:keepLines/>
      <w:numPr>
        <w:numId w:val="0"/>
      </w:numPr>
      <w:spacing w:before="480" w:line="276" w:lineRule="auto"/>
      <w:outlineLvl w:val="9"/>
    </w:pPr>
    <w:rPr>
      <w:rFonts w:ascii="Cambria" w:hAnsi="Cambria"/>
      <w:caps w:val="0"/>
      <w:color w:val="365F91"/>
      <w:kern w:val="0"/>
      <w:sz w:val="28"/>
      <w:szCs w:val="28"/>
    </w:rPr>
  </w:style>
  <w:style w:type="paragraph" w:styleId="TM3">
    <w:name w:val="toc 3"/>
    <w:basedOn w:val="Normal"/>
    <w:next w:val="Normal"/>
    <w:autoRedefine/>
    <w:uiPriority w:val="39"/>
    <w:unhideWhenUsed/>
    <w:rsid w:val="001E26FD"/>
    <w:pPr>
      <w:tabs>
        <w:tab w:val="left" w:pos="993"/>
        <w:tab w:val="left" w:pos="1276"/>
        <w:tab w:val="right" w:leader="dot" w:pos="9356"/>
      </w:tabs>
      <w:spacing w:line="240" w:lineRule="auto"/>
      <w:ind w:left="426"/>
      <w:jc w:val="left"/>
    </w:pPr>
  </w:style>
  <w:style w:type="paragraph" w:styleId="TM4">
    <w:name w:val="toc 4"/>
    <w:basedOn w:val="Normal"/>
    <w:next w:val="Normal"/>
    <w:autoRedefine/>
    <w:uiPriority w:val="39"/>
    <w:unhideWhenUsed/>
    <w:rsid w:val="001E26FD"/>
    <w:pPr>
      <w:tabs>
        <w:tab w:val="right" w:leader="dot" w:pos="9356"/>
      </w:tabs>
      <w:spacing w:line="240" w:lineRule="auto"/>
      <w:ind w:left="1701" w:hanging="709"/>
      <w:jc w:val="left"/>
    </w:pPr>
  </w:style>
  <w:style w:type="paragraph" w:styleId="Rvision">
    <w:name w:val="Revision"/>
    <w:hidden/>
    <w:uiPriority w:val="99"/>
    <w:semiHidden/>
    <w:rsid w:val="00B65F72"/>
    <w:rPr>
      <w:rFonts w:ascii="Gill Sans" w:hAnsi="Gill Sans"/>
      <w:sz w:val="24"/>
      <w:szCs w:val="24"/>
    </w:rPr>
  </w:style>
  <w:style w:type="paragraph" w:styleId="Notedefin">
    <w:name w:val="endnote text"/>
    <w:basedOn w:val="Normal"/>
    <w:link w:val="NotedefinCar"/>
    <w:uiPriority w:val="99"/>
    <w:unhideWhenUsed/>
    <w:rsid w:val="0058645A"/>
    <w:pPr>
      <w:jc w:val="left"/>
    </w:pPr>
    <w:rPr>
      <w:rFonts w:ascii="Calibri" w:eastAsia="Calibri" w:hAnsi="Calibri"/>
      <w:sz w:val="20"/>
      <w:szCs w:val="20"/>
      <w:lang w:val="en-US" w:eastAsia="en-US"/>
    </w:rPr>
  </w:style>
  <w:style w:type="character" w:customStyle="1" w:styleId="NotedefinCar">
    <w:name w:val="Note de fin Car"/>
    <w:link w:val="Notedefin"/>
    <w:uiPriority w:val="99"/>
    <w:rsid w:val="0058645A"/>
    <w:rPr>
      <w:rFonts w:ascii="Calibri" w:eastAsia="Calibri" w:hAnsi="Calibri" w:cs="Times New Roman"/>
      <w:lang w:val="en-US" w:eastAsia="en-US"/>
    </w:rPr>
  </w:style>
  <w:style w:type="character" w:styleId="Appeldenotedefin">
    <w:name w:val="endnote reference"/>
    <w:uiPriority w:val="99"/>
    <w:unhideWhenUsed/>
    <w:rsid w:val="0058645A"/>
    <w:rPr>
      <w:vertAlign w:val="superscript"/>
    </w:rPr>
  </w:style>
  <w:style w:type="numbering" w:customStyle="1" w:styleId="Aucuneliste2">
    <w:name w:val="Aucune liste2"/>
    <w:next w:val="Aucuneliste"/>
    <w:semiHidden/>
    <w:rsid w:val="00CE2297"/>
  </w:style>
  <w:style w:type="character" w:styleId="Marquedecommentaire">
    <w:name w:val="annotation reference"/>
    <w:uiPriority w:val="99"/>
    <w:semiHidden/>
    <w:rsid w:val="00CE2297"/>
    <w:rPr>
      <w:sz w:val="16"/>
      <w:szCs w:val="16"/>
    </w:rPr>
  </w:style>
  <w:style w:type="paragraph" w:styleId="Commentaire">
    <w:name w:val="annotation text"/>
    <w:basedOn w:val="Normal"/>
    <w:link w:val="CommentaireCar"/>
    <w:uiPriority w:val="99"/>
    <w:semiHidden/>
    <w:rsid w:val="00CE2297"/>
    <w:pPr>
      <w:jc w:val="left"/>
    </w:pPr>
    <w:rPr>
      <w:rFonts w:ascii="Times New Roman" w:hAnsi="Times New Roman"/>
      <w:sz w:val="20"/>
      <w:szCs w:val="20"/>
    </w:rPr>
  </w:style>
  <w:style w:type="character" w:customStyle="1" w:styleId="CommentaireCar">
    <w:name w:val="Commentaire Car"/>
    <w:basedOn w:val="Policepardfaut"/>
    <w:link w:val="Commentaire"/>
    <w:uiPriority w:val="99"/>
    <w:semiHidden/>
    <w:rsid w:val="00CE2297"/>
  </w:style>
  <w:style w:type="paragraph" w:styleId="Objetducommentaire">
    <w:name w:val="annotation subject"/>
    <w:basedOn w:val="Commentaire"/>
    <w:next w:val="Commentaire"/>
    <w:link w:val="ObjetducommentaireCar"/>
    <w:semiHidden/>
    <w:rsid w:val="00CE2297"/>
    <w:rPr>
      <w:b/>
      <w:bCs/>
    </w:rPr>
  </w:style>
  <w:style w:type="character" w:customStyle="1" w:styleId="ObjetducommentaireCar">
    <w:name w:val="Objet du commentaire Car"/>
    <w:link w:val="Objetducommentaire"/>
    <w:semiHidden/>
    <w:rsid w:val="00CE2297"/>
    <w:rPr>
      <w:b/>
      <w:bCs/>
    </w:rPr>
  </w:style>
  <w:style w:type="character" w:customStyle="1" w:styleId="En-tteCar">
    <w:name w:val="En-tête Car"/>
    <w:link w:val="En-tte"/>
    <w:uiPriority w:val="99"/>
    <w:rsid w:val="00CE2297"/>
    <w:rPr>
      <w:rFonts w:ascii="Gill Sans" w:hAnsi="Gill Sans"/>
      <w:sz w:val="24"/>
      <w:szCs w:val="24"/>
    </w:rPr>
  </w:style>
  <w:style w:type="character" w:customStyle="1" w:styleId="Titre1Car">
    <w:name w:val="Titre 1 Car"/>
    <w:link w:val="Titre1"/>
    <w:rsid w:val="00EF1CB2"/>
    <w:rPr>
      <w:rFonts w:ascii="Arial Gras" w:hAnsi="Arial Gras"/>
      <w:b/>
      <w:bCs/>
      <w:caps/>
      <w:kern w:val="28"/>
      <w:sz w:val="22"/>
      <w:szCs w:val="22"/>
    </w:rPr>
  </w:style>
  <w:style w:type="character" w:customStyle="1" w:styleId="Titre2Car">
    <w:name w:val="Titre 2 Car"/>
    <w:link w:val="Titre2"/>
    <w:rsid w:val="00EF1CB2"/>
    <w:rPr>
      <w:rFonts w:ascii="Arial Gras" w:hAnsi="Arial Gras"/>
      <w:b/>
      <w:kern w:val="28"/>
      <w:sz w:val="22"/>
      <w:szCs w:val="22"/>
    </w:rPr>
  </w:style>
  <w:style w:type="character" w:customStyle="1" w:styleId="Titre3Car">
    <w:name w:val="Titre 3 Car"/>
    <w:link w:val="Titre3"/>
    <w:rsid w:val="00227A1B"/>
    <w:rPr>
      <w:rFonts w:ascii="Arial Gras" w:hAnsi="Arial Gras"/>
      <w:bCs/>
      <w:i/>
      <w:iCs/>
      <w:kern w:val="28"/>
      <w:sz w:val="22"/>
      <w:szCs w:val="22"/>
    </w:rPr>
  </w:style>
  <w:style w:type="character" w:customStyle="1" w:styleId="Titre4Car">
    <w:name w:val="Titre 4 Car"/>
    <w:link w:val="Titre4"/>
    <w:rsid w:val="001E26FD"/>
    <w:rPr>
      <w:rFonts w:ascii="Arial Gras" w:eastAsia="Calibri" w:hAnsi="Arial Gras"/>
      <w:kern w:val="28"/>
      <w:sz w:val="22"/>
      <w:szCs w:val="22"/>
      <w:lang w:eastAsia="en-US"/>
    </w:rPr>
  </w:style>
  <w:style w:type="character" w:customStyle="1" w:styleId="Titre5Car">
    <w:name w:val="Titre 5 Car"/>
    <w:link w:val="Titre5"/>
    <w:rsid w:val="00CE2297"/>
    <w:rPr>
      <w:rFonts w:ascii="Arial" w:hAnsi="Arial"/>
      <w:sz w:val="22"/>
      <w:szCs w:val="22"/>
    </w:rPr>
  </w:style>
  <w:style w:type="character" w:customStyle="1" w:styleId="Titre6Car">
    <w:name w:val="Titre 6 Car"/>
    <w:link w:val="Titre6"/>
    <w:rsid w:val="00710427"/>
    <w:rPr>
      <w:rFonts w:ascii="Arial" w:eastAsia="Calibri" w:hAnsi="Arial" w:cs="Open Sans"/>
      <w:color w:val="000000"/>
      <w:sz w:val="22"/>
      <w:szCs w:val="21"/>
      <w:shd w:val="clear" w:color="auto" w:fill="FFFFFF"/>
      <w:lang w:val="en-CA"/>
    </w:rPr>
  </w:style>
  <w:style w:type="character" w:customStyle="1" w:styleId="Titre7Car">
    <w:name w:val="Titre 7 Car"/>
    <w:link w:val="Titre7"/>
    <w:rsid w:val="00CE2297"/>
    <w:rPr>
      <w:rFonts w:ascii="Arial" w:hAnsi="Arial" w:cs="Arial"/>
    </w:rPr>
  </w:style>
  <w:style w:type="character" w:customStyle="1" w:styleId="Titre8Car">
    <w:name w:val="Titre 8 Car"/>
    <w:link w:val="Titre8"/>
    <w:rsid w:val="00CE2297"/>
    <w:rPr>
      <w:rFonts w:ascii="Arial" w:hAnsi="Arial" w:cs="Arial"/>
      <w:i/>
      <w:iCs/>
    </w:rPr>
  </w:style>
  <w:style w:type="character" w:customStyle="1" w:styleId="Titre9Car">
    <w:name w:val="Titre 9 Car"/>
    <w:link w:val="Titre9"/>
    <w:rsid w:val="00CE2297"/>
    <w:rPr>
      <w:rFonts w:ascii="Arial" w:hAnsi="Arial" w:cs="Arial"/>
      <w:b/>
      <w:bCs/>
      <w:i/>
      <w:iCs/>
      <w:sz w:val="18"/>
      <w:szCs w:val="18"/>
    </w:rPr>
  </w:style>
  <w:style w:type="character" w:customStyle="1" w:styleId="CitationCar">
    <w:name w:val="Citation Car"/>
    <w:link w:val="Citation"/>
    <w:rsid w:val="00176F7C"/>
    <w:rPr>
      <w:rFonts w:ascii="Arial" w:hAnsi="Arial"/>
      <w:szCs w:val="22"/>
    </w:rPr>
  </w:style>
  <w:style w:type="character" w:customStyle="1" w:styleId="TitreCar">
    <w:name w:val="Titre Car"/>
    <w:link w:val="Titre"/>
    <w:rsid w:val="00005CCB"/>
    <w:rPr>
      <w:rFonts w:ascii="Arial" w:hAnsi="Arial"/>
      <w:b/>
      <w:bCs/>
      <w:caps/>
      <w:kern w:val="28"/>
      <w:sz w:val="22"/>
      <w:szCs w:val="22"/>
    </w:rPr>
  </w:style>
  <w:style w:type="character" w:customStyle="1" w:styleId="TextedebullesCar">
    <w:name w:val="Texte de bulles Car"/>
    <w:link w:val="Textedebulles"/>
    <w:semiHidden/>
    <w:rsid w:val="004619D3"/>
    <w:rPr>
      <w:rFonts w:ascii="Tahoma" w:hAnsi="Tahoma" w:cs="Tahoma"/>
      <w:sz w:val="16"/>
      <w:szCs w:val="16"/>
    </w:rPr>
  </w:style>
  <w:style w:type="character" w:styleId="Textedelespacerserv">
    <w:name w:val="Placeholder Text"/>
    <w:uiPriority w:val="99"/>
    <w:semiHidden/>
    <w:rsid w:val="004619D3"/>
    <w:rPr>
      <w:color w:val="808080"/>
    </w:rPr>
  </w:style>
  <w:style w:type="character" w:styleId="Lienhypertextesuivivisit">
    <w:name w:val="FollowedHyperlink"/>
    <w:uiPriority w:val="99"/>
    <w:semiHidden/>
    <w:unhideWhenUsed/>
    <w:rsid w:val="004619D3"/>
    <w:rPr>
      <w:color w:val="800080"/>
      <w:u w:val="single"/>
    </w:rPr>
  </w:style>
  <w:style w:type="character" w:styleId="CitationHTML">
    <w:name w:val="HTML Cite"/>
    <w:uiPriority w:val="99"/>
    <w:semiHidden/>
    <w:unhideWhenUsed/>
    <w:rsid w:val="004619D3"/>
    <w:rPr>
      <w:i/>
      <w:iCs/>
    </w:rPr>
  </w:style>
  <w:style w:type="character" w:customStyle="1" w:styleId="NotedebasdepageCar1">
    <w:name w:val="Note de bas de page Car1"/>
    <w:aliases w:val="Note de bas de page Car Car,Car Car Car Car Car1,Car Car Car Car Car Car1,Car Car Car Car Car Car Car,Car Car Car Car1 Car,Car Car Car Car Car Car Car1 Car,Note de bas de page1 Car Car,5_G Car Car,fn Car Car"/>
    <w:uiPriority w:val="99"/>
    <w:semiHidden/>
    <w:rsid w:val="004619D3"/>
    <w:rPr>
      <w:rFonts w:ascii="Gill Sans" w:hAnsi="Gill Sans"/>
    </w:rPr>
  </w:style>
  <w:style w:type="paragraph" w:customStyle="1" w:styleId="En-ttepaireetimpaire">
    <w:name w:val="En-tête paire et impaire"/>
    <w:basedOn w:val="En-tte"/>
    <w:link w:val="En-ttepaireetimpaireCar"/>
    <w:qFormat/>
    <w:rsid w:val="00BE0C62"/>
    <w:pPr>
      <w:pBdr>
        <w:bottom w:val="single" w:sz="4" w:space="1" w:color="auto"/>
      </w:pBdr>
      <w:spacing w:line="240" w:lineRule="auto"/>
    </w:pPr>
    <w:rPr>
      <w:b/>
      <w:iCs/>
      <w:sz w:val="14"/>
      <w:szCs w:val="14"/>
    </w:rPr>
  </w:style>
  <w:style w:type="character" w:customStyle="1" w:styleId="Mentionnonrsolue1">
    <w:name w:val="Mention non résolue1"/>
    <w:basedOn w:val="Policepardfaut"/>
    <w:uiPriority w:val="99"/>
    <w:semiHidden/>
    <w:unhideWhenUsed/>
    <w:rsid w:val="00CE34A0"/>
    <w:rPr>
      <w:color w:val="605E5C"/>
      <w:shd w:val="clear" w:color="auto" w:fill="E1DFDD"/>
    </w:rPr>
  </w:style>
  <w:style w:type="paragraph" w:styleId="Listepuces">
    <w:name w:val="List Bullet"/>
    <w:basedOn w:val="Normal"/>
    <w:uiPriority w:val="99"/>
    <w:unhideWhenUsed/>
    <w:rsid w:val="001E6CB1"/>
    <w:pPr>
      <w:numPr>
        <w:numId w:val="1"/>
      </w:numPr>
      <w:tabs>
        <w:tab w:val="left" w:pos="709"/>
      </w:tabs>
      <w:spacing w:after="120" w:line="240" w:lineRule="auto"/>
      <w:ind w:left="357" w:hanging="357"/>
    </w:pPr>
  </w:style>
  <w:style w:type="character" w:styleId="Mentionnonrsolue">
    <w:name w:val="Unresolved Mention"/>
    <w:basedOn w:val="Policepardfaut"/>
    <w:uiPriority w:val="99"/>
    <w:semiHidden/>
    <w:unhideWhenUsed/>
    <w:rsid w:val="004501B1"/>
    <w:rPr>
      <w:color w:val="605E5C"/>
      <w:shd w:val="clear" w:color="auto" w:fill="E1DFDD"/>
    </w:rPr>
  </w:style>
  <w:style w:type="table" w:styleId="Grilledutableau">
    <w:name w:val="Table Grid"/>
    <w:basedOn w:val="TableauNormal"/>
    <w:uiPriority w:val="59"/>
    <w:rsid w:val="00EC45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paireetimpaireCar">
    <w:name w:val="En-tête paire et impaire Car"/>
    <w:basedOn w:val="En-tteCar"/>
    <w:link w:val="En-ttepaireetimpaire"/>
    <w:rsid w:val="00BE0C62"/>
    <w:rPr>
      <w:rFonts w:ascii="Arial" w:hAnsi="Arial"/>
      <w:b/>
      <w:iCs/>
      <w:sz w:val="14"/>
      <w:szCs w:val="14"/>
    </w:rPr>
  </w:style>
  <w:style w:type="paragraph" w:customStyle="1" w:styleId="Paragraphe">
    <w:name w:val="Paragraphe"/>
    <w:next w:val="Corpsdetexte"/>
    <w:link w:val="ParagrapheCar"/>
    <w:qFormat/>
    <w:rsid w:val="00E46945"/>
    <w:pPr>
      <w:shd w:val="clear" w:color="auto" w:fill="FFFFFF"/>
      <w:spacing w:before="240" w:after="240" w:line="360" w:lineRule="auto"/>
    </w:pPr>
    <w:rPr>
      <w:rFonts w:ascii="Arial" w:hAnsi="Arial" w:cs="Open Sans"/>
      <w:color w:val="000000"/>
      <w:sz w:val="22"/>
      <w:szCs w:val="21"/>
      <w:lang w:val="en-CA"/>
    </w:rPr>
  </w:style>
  <w:style w:type="character" w:customStyle="1" w:styleId="ParagrapheCar">
    <w:name w:val="Paragraphe Car"/>
    <w:basedOn w:val="Policepardfaut"/>
    <w:link w:val="Paragraphe"/>
    <w:rsid w:val="00E46945"/>
    <w:rPr>
      <w:rFonts w:ascii="Arial" w:hAnsi="Arial" w:cs="Open Sans"/>
      <w:color w:val="000000"/>
      <w:sz w:val="22"/>
      <w:szCs w:val="21"/>
      <w:shd w:val="clear" w:color="auto" w:fill="FFFFFF"/>
      <w:lang w:val="en-CA"/>
    </w:rPr>
  </w:style>
  <w:style w:type="paragraph" w:customStyle="1" w:styleId="Nbp">
    <w:name w:val="Nbp"/>
    <w:basedOn w:val="Notedebasdepage"/>
    <w:link w:val="NbpCar"/>
    <w:rsid w:val="006B1BA9"/>
  </w:style>
  <w:style w:type="character" w:customStyle="1" w:styleId="NbpCar">
    <w:name w:val="Nbp Car"/>
    <w:basedOn w:val="NotedebasdepageCar"/>
    <w:link w:val="Nbp"/>
    <w:rsid w:val="006B1BA9"/>
    <w:rPr>
      <w:rFonts w:ascii="Arial" w:hAnsi="Arial"/>
      <w:sz w:val="18"/>
      <w:szCs w:val="24"/>
      <w:lang w:val="fr-FR"/>
    </w:rPr>
  </w:style>
  <w:style w:type="paragraph" w:styleId="Pieddepage">
    <w:name w:val="footer"/>
    <w:basedOn w:val="Normal"/>
    <w:link w:val="PieddepageCar"/>
    <w:uiPriority w:val="99"/>
    <w:unhideWhenUsed/>
    <w:rsid w:val="00FA2BB7"/>
    <w:pPr>
      <w:tabs>
        <w:tab w:val="center" w:pos="4320"/>
        <w:tab w:val="right" w:pos="8640"/>
      </w:tabs>
      <w:spacing w:line="240" w:lineRule="auto"/>
    </w:pPr>
  </w:style>
  <w:style w:type="character" w:customStyle="1" w:styleId="PieddepageCar">
    <w:name w:val="Pied de page Car"/>
    <w:basedOn w:val="Policepardfaut"/>
    <w:link w:val="Pieddepage"/>
    <w:uiPriority w:val="99"/>
    <w:rsid w:val="00FA2BB7"/>
    <w:rPr>
      <w:rFonts w:ascii="Arial" w:hAnsi="Arial"/>
      <w:sz w:val="22"/>
      <w:szCs w:val="24"/>
    </w:rPr>
  </w:style>
  <w:style w:type="paragraph" w:styleId="Paragraphedeliste">
    <w:name w:val="List Paragraph"/>
    <w:basedOn w:val="Normal"/>
    <w:uiPriority w:val="34"/>
    <w:rsid w:val="00164B82"/>
    <w:pPr>
      <w:ind w:left="720"/>
      <w:contextualSpacing/>
    </w:pPr>
  </w:style>
  <w:style w:type="paragraph" w:customStyle="1" w:styleId="NDBP">
    <w:name w:val="NDBP"/>
    <w:basedOn w:val="Notedebasdepage"/>
    <w:link w:val="NDBPCar"/>
    <w:autoRedefine/>
    <w:rsid w:val="009977D9"/>
    <w:pPr>
      <w:tabs>
        <w:tab w:val="left" w:pos="567"/>
      </w:tabs>
      <w:ind w:left="567" w:hanging="567"/>
    </w:pPr>
    <w:rPr>
      <w:szCs w:val="18"/>
    </w:rPr>
  </w:style>
  <w:style w:type="paragraph" w:customStyle="1" w:styleId="NoteBasPage">
    <w:name w:val="Note Bas Page"/>
    <w:link w:val="NoteBasPageCar"/>
    <w:autoRedefine/>
    <w:rsid w:val="00AC33C8"/>
    <w:pPr>
      <w:tabs>
        <w:tab w:val="left" w:pos="709"/>
      </w:tabs>
      <w:spacing w:after="120"/>
      <w:ind w:left="709" w:hanging="709"/>
    </w:pPr>
    <w:rPr>
      <w:rFonts w:ascii="Arial" w:hAnsi="Arial" w:cs="Arial"/>
      <w:sz w:val="18"/>
      <w:szCs w:val="18"/>
    </w:rPr>
  </w:style>
  <w:style w:type="character" w:customStyle="1" w:styleId="NoteBasPageCar">
    <w:name w:val="Note Bas Page Car"/>
    <w:basedOn w:val="Policepardfaut"/>
    <w:link w:val="NoteBasPage"/>
    <w:rsid w:val="003D0A4D"/>
    <w:rPr>
      <w:rFonts w:ascii="Arial" w:hAnsi="Arial" w:cs="Arial"/>
      <w:sz w:val="18"/>
      <w:szCs w:val="18"/>
    </w:rPr>
  </w:style>
  <w:style w:type="character" w:customStyle="1" w:styleId="ui-provider">
    <w:name w:val="ui-provider"/>
    <w:basedOn w:val="Policepardfaut"/>
    <w:rsid w:val="00B82B14"/>
  </w:style>
  <w:style w:type="paragraph" w:customStyle="1" w:styleId="NotesBasPage">
    <w:name w:val="Notes Bas Page"/>
    <w:link w:val="NotesBasPageCar"/>
    <w:autoRedefine/>
    <w:rsid w:val="00EE654A"/>
    <w:pPr>
      <w:tabs>
        <w:tab w:val="left" w:pos="720"/>
      </w:tabs>
      <w:spacing w:after="120"/>
      <w:ind w:left="720" w:hanging="720"/>
    </w:pPr>
    <w:rPr>
      <w:rFonts w:ascii="Arial" w:hAnsi="Arial"/>
      <w:sz w:val="18"/>
      <w:szCs w:val="22"/>
    </w:rPr>
  </w:style>
  <w:style w:type="character" w:customStyle="1" w:styleId="NotesBasPageCar">
    <w:name w:val="Notes Bas Page Car"/>
    <w:basedOn w:val="Policepardfaut"/>
    <w:link w:val="NotesBasPage"/>
    <w:rsid w:val="00EE654A"/>
    <w:rPr>
      <w:rFonts w:ascii="Arial" w:hAnsi="Arial"/>
      <w:sz w:val="18"/>
      <w:szCs w:val="22"/>
    </w:rPr>
  </w:style>
  <w:style w:type="character" w:customStyle="1" w:styleId="solexhl">
    <w:name w:val="solexhl"/>
    <w:basedOn w:val="Policepardfaut"/>
    <w:rsid w:val="00D57FB4"/>
  </w:style>
  <w:style w:type="character" w:customStyle="1" w:styleId="normaltextrun">
    <w:name w:val="normaltextrun"/>
    <w:basedOn w:val="Policepardfaut"/>
    <w:rsid w:val="00495290"/>
  </w:style>
  <w:style w:type="character" w:customStyle="1" w:styleId="eop">
    <w:name w:val="eop"/>
    <w:basedOn w:val="Policepardfaut"/>
    <w:rsid w:val="00495290"/>
  </w:style>
  <w:style w:type="paragraph" w:styleId="NormalWeb">
    <w:name w:val="Normal (Web)"/>
    <w:basedOn w:val="Normal"/>
    <w:uiPriority w:val="99"/>
    <w:unhideWhenUsed/>
    <w:rsid w:val="00495290"/>
    <w:pPr>
      <w:spacing w:before="100" w:beforeAutospacing="1" w:after="100" w:afterAutospacing="1" w:line="240" w:lineRule="auto"/>
      <w:jc w:val="left"/>
    </w:pPr>
    <w:rPr>
      <w:rFonts w:ascii="Times New Roman" w:hAnsi="Times New Roman"/>
      <w:sz w:val="24"/>
    </w:rPr>
  </w:style>
  <w:style w:type="character" w:customStyle="1" w:styleId="c39">
    <w:name w:val="c39"/>
    <w:basedOn w:val="Policepardfaut"/>
    <w:rsid w:val="00495290"/>
  </w:style>
  <w:style w:type="character" w:styleId="Mention">
    <w:name w:val="Mention"/>
    <w:basedOn w:val="Policepardfaut"/>
    <w:uiPriority w:val="99"/>
    <w:unhideWhenUsed/>
    <w:rsid w:val="00002783"/>
    <w:rPr>
      <w:color w:val="2B579A"/>
      <w:shd w:val="clear" w:color="auto" w:fill="E1DFDD"/>
    </w:rPr>
  </w:style>
  <w:style w:type="table" w:styleId="TableauGrille5Fonc">
    <w:name w:val="Grid Table 5 Dark"/>
    <w:basedOn w:val="TableauNormal"/>
    <w:uiPriority w:val="50"/>
    <w:rsid w:val="009B42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Liste2">
    <w:name w:val="List Table 2"/>
    <w:basedOn w:val="TableauNormal"/>
    <w:uiPriority w:val="47"/>
    <w:rsid w:val="00F969E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Policepardfaut"/>
    <w:rsid w:val="00F752F4"/>
    <w:rPr>
      <w:rFonts w:ascii="Segoe UI" w:hAnsi="Segoe UI" w:cs="Segoe UI" w:hint="default"/>
      <w:sz w:val="18"/>
      <w:szCs w:val="18"/>
    </w:rPr>
  </w:style>
  <w:style w:type="paragraph" w:styleId="TM2">
    <w:name w:val="toc 2"/>
    <w:basedOn w:val="Normal"/>
    <w:next w:val="Normal"/>
    <w:autoRedefine/>
    <w:uiPriority w:val="39"/>
    <w:unhideWhenUsed/>
    <w:rsid w:val="001E26FD"/>
    <w:pPr>
      <w:tabs>
        <w:tab w:val="left" w:pos="426"/>
        <w:tab w:val="right" w:leader="dot" w:pos="9356"/>
      </w:tabs>
      <w:spacing w:line="240" w:lineRule="auto"/>
      <w:ind w:left="426" w:hanging="426"/>
      <w:jc w:val="left"/>
    </w:pPr>
    <w:rPr>
      <w:rFonts w:eastAsia="Calibri"/>
      <w:b/>
      <w:bCs/>
      <w:noProof/>
      <w:lang w:eastAsia="en-US"/>
    </w:rPr>
  </w:style>
  <w:style w:type="paragraph" w:styleId="TM5">
    <w:name w:val="toc 5"/>
    <w:basedOn w:val="Normal"/>
    <w:next w:val="Normal"/>
    <w:autoRedefine/>
    <w:uiPriority w:val="39"/>
    <w:unhideWhenUsed/>
    <w:rsid w:val="00090159"/>
    <w:pPr>
      <w:tabs>
        <w:tab w:val="left" w:pos="1701"/>
        <w:tab w:val="right" w:leader="dot" w:pos="9350"/>
      </w:tabs>
      <w:spacing w:line="240" w:lineRule="auto"/>
      <w:ind w:left="1701" w:hanging="425"/>
      <w:jc w:val="left"/>
    </w:pPr>
  </w:style>
  <w:style w:type="paragraph" w:customStyle="1" w:styleId="Default">
    <w:name w:val="Default"/>
    <w:rsid w:val="00610908"/>
    <w:pPr>
      <w:autoSpaceDE w:val="0"/>
      <w:autoSpaceDN w:val="0"/>
      <w:adjustRightInd w:val="0"/>
    </w:pPr>
    <w:rPr>
      <w:rFonts w:ascii="Arial" w:hAnsi="Arial" w:cs="Arial"/>
      <w:color w:val="000000"/>
      <w:sz w:val="24"/>
      <w:szCs w:val="24"/>
    </w:rPr>
  </w:style>
  <w:style w:type="character" w:styleId="Accentuation">
    <w:name w:val="Emphasis"/>
    <w:basedOn w:val="Policepardfaut"/>
    <w:uiPriority w:val="20"/>
    <w:qFormat/>
    <w:rsid w:val="004F3BE2"/>
    <w:rPr>
      <w:i/>
      <w:iCs/>
    </w:rPr>
  </w:style>
  <w:style w:type="character" w:customStyle="1" w:styleId="cit-auth">
    <w:name w:val="cit-auth"/>
    <w:basedOn w:val="Policepardfaut"/>
    <w:rsid w:val="00AF65CE"/>
  </w:style>
  <w:style w:type="character" w:customStyle="1" w:styleId="cit-name-surname">
    <w:name w:val="cit-name-surname"/>
    <w:basedOn w:val="Policepardfaut"/>
    <w:rsid w:val="00AF65CE"/>
  </w:style>
  <w:style w:type="character" w:customStyle="1" w:styleId="cit-name-given-names">
    <w:name w:val="cit-name-given-names"/>
    <w:basedOn w:val="Policepardfaut"/>
    <w:rsid w:val="00AF65CE"/>
  </w:style>
  <w:style w:type="character" w:customStyle="1" w:styleId="cit-etal">
    <w:name w:val="cit-etal"/>
    <w:basedOn w:val="Policepardfaut"/>
    <w:rsid w:val="00AF65CE"/>
  </w:style>
  <w:style w:type="character" w:customStyle="1" w:styleId="cit-article-title">
    <w:name w:val="cit-article-title"/>
    <w:basedOn w:val="Policepardfaut"/>
    <w:rsid w:val="00AF65CE"/>
  </w:style>
  <w:style w:type="character" w:customStyle="1" w:styleId="cit-pub-date">
    <w:name w:val="cit-pub-date"/>
    <w:basedOn w:val="Policepardfaut"/>
    <w:rsid w:val="00AF65CE"/>
  </w:style>
  <w:style w:type="character" w:customStyle="1" w:styleId="cit-vol">
    <w:name w:val="cit-vol"/>
    <w:basedOn w:val="Policepardfaut"/>
    <w:rsid w:val="00AF65CE"/>
  </w:style>
  <w:style w:type="character" w:customStyle="1" w:styleId="cit-fpage">
    <w:name w:val="cit-fpage"/>
    <w:basedOn w:val="Policepardfaut"/>
    <w:rsid w:val="00AF65CE"/>
  </w:style>
  <w:style w:type="character" w:customStyle="1" w:styleId="cit-lpage">
    <w:name w:val="cit-lpage"/>
    <w:basedOn w:val="Policepardfaut"/>
    <w:rsid w:val="00AF65CE"/>
  </w:style>
  <w:style w:type="character" w:customStyle="1" w:styleId="NDBPCar">
    <w:name w:val="NDBP Car"/>
    <w:basedOn w:val="NotedebasdepageCar"/>
    <w:link w:val="NDBP"/>
    <w:rsid w:val="009977D9"/>
    <w:rPr>
      <w:rFonts w:ascii="Arial" w:hAnsi="Arial"/>
      <w:sz w:val="18"/>
      <w:szCs w:val="18"/>
      <w:lang w:val="fr-FR"/>
    </w:rPr>
  </w:style>
  <w:style w:type="table" w:styleId="TableauGrille4-Accentuation1">
    <w:name w:val="Grid Table 4 Accent 1"/>
    <w:basedOn w:val="TableauNormal"/>
    <w:uiPriority w:val="49"/>
    <w:rsid w:val="000D2896"/>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wacimagecontainer">
    <w:name w:val="wacimagecontainer"/>
    <w:basedOn w:val="Policepardfaut"/>
    <w:rsid w:val="004E0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694">
      <w:bodyDiv w:val="1"/>
      <w:marLeft w:val="0"/>
      <w:marRight w:val="0"/>
      <w:marTop w:val="0"/>
      <w:marBottom w:val="0"/>
      <w:divBdr>
        <w:top w:val="none" w:sz="0" w:space="0" w:color="auto"/>
        <w:left w:val="none" w:sz="0" w:space="0" w:color="auto"/>
        <w:bottom w:val="none" w:sz="0" w:space="0" w:color="auto"/>
        <w:right w:val="none" w:sz="0" w:space="0" w:color="auto"/>
      </w:divBdr>
    </w:div>
    <w:div w:id="9375351">
      <w:bodyDiv w:val="1"/>
      <w:marLeft w:val="0"/>
      <w:marRight w:val="0"/>
      <w:marTop w:val="0"/>
      <w:marBottom w:val="0"/>
      <w:divBdr>
        <w:top w:val="none" w:sz="0" w:space="0" w:color="auto"/>
        <w:left w:val="none" w:sz="0" w:space="0" w:color="auto"/>
        <w:bottom w:val="none" w:sz="0" w:space="0" w:color="auto"/>
        <w:right w:val="none" w:sz="0" w:space="0" w:color="auto"/>
      </w:divBdr>
    </w:div>
    <w:div w:id="30611567">
      <w:bodyDiv w:val="1"/>
      <w:marLeft w:val="0"/>
      <w:marRight w:val="0"/>
      <w:marTop w:val="0"/>
      <w:marBottom w:val="0"/>
      <w:divBdr>
        <w:top w:val="none" w:sz="0" w:space="0" w:color="auto"/>
        <w:left w:val="none" w:sz="0" w:space="0" w:color="auto"/>
        <w:bottom w:val="none" w:sz="0" w:space="0" w:color="auto"/>
        <w:right w:val="none" w:sz="0" w:space="0" w:color="auto"/>
      </w:divBdr>
    </w:div>
    <w:div w:id="33316098">
      <w:bodyDiv w:val="1"/>
      <w:marLeft w:val="0"/>
      <w:marRight w:val="0"/>
      <w:marTop w:val="0"/>
      <w:marBottom w:val="0"/>
      <w:divBdr>
        <w:top w:val="none" w:sz="0" w:space="0" w:color="auto"/>
        <w:left w:val="none" w:sz="0" w:space="0" w:color="auto"/>
        <w:bottom w:val="none" w:sz="0" w:space="0" w:color="auto"/>
        <w:right w:val="none" w:sz="0" w:space="0" w:color="auto"/>
      </w:divBdr>
    </w:div>
    <w:div w:id="38012621">
      <w:bodyDiv w:val="1"/>
      <w:marLeft w:val="0"/>
      <w:marRight w:val="0"/>
      <w:marTop w:val="0"/>
      <w:marBottom w:val="0"/>
      <w:divBdr>
        <w:top w:val="none" w:sz="0" w:space="0" w:color="auto"/>
        <w:left w:val="none" w:sz="0" w:space="0" w:color="auto"/>
        <w:bottom w:val="none" w:sz="0" w:space="0" w:color="auto"/>
        <w:right w:val="none" w:sz="0" w:space="0" w:color="auto"/>
      </w:divBdr>
      <w:divsChild>
        <w:div w:id="2100827077">
          <w:marLeft w:val="0"/>
          <w:marRight w:val="0"/>
          <w:marTop w:val="0"/>
          <w:marBottom w:val="0"/>
          <w:divBdr>
            <w:top w:val="none" w:sz="0" w:space="0" w:color="auto"/>
            <w:left w:val="none" w:sz="0" w:space="0" w:color="auto"/>
            <w:bottom w:val="none" w:sz="0" w:space="0" w:color="auto"/>
            <w:right w:val="none" w:sz="0" w:space="0" w:color="auto"/>
          </w:divBdr>
          <w:divsChild>
            <w:div w:id="1707414883">
              <w:marLeft w:val="0"/>
              <w:marRight w:val="0"/>
              <w:marTop w:val="0"/>
              <w:marBottom w:val="0"/>
              <w:divBdr>
                <w:top w:val="none" w:sz="0" w:space="0" w:color="auto"/>
                <w:left w:val="none" w:sz="0" w:space="0" w:color="auto"/>
                <w:bottom w:val="none" w:sz="0" w:space="0" w:color="auto"/>
                <w:right w:val="none" w:sz="0" w:space="0" w:color="auto"/>
              </w:divBdr>
              <w:divsChild>
                <w:div w:id="128520216">
                  <w:marLeft w:val="0"/>
                  <w:marRight w:val="0"/>
                  <w:marTop w:val="0"/>
                  <w:marBottom w:val="0"/>
                  <w:divBdr>
                    <w:top w:val="none" w:sz="0" w:space="0" w:color="auto"/>
                    <w:left w:val="none" w:sz="0" w:space="0" w:color="auto"/>
                    <w:bottom w:val="none" w:sz="0" w:space="0" w:color="auto"/>
                    <w:right w:val="none" w:sz="0" w:space="0" w:color="auto"/>
                  </w:divBdr>
                  <w:divsChild>
                    <w:div w:id="1791240365">
                      <w:marLeft w:val="0"/>
                      <w:marRight w:val="0"/>
                      <w:marTop w:val="0"/>
                      <w:marBottom w:val="0"/>
                      <w:divBdr>
                        <w:top w:val="none" w:sz="0" w:space="0" w:color="auto"/>
                        <w:left w:val="none" w:sz="0" w:space="0" w:color="auto"/>
                        <w:bottom w:val="none" w:sz="0" w:space="0" w:color="auto"/>
                        <w:right w:val="none" w:sz="0" w:space="0" w:color="auto"/>
                      </w:divBdr>
                      <w:divsChild>
                        <w:div w:id="1142578028">
                          <w:marLeft w:val="0"/>
                          <w:marRight w:val="0"/>
                          <w:marTop w:val="0"/>
                          <w:marBottom w:val="0"/>
                          <w:divBdr>
                            <w:top w:val="none" w:sz="0" w:space="0" w:color="auto"/>
                            <w:left w:val="none" w:sz="0" w:space="0" w:color="auto"/>
                            <w:bottom w:val="none" w:sz="0" w:space="0" w:color="auto"/>
                            <w:right w:val="none" w:sz="0" w:space="0" w:color="auto"/>
                          </w:divBdr>
                          <w:divsChild>
                            <w:div w:id="1048533253">
                              <w:marLeft w:val="0"/>
                              <w:marRight w:val="0"/>
                              <w:marTop w:val="0"/>
                              <w:marBottom w:val="0"/>
                              <w:divBdr>
                                <w:top w:val="none" w:sz="0" w:space="0" w:color="auto"/>
                                <w:left w:val="none" w:sz="0" w:space="0" w:color="auto"/>
                                <w:bottom w:val="none" w:sz="0" w:space="0" w:color="auto"/>
                                <w:right w:val="none" w:sz="0" w:space="0" w:color="auto"/>
                              </w:divBdr>
                              <w:divsChild>
                                <w:div w:id="1873806865">
                                  <w:marLeft w:val="0"/>
                                  <w:marRight w:val="0"/>
                                  <w:marTop w:val="0"/>
                                  <w:marBottom w:val="0"/>
                                  <w:divBdr>
                                    <w:top w:val="none" w:sz="0" w:space="0" w:color="auto"/>
                                    <w:left w:val="none" w:sz="0" w:space="0" w:color="auto"/>
                                    <w:bottom w:val="none" w:sz="0" w:space="0" w:color="auto"/>
                                    <w:right w:val="none" w:sz="0" w:space="0" w:color="auto"/>
                                  </w:divBdr>
                                  <w:divsChild>
                                    <w:div w:id="443502707">
                                      <w:marLeft w:val="0"/>
                                      <w:marRight w:val="0"/>
                                      <w:marTop w:val="219"/>
                                      <w:marBottom w:val="0"/>
                                      <w:divBdr>
                                        <w:top w:val="none" w:sz="0" w:space="0" w:color="auto"/>
                                        <w:left w:val="none" w:sz="0" w:space="0" w:color="auto"/>
                                        <w:bottom w:val="none" w:sz="0" w:space="0" w:color="auto"/>
                                        <w:right w:val="none" w:sz="0" w:space="0" w:color="auto"/>
                                      </w:divBdr>
                                      <w:divsChild>
                                        <w:div w:id="827983798">
                                          <w:marLeft w:val="0"/>
                                          <w:marRight w:val="0"/>
                                          <w:marTop w:val="260"/>
                                          <w:marBottom w:val="240"/>
                                          <w:divBdr>
                                            <w:top w:val="none" w:sz="0" w:space="0" w:color="auto"/>
                                            <w:left w:val="none" w:sz="0" w:space="0" w:color="auto"/>
                                            <w:bottom w:val="none" w:sz="0" w:space="0" w:color="auto"/>
                                            <w:right w:val="none" w:sz="0" w:space="0" w:color="auto"/>
                                          </w:divBdr>
                                        </w:div>
                                        <w:div w:id="1510094926">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6503">
      <w:bodyDiv w:val="1"/>
      <w:marLeft w:val="0"/>
      <w:marRight w:val="0"/>
      <w:marTop w:val="0"/>
      <w:marBottom w:val="0"/>
      <w:divBdr>
        <w:top w:val="none" w:sz="0" w:space="0" w:color="auto"/>
        <w:left w:val="none" w:sz="0" w:space="0" w:color="auto"/>
        <w:bottom w:val="none" w:sz="0" w:space="0" w:color="auto"/>
        <w:right w:val="none" w:sz="0" w:space="0" w:color="auto"/>
      </w:divBdr>
    </w:div>
    <w:div w:id="77673629">
      <w:bodyDiv w:val="1"/>
      <w:marLeft w:val="0"/>
      <w:marRight w:val="0"/>
      <w:marTop w:val="0"/>
      <w:marBottom w:val="0"/>
      <w:divBdr>
        <w:top w:val="none" w:sz="0" w:space="0" w:color="auto"/>
        <w:left w:val="none" w:sz="0" w:space="0" w:color="auto"/>
        <w:bottom w:val="none" w:sz="0" w:space="0" w:color="auto"/>
        <w:right w:val="none" w:sz="0" w:space="0" w:color="auto"/>
      </w:divBdr>
    </w:div>
    <w:div w:id="99179827">
      <w:bodyDiv w:val="1"/>
      <w:marLeft w:val="0"/>
      <w:marRight w:val="0"/>
      <w:marTop w:val="0"/>
      <w:marBottom w:val="0"/>
      <w:divBdr>
        <w:top w:val="none" w:sz="0" w:space="0" w:color="auto"/>
        <w:left w:val="none" w:sz="0" w:space="0" w:color="auto"/>
        <w:bottom w:val="none" w:sz="0" w:space="0" w:color="auto"/>
        <w:right w:val="none" w:sz="0" w:space="0" w:color="auto"/>
      </w:divBdr>
    </w:div>
    <w:div w:id="116267727">
      <w:bodyDiv w:val="1"/>
      <w:marLeft w:val="0"/>
      <w:marRight w:val="0"/>
      <w:marTop w:val="0"/>
      <w:marBottom w:val="0"/>
      <w:divBdr>
        <w:top w:val="none" w:sz="0" w:space="0" w:color="auto"/>
        <w:left w:val="none" w:sz="0" w:space="0" w:color="auto"/>
        <w:bottom w:val="none" w:sz="0" w:space="0" w:color="auto"/>
        <w:right w:val="none" w:sz="0" w:space="0" w:color="auto"/>
      </w:divBdr>
    </w:div>
    <w:div w:id="116607092">
      <w:bodyDiv w:val="1"/>
      <w:marLeft w:val="0"/>
      <w:marRight w:val="0"/>
      <w:marTop w:val="0"/>
      <w:marBottom w:val="0"/>
      <w:divBdr>
        <w:top w:val="none" w:sz="0" w:space="0" w:color="auto"/>
        <w:left w:val="none" w:sz="0" w:space="0" w:color="auto"/>
        <w:bottom w:val="none" w:sz="0" w:space="0" w:color="auto"/>
        <w:right w:val="none" w:sz="0" w:space="0" w:color="auto"/>
      </w:divBdr>
      <w:divsChild>
        <w:div w:id="540748359">
          <w:marLeft w:val="0"/>
          <w:marRight w:val="0"/>
          <w:marTop w:val="0"/>
          <w:marBottom w:val="0"/>
          <w:divBdr>
            <w:top w:val="none" w:sz="0" w:space="0" w:color="auto"/>
            <w:left w:val="none" w:sz="0" w:space="0" w:color="auto"/>
            <w:bottom w:val="none" w:sz="0" w:space="0" w:color="auto"/>
            <w:right w:val="none" w:sz="0" w:space="0" w:color="auto"/>
          </w:divBdr>
          <w:divsChild>
            <w:div w:id="459616524">
              <w:marLeft w:val="0"/>
              <w:marRight w:val="0"/>
              <w:marTop w:val="0"/>
              <w:marBottom w:val="0"/>
              <w:divBdr>
                <w:top w:val="single" w:sz="12" w:space="0" w:color="000000"/>
                <w:left w:val="none" w:sz="0" w:space="0" w:color="auto"/>
                <w:bottom w:val="none" w:sz="0" w:space="0" w:color="auto"/>
                <w:right w:val="none" w:sz="0" w:space="0" w:color="auto"/>
              </w:divBdr>
              <w:divsChild>
                <w:div w:id="407844268">
                  <w:marLeft w:val="0"/>
                  <w:marRight w:val="0"/>
                  <w:marTop w:val="0"/>
                  <w:marBottom w:val="0"/>
                  <w:divBdr>
                    <w:top w:val="none" w:sz="0" w:space="0" w:color="auto"/>
                    <w:left w:val="none" w:sz="0" w:space="0" w:color="auto"/>
                    <w:bottom w:val="none" w:sz="0" w:space="0" w:color="auto"/>
                    <w:right w:val="none" w:sz="0" w:space="0" w:color="auto"/>
                  </w:divBdr>
                  <w:divsChild>
                    <w:div w:id="1047533844">
                      <w:marLeft w:val="0"/>
                      <w:marRight w:val="0"/>
                      <w:marTop w:val="0"/>
                      <w:marBottom w:val="0"/>
                      <w:divBdr>
                        <w:top w:val="none" w:sz="0" w:space="0" w:color="auto"/>
                        <w:left w:val="none" w:sz="0" w:space="0" w:color="auto"/>
                        <w:bottom w:val="none" w:sz="0" w:space="0" w:color="auto"/>
                        <w:right w:val="none" w:sz="0" w:space="0" w:color="auto"/>
                      </w:divBdr>
                      <w:divsChild>
                        <w:div w:id="457801078">
                          <w:marLeft w:val="450"/>
                          <w:marRight w:val="0"/>
                          <w:marTop w:val="0"/>
                          <w:marBottom w:val="0"/>
                          <w:divBdr>
                            <w:top w:val="none" w:sz="0" w:space="0" w:color="auto"/>
                            <w:left w:val="none" w:sz="0" w:space="0" w:color="auto"/>
                            <w:bottom w:val="none" w:sz="0" w:space="0" w:color="auto"/>
                            <w:right w:val="none" w:sz="0" w:space="0" w:color="auto"/>
                          </w:divBdr>
                        </w:div>
                        <w:div w:id="11683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2565">
      <w:bodyDiv w:val="1"/>
      <w:marLeft w:val="0"/>
      <w:marRight w:val="0"/>
      <w:marTop w:val="0"/>
      <w:marBottom w:val="0"/>
      <w:divBdr>
        <w:top w:val="none" w:sz="0" w:space="0" w:color="auto"/>
        <w:left w:val="none" w:sz="0" w:space="0" w:color="auto"/>
        <w:bottom w:val="none" w:sz="0" w:space="0" w:color="auto"/>
        <w:right w:val="none" w:sz="0" w:space="0" w:color="auto"/>
      </w:divBdr>
    </w:div>
    <w:div w:id="217282067">
      <w:bodyDiv w:val="1"/>
      <w:marLeft w:val="0"/>
      <w:marRight w:val="0"/>
      <w:marTop w:val="0"/>
      <w:marBottom w:val="0"/>
      <w:divBdr>
        <w:top w:val="none" w:sz="0" w:space="0" w:color="auto"/>
        <w:left w:val="none" w:sz="0" w:space="0" w:color="auto"/>
        <w:bottom w:val="none" w:sz="0" w:space="0" w:color="auto"/>
        <w:right w:val="none" w:sz="0" w:space="0" w:color="auto"/>
      </w:divBdr>
    </w:div>
    <w:div w:id="222496704">
      <w:bodyDiv w:val="1"/>
      <w:marLeft w:val="0"/>
      <w:marRight w:val="0"/>
      <w:marTop w:val="0"/>
      <w:marBottom w:val="0"/>
      <w:divBdr>
        <w:top w:val="none" w:sz="0" w:space="0" w:color="auto"/>
        <w:left w:val="none" w:sz="0" w:space="0" w:color="auto"/>
        <w:bottom w:val="none" w:sz="0" w:space="0" w:color="auto"/>
        <w:right w:val="none" w:sz="0" w:space="0" w:color="auto"/>
      </w:divBdr>
      <w:divsChild>
        <w:div w:id="211307629">
          <w:marLeft w:val="0"/>
          <w:marRight w:val="0"/>
          <w:marTop w:val="0"/>
          <w:marBottom w:val="0"/>
          <w:divBdr>
            <w:top w:val="none" w:sz="0" w:space="0" w:color="auto"/>
            <w:left w:val="none" w:sz="0" w:space="0" w:color="auto"/>
            <w:bottom w:val="none" w:sz="0" w:space="0" w:color="auto"/>
            <w:right w:val="none" w:sz="0" w:space="0" w:color="auto"/>
          </w:divBdr>
          <w:divsChild>
            <w:div w:id="714623075">
              <w:marLeft w:val="0"/>
              <w:marRight w:val="0"/>
              <w:marTop w:val="0"/>
              <w:marBottom w:val="0"/>
              <w:divBdr>
                <w:top w:val="none" w:sz="0" w:space="0" w:color="auto"/>
                <w:left w:val="none" w:sz="0" w:space="0" w:color="auto"/>
                <w:bottom w:val="none" w:sz="0" w:space="0" w:color="auto"/>
                <w:right w:val="none" w:sz="0" w:space="0" w:color="auto"/>
              </w:divBdr>
              <w:divsChild>
                <w:div w:id="1231767458">
                  <w:marLeft w:val="0"/>
                  <w:marRight w:val="0"/>
                  <w:marTop w:val="0"/>
                  <w:marBottom w:val="0"/>
                  <w:divBdr>
                    <w:top w:val="none" w:sz="0" w:space="0" w:color="auto"/>
                    <w:left w:val="none" w:sz="0" w:space="0" w:color="auto"/>
                    <w:bottom w:val="none" w:sz="0" w:space="0" w:color="auto"/>
                    <w:right w:val="none" w:sz="0" w:space="0" w:color="auto"/>
                  </w:divBdr>
                  <w:divsChild>
                    <w:div w:id="1511796077">
                      <w:marLeft w:val="0"/>
                      <w:marRight w:val="0"/>
                      <w:marTop w:val="0"/>
                      <w:marBottom w:val="0"/>
                      <w:divBdr>
                        <w:top w:val="none" w:sz="0" w:space="0" w:color="auto"/>
                        <w:left w:val="none" w:sz="0" w:space="0" w:color="auto"/>
                        <w:bottom w:val="none" w:sz="0" w:space="0" w:color="auto"/>
                        <w:right w:val="none" w:sz="0" w:space="0" w:color="auto"/>
                      </w:divBdr>
                      <w:divsChild>
                        <w:div w:id="1159468733">
                          <w:marLeft w:val="0"/>
                          <w:marRight w:val="0"/>
                          <w:marTop w:val="0"/>
                          <w:marBottom w:val="0"/>
                          <w:divBdr>
                            <w:top w:val="none" w:sz="0" w:space="0" w:color="auto"/>
                            <w:left w:val="none" w:sz="0" w:space="0" w:color="auto"/>
                            <w:bottom w:val="none" w:sz="0" w:space="0" w:color="auto"/>
                            <w:right w:val="none" w:sz="0" w:space="0" w:color="auto"/>
                          </w:divBdr>
                          <w:divsChild>
                            <w:div w:id="597106612">
                              <w:marLeft w:val="0"/>
                              <w:marRight w:val="0"/>
                              <w:marTop w:val="0"/>
                              <w:marBottom w:val="0"/>
                              <w:divBdr>
                                <w:top w:val="none" w:sz="0" w:space="0" w:color="auto"/>
                                <w:left w:val="none" w:sz="0" w:space="0" w:color="auto"/>
                                <w:bottom w:val="none" w:sz="0" w:space="0" w:color="auto"/>
                                <w:right w:val="none" w:sz="0" w:space="0" w:color="auto"/>
                              </w:divBdr>
                              <w:divsChild>
                                <w:div w:id="732315183">
                                  <w:marLeft w:val="0"/>
                                  <w:marRight w:val="0"/>
                                  <w:marTop w:val="0"/>
                                  <w:marBottom w:val="0"/>
                                  <w:divBdr>
                                    <w:top w:val="none" w:sz="0" w:space="0" w:color="auto"/>
                                    <w:left w:val="none" w:sz="0" w:space="0" w:color="auto"/>
                                    <w:bottom w:val="none" w:sz="0" w:space="0" w:color="auto"/>
                                    <w:right w:val="none" w:sz="0" w:space="0" w:color="auto"/>
                                  </w:divBdr>
                                  <w:divsChild>
                                    <w:div w:id="1203666667">
                                      <w:marLeft w:val="0"/>
                                      <w:marRight w:val="0"/>
                                      <w:marTop w:val="0"/>
                                      <w:marBottom w:val="0"/>
                                      <w:divBdr>
                                        <w:top w:val="none" w:sz="0" w:space="0" w:color="auto"/>
                                        <w:left w:val="none" w:sz="0" w:space="0" w:color="auto"/>
                                        <w:bottom w:val="none" w:sz="0" w:space="0" w:color="auto"/>
                                        <w:right w:val="none" w:sz="0" w:space="0" w:color="auto"/>
                                      </w:divBdr>
                                      <w:divsChild>
                                        <w:div w:id="9104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958322">
      <w:bodyDiv w:val="1"/>
      <w:marLeft w:val="0"/>
      <w:marRight w:val="0"/>
      <w:marTop w:val="0"/>
      <w:marBottom w:val="0"/>
      <w:divBdr>
        <w:top w:val="none" w:sz="0" w:space="0" w:color="auto"/>
        <w:left w:val="none" w:sz="0" w:space="0" w:color="auto"/>
        <w:bottom w:val="none" w:sz="0" w:space="0" w:color="auto"/>
        <w:right w:val="none" w:sz="0" w:space="0" w:color="auto"/>
      </w:divBdr>
    </w:div>
    <w:div w:id="268397008">
      <w:bodyDiv w:val="1"/>
      <w:marLeft w:val="0"/>
      <w:marRight w:val="0"/>
      <w:marTop w:val="0"/>
      <w:marBottom w:val="0"/>
      <w:divBdr>
        <w:top w:val="none" w:sz="0" w:space="0" w:color="auto"/>
        <w:left w:val="none" w:sz="0" w:space="0" w:color="auto"/>
        <w:bottom w:val="none" w:sz="0" w:space="0" w:color="auto"/>
        <w:right w:val="none" w:sz="0" w:space="0" w:color="auto"/>
      </w:divBdr>
      <w:divsChild>
        <w:div w:id="1883790071">
          <w:marLeft w:val="75"/>
          <w:marRight w:val="75"/>
          <w:marTop w:val="0"/>
          <w:marBottom w:val="0"/>
          <w:divBdr>
            <w:top w:val="none" w:sz="0" w:space="0" w:color="auto"/>
            <w:left w:val="none" w:sz="0" w:space="0" w:color="auto"/>
            <w:bottom w:val="none" w:sz="0" w:space="0" w:color="auto"/>
            <w:right w:val="none" w:sz="0" w:space="0" w:color="auto"/>
          </w:divBdr>
          <w:divsChild>
            <w:div w:id="469785242">
              <w:marLeft w:val="0"/>
              <w:marRight w:val="0"/>
              <w:marTop w:val="0"/>
              <w:marBottom w:val="210"/>
              <w:divBdr>
                <w:top w:val="none" w:sz="0" w:space="0" w:color="auto"/>
                <w:left w:val="none" w:sz="0" w:space="0" w:color="auto"/>
                <w:bottom w:val="none" w:sz="0" w:space="0" w:color="auto"/>
                <w:right w:val="none" w:sz="0" w:space="0" w:color="auto"/>
              </w:divBdr>
              <w:divsChild>
                <w:div w:id="812674180">
                  <w:marLeft w:val="0"/>
                  <w:marRight w:val="0"/>
                  <w:marTop w:val="210"/>
                  <w:marBottom w:val="0"/>
                  <w:divBdr>
                    <w:top w:val="none" w:sz="0" w:space="0" w:color="auto"/>
                    <w:left w:val="none" w:sz="0" w:space="0" w:color="auto"/>
                    <w:bottom w:val="none" w:sz="0" w:space="0" w:color="auto"/>
                    <w:right w:val="none" w:sz="0" w:space="0" w:color="auto"/>
                  </w:divBdr>
                  <w:divsChild>
                    <w:div w:id="1298756050">
                      <w:marLeft w:val="0"/>
                      <w:marRight w:val="0"/>
                      <w:marTop w:val="0"/>
                      <w:marBottom w:val="105"/>
                      <w:divBdr>
                        <w:top w:val="none" w:sz="0" w:space="0" w:color="auto"/>
                        <w:left w:val="none" w:sz="0" w:space="0" w:color="auto"/>
                        <w:bottom w:val="none" w:sz="0" w:space="0" w:color="auto"/>
                        <w:right w:val="none" w:sz="0" w:space="0" w:color="auto"/>
                      </w:divBdr>
                      <w:divsChild>
                        <w:div w:id="1186864372">
                          <w:marLeft w:val="0"/>
                          <w:marRight w:val="0"/>
                          <w:marTop w:val="105"/>
                          <w:marBottom w:val="0"/>
                          <w:divBdr>
                            <w:top w:val="none" w:sz="0" w:space="0" w:color="auto"/>
                            <w:left w:val="none" w:sz="0" w:space="0" w:color="auto"/>
                            <w:bottom w:val="none" w:sz="0" w:space="0" w:color="auto"/>
                            <w:right w:val="none" w:sz="0" w:space="0" w:color="auto"/>
                          </w:divBdr>
                          <w:divsChild>
                            <w:div w:id="470946882">
                              <w:marLeft w:val="0"/>
                              <w:marRight w:val="0"/>
                              <w:marTop w:val="0"/>
                              <w:marBottom w:val="105"/>
                              <w:divBdr>
                                <w:top w:val="none" w:sz="0" w:space="0" w:color="auto"/>
                                <w:left w:val="none" w:sz="0" w:space="0" w:color="auto"/>
                                <w:bottom w:val="none" w:sz="0" w:space="0" w:color="auto"/>
                                <w:right w:val="none" w:sz="0" w:space="0" w:color="auto"/>
                              </w:divBdr>
                              <w:divsChild>
                                <w:div w:id="13926577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63310">
      <w:bodyDiv w:val="1"/>
      <w:marLeft w:val="0"/>
      <w:marRight w:val="0"/>
      <w:marTop w:val="0"/>
      <w:marBottom w:val="0"/>
      <w:divBdr>
        <w:top w:val="none" w:sz="0" w:space="0" w:color="auto"/>
        <w:left w:val="none" w:sz="0" w:space="0" w:color="auto"/>
        <w:bottom w:val="none" w:sz="0" w:space="0" w:color="auto"/>
        <w:right w:val="none" w:sz="0" w:space="0" w:color="auto"/>
      </w:divBdr>
    </w:div>
    <w:div w:id="294138379">
      <w:bodyDiv w:val="1"/>
      <w:marLeft w:val="0"/>
      <w:marRight w:val="0"/>
      <w:marTop w:val="0"/>
      <w:marBottom w:val="0"/>
      <w:divBdr>
        <w:top w:val="none" w:sz="0" w:space="0" w:color="auto"/>
        <w:left w:val="none" w:sz="0" w:space="0" w:color="auto"/>
        <w:bottom w:val="none" w:sz="0" w:space="0" w:color="auto"/>
        <w:right w:val="none" w:sz="0" w:space="0" w:color="auto"/>
      </w:divBdr>
    </w:div>
    <w:div w:id="301859557">
      <w:bodyDiv w:val="1"/>
      <w:marLeft w:val="0"/>
      <w:marRight w:val="0"/>
      <w:marTop w:val="0"/>
      <w:marBottom w:val="0"/>
      <w:divBdr>
        <w:top w:val="none" w:sz="0" w:space="0" w:color="auto"/>
        <w:left w:val="none" w:sz="0" w:space="0" w:color="auto"/>
        <w:bottom w:val="none" w:sz="0" w:space="0" w:color="auto"/>
        <w:right w:val="none" w:sz="0" w:space="0" w:color="auto"/>
      </w:divBdr>
    </w:div>
    <w:div w:id="313686681">
      <w:bodyDiv w:val="1"/>
      <w:marLeft w:val="0"/>
      <w:marRight w:val="0"/>
      <w:marTop w:val="0"/>
      <w:marBottom w:val="0"/>
      <w:divBdr>
        <w:top w:val="none" w:sz="0" w:space="0" w:color="auto"/>
        <w:left w:val="none" w:sz="0" w:space="0" w:color="auto"/>
        <w:bottom w:val="none" w:sz="0" w:space="0" w:color="auto"/>
        <w:right w:val="none" w:sz="0" w:space="0" w:color="auto"/>
      </w:divBdr>
      <w:divsChild>
        <w:div w:id="1183208107">
          <w:marLeft w:val="0"/>
          <w:marRight w:val="0"/>
          <w:marTop w:val="0"/>
          <w:marBottom w:val="0"/>
          <w:divBdr>
            <w:top w:val="none" w:sz="0" w:space="0" w:color="auto"/>
            <w:left w:val="none" w:sz="0" w:space="0" w:color="auto"/>
            <w:bottom w:val="none" w:sz="0" w:space="0" w:color="auto"/>
            <w:right w:val="none" w:sz="0" w:space="0" w:color="auto"/>
          </w:divBdr>
          <w:divsChild>
            <w:div w:id="66654411">
              <w:marLeft w:val="0"/>
              <w:marRight w:val="0"/>
              <w:marTop w:val="0"/>
              <w:marBottom w:val="0"/>
              <w:divBdr>
                <w:top w:val="none" w:sz="0" w:space="0" w:color="auto"/>
                <w:left w:val="none" w:sz="0" w:space="0" w:color="auto"/>
                <w:bottom w:val="none" w:sz="0" w:space="0" w:color="auto"/>
                <w:right w:val="none" w:sz="0" w:space="0" w:color="auto"/>
              </w:divBdr>
              <w:divsChild>
                <w:div w:id="2061006706">
                  <w:marLeft w:val="0"/>
                  <w:marRight w:val="0"/>
                  <w:marTop w:val="0"/>
                  <w:marBottom w:val="0"/>
                  <w:divBdr>
                    <w:top w:val="none" w:sz="0" w:space="0" w:color="auto"/>
                    <w:left w:val="none" w:sz="0" w:space="0" w:color="auto"/>
                    <w:bottom w:val="none" w:sz="0" w:space="0" w:color="auto"/>
                    <w:right w:val="none" w:sz="0" w:space="0" w:color="auto"/>
                  </w:divBdr>
                  <w:divsChild>
                    <w:div w:id="445513734">
                      <w:marLeft w:val="0"/>
                      <w:marRight w:val="0"/>
                      <w:marTop w:val="0"/>
                      <w:marBottom w:val="0"/>
                      <w:divBdr>
                        <w:top w:val="none" w:sz="0" w:space="0" w:color="auto"/>
                        <w:left w:val="none" w:sz="0" w:space="0" w:color="auto"/>
                        <w:bottom w:val="none" w:sz="0" w:space="0" w:color="auto"/>
                        <w:right w:val="none" w:sz="0" w:space="0" w:color="auto"/>
                      </w:divBdr>
                      <w:divsChild>
                        <w:div w:id="12354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49460">
      <w:bodyDiv w:val="1"/>
      <w:marLeft w:val="0"/>
      <w:marRight w:val="0"/>
      <w:marTop w:val="0"/>
      <w:marBottom w:val="0"/>
      <w:divBdr>
        <w:top w:val="none" w:sz="0" w:space="0" w:color="auto"/>
        <w:left w:val="none" w:sz="0" w:space="0" w:color="auto"/>
        <w:bottom w:val="none" w:sz="0" w:space="0" w:color="auto"/>
        <w:right w:val="none" w:sz="0" w:space="0" w:color="auto"/>
      </w:divBdr>
    </w:div>
    <w:div w:id="342709857">
      <w:bodyDiv w:val="1"/>
      <w:marLeft w:val="0"/>
      <w:marRight w:val="0"/>
      <w:marTop w:val="0"/>
      <w:marBottom w:val="0"/>
      <w:divBdr>
        <w:top w:val="none" w:sz="0" w:space="0" w:color="auto"/>
        <w:left w:val="none" w:sz="0" w:space="0" w:color="auto"/>
        <w:bottom w:val="none" w:sz="0" w:space="0" w:color="auto"/>
        <w:right w:val="none" w:sz="0" w:space="0" w:color="auto"/>
      </w:divBdr>
    </w:div>
    <w:div w:id="349991529">
      <w:bodyDiv w:val="1"/>
      <w:marLeft w:val="0"/>
      <w:marRight w:val="0"/>
      <w:marTop w:val="0"/>
      <w:marBottom w:val="0"/>
      <w:divBdr>
        <w:top w:val="none" w:sz="0" w:space="0" w:color="auto"/>
        <w:left w:val="none" w:sz="0" w:space="0" w:color="auto"/>
        <w:bottom w:val="none" w:sz="0" w:space="0" w:color="auto"/>
        <w:right w:val="none" w:sz="0" w:space="0" w:color="auto"/>
      </w:divBdr>
      <w:divsChild>
        <w:div w:id="2083328592">
          <w:marLeft w:val="0"/>
          <w:marRight w:val="0"/>
          <w:marTop w:val="0"/>
          <w:marBottom w:val="0"/>
          <w:divBdr>
            <w:top w:val="none" w:sz="0" w:space="0" w:color="auto"/>
            <w:left w:val="none" w:sz="0" w:space="0" w:color="auto"/>
            <w:bottom w:val="none" w:sz="0" w:space="0" w:color="auto"/>
            <w:right w:val="none" w:sz="0" w:space="0" w:color="auto"/>
          </w:divBdr>
          <w:divsChild>
            <w:div w:id="756249891">
              <w:marLeft w:val="0"/>
              <w:marRight w:val="0"/>
              <w:marTop w:val="0"/>
              <w:marBottom w:val="0"/>
              <w:divBdr>
                <w:top w:val="none" w:sz="0" w:space="0" w:color="auto"/>
                <w:left w:val="none" w:sz="0" w:space="0" w:color="auto"/>
                <w:bottom w:val="none" w:sz="0" w:space="0" w:color="auto"/>
                <w:right w:val="none" w:sz="0" w:space="0" w:color="auto"/>
              </w:divBdr>
              <w:divsChild>
                <w:div w:id="1567109228">
                  <w:marLeft w:val="0"/>
                  <w:marRight w:val="0"/>
                  <w:marTop w:val="0"/>
                  <w:marBottom w:val="0"/>
                  <w:divBdr>
                    <w:top w:val="none" w:sz="0" w:space="0" w:color="auto"/>
                    <w:left w:val="none" w:sz="0" w:space="0" w:color="auto"/>
                    <w:bottom w:val="none" w:sz="0" w:space="0" w:color="auto"/>
                    <w:right w:val="none" w:sz="0" w:space="0" w:color="auto"/>
                  </w:divBdr>
                  <w:divsChild>
                    <w:div w:id="2123259002">
                      <w:marLeft w:val="0"/>
                      <w:marRight w:val="0"/>
                      <w:marTop w:val="0"/>
                      <w:marBottom w:val="0"/>
                      <w:divBdr>
                        <w:top w:val="none" w:sz="0" w:space="0" w:color="auto"/>
                        <w:left w:val="none" w:sz="0" w:space="0" w:color="auto"/>
                        <w:bottom w:val="none" w:sz="0" w:space="0" w:color="auto"/>
                        <w:right w:val="none" w:sz="0" w:space="0" w:color="auto"/>
                      </w:divBdr>
                      <w:divsChild>
                        <w:div w:id="2144804105">
                          <w:marLeft w:val="0"/>
                          <w:marRight w:val="0"/>
                          <w:marTop w:val="0"/>
                          <w:marBottom w:val="0"/>
                          <w:divBdr>
                            <w:top w:val="none" w:sz="0" w:space="0" w:color="auto"/>
                            <w:left w:val="none" w:sz="0" w:space="0" w:color="auto"/>
                            <w:bottom w:val="none" w:sz="0" w:space="0" w:color="auto"/>
                            <w:right w:val="none" w:sz="0" w:space="0" w:color="auto"/>
                          </w:divBdr>
                          <w:divsChild>
                            <w:div w:id="1821071836">
                              <w:marLeft w:val="0"/>
                              <w:marRight w:val="0"/>
                              <w:marTop w:val="0"/>
                              <w:marBottom w:val="0"/>
                              <w:divBdr>
                                <w:top w:val="none" w:sz="0" w:space="0" w:color="auto"/>
                                <w:left w:val="none" w:sz="0" w:space="0" w:color="auto"/>
                                <w:bottom w:val="none" w:sz="0" w:space="0" w:color="auto"/>
                                <w:right w:val="none" w:sz="0" w:space="0" w:color="auto"/>
                              </w:divBdr>
                              <w:divsChild>
                                <w:div w:id="739131289">
                                  <w:marLeft w:val="0"/>
                                  <w:marRight w:val="0"/>
                                  <w:marTop w:val="0"/>
                                  <w:marBottom w:val="0"/>
                                  <w:divBdr>
                                    <w:top w:val="none" w:sz="0" w:space="0" w:color="auto"/>
                                    <w:left w:val="none" w:sz="0" w:space="0" w:color="auto"/>
                                    <w:bottom w:val="none" w:sz="0" w:space="0" w:color="auto"/>
                                    <w:right w:val="none" w:sz="0" w:space="0" w:color="auto"/>
                                  </w:divBdr>
                                  <w:divsChild>
                                    <w:div w:id="1974406229">
                                      <w:marLeft w:val="0"/>
                                      <w:marRight w:val="0"/>
                                      <w:marTop w:val="219"/>
                                      <w:marBottom w:val="0"/>
                                      <w:divBdr>
                                        <w:top w:val="none" w:sz="0" w:space="0" w:color="auto"/>
                                        <w:left w:val="none" w:sz="0" w:space="0" w:color="auto"/>
                                        <w:bottom w:val="none" w:sz="0" w:space="0" w:color="auto"/>
                                        <w:right w:val="none" w:sz="0" w:space="0" w:color="auto"/>
                                      </w:divBdr>
                                      <w:divsChild>
                                        <w:div w:id="408423967">
                                          <w:marLeft w:val="0"/>
                                          <w:marRight w:val="0"/>
                                          <w:marTop w:val="260"/>
                                          <w:marBottom w:val="240"/>
                                          <w:divBdr>
                                            <w:top w:val="none" w:sz="0" w:space="0" w:color="auto"/>
                                            <w:left w:val="none" w:sz="0" w:space="0" w:color="auto"/>
                                            <w:bottom w:val="none" w:sz="0" w:space="0" w:color="auto"/>
                                            <w:right w:val="none" w:sz="0" w:space="0" w:color="auto"/>
                                          </w:divBdr>
                                        </w:div>
                                        <w:div w:id="103877775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627051">
      <w:bodyDiv w:val="1"/>
      <w:marLeft w:val="0"/>
      <w:marRight w:val="0"/>
      <w:marTop w:val="0"/>
      <w:marBottom w:val="0"/>
      <w:divBdr>
        <w:top w:val="none" w:sz="0" w:space="0" w:color="auto"/>
        <w:left w:val="none" w:sz="0" w:space="0" w:color="auto"/>
        <w:bottom w:val="none" w:sz="0" w:space="0" w:color="auto"/>
        <w:right w:val="none" w:sz="0" w:space="0" w:color="auto"/>
      </w:divBdr>
    </w:div>
    <w:div w:id="401878790">
      <w:bodyDiv w:val="1"/>
      <w:marLeft w:val="0"/>
      <w:marRight w:val="0"/>
      <w:marTop w:val="0"/>
      <w:marBottom w:val="0"/>
      <w:divBdr>
        <w:top w:val="none" w:sz="0" w:space="0" w:color="auto"/>
        <w:left w:val="none" w:sz="0" w:space="0" w:color="auto"/>
        <w:bottom w:val="none" w:sz="0" w:space="0" w:color="auto"/>
        <w:right w:val="none" w:sz="0" w:space="0" w:color="auto"/>
      </w:divBdr>
    </w:div>
    <w:div w:id="409427106">
      <w:bodyDiv w:val="1"/>
      <w:marLeft w:val="0"/>
      <w:marRight w:val="0"/>
      <w:marTop w:val="0"/>
      <w:marBottom w:val="0"/>
      <w:divBdr>
        <w:top w:val="none" w:sz="0" w:space="0" w:color="auto"/>
        <w:left w:val="none" w:sz="0" w:space="0" w:color="auto"/>
        <w:bottom w:val="none" w:sz="0" w:space="0" w:color="auto"/>
        <w:right w:val="none" w:sz="0" w:space="0" w:color="auto"/>
      </w:divBdr>
    </w:div>
    <w:div w:id="428352507">
      <w:bodyDiv w:val="1"/>
      <w:marLeft w:val="0"/>
      <w:marRight w:val="0"/>
      <w:marTop w:val="0"/>
      <w:marBottom w:val="0"/>
      <w:divBdr>
        <w:top w:val="none" w:sz="0" w:space="0" w:color="auto"/>
        <w:left w:val="none" w:sz="0" w:space="0" w:color="auto"/>
        <w:bottom w:val="none" w:sz="0" w:space="0" w:color="auto"/>
        <w:right w:val="none" w:sz="0" w:space="0" w:color="auto"/>
      </w:divBdr>
    </w:div>
    <w:div w:id="449054978">
      <w:bodyDiv w:val="1"/>
      <w:marLeft w:val="0"/>
      <w:marRight w:val="0"/>
      <w:marTop w:val="0"/>
      <w:marBottom w:val="0"/>
      <w:divBdr>
        <w:top w:val="none" w:sz="0" w:space="0" w:color="auto"/>
        <w:left w:val="none" w:sz="0" w:space="0" w:color="auto"/>
        <w:bottom w:val="none" w:sz="0" w:space="0" w:color="auto"/>
        <w:right w:val="none" w:sz="0" w:space="0" w:color="auto"/>
      </w:divBdr>
    </w:div>
    <w:div w:id="477385966">
      <w:bodyDiv w:val="1"/>
      <w:marLeft w:val="0"/>
      <w:marRight w:val="0"/>
      <w:marTop w:val="0"/>
      <w:marBottom w:val="0"/>
      <w:divBdr>
        <w:top w:val="none" w:sz="0" w:space="0" w:color="auto"/>
        <w:left w:val="none" w:sz="0" w:space="0" w:color="auto"/>
        <w:bottom w:val="none" w:sz="0" w:space="0" w:color="auto"/>
        <w:right w:val="none" w:sz="0" w:space="0" w:color="auto"/>
      </w:divBdr>
    </w:div>
    <w:div w:id="486434692">
      <w:bodyDiv w:val="1"/>
      <w:marLeft w:val="0"/>
      <w:marRight w:val="0"/>
      <w:marTop w:val="0"/>
      <w:marBottom w:val="0"/>
      <w:divBdr>
        <w:top w:val="none" w:sz="0" w:space="0" w:color="auto"/>
        <w:left w:val="none" w:sz="0" w:space="0" w:color="auto"/>
        <w:bottom w:val="none" w:sz="0" w:space="0" w:color="auto"/>
        <w:right w:val="none" w:sz="0" w:space="0" w:color="auto"/>
      </w:divBdr>
    </w:div>
    <w:div w:id="563300710">
      <w:bodyDiv w:val="1"/>
      <w:marLeft w:val="0"/>
      <w:marRight w:val="0"/>
      <w:marTop w:val="0"/>
      <w:marBottom w:val="0"/>
      <w:divBdr>
        <w:top w:val="none" w:sz="0" w:space="0" w:color="auto"/>
        <w:left w:val="none" w:sz="0" w:space="0" w:color="auto"/>
        <w:bottom w:val="none" w:sz="0" w:space="0" w:color="auto"/>
        <w:right w:val="none" w:sz="0" w:space="0" w:color="auto"/>
      </w:divBdr>
    </w:div>
    <w:div w:id="606472176">
      <w:bodyDiv w:val="1"/>
      <w:marLeft w:val="0"/>
      <w:marRight w:val="0"/>
      <w:marTop w:val="0"/>
      <w:marBottom w:val="0"/>
      <w:divBdr>
        <w:top w:val="none" w:sz="0" w:space="0" w:color="auto"/>
        <w:left w:val="none" w:sz="0" w:space="0" w:color="auto"/>
        <w:bottom w:val="none" w:sz="0" w:space="0" w:color="auto"/>
        <w:right w:val="none" w:sz="0" w:space="0" w:color="auto"/>
      </w:divBdr>
    </w:div>
    <w:div w:id="615602746">
      <w:bodyDiv w:val="1"/>
      <w:marLeft w:val="0"/>
      <w:marRight w:val="0"/>
      <w:marTop w:val="0"/>
      <w:marBottom w:val="0"/>
      <w:divBdr>
        <w:top w:val="none" w:sz="0" w:space="0" w:color="auto"/>
        <w:left w:val="none" w:sz="0" w:space="0" w:color="auto"/>
        <w:bottom w:val="none" w:sz="0" w:space="0" w:color="auto"/>
        <w:right w:val="none" w:sz="0" w:space="0" w:color="auto"/>
      </w:divBdr>
    </w:div>
    <w:div w:id="649752429">
      <w:bodyDiv w:val="1"/>
      <w:marLeft w:val="0"/>
      <w:marRight w:val="0"/>
      <w:marTop w:val="0"/>
      <w:marBottom w:val="0"/>
      <w:divBdr>
        <w:top w:val="none" w:sz="0" w:space="0" w:color="auto"/>
        <w:left w:val="none" w:sz="0" w:space="0" w:color="auto"/>
        <w:bottom w:val="none" w:sz="0" w:space="0" w:color="auto"/>
        <w:right w:val="none" w:sz="0" w:space="0" w:color="auto"/>
      </w:divBdr>
      <w:divsChild>
        <w:div w:id="1681085210">
          <w:marLeft w:val="0"/>
          <w:marRight w:val="0"/>
          <w:marTop w:val="0"/>
          <w:marBottom w:val="0"/>
          <w:divBdr>
            <w:top w:val="none" w:sz="0" w:space="0" w:color="auto"/>
            <w:left w:val="none" w:sz="0" w:space="0" w:color="auto"/>
            <w:bottom w:val="none" w:sz="0" w:space="0" w:color="auto"/>
            <w:right w:val="none" w:sz="0" w:space="0" w:color="auto"/>
          </w:divBdr>
          <w:divsChild>
            <w:div w:id="286158485">
              <w:marLeft w:val="0"/>
              <w:marRight w:val="0"/>
              <w:marTop w:val="0"/>
              <w:marBottom w:val="0"/>
              <w:divBdr>
                <w:top w:val="single" w:sz="12" w:space="0" w:color="000000"/>
                <w:left w:val="none" w:sz="0" w:space="0" w:color="auto"/>
                <w:bottom w:val="none" w:sz="0" w:space="0" w:color="auto"/>
                <w:right w:val="none" w:sz="0" w:space="0" w:color="auto"/>
              </w:divBdr>
              <w:divsChild>
                <w:div w:id="991256703">
                  <w:marLeft w:val="0"/>
                  <w:marRight w:val="0"/>
                  <w:marTop w:val="0"/>
                  <w:marBottom w:val="0"/>
                  <w:divBdr>
                    <w:top w:val="none" w:sz="0" w:space="0" w:color="auto"/>
                    <w:left w:val="none" w:sz="0" w:space="0" w:color="auto"/>
                    <w:bottom w:val="none" w:sz="0" w:space="0" w:color="auto"/>
                    <w:right w:val="none" w:sz="0" w:space="0" w:color="auto"/>
                  </w:divBdr>
                  <w:divsChild>
                    <w:div w:id="1107190736">
                      <w:marLeft w:val="0"/>
                      <w:marRight w:val="0"/>
                      <w:marTop w:val="0"/>
                      <w:marBottom w:val="0"/>
                      <w:divBdr>
                        <w:top w:val="none" w:sz="0" w:space="0" w:color="auto"/>
                        <w:left w:val="none" w:sz="0" w:space="0" w:color="auto"/>
                        <w:bottom w:val="none" w:sz="0" w:space="0" w:color="auto"/>
                        <w:right w:val="none" w:sz="0" w:space="0" w:color="auto"/>
                      </w:divBdr>
                      <w:divsChild>
                        <w:div w:id="224027313">
                          <w:marLeft w:val="0"/>
                          <w:marRight w:val="0"/>
                          <w:marTop w:val="0"/>
                          <w:marBottom w:val="0"/>
                          <w:divBdr>
                            <w:top w:val="none" w:sz="0" w:space="0" w:color="auto"/>
                            <w:left w:val="none" w:sz="0" w:space="0" w:color="auto"/>
                            <w:bottom w:val="none" w:sz="0" w:space="0" w:color="auto"/>
                            <w:right w:val="none" w:sz="0" w:space="0" w:color="auto"/>
                          </w:divBdr>
                        </w:div>
                        <w:div w:id="16460060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67826">
      <w:bodyDiv w:val="1"/>
      <w:marLeft w:val="0"/>
      <w:marRight w:val="0"/>
      <w:marTop w:val="0"/>
      <w:marBottom w:val="0"/>
      <w:divBdr>
        <w:top w:val="none" w:sz="0" w:space="0" w:color="auto"/>
        <w:left w:val="none" w:sz="0" w:space="0" w:color="auto"/>
        <w:bottom w:val="none" w:sz="0" w:space="0" w:color="auto"/>
        <w:right w:val="none" w:sz="0" w:space="0" w:color="auto"/>
      </w:divBdr>
    </w:div>
    <w:div w:id="708526488">
      <w:bodyDiv w:val="1"/>
      <w:marLeft w:val="0"/>
      <w:marRight w:val="0"/>
      <w:marTop w:val="0"/>
      <w:marBottom w:val="0"/>
      <w:divBdr>
        <w:top w:val="none" w:sz="0" w:space="0" w:color="auto"/>
        <w:left w:val="none" w:sz="0" w:space="0" w:color="auto"/>
        <w:bottom w:val="none" w:sz="0" w:space="0" w:color="auto"/>
        <w:right w:val="none" w:sz="0" w:space="0" w:color="auto"/>
      </w:divBdr>
    </w:div>
    <w:div w:id="742946887">
      <w:bodyDiv w:val="1"/>
      <w:marLeft w:val="0"/>
      <w:marRight w:val="0"/>
      <w:marTop w:val="0"/>
      <w:marBottom w:val="0"/>
      <w:divBdr>
        <w:top w:val="none" w:sz="0" w:space="0" w:color="auto"/>
        <w:left w:val="none" w:sz="0" w:space="0" w:color="auto"/>
        <w:bottom w:val="none" w:sz="0" w:space="0" w:color="auto"/>
        <w:right w:val="none" w:sz="0" w:space="0" w:color="auto"/>
      </w:divBdr>
      <w:divsChild>
        <w:div w:id="860510789">
          <w:marLeft w:val="0"/>
          <w:marRight w:val="0"/>
          <w:marTop w:val="0"/>
          <w:marBottom w:val="0"/>
          <w:divBdr>
            <w:top w:val="none" w:sz="0" w:space="0" w:color="auto"/>
            <w:left w:val="none" w:sz="0" w:space="0" w:color="auto"/>
            <w:bottom w:val="none" w:sz="0" w:space="0" w:color="auto"/>
            <w:right w:val="none" w:sz="0" w:space="0" w:color="auto"/>
          </w:divBdr>
          <w:divsChild>
            <w:div w:id="1343626236">
              <w:marLeft w:val="0"/>
              <w:marRight w:val="0"/>
              <w:marTop w:val="0"/>
              <w:marBottom w:val="0"/>
              <w:divBdr>
                <w:top w:val="none" w:sz="0" w:space="0" w:color="auto"/>
                <w:left w:val="none" w:sz="0" w:space="0" w:color="auto"/>
                <w:bottom w:val="none" w:sz="0" w:space="0" w:color="auto"/>
                <w:right w:val="none" w:sz="0" w:space="0" w:color="auto"/>
              </w:divBdr>
              <w:divsChild>
                <w:div w:id="336154341">
                  <w:marLeft w:val="0"/>
                  <w:marRight w:val="0"/>
                  <w:marTop w:val="0"/>
                  <w:marBottom w:val="0"/>
                  <w:divBdr>
                    <w:top w:val="none" w:sz="0" w:space="0" w:color="auto"/>
                    <w:left w:val="none" w:sz="0" w:space="0" w:color="auto"/>
                    <w:bottom w:val="none" w:sz="0" w:space="0" w:color="auto"/>
                    <w:right w:val="none" w:sz="0" w:space="0" w:color="auto"/>
                  </w:divBdr>
                  <w:divsChild>
                    <w:div w:id="3469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05532">
      <w:bodyDiv w:val="1"/>
      <w:marLeft w:val="0"/>
      <w:marRight w:val="0"/>
      <w:marTop w:val="0"/>
      <w:marBottom w:val="0"/>
      <w:divBdr>
        <w:top w:val="none" w:sz="0" w:space="0" w:color="auto"/>
        <w:left w:val="none" w:sz="0" w:space="0" w:color="auto"/>
        <w:bottom w:val="none" w:sz="0" w:space="0" w:color="auto"/>
        <w:right w:val="none" w:sz="0" w:space="0" w:color="auto"/>
      </w:divBdr>
    </w:div>
    <w:div w:id="773018782">
      <w:bodyDiv w:val="1"/>
      <w:marLeft w:val="0"/>
      <w:marRight w:val="0"/>
      <w:marTop w:val="0"/>
      <w:marBottom w:val="0"/>
      <w:divBdr>
        <w:top w:val="none" w:sz="0" w:space="0" w:color="auto"/>
        <w:left w:val="none" w:sz="0" w:space="0" w:color="auto"/>
        <w:bottom w:val="none" w:sz="0" w:space="0" w:color="auto"/>
        <w:right w:val="none" w:sz="0" w:space="0" w:color="auto"/>
      </w:divBdr>
      <w:divsChild>
        <w:div w:id="1136139251">
          <w:marLeft w:val="75"/>
          <w:marRight w:val="75"/>
          <w:marTop w:val="0"/>
          <w:marBottom w:val="0"/>
          <w:divBdr>
            <w:top w:val="none" w:sz="0" w:space="0" w:color="auto"/>
            <w:left w:val="none" w:sz="0" w:space="0" w:color="auto"/>
            <w:bottom w:val="none" w:sz="0" w:space="0" w:color="auto"/>
            <w:right w:val="none" w:sz="0" w:space="0" w:color="auto"/>
          </w:divBdr>
          <w:divsChild>
            <w:div w:id="1133518722">
              <w:marLeft w:val="0"/>
              <w:marRight w:val="0"/>
              <w:marTop w:val="0"/>
              <w:marBottom w:val="105"/>
              <w:divBdr>
                <w:top w:val="none" w:sz="0" w:space="0" w:color="auto"/>
                <w:left w:val="none" w:sz="0" w:space="0" w:color="auto"/>
                <w:bottom w:val="none" w:sz="0" w:space="0" w:color="auto"/>
                <w:right w:val="none" w:sz="0" w:space="0" w:color="auto"/>
              </w:divBdr>
              <w:divsChild>
                <w:div w:id="693385328">
                  <w:marLeft w:val="0"/>
                  <w:marRight w:val="0"/>
                  <w:marTop w:val="105"/>
                  <w:marBottom w:val="0"/>
                  <w:divBdr>
                    <w:top w:val="none" w:sz="0" w:space="0" w:color="auto"/>
                    <w:left w:val="none" w:sz="0" w:space="0" w:color="auto"/>
                    <w:bottom w:val="none" w:sz="0" w:space="0" w:color="auto"/>
                    <w:right w:val="none" w:sz="0" w:space="0" w:color="auto"/>
                  </w:divBdr>
                  <w:divsChild>
                    <w:div w:id="1127359084">
                      <w:marLeft w:val="0"/>
                      <w:marRight w:val="0"/>
                      <w:marTop w:val="0"/>
                      <w:marBottom w:val="105"/>
                      <w:divBdr>
                        <w:top w:val="none" w:sz="0" w:space="0" w:color="auto"/>
                        <w:left w:val="none" w:sz="0" w:space="0" w:color="auto"/>
                        <w:bottom w:val="none" w:sz="0" w:space="0" w:color="auto"/>
                        <w:right w:val="none" w:sz="0" w:space="0" w:color="auto"/>
                      </w:divBdr>
                      <w:divsChild>
                        <w:div w:id="62704922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2881">
      <w:bodyDiv w:val="1"/>
      <w:marLeft w:val="0"/>
      <w:marRight w:val="0"/>
      <w:marTop w:val="0"/>
      <w:marBottom w:val="0"/>
      <w:divBdr>
        <w:top w:val="none" w:sz="0" w:space="0" w:color="auto"/>
        <w:left w:val="none" w:sz="0" w:space="0" w:color="auto"/>
        <w:bottom w:val="none" w:sz="0" w:space="0" w:color="auto"/>
        <w:right w:val="none" w:sz="0" w:space="0" w:color="auto"/>
      </w:divBdr>
    </w:div>
    <w:div w:id="786389433">
      <w:bodyDiv w:val="1"/>
      <w:marLeft w:val="0"/>
      <w:marRight w:val="0"/>
      <w:marTop w:val="0"/>
      <w:marBottom w:val="0"/>
      <w:divBdr>
        <w:top w:val="none" w:sz="0" w:space="0" w:color="auto"/>
        <w:left w:val="none" w:sz="0" w:space="0" w:color="auto"/>
        <w:bottom w:val="none" w:sz="0" w:space="0" w:color="auto"/>
        <w:right w:val="none" w:sz="0" w:space="0" w:color="auto"/>
      </w:divBdr>
    </w:div>
    <w:div w:id="815411826">
      <w:bodyDiv w:val="1"/>
      <w:marLeft w:val="0"/>
      <w:marRight w:val="0"/>
      <w:marTop w:val="0"/>
      <w:marBottom w:val="0"/>
      <w:divBdr>
        <w:top w:val="none" w:sz="0" w:space="0" w:color="auto"/>
        <w:left w:val="none" w:sz="0" w:space="0" w:color="auto"/>
        <w:bottom w:val="none" w:sz="0" w:space="0" w:color="auto"/>
        <w:right w:val="none" w:sz="0" w:space="0" w:color="auto"/>
      </w:divBdr>
    </w:div>
    <w:div w:id="820804048">
      <w:bodyDiv w:val="1"/>
      <w:marLeft w:val="0"/>
      <w:marRight w:val="0"/>
      <w:marTop w:val="0"/>
      <w:marBottom w:val="0"/>
      <w:divBdr>
        <w:top w:val="none" w:sz="0" w:space="0" w:color="auto"/>
        <w:left w:val="none" w:sz="0" w:space="0" w:color="auto"/>
        <w:bottom w:val="none" w:sz="0" w:space="0" w:color="auto"/>
        <w:right w:val="none" w:sz="0" w:space="0" w:color="auto"/>
      </w:divBdr>
    </w:div>
    <w:div w:id="831260349">
      <w:bodyDiv w:val="1"/>
      <w:marLeft w:val="0"/>
      <w:marRight w:val="0"/>
      <w:marTop w:val="0"/>
      <w:marBottom w:val="0"/>
      <w:divBdr>
        <w:top w:val="none" w:sz="0" w:space="0" w:color="auto"/>
        <w:left w:val="none" w:sz="0" w:space="0" w:color="auto"/>
        <w:bottom w:val="none" w:sz="0" w:space="0" w:color="auto"/>
        <w:right w:val="none" w:sz="0" w:space="0" w:color="auto"/>
      </w:divBdr>
      <w:divsChild>
        <w:div w:id="34811666">
          <w:marLeft w:val="0"/>
          <w:marRight w:val="0"/>
          <w:marTop w:val="0"/>
          <w:marBottom w:val="0"/>
          <w:divBdr>
            <w:top w:val="none" w:sz="0" w:space="0" w:color="auto"/>
            <w:left w:val="none" w:sz="0" w:space="0" w:color="auto"/>
            <w:bottom w:val="none" w:sz="0" w:space="0" w:color="auto"/>
            <w:right w:val="none" w:sz="0" w:space="0" w:color="auto"/>
          </w:divBdr>
        </w:div>
        <w:div w:id="430204628">
          <w:marLeft w:val="0"/>
          <w:marRight w:val="0"/>
          <w:marTop w:val="0"/>
          <w:marBottom w:val="0"/>
          <w:divBdr>
            <w:top w:val="none" w:sz="0" w:space="0" w:color="auto"/>
            <w:left w:val="none" w:sz="0" w:space="0" w:color="auto"/>
            <w:bottom w:val="none" w:sz="0" w:space="0" w:color="auto"/>
            <w:right w:val="none" w:sz="0" w:space="0" w:color="auto"/>
          </w:divBdr>
        </w:div>
        <w:div w:id="552540056">
          <w:marLeft w:val="0"/>
          <w:marRight w:val="0"/>
          <w:marTop w:val="0"/>
          <w:marBottom w:val="0"/>
          <w:divBdr>
            <w:top w:val="none" w:sz="0" w:space="0" w:color="auto"/>
            <w:left w:val="none" w:sz="0" w:space="0" w:color="auto"/>
            <w:bottom w:val="none" w:sz="0" w:space="0" w:color="auto"/>
            <w:right w:val="none" w:sz="0" w:space="0" w:color="auto"/>
          </w:divBdr>
        </w:div>
        <w:div w:id="715663943">
          <w:marLeft w:val="0"/>
          <w:marRight w:val="0"/>
          <w:marTop w:val="0"/>
          <w:marBottom w:val="0"/>
          <w:divBdr>
            <w:top w:val="none" w:sz="0" w:space="0" w:color="auto"/>
            <w:left w:val="none" w:sz="0" w:space="0" w:color="auto"/>
            <w:bottom w:val="none" w:sz="0" w:space="0" w:color="auto"/>
            <w:right w:val="none" w:sz="0" w:space="0" w:color="auto"/>
          </w:divBdr>
        </w:div>
        <w:div w:id="730269894">
          <w:marLeft w:val="0"/>
          <w:marRight w:val="0"/>
          <w:marTop w:val="0"/>
          <w:marBottom w:val="0"/>
          <w:divBdr>
            <w:top w:val="none" w:sz="0" w:space="0" w:color="auto"/>
            <w:left w:val="none" w:sz="0" w:space="0" w:color="auto"/>
            <w:bottom w:val="none" w:sz="0" w:space="0" w:color="auto"/>
            <w:right w:val="none" w:sz="0" w:space="0" w:color="auto"/>
          </w:divBdr>
        </w:div>
        <w:div w:id="842400125">
          <w:marLeft w:val="0"/>
          <w:marRight w:val="0"/>
          <w:marTop w:val="0"/>
          <w:marBottom w:val="0"/>
          <w:divBdr>
            <w:top w:val="none" w:sz="0" w:space="0" w:color="auto"/>
            <w:left w:val="none" w:sz="0" w:space="0" w:color="auto"/>
            <w:bottom w:val="none" w:sz="0" w:space="0" w:color="auto"/>
            <w:right w:val="none" w:sz="0" w:space="0" w:color="auto"/>
          </w:divBdr>
        </w:div>
        <w:div w:id="906498170">
          <w:marLeft w:val="0"/>
          <w:marRight w:val="0"/>
          <w:marTop w:val="0"/>
          <w:marBottom w:val="0"/>
          <w:divBdr>
            <w:top w:val="none" w:sz="0" w:space="0" w:color="auto"/>
            <w:left w:val="none" w:sz="0" w:space="0" w:color="auto"/>
            <w:bottom w:val="none" w:sz="0" w:space="0" w:color="auto"/>
            <w:right w:val="none" w:sz="0" w:space="0" w:color="auto"/>
          </w:divBdr>
        </w:div>
        <w:div w:id="1057515900">
          <w:marLeft w:val="0"/>
          <w:marRight w:val="0"/>
          <w:marTop w:val="0"/>
          <w:marBottom w:val="0"/>
          <w:divBdr>
            <w:top w:val="none" w:sz="0" w:space="0" w:color="auto"/>
            <w:left w:val="none" w:sz="0" w:space="0" w:color="auto"/>
            <w:bottom w:val="none" w:sz="0" w:space="0" w:color="auto"/>
            <w:right w:val="none" w:sz="0" w:space="0" w:color="auto"/>
          </w:divBdr>
        </w:div>
        <w:div w:id="1700281062">
          <w:marLeft w:val="0"/>
          <w:marRight w:val="0"/>
          <w:marTop w:val="0"/>
          <w:marBottom w:val="0"/>
          <w:divBdr>
            <w:top w:val="none" w:sz="0" w:space="0" w:color="auto"/>
            <w:left w:val="none" w:sz="0" w:space="0" w:color="auto"/>
            <w:bottom w:val="none" w:sz="0" w:space="0" w:color="auto"/>
            <w:right w:val="none" w:sz="0" w:space="0" w:color="auto"/>
          </w:divBdr>
        </w:div>
        <w:div w:id="1883133035">
          <w:marLeft w:val="0"/>
          <w:marRight w:val="0"/>
          <w:marTop w:val="0"/>
          <w:marBottom w:val="0"/>
          <w:divBdr>
            <w:top w:val="none" w:sz="0" w:space="0" w:color="auto"/>
            <w:left w:val="none" w:sz="0" w:space="0" w:color="auto"/>
            <w:bottom w:val="none" w:sz="0" w:space="0" w:color="auto"/>
            <w:right w:val="none" w:sz="0" w:space="0" w:color="auto"/>
          </w:divBdr>
        </w:div>
        <w:div w:id="2077120440">
          <w:marLeft w:val="0"/>
          <w:marRight w:val="0"/>
          <w:marTop w:val="0"/>
          <w:marBottom w:val="0"/>
          <w:divBdr>
            <w:top w:val="none" w:sz="0" w:space="0" w:color="auto"/>
            <w:left w:val="none" w:sz="0" w:space="0" w:color="auto"/>
            <w:bottom w:val="none" w:sz="0" w:space="0" w:color="auto"/>
            <w:right w:val="none" w:sz="0" w:space="0" w:color="auto"/>
          </w:divBdr>
        </w:div>
      </w:divsChild>
    </w:div>
    <w:div w:id="845829319">
      <w:bodyDiv w:val="1"/>
      <w:marLeft w:val="0"/>
      <w:marRight w:val="0"/>
      <w:marTop w:val="0"/>
      <w:marBottom w:val="0"/>
      <w:divBdr>
        <w:top w:val="none" w:sz="0" w:space="0" w:color="auto"/>
        <w:left w:val="none" w:sz="0" w:space="0" w:color="auto"/>
        <w:bottom w:val="none" w:sz="0" w:space="0" w:color="auto"/>
        <w:right w:val="none" w:sz="0" w:space="0" w:color="auto"/>
      </w:divBdr>
    </w:div>
    <w:div w:id="907350316">
      <w:bodyDiv w:val="1"/>
      <w:marLeft w:val="0"/>
      <w:marRight w:val="0"/>
      <w:marTop w:val="0"/>
      <w:marBottom w:val="0"/>
      <w:divBdr>
        <w:top w:val="none" w:sz="0" w:space="0" w:color="auto"/>
        <w:left w:val="none" w:sz="0" w:space="0" w:color="auto"/>
        <w:bottom w:val="none" w:sz="0" w:space="0" w:color="auto"/>
        <w:right w:val="none" w:sz="0" w:space="0" w:color="auto"/>
      </w:divBdr>
    </w:div>
    <w:div w:id="920793397">
      <w:bodyDiv w:val="1"/>
      <w:marLeft w:val="0"/>
      <w:marRight w:val="0"/>
      <w:marTop w:val="0"/>
      <w:marBottom w:val="0"/>
      <w:divBdr>
        <w:top w:val="none" w:sz="0" w:space="0" w:color="auto"/>
        <w:left w:val="none" w:sz="0" w:space="0" w:color="auto"/>
        <w:bottom w:val="none" w:sz="0" w:space="0" w:color="auto"/>
        <w:right w:val="none" w:sz="0" w:space="0" w:color="auto"/>
      </w:divBdr>
    </w:div>
    <w:div w:id="947664546">
      <w:bodyDiv w:val="1"/>
      <w:marLeft w:val="0"/>
      <w:marRight w:val="0"/>
      <w:marTop w:val="0"/>
      <w:marBottom w:val="0"/>
      <w:divBdr>
        <w:top w:val="none" w:sz="0" w:space="0" w:color="auto"/>
        <w:left w:val="none" w:sz="0" w:space="0" w:color="auto"/>
        <w:bottom w:val="none" w:sz="0" w:space="0" w:color="auto"/>
        <w:right w:val="none" w:sz="0" w:space="0" w:color="auto"/>
      </w:divBdr>
    </w:div>
    <w:div w:id="984357515">
      <w:bodyDiv w:val="1"/>
      <w:marLeft w:val="0"/>
      <w:marRight w:val="0"/>
      <w:marTop w:val="0"/>
      <w:marBottom w:val="0"/>
      <w:divBdr>
        <w:top w:val="none" w:sz="0" w:space="0" w:color="auto"/>
        <w:left w:val="none" w:sz="0" w:space="0" w:color="auto"/>
        <w:bottom w:val="none" w:sz="0" w:space="0" w:color="auto"/>
        <w:right w:val="none" w:sz="0" w:space="0" w:color="auto"/>
      </w:divBdr>
    </w:div>
    <w:div w:id="993874954">
      <w:bodyDiv w:val="1"/>
      <w:marLeft w:val="0"/>
      <w:marRight w:val="0"/>
      <w:marTop w:val="0"/>
      <w:marBottom w:val="0"/>
      <w:divBdr>
        <w:top w:val="none" w:sz="0" w:space="0" w:color="auto"/>
        <w:left w:val="none" w:sz="0" w:space="0" w:color="auto"/>
        <w:bottom w:val="none" w:sz="0" w:space="0" w:color="auto"/>
        <w:right w:val="none" w:sz="0" w:space="0" w:color="auto"/>
      </w:divBdr>
    </w:div>
    <w:div w:id="1004239235">
      <w:bodyDiv w:val="1"/>
      <w:marLeft w:val="0"/>
      <w:marRight w:val="0"/>
      <w:marTop w:val="0"/>
      <w:marBottom w:val="0"/>
      <w:divBdr>
        <w:top w:val="none" w:sz="0" w:space="0" w:color="auto"/>
        <w:left w:val="none" w:sz="0" w:space="0" w:color="auto"/>
        <w:bottom w:val="none" w:sz="0" w:space="0" w:color="auto"/>
        <w:right w:val="none" w:sz="0" w:space="0" w:color="auto"/>
      </w:divBdr>
    </w:div>
    <w:div w:id="1007446516">
      <w:bodyDiv w:val="1"/>
      <w:marLeft w:val="0"/>
      <w:marRight w:val="0"/>
      <w:marTop w:val="0"/>
      <w:marBottom w:val="0"/>
      <w:divBdr>
        <w:top w:val="none" w:sz="0" w:space="0" w:color="auto"/>
        <w:left w:val="none" w:sz="0" w:space="0" w:color="auto"/>
        <w:bottom w:val="none" w:sz="0" w:space="0" w:color="auto"/>
        <w:right w:val="none" w:sz="0" w:space="0" w:color="auto"/>
      </w:divBdr>
    </w:div>
    <w:div w:id="1037782387">
      <w:bodyDiv w:val="1"/>
      <w:marLeft w:val="0"/>
      <w:marRight w:val="0"/>
      <w:marTop w:val="0"/>
      <w:marBottom w:val="0"/>
      <w:divBdr>
        <w:top w:val="none" w:sz="0" w:space="0" w:color="auto"/>
        <w:left w:val="none" w:sz="0" w:space="0" w:color="auto"/>
        <w:bottom w:val="none" w:sz="0" w:space="0" w:color="auto"/>
        <w:right w:val="none" w:sz="0" w:space="0" w:color="auto"/>
      </w:divBdr>
    </w:div>
    <w:div w:id="1065490286">
      <w:bodyDiv w:val="1"/>
      <w:marLeft w:val="0"/>
      <w:marRight w:val="0"/>
      <w:marTop w:val="0"/>
      <w:marBottom w:val="0"/>
      <w:divBdr>
        <w:top w:val="none" w:sz="0" w:space="0" w:color="auto"/>
        <w:left w:val="none" w:sz="0" w:space="0" w:color="auto"/>
        <w:bottom w:val="none" w:sz="0" w:space="0" w:color="auto"/>
        <w:right w:val="none" w:sz="0" w:space="0" w:color="auto"/>
      </w:divBdr>
    </w:div>
    <w:div w:id="1097869273">
      <w:bodyDiv w:val="1"/>
      <w:marLeft w:val="0"/>
      <w:marRight w:val="0"/>
      <w:marTop w:val="0"/>
      <w:marBottom w:val="0"/>
      <w:divBdr>
        <w:top w:val="none" w:sz="0" w:space="0" w:color="auto"/>
        <w:left w:val="none" w:sz="0" w:space="0" w:color="auto"/>
        <w:bottom w:val="none" w:sz="0" w:space="0" w:color="auto"/>
        <w:right w:val="none" w:sz="0" w:space="0" w:color="auto"/>
      </w:divBdr>
    </w:div>
    <w:div w:id="1125153506">
      <w:bodyDiv w:val="1"/>
      <w:marLeft w:val="0"/>
      <w:marRight w:val="0"/>
      <w:marTop w:val="0"/>
      <w:marBottom w:val="0"/>
      <w:divBdr>
        <w:top w:val="none" w:sz="0" w:space="0" w:color="auto"/>
        <w:left w:val="none" w:sz="0" w:space="0" w:color="auto"/>
        <w:bottom w:val="none" w:sz="0" w:space="0" w:color="auto"/>
        <w:right w:val="none" w:sz="0" w:space="0" w:color="auto"/>
      </w:divBdr>
    </w:div>
    <w:div w:id="1193346141">
      <w:bodyDiv w:val="1"/>
      <w:marLeft w:val="0"/>
      <w:marRight w:val="0"/>
      <w:marTop w:val="0"/>
      <w:marBottom w:val="0"/>
      <w:divBdr>
        <w:top w:val="none" w:sz="0" w:space="0" w:color="auto"/>
        <w:left w:val="none" w:sz="0" w:space="0" w:color="auto"/>
        <w:bottom w:val="none" w:sz="0" w:space="0" w:color="auto"/>
        <w:right w:val="none" w:sz="0" w:space="0" w:color="auto"/>
      </w:divBdr>
    </w:div>
    <w:div w:id="1194614996">
      <w:bodyDiv w:val="1"/>
      <w:marLeft w:val="0"/>
      <w:marRight w:val="0"/>
      <w:marTop w:val="0"/>
      <w:marBottom w:val="0"/>
      <w:divBdr>
        <w:top w:val="none" w:sz="0" w:space="0" w:color="auto"/>
        <w:left w:val="none" w:sz="0" w:space="0" w:color="auto"/>
        <w:bottom w:val="none" w:sz="0" w:space="0" w:color="auto"/>
        <w:right w:val="none" w:sz="0" w:space="0" w:color="auto"/>
      </w:divBdr>
    </w:div>
    <w:div w:id="1209806288">
      <w:bodyDiv w:val="1"/>
      <w:marLeft w:val="0"/>
      <w:marRight w:val="0"/>
      <w:marTop w:val="0"/>
      <w:marBottom w:val="0"/>
      <w:divBdr>
        <w:top w:val="none" w:sz="0" w:space="0" w:color="auto"/>
        <w:left w:val="none" w:sz="0" w:space="0" w:color="auto"/>
        <w:bottom w:val="none" w:sz="0" w:space="0" w:color="auto"/>
        <w:right w:val="none" w:sz="0" w:space="0" w:color="auto"/>
      </w:divBdr>
    </w:div>
    <w:div w:id="1239367500">
      <w:bodyDiv w:val="1"/>
      <w:marLeft w:val="0"/>
      <w:marRight w:val="0"/>
      <w:marTop w:val="0"/>
      <w:marBottom w:val="0"/>
      <w:divBdr>
        <w:top w:val="none" w:sz="0" w:space="0" w:color="auto"/>
        <w:left w:val="none" w:sz="0" w:space="0" w:color="auto"/>
        <w:bottom w:val="none" w:sz="0" w:space="0" w:color="auto"/>
        <w:right w:val="none" w:sz="0" w:space="0" w:color="auto"/>
      </w:divBdr>
    </w:div>
    <w:div w:id="1240334531">
      <w:bodyDiv w:val="1"/>
      <w:marLeft w:val="0"/>
      <w:marRight w:val="0"/>
      <w:marTop w:val="0"/>
      <w:marBottom w:val="0"/>
      <w:divBdr>
        <w:top w:val="none" w:sz="0" w:space="0" w:color="auto"/>
        <w:left w:val="none" w:sz="0" w:space="0" w:color="auto"/>
        <w:bottom w:val="none" w:sz="0" w:space="0" w:color="auto"/>
        <w:right w:val="none" w:sz="0" w:space="0" w:color="auto"/>
      </w:divBdr>
    </w:div>
    <w:div w:id="1242258060">
      <w:bodyDiv w:val="1"/>
      <w:marLeft w:val="0"/>
      <w:marRight w:val="0"/>
      <w:marTop w:val="0"/>
      <w:marBottom w:val="0"/>
      <w:divBdr>
        <w:top w:val="none" w:sz="0" w:space="0" w:color="auto"/>
        <w:left w:val="none" w:sz="0" w:space="0" w:color="auto"/>
        <w:bottom w:val="none" w:sz="0" w:space="0" w:color="auto"/>
        <w:right w:val="none" w:sz="0" w:space="0" w:color="auto"/>
      </w:divBdr>
    </w:div>
    <w:div w:id="1249850127">
      <w:bodyDiv w:val="1"/>
      <w:marLeft w:val="0"/>
      <w:marRight w:val="0"/>
      <w:marTop w:val="0"/>
      <w:marBottom w:val="0"/>
      <w:divBdr>
        <w:top w:val="none" w:sz="0" w:space="0" w:color="auto"/>
        <w:left w:val="none" w:sz="0" w:space="0" w:color="auto"/>
        <w:bottom w:val="none" w:sz="0" w:space="0" w:color="auto"/>
        <w:right w:val="none" w:sz="0" w:space="0" w:color="auto"/>
      </w:divBdr>
    </w:div>
    <w:div w:id="1251431080">
      <w:bodyDiv w:val="1"/>
      <w:marLeft w:val="0"/>
      <w:marRight w:val="0"/>
      <w:marTop w:val="0"/>
      <w:marBottom w:val="0"/>
      <w:divBdr>
        <w:top w:val="none" w:sz="0" w:space="0" w:color="auto"/>
        <w:left w:val="none" w:sz="0" w:space="0" w:color="auto"/>
        <w:bottom w:val="none" w:sz="0" w:space="0" w:color="auto"/>
        <w:right w:val="none" w:sz="0" w:space="0" w:color="auto"/>
      </w:divBdr>
    </w:div>
    <w:div w:id="1281297414">
      <w:bodyDiv w:val="1"/>
      <w:marLeft w:val="0"/>
      <w:marRight w:val="0"/>
      <w:marTop w:val="0"/>
      <w:marBottom w:val="0"/>
      <w:divBdr>
        <w:top w:val="none" w:sz="0" w:space="0" w:color="auto"/>
        <w:left w:val="none" w:sz="0" w:space="0" w:color="auto"/>
        <w:bottom w:val="none" w:sz="0" w:space="0" w:color="auto"/>
        <w:right w:val="none" w:sz="0" w:space="0" w:color="auto"/>
      </w:divBdr>
      <w:divsChild>
        <w:div w:id="1826974053">
          <w:marLeft w:val="0"/>
          <w:marRight w:val="0"/>
          <w:marTop w:val="0"/>
          <w:marBottom w:val="0"/>
          <w:divBdr>
            <w:top w:val="none" w:sz="0" w:space="0" w:color="auto"/>
            <w:left w:val="none" w:sz="0" w:space="0" w:color="auto"/>
            <w:bottom w:val="none" w:sz="0" w:space="0" w:color="auto"/>
            <w:right w:val="none" w:sz="0" w:space="0" w:color="auto"/>
          </w:divBdr>
        </w:div>
        <w:div w:id="1847986635">
          <w:marLeft w:val="0"/>
          <w:marRight w:val="0"/>
          <w:marTop w:val="0"/>
          <w:marBottom w:val="0"/>
          <w:divBdr>
            <w:top w:val="none" w:sz="0" w:space="0" w:color="auto"/>
            <w:left w:val="none" w:sz="0" w:space="0" w:color="auto"/>
            <w:bottom w:val="none" w:sz="0" w:space="0" w:color="auto"/>
            <w:right w:val="none" w:sz="0" w:space="0" w:color="auto"/>
          </w:divBdr>
        </w:div>
      </w:divsChild>
    </w:div>
    <w:div w:id="1289315117">
      <w:bodyDiv w:val="1"/>
      <w:marLeft w:val="0"/>
      <w:marRight w:val="0"/>
      <w:marTop w:val="0"/>
      <w:marBottom w:val="0"/>
      <w:divBdr>
        <w:top w:val="none" w:sz="0" w:space="0" w:color="auto"/>
        <w:left w:val="none" w:sz="0" w:space="0" w:color="auto"/>
        <w:bottom w:val="none" w:sz="0" w:space="0" w:color="auto"/>
        <w:right w:val="none" w:sz="0" w:space="0" w:color="auto"/>
      </w:divBdr>
    </w:div>
    <w:div w:id="1334458104">
      <w:bodyDiv w:val="1"/>
      <w:marLeft w:val="0"/>
      <w:marRight w:val="0"/>
      <w:marTop w:val="0"/>
      <w:marBottom w:val="0"/>
      <w:divBdr>
        <w:top w:val="none" w:sz="0" w:space="0" w:color="auto"/>
        <w:left w:val="none" w:sz="0" w:space="0" w:color="auto"/>
        <w:bottom w:val="none" w:sz="0" w:space="0" w:color="auto"/>
        <w:right w:val="none" w:sz="0" w:space="0" w:color="auto"/>
      </w:divBdr>
    </w:div>
    <w:div w:id="1357391950">
      <w:bodyDiv w:val="1"/>
      <w:marLeft w:val="0"/>
      <w:marRight w:val="0"/>
      <w:marTop w:val="0"/>
      <w:marBottom w:val="0"/>
      <w:divBdr>
        <w:top w:val="none" w:sz="0" w:space="0" w:color="auto"/>
        <w:left w:val="none" w:sz="0" w:space="0" w:color="auto"/>
        <w:bottom w:val="none" w:sz="0" w:space="0" w:color="auto"/>
        <w:right w:val="none" w:sz="0" w:space="0" w:color="auto"/>
      </w:divBdr>
    </w:div>
    <w:div w:id="1378236560">
      <w:bodyDiv w:val="1"/>
      <w:marLeft w:val="0"/>
      <w:marRight w:val="0"/>
      <w:marTop w:val="0"/>
      <w:marBottom w:val="0"/>
      <w:divBdr>
        <w:top w:val="none" w:sz="0" w:space="0" w:color="auto"/>
        <w:left w:val="none" w:sz="0" w:space="0" w:color="auto"/>
        <w:bottom w:val="none" w:sz="0" w:space="0" w:color="auto"/>
        <w:right w:val="none" w:sz="0" w:space="0" w:color="auto"/>
      </w:divBdr>
    </w:div>
    <w:div w:id="1420371775">
      <w:bodyDiv w:val="1"/>
      <w:marLeft w:val="0"/>
      <w:marRight w:val="0"/>
      <w:marTop w:val="0"/>
      <w:marBottom w:val="0"/>
      <w:divBdr>
        <w:top w:val="none" w:sz="0" w:space="0" w:color="auto"/>
        <w:left w:val="none" w:sz="0" w:space="0" w:color="auto"/>
        <w:bottom w:val="none" w:sz="0" w:space="0" w:color="auto"/>
        <w:right w:val="none" w:sz="0" w:space="0" w:color="auto"/>
      </w:divBdr>
    </w:div>
    <w:div w:id="1436637242">
      <w:bodyDiv w:val="1"/>
      <w:marLeft w:val="0"/>
      <w:marRight w:val="0"/>
      <w:marTop w:val="0"/>
      <w:marBottom w:val="0"/>
      <w:divBdr>
        <w:top w:val="none" w:sz="0" w:space="0" w:color="auto"/>
        <w:left w:val="none" w:sz="0" w:space="0" w:color="auto"/>
        <w:bottom w:val="none" w:sz="0" w:space="0" w:color="auto"/>
        <w:right w:val="none" w:sz="0" w:space="0" w:color="auto"/>
      </w:divBdr>
    </w:div>
    <w:div w:id="1443956839">
      <w:bodyDiv w:val="1"/>
      <w:marLeft w:val="0"/>
      <w:marRight w:val="0"/>
      <w:marTop w:val="0"/>
      <w:marBottom w:val="0"/>
      <w:divBdr>
        <w:top w:val="none" w:sz="0" w:space="0" w:color="auto"/>
        <w:left w:val="none" w:sz="0" w:space="0" w:color="auto"/>
        <w:bottom w:val="none" w:sz="0" w:space="0" w:color="auto"/>
        <w:right w:val="none" w:sz="0" w:space="0" w:color="auto"/>
      </w:divBdr>
    </w:div>
    <w:div w:id="1468859766">
      <w:bodyDiv w:val="1"/>
      <w:marLeft w:val="0"/>
      <w:marRight w:val="0"/>
      <w:marTop w:val="0"/>
      <w:marBottom w:val="0"/>
      <w:divBdr>
        <w:top w:val="none" w:sz="0" w:space="0" w:color="auto"/>
        <w:left w:val="none" w:sz="0" w:space="0" w:color="auto"/>
        <w:bottom w:val="none" w:sz="0" w:space="0" w:color="auto"/>
        <w:right w:val="none" w:sz="0" w:space="0" w:color="auto"/>
      </w:divBdr>
    </w:div>
    <w:div w:id="1474326989">
      <w:bodyDiv w:val="1"/>
      <w:marLeft w:val="0"/>
      <w:marRight w:val="0"/>
      <w:marTop w:val="0"/>
      <w:marBottom w:val="0"/>
      <w:divBdr>
        <w:top w:val="none" w:sz="0" w:space="0" w:color="auto"/>
        <w:left w:val="none" w:sz="0" w:space="0" w:color="auto"/>
        <w:bottom w:val="none" w:sz="0" w:space="0" w:color="auto"/>
        <w:right w:val="none" w:sz="0" w:space="0" w:color="auto"/>
      </w:divBdr>
    </w:div>
    <w:div w:id="1496796571">
      <w:bodyDiv w:val="1"/>
      <w:marLeft w:val="0"/>
      <w:marRight w:val="0"/>
      <w:marTop w:val="0"/>
      <w:marBottom w:val="0"/>
      <w:divBdr>
        <w:top w:val="none" w:sz="0" w:space="0" w:color="auto"/>
        <w:left w:val="none" w:sz="0" w:space="0" w:color="auto"/>
        <w:bottom w:val="none" w:sz="0" w:space="0" w:color="auto"/>
        <w:right w:val="none" w:sz="0" w:space="0" w:color="auto"/>
      </w:divBdr>
      <w:divsChild>
        <w:div w:id="1028719235">
          <w:marLeft w:val="0"/>
          <w:marRight w:val="0"/>
          <w:marTop w:val="0"/>
          <w:marBottom w:val="0"/>
          <w:divBdr>
            <w:top w:val="none" w:sz="0" w:space="0" w:color="auto"/>
            <w:left w:val="none" w:sz="0" w:space="0" w:color="auto"/>
            <w:bottom w:val="none" w:sz="0" w:space="0" w:color="auto"/>
            <w:right w:val="none" w:sz="0" w:space="0" w:color="auto"/>
          </w:divBdr>
          <w:divsChild>
            <w:div w:id="1698921292">
              <w:marLeft w:val="0"/>
              <w:marRight w:val="0"/>
              <w:marTop w:val="0"/>
              <w:marBottom w:val="0"/>
              <w:divBdr>
                <w:top w:val="none" w:sz="0" w:space="0" w:color="auto"/>
                <w:left w:val="none" w:sz="0" w:space="0" w:color="auto"/>
                <w:bottom w:val="none" w:sz="0" w:space="0" w:color="auto"/>
                <w:right w:val="none" w:sz="0" w:space="0" w:color="auto"/>
              </w:divBdr>
              <w:divsChild>
                <w:div w:id="222526061">
                  <w:marLeft w:val="0"/>
                  <w:marRight w:val="0"/>
                  <w:marTop w:val="0"/>
                  <w:marBottom w:val="0"/>
                  <w:divBdr>
                    <w:top w:val="none" w:sz="0" w:space="0" w:color="auto"/>
                    <w:left w:val="none" w:sz="0" w:space="0" w:color="auto"/>
                    <w:bottom w:val="none" w:sz="0" w:space="0" w:color="auto"/>
                    <w:right w:val="none" w:sz="0" w:space="0" w:color="auto"/>
                  </w:divBdr>
                  <w:divsChild>
                    <w:div w:id="1555388352">
                      <w:marLeft w:val="0"/>
                      <w:marRight w:val="0"/>
                      <w:marTop w:val="0"/>
                      <w:marBottom w:val="0"/>
                      <w:divBdr>
                        <w:top w:val="none" w:sz="0" w:space="0" w:color="auto"/>
                        <w:left w:val="none" w:sz="0" w:space="0" w:color="auto"/>
                        <w:bottom w:val="none" w:sz="0" w:space="0" w:color="auto"/>
                        <w:right w:val="none" w:sz="0" w:space="0" w:color="auto"/>
                      </w:divBdr>
                      <w:divsChild>
                        <w:div w:id="137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9774">
      <w:bodyDiv w:val="1"/>
      <w:marLeft w:val="0"/>
      <w:marRight w:val="0"/>
      <w:marTop w:val="0"/>
      <w:marBottom w:val="0"/>
      <w:divBdr>
        <w:top w:val="none" w:sz="0" w:space="0" w:color="auto"/>
        <w:left w:val="none" w:sz="0" w:space="0" w:color="auto"/>
        <w:bottom w:val="none" w:sz="0" w:space="0" w:color="auto"/>
        <w:right w:val="none" w:sz="0" w:space="0" w:color="auto"/>
      </w:divBdr>
    </w:div>
    <w:div w:id="1622151039">
      <w:bodyDiv w:val="1"/>
      <w:marLeft w:val="0"/>
      <w:marRight w:val="0"/>
      <w:marTop w:val="0"/>
      <w:marBottom w:val="0"/>
      <w:divBdr>
        <w:top w:val="none" w:sz="0" w:space="0" w:color="auto"/>
        <w:left w:val="none" w:sz="0" w:space="0" w:color="auto"/>
        <w:bottom w:val="none" w:sz="0" w:space="0" w:color="auto"/>
        <w:right w:val="none" w:sz="0" w:space="0" w:color="auto"/>
      </w:divBdr>
    </w:div>
    <w:div w:id="1627201683">
      <w:bodyDiv w:val="1"/>
      <w:marLeft w:val="0"/>
      <w:marRight w:val="0"/>
      <w:marTop w:val="0"/>
      <w:marBottom w:val="0"/>
      <w:divBdr>
        <w:top w:val="none" w:sz="0" w:space="0" w:color="auto"/>
        <w:left w:val="none" w:sz="0" w:space="0" w:color="auto"/>
        <w:bottom w:val="none" w:sz="0" w:space="0" w:color="auto"/>
        <w:right w:val="none" w:sz="0" w:space="0" w:color="auto"/>
      </w:divBdr>
    </w:div>
    <w:div w:id="1630933877">
      <w:bodyDiv w:val="1"/>
      <w:marLeft w:val="0"/>
      <w:marRight w:val="0"/>
      <w:marTop w:val="0"/>
      <w:marBottom w:val="0"/>
      <w:divBdr>
        <w:top w:val="none" w:sz="0" w:space="0" w:color="auto"/>
        <w:left w:val="none" w:sz="0" w:space="0" w:color="auto"/>
        <w:bottom w:val="none" w:sz="0" w:space="0" w:color="auto"/>
        <w:right w:val="none" w:sz="0" w:space="0" w:color="auto"/>
      </w:divBdr>
    </w:div>
    <w:div w:id="1632251099">
      <w:bodyDiv w:val="1"/>
      <w:marLeft w:val="0"/>
      <w:marRight w:val="0"/>
      <w:marTop w:val="0"/>
      <w:marBottom w:val="0"/>
      <w:divBdr>
        <w:top w:val="none" w:sz="0" w:space="0" w:color="auto"/>
        <w:left w:val="none" w:sz="0" w:space="0" w:color="auto"/>
        <w:bottom w:val="none" w:sz="0" w:space="0" w:color="auto"/>
        <w:right w:val="none" w:sz="0" w:space="0" w:color="auto"/>
      </w:divBdr>
    </w:div>
    <w:div w:id="1668829584">
      <w:bodyDiv w:val="1"/>
      <w:marLeft w:val="0"/>
      <w:marRight w:val="0"/>
      <w:marTop w:val="0"/>
      <w:marBottom w:val="0"/>
      <w:divBdr>
        <w:top w:val="none" w:sz="0" w:space="0" w:color="auto"/>
        <w:left w:val="none" w:sz="0" w:space="0" w:color="auto"/>
        <w:bottom w:val="none" w:sz="0" w:space="0" w:color="auto"/>
        <w:right w:val="none" w:sz="0" w:space="0" w:color="auto"/>
      </w:divBdr>
    </w:div>
    <w:div w:id="1691636340">
      <w:bodyDiv w:val="1"/>
      <w:marLeft w:val="0"/>
      <w:marRight w:val="0"/>
      <w:marTop w:val="0"/>
      <w:marBottom w:val="0"/>
      <w:divBdr>
        <w:top w:val="none" w:sz="0" w:space="0" w:color="auto"/>
        <w:left w:val="none" w:sz="0" w:space="0" w:color="auto"/>
        <w:bottom w:val="none" w:sz="0" w:space="0" w:color="auto"/>
        <w:right w:val="none" w:sz="0" w:space="0" w:color="auto"/>
      </w:divBdr>
      <w:divsChild>
        <w:div w:id="2056807554">
          <w:marLeft w:val="0"/>
          <w:marRight w:val="0"/>
          <w:marTop w:val="0"/>
          <w:marBottom w:val="0"/>
          <w:divBdr>
            <w:top w:val="none" w:sz="0" w:space="0" w:color="auto"/>
            <w:left w:val="none" w:sz="0" w:space="0" w:color="auto"/>
            <w:bottom w:val="none" w:sz="0" w:space="0" w:color="auto"/>
            <w:right w:val="none" w:sz="0" w:space="0" w:color="auto"/>
          </w:divBdr>
          <w:divsChild>
            <w:div w:id="1068267551">
              <w:marLeft w:val="3000"/>
              <w:marRight w:val="0"/>
              <w:marTop w:val="0"/>
              <w:marBottom w:val="0"/>
              <w:divBdr>
                <w:top w:val="single" w:sz="12" w:space="0" w:color="000000"/>
                <w:left w:val="none" w:sz="0" w:space="0" w:color="auto"/>
                <w:bottom w:val="none" w:sz="0" w:space="0" w:color="auto"/>
                <w:right w:val="none" w:sz="0" w:space="0" w:color="auto"/>
              </w:divBdr>
              <w:divsChild>
                <w:div w:id="956563548">
                  <w:marLeft w:val="0"/>
                  <w:marRight w:val="0"/>
                  <w:marTop w:val="0"/>
                  <w:marBottom w:val="0"/>
                  <w:divBdr>
                    <w:top w:val="none" w:sz="0" w:space="0" w:color="auto"/>
                    <w:left w:val="none" w:sz="0" w:space="0" w:color="auto"/>
                    <w:bottom w:val="none" w:sz="0" w:space="0" w:color="auto"/>
                    <w:right w:val="none" w:sz="0" w:space="0" w:color="auto"/>
                  </w:divBdr>
                  <w:divsChild>
                    <w:div w:id="2136482123">
                      <w:marLeft w:val="0"/>
                      <w:marRight w:val="0"/>
                      <w:marTop w:val="0"/>
                      <w:marBottom w:val="0"/>
                      <w:divBdr>
                        <w:top w:val="single" w:sz="12" w:space="12" w:color="000000"/>
                        <w:left w:val="none" w:sz="0" w:space="0" w:color="auto"/>
                        <w:bottom w:val="single" w:sz="12" w:space="12" w:color="000000"/>
                        <w:right w:val="none" w:sz="0" w:space="0" w:color="auto"/>
                      </w:divBdr>
                      <w:divsChild>
                        <w:div w:id="14668971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39950">
      <w:bodyDiv w:val="1"/>
      <w:marLeft w:val="0"/>
      <w:marRight w:val="0"/>
      <w:marTop w:val="0"/>
      <w:marBottom w:val="0"/>
      <w:divBdr>
        <w:top w:val="none" w:sz="0" w:space="0" w:color="auto"/>
        <w:left w:val="none" w:sz="0" w:space="0" w:color="auto"/>
        <w:bottom w:val="none" w:sz="0" w:space="0" w:color="auto"/>
        <w:right w:val="none" w:sz="0" w:space="0" w:color="auto"/>
      </w:divBdr>
    </w:div>
    <w:div w:id="1724713296">
      <w:bodyDiv w:val="1"/>
      <w:marLeft w:val="0"/>
      <w:marRight w:val="0"/>
      <w:marTop w:val="0"/>
      <w:marBottom w:val="0"/>
      <w:divBdr>
        <w:top w:val="none" w:sz="0" w:space="0" w:color="auto"/>
        <w:left w:val="none" w:sz="0" w:space="0" w:color="auto"/>
        <w:bottom w:val="none" w:sz="0" w:space="0" w:color="auto"/>
        <w:right w:val="none" w:sz="0" w:space="0" w:color="auto"/>
      </w:divBdr>
    </w:div>
    <w:div w:id="1730765725">
      <w:bodyDiv w:val="1"/>
      <w:marLeft w:val="0"/>
      <w:marRight w:val="0"/>
      <w:marTop w:val="0"/>
      <w:marBottom w:val="0"/>
      <w:divBdr>
        <w:top w:val="none" w:sz="0" w:space="0" w:color="auto"/>
        <w:left w:val="none" w:sz="0" w:space="0" w:color="auto"/>
        <w:bottom w:val="none" w:sz="0" w:space="0" w:color="auto"/>
        <w:right w:val="none" w:sz="0" w:space="0" w:color="auto"/>
      </w:divBdr>
    </w:div>
    <w:div w:id="1763915415">
      <w:bodyDiv w:val="1"/>
      <w:marLeft w:val="0"/>
      <w:marRight w:val="0"/>
      <w:marTop w:val="0"/>
      <w:marBottom w:val="0"/>
      <w:divBdr>
        <w:top w:val="none" w:sz="0" w:space="0" w:color="auto"/>
        <w:left w:val="none" w:sz="0" w:space="0" w:color="auto"/>
        <w:bottom w:val="none" w:sz="0" w:space="0" w:color="auto"/>
        <w:right w:val="none" w:sz="0" w:space="0" w:color="auto"/>
      </w:divBdr>
    </w:div>
    <w:div w:id="1784110830">
      <w:bodyDiv w:val="1"/>
      <w:marLeft w:val="0"/>
      <w:marRight w:val="0"/>
      <w:marTop w:val="0"/>
      <w:marBottom w:val="0"/>
      <w:divBdr>
        <w:top w:val="none" w:sz="0" w:space="0" w:color="auto"/>
        <w:left w:val="none" w:sz="0" w:space="0" w:color="auto"/>
        <w:bottom w:val="none" w:sz="0" w:space="0" w:color="auto"/>
        <w:right w:val="none" w:sz="0" w:space="0" w:color="auto"/>
      </w:divBdr>
    </w:div>
    <w:div w:id="1797093589">
      <w:bodyDiv w:val="1"/>
      <w:marLeft w:val="0"/>
      <w:marRight w:val="0"/>
      <w:marTop w:val="0"/>
      <w:marBottom w:val="0"/>
      <w:divBdr>
        <w:top w:val="none" w:sz="0" w:space="0" w:color="auto"/>
        <w:left w:val="none" w:sz="0" w:space="0" w:color="auto"/>
        <w:bottom w:val="none" w:sz="0" w:space="0" w:color="auto"/>
        <w:right w:val="none" w:sz="0" w:space="0" w:color="auto"/>
      </w:divBdr>
    </w:div>
    <w:div w:id="1806314804">
      <w:bodyDiv w:val="1"/>
      <w:marLeft w:val="0"/>
      <w:marRight w:val="0"/>
      <w:marTop w:val="0"/>
      <w:marBottom w:val="0"/>
      <w:divBdr>
        <w:top w:val="none" w:sz="0" w:space="0" w:color="auto"/>
        <w:left w:val="none" w:sz="0" w:space="0" w:color="auto"/>
        <w:bottom w:val="none" w:sz="0" w:space="0" w:color="auto"/>
        <w:right w:val="none" w:sz="0" w:space="0" w:color="auto"/>
      </w:divBdr>
    </w:div>
    <w:div w:id="1811168700">
      <w:bodyDiv w:val="1"/>
      <w:marLeft w:val="0"/>
      <w:marRight w:val="0"/>
      <w:marTop w:val="0"/>
      <w:marBottom w:val="0"/>
      <w:divBdr>
        <w:top w:val="none" w:sz="0" w:space="0" w:color="auto"/>
        <w:left w:val="none" w:sz="0" w:space="0" w:color="auto"/>
        <w:bottom w:val="none" w:sz="0" w:space="0" w:color="auto"/>
        <w:right w:val="none" w:sz="0" w:space="0" w:color="auto"/>
      </w:divBdr>
    </w:div>
    <w:div w:id="1850095884">
      <w:bodyDiv w:val="1"/>
      <w:marLeft w:val="0"/>
      <w:marRight w:val="0"/>
      <w:marTop w:val="0"/>
      <w:marBottom w:val="0"/>
      <w:divBdr>
        <w:top w:val="none" w:sz="0" w:space="0" w:color="auto"/>
        <w:left w:val="none" w:sz="0" w:space="0" w:color="auto"/>
        <w:bottom w:val="none" w:sz="0" w:space="0" w:color="auto"/>
        <w:right w:val="none" w:sz="0" w:space="0" w:color="auto"/>
      </w:divBdr>
      <w:divsChild>
        <w:div w:id="1447308537">
          <w:marLeft w:val="0"/>
          <w:marRight w:val="0"/>
          <w:marTop w:val="0"/>
          <w:marBottom w:val="0"/>
          <w:divBdr>
            <w:top w:val="none" w:sz="0" w:space="0" w:color="auto"/>
            <w:left w:val="none" w:sz="0" w:space="0" w:color="auto"/>
            <w:bottom w:val="none" w:sz="0" w:space="0" w:color="auto"/>
            <w:right w:val="none" w:sz="0" w:space="0" w:color="auto"/>
          </w:divBdr>
          <w:divsChild>
            <w:div w:id="730421663">
              <w:marLeft w:val="0"/>
              <w:marRight w:val="0"/>
              <w:marTop w:val="0"/>
              <w:marBottom w:val="0"/>
              <w:divBdr>
                <w:top w:val="none" w:sz="0" w:space="0" w:color="auto"/>
                <w:left w:val="none" w:sz="0" w:space="0" w:color="auto"/>
                <w:bottom w:val="none" w:sz="0" w:space="0" w:color="auto"/>
                <w:right w:val="none" w:sz="0" w:space="0" w:color="auto"/>
              </w:divBdr>
              <w:divsChild>
                <w:div w:id="540672865">
                  <w:marLeft w:val="0"/>
                  <w:marRight w:val="0"/>
                  <w:marTop w:val="0"/>
                  <w:marBottom w:val="0"/>
                  <w:divBdr>
                    <w:top w:val="none" w:sz="0" w:space="0" w:color="auto"/>
                    <w:left w:val="none" w:sz="0" w:space="0" w:color="auto"/>
                    <w:bottom w:val="none" w:sz="0" w:space="0" w:color="auto"/>
                    <w:right w:val="none" w:sz="0" w:space="0" w:color="auto"/>
                  </w:divBdr>
                  <w:divsChild>
                    <w:div w:id="9803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6131">
      <w:bodyDiv w:val="1"/>
      <w:marLeft w:val="0"/>
      <w:marRight w:val="0"/>
      <w:marTop w:val="0"/>
      <w:marBottom w:val="0"/>
      <w:divBdr>
        <w:top w:val="none" w:sz="0" w:space="0" w:color="auto"/>
        <w:left w:val="none" w:sz="0" w:space="0" w:color="auto"/>
        <w:bottom w:val="none" w:sz="0" w:space="0" w:color="auto"/>
        <w:right w:val="none" w:sz="0" w:space="0" w:color="auto"/>
      </w:divBdr>
    </w:div>
    <w:div w:id="1905723751">
      <w:bodyDiv w:val="1"/>
      <w:marLeft w:val="0"/>
      <w:marRight w:val="0"/>
      <w:marTop w:val="0"/>
      <w:marBottom w:val="0"/>
      <w:divBdr>
        <w:top w:val="none" w:sz="0" w:space="0" w:color="auto"/>
        <w:left w:val="none" w:sz="0" w:space="0" w:color="auto"/>
        <w:bottom w:val="none" w:sz="0" w:space="0" w:color="auto"/>
        <w:right w:val="none" w:sz="0" w:space="0" w:color="auto"/>
      </w:divBdr>
    </w:div>
    <w:div w:id="1965113112">
      <w:bodyDiv w:val="1"/>
      <w:marLeft w:val="0"/>
      <w:marRight w:val="0"/>
      <w:marTop w:val="0"/>
      <w:marBottom w:val="0"/>
      <w:divBdr>
        <w:top w:val="none" w:sz="0" w:space="0" w:color="auto"/>
        <w:left w:val="none" w:sz="0" w:space="0" w:color="auto"/>
        <w:bottom w:val="none" w:sz="0" w:space="0" w:color="auto"/>
        <w:right w:val="none" w:sz="0" w:space="0" w:color="auto"/>
      </w:divBdr>
      <w:divsChild>
        <w:div w:id="1416439759">
          <w:marLeft w:val="75"/>
          <w:marRight w:val="75"/>
          <w:marTop w:val="0"/>
          <w:marBottom w:val="0"/>
          <w:divBdr>
            <w:top w:val="none" w:sz="0" w:space="0" w:color="auto"/>
            <w:left w:val="none" w:sz="0" w:space="0" w:color="auto"/>
            <w:bottom w:val="none" w:sz="0" w:space="0" w:color="auto"/>
            <w:right w:val="none" w:sz="0" w:space="0" w:color="auto"/>
          </w:divBdr>
          <w:divsChild>
            <w:div w:id="1359937832">
              <w:marLeft w:val="0"/>
              <w:marRight w:val="0"/>
              <w:marTop w:val="0"/>
              <w:marBottom w:val="210"/>
              <w:divBdr>
                <w:top w:val="none" w:sz="0" w:space="0" w:color="auto"/>
                <w:left w:val="none" w:sz="0" w:space="0" w:color="auto"/>
                <w:bottom w:val="none" w:sz="0" w:space="0" w:color="auto"/>
                <w:right w:val="none" w:sz="0" w:space="0" w:color="auto"/>
              </w:divBdr>
              <w:divsChild>
                <w:div w:id="52311956">
                  <w:marLeft w:val="0"/>
                  <w:marRight w:val="0"/>
                  <w:marTop w:val="210"/>
                  <w:marBottom w:val="0"/>
                  <w:divBdr>
                    <w:top w:val="none" w:sz="0" w:space="0" w:color="auto"/>
                    <w:left w:val="none" w:sz="0" w:space="0" w:color="auto"/>
                    <w:bottom w:val="none" w:sz="0" w:space="0" w:color="auto"/>
                    <w:right w:val="none" w:sz="0" w:space="0" w:color="auto"/>
                  </w:divBdr>
                  <w:divsChild>
                    <w:div w:id="258610598">
                      <w:marLeft w:val="0"/>
                      <w:marRight w:val="0"/>
                      <w:marTop w:val="0"/>
                      <w:marBottom w:val="105"/>
                      <w:divBdr>
                        <w:top w:val="none" w:sz="0" w:space="0" w:color="auto"/>
                        <w:left w:val="none" w:sz="0" w:space="0" w:color="auto"/>
                        <w:bottom w:val="none" w:sz="0" w:space="0" w:color="auto"/>
                        <w:right w:val="none" w:sz="0" w:space="0" w:color="auto"/>
                      </w:divBdr>
                      <w:divsChild>
                        <w:div w:id="260332517">
                          <w:marLeft w:val="0"/>
                          <w:marRight w:val="0"/>
                          <w:marTop w:val="105"/>
                          <w:marBottom w:val="0"/>
                          <w:divBdr>
                            <w:top w:val="none" w:sz="0" w:space="0" w:color="auto"/>
                            <w:left w:val="none" w:sz="0" w:space="0" w:color="auto"/>
                            <w:bottom w:val="none" w:sz="0" w:space="0" w:color="auto"/>
                            <w:right w:val="none" w:sz="0" w:space="0" w:color="auto"/>
                          </w:divBdr>
                          <w:divsChild>
                            <w:div w:id="423957502">
                              <w:marLeft w:val="0"/>
                              <w:marRight w:val="0"/>
                              <w:marTop w:val="0"/>
                              <w:marBottom w:val="105"/>
                              <w:divBdr>
                                <w:top w:val="none" w:sz="0" w:space="0" w:color="auto"/>
                                <w:left w:val="none" w:sz="0" w:space="0" w:color="auto"/>
                                <w:bottom w:val="none" w:sz="0" w:space="0" w:color="auto"/>
                                <w:right w:val="none" w:sz="0" w:space="0" w:color="auto"/>
                              </w:divBdr>
                              <w:divsChild>
                                <w:div w:id="12812290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65691">
      <w:bodyDiv w:val="1"/>
      <w:marLeft w:val="0"/>
      <w:marRight w:val="0"/>
      <w:marTop w:val="0"/>
      <w:marBottom w:val="0"/>
      <w:divBdr>
        <w:top w:val="none" w:sz="0" w:space="0" w:color="auto"/>
        <w:left w:val="none" w:sz="0" w:space="0" w:color="auto"/>
        <w:bottom w:val="none" w:sz="0" w:space="0" w:color="auto"/>
        <w:right w:val="none" w:sz="0" w:space="0" w:color="auto"/>
      </w:divBdr>
      <w:divsChild>
        <w:div w:id="1572809611">
          <w:marLeft w:val="480"/>
          <w:marRight w:val="0"/>
          <w:marTop w:val="0"/>
          <w:marBottom w:val="0"/>
          <w:divBdr>
            <w:top w:val="none" w:sz="0" w:space="0" w:color="auto"/>
            <w:left w:val="none" w:sz="0" w:space="0" w:color="auto"/>
            <w:bottom w:val="none" w:sz="0" w:space="0" w:color="auto"/>
            <w:right w:val="none" w:sz="0" w:space="0" w:color="auto"/>
          </w:divBdr>
          <w:divsChild>
            <w:div w:id="2656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1480">
      <w:bodyDiv w:val="1"/>
      <w:marLeft w:val="0"/>
      <w:marRight w:val="0"/>
      <w:marTop w:val="0"/>
      <w:marBottom w:val="0"/>
      <w:divBdr>
        <w:top w:val="none" w:sz="0" w:space="0" w:color="auto"/>
        <w:left w:val="none" w:sz="0" w:space="0" w:color="auto"/>
        <w:bottom w:val="none" w:sz="0" w:space="0" w:color="auto"/>
        <w:right w:val="none" w:sz="0" w:space="0" w:color="auto"/>
      </w:divBdr>
    </w:div>
    <w:div w:id="2030645288">
      <w:bodyDiv w:val="1"/>
      <w:marLeft w:val="0"/>
      <w:marRight w:val="0"/>
      <w:marTop w:val="0"/>
      <w:marBottom w:val="0"/>
      <w:divBdr>
        <w:top w:val="none" w:sz="0" w:space="0" w:color="auto"/>
        <w:left w:val="none" w:sz="0" w:space="0" w:color="auto"/>
        <w:bottom w:val="none" w:sz="0" w:space="0" w:color="auto"/>
        <w:right w:val="none" w:sz="0" w:space="0" w:color="auto"/>
      </w:divBdr>
      <w:divsChild>
        <w:div w:id="1224950408">
          <w:marLeft w:val="0"/>
          <w:marRight w:val="0"/>
          <w:marTop w:val="0"/>
          <w:marBottom w:val="0"/>
          <w:divBdr>
            <w:top w:val="none" w:sz="0" w:space="0" w:color="auto"/>
            <w:left w:val="none" w:sz="0" w:space="0" w:color="auto"/>
            <w:bottom w:val="none" w:sz="0" w:space="0" w:color="auto"/>
            <w:right w:val="none" w:sz="0" w:space="0" w:color="auto"/>
          </w:divBdr>
          <w:divsChild>
            <w:div w:id="1606300931">
              <w:marLeft w:val="3000"/>
              <w:marRight w:val="0"/>
              <w:marTop w:val="0"/>
              <w:marBottom w:val="0"/>
              <w:divBdr>
                <w:top w:val="single" w:sz="12" w:space="0" w:color="000000"/>
                <w:left w:val="none" w:sz="0" w:space="0" w:color="auto"/>
                <w:bottom w:val="none" w:sz="0" w:space="0" w:color="auto"/>
                <w:right w:val="none" w:sz="0" w:space="0" w:color="auto"/>
              </w:divBdr>
              <w:divsChild>
                <w:div w:id="1631394440">
                  <w:marLeft w:val="0"/>
                  <w:marRight w:val="0"/>
                  <w:marTop w:val="0"/>
                  <w:marBottom w:val="0"/>
                  <w:divBdr>
                    <w:top w:val="none" w:sz="0" w:space="0" w:color="auto"/>
                    <w:left w:val="none" w:sz="0" w:space="0" w:color="auto"/>
                    <w:bottom w:val="none" w:sz="0" w:space="0" w:color="auto"/>
                    <w:right w:val="none" w:sz="0" w:space="0" w:color="auto"/>
                  </w:divBdr>
                  <w:divsChild>
                    <w:div w:id="1322778706">
                      <w:marLeft w:val="0"/>
                      <w:marRight w:val="0"/>
                      <w:marTop w:val="0"/>
                      <w:marBottom w:val="0"/>
                      <w:divBdr>
                        <w:top w:val="single" w:sz="12" w:space="12" w:color="000000"/>
                        <w:left w:val="none" w:sz="0" w:space="0" w:color="auto"/>
                        <w:bottom w:val="single" w:sz="12" w:space="12" w:color="000000"/>
                        <w:right w:val="none" w:sz="0" w:space="0" w:color="auto"/>
                      </w:divBdr>
                      <w:divsChild>
                        <w:div w:id="7661989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526">
      <w:bodyDiv w:val="1"/>
      <w:marLeft w:val="0"/>
      <w:marRight w:val="0"/>
      <w:marTop w:val="0"/>
      <w:marBottom w:val="0"/>
      <w:divBdr>
        <w:top w:val="none" w:sz="0" w:space="0" w:color="auto"/>
        <w:left w:val="none" w:sz="0" w:space="0" w:color="auto"/>
        <w:bottom w:val="none" w:sz="0" w:space="0" w:color="auto"/>
        <w:right w:val="none" w:sz="0" w:space="0" w:color="auto"/>
      </w:divBdr>
      <w:divsChild>
        <w:div w:id="497186964">
          <w:marLeft w:val="0"/>
          <w:marRight w:val="0"/>
          <w:marTop w:val="0"/>
          <w:marBottom w:val="600"/>
          <w:divBdr>
            <w:top w:val="none" w:sz="0" w:space="0" w:color="auto"/>
            <w:left w:val="none" w:sz="0" w:space="0" w:color="auto"/>
            <w:bottom w:val="none" w:sz="0" w:space="0" w:color="auto"/>
            <w:right w:val="none" w:sz="0" w:space="0" w:color="auto"/>
          </w:divBdr>
          <w:divsChild>
            <w:div w:id="1653487434">
              <w:marLeft w:val="0"/>
              <w:marRight w:val="0"/>
              <w:marTop w:val="450"/>
              <w:marBottom w:val="0"/>
              <w:divBdr>
                <w:top w:val="none" w:sz="0" w:space="0" w:color="auto"/>
                <w:left w:val="none" w:sz="0" w:space="0" w:color="auto"/>
                <w:bottom w:val="none" w:sz="0" w:space="0" w:color="auto"/>
                <w:right w:val="none" w:sz="0" w:space="0" w:color="auto"/>
              </w:divBdr>
              <w:divsChild>
                <w:div w:id="2013485021">
                  <w:marLeft w:val="0"/>
                  <w:marRight w:val="0"/>
                  <w:marTop w:val="0"/>
                  <w:marBottom w:val="0"/>
                  <w:divBdr>
                    <w:top w:val="none" w:sz="0" w:space="0" w:color="auto"/>
                    <w:left w:val="none" w:sz="0" w:space="0" w:color="auto"/>
                    <w:bottom w:val="none" w:sz="0" w:space="0" w:color="auto"/>
                    <w:right w:val="none" w:sz="0" w:space="0" w:color="auto"/>
                  </w:divBdr>
                  <w:divsChild>
                    <w:div w:id="109277885">
                      <w:marLeft w:val="225"/>
                      <w:marRight w:val="225"/>
                      <w:marTop w:val="180"/>
                      <w:marBottom w:val="180"/>
                      <w:divBdr>
                        <w:top w:val="none" w:sz="0" w:space="0" w:color="auto"/>
                        <w:left w:val="none" w:sz="0" w:space="0" w:color="auto"/>
                        <w:bottom w:val="none" w:sz="0" w:space="0" w:color="auto"/>
                        <w:right w:val="none" w:sz="0" w:space="0" w:color="auto"/>
                      </w:divBdr>
                      <w:divsChild>
                        <w:div w:id="1862428563">
                          <w:marLeft w:val="0"/>
                          <w:marRight w:val="0"/>
                          <w:marTop w:val="0"/>
                          <w:marBottom w:val="0"/>
                          <w:divBdr>
                            <w:top w:val="none" w:sz="0" w:space="0" w:color="auto"/>
                            <w:left w:val="none" w:sz="0" w:space="0" w:color="auto"/>
                            <w:bottom w:val="none" w:sz="0" w:space="0" w:color="auto"/>
                            <w:right w:val="none" w:sz="0" w:space="0" w:color="auto"/>
                          </w:divBdr>
                          <w:divsChild>
                            <w:div w:id="1999073164">
                              <w:marLeft w:val="0"/>
                              <w:marRight w:val="0"/>
                              <w:marTop w:val="0"/>
                              <w:marBottom w:val="0"/>
                              <w:divBdr>
                                <w:top w:val="none" w:sz="0" w:space="0" w:color="auto"/>
                                <w:left w:val="none" w:sz="0" w:space="0" w:color="auto"/>
                                <w:bottom w:val="none" w:sz="0" w:space="0" w:color="auto"/>
                                <w:right w:val="none" w:sz="0" w:space="0" w:color="auto"/>
                              </w:divBdr>
                              <w:divsChild>
                                <w:div w:id="461464886">
                                  <w:marLeft w:val="0"/>
                                  <w:marRight w:val="0"/>
                                  <w:marTop w:val="0"/>
                                  <w:marBottom w:val="0"/>
                                  <w:divBdr>
                                    <w:top w:val="none" w:sz="0" w:space="0" w:color="auto"/>
                                    <w:left w:val="none" w:sz="0" w:space="0" w:color="auto"/>
                                    <w:bottom w:val="none" w:sz="0" w:space="0" w:color="auto"/>
                                    <w:right w:val="none" w:sz="0" w:space="0" w:color="auto"/>
                                  </w:divBdr>
                                  <w:divsChild>
                                    <w:div w:id="5518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09436">
      <w:bodyDiv w:val="1"/>
      <w:marLeft w:val="0"/>
      <w:marRight w:val="0"/>
      <w:marTop w:val="0"/>
      <w:marBottom w:val="0"/>
      <w:divBdr>
        <w:top w:val="none" w:sz="0" w:space="0" w:color="auto"/>
        <w:left w:val="none" w:sz="0" w:space="0" w:color="auto"/>
        <w:bottom w:val="none" w:sz="0" w:space="0" w:color="auto"/>
        <w:right w:val="none" w:sz="0" w:space="0" w:color="auto"/>
      </w:divBdr>
    </w:div>
    <w:div w:id="2110083017">
      <w:bodyDiv w:val="1"/>
      <w:marLeft w:val="0"/>
      <w:marRight w:val="0"/>
      <w:marTop w:val="0"/>
      <w:marBottom w:val="0"/>
      <w:divBdr>
        <w:top w:val="none" w:sz="0" w:space="0" w:color="auto"/>
        <w:left w:val="none" w:sz="0" w:space="0" w:color="auto"/>
        <w:bottom w:val="none" w:sz="0" w:space="0" w:color="auto"/>
        <w:right w:val="none" w:sz="0" w:space="0" w:color="auto"/>
      </w:divBdr>
      <w:divsChild>
        <w:div w:id="638149002">
          <w:marLeft w:val="0"/>
          <w:marRight w:val="0"/>
          <w:marTop w:val="0"/>
          <w:marBottom w:val="0"/>
          <w:divBdr>
            <w:top w:val="none" w:sz="0" w:space="0" w:color="auto"/>
            <w:left w:val="none" w:sz="0" w:space="0" w:color="auto"/>
            <w:bottom w:val="none" w:sz="0" w:space="0" w:color="auto"/>
            <w:right w:val="none" w:sz="0" w:space="0" w:color="auto"/>
          </w:divBdr>
          <w:divsChild>
            <w:div w:id="286543647">
              <w:marLeft w:val="0"/>
              <w:marRight w:val="0"/>
              <w:marTop w:val="0"/>
              <w:marBottom w:val="90"/>
              <w:divBdr>
                <w:top w:val="none" w:sz="0" w:space="0" w:color="auto"/>
                <w:left w:val="none" w:sz="0" w:space="0" w:color="auto"/>
                <w:bottom w:val="none" w:sz="0" w:space="0" w:color="auto"/>
                <w:right w:val="none" w:sz="0" w:space="0" w:color="auto"/>
              </w:divBdr>
              <w:divsChild>
                <w:div w:id="41488271">
                  <w:marLeft w:val="0"/>
                  <w:marRight w:val="0"/>
                  <w:marTop w:val="0"/>
                  <w:marBottom w:val="0"/>
                  <w:divBdr>
                    <w:top w:val="none" w:sz="0" w:space="0" w:color="auto"/>
                    <w:left w:val="none" w:sz="0" w:space="0" w:color="auto"/>
                    <w:bottom w:val="none" w:sz="0" w:space="0" w:color="auto"/>
                    <w:right w:val="none" w:sz="0" w:space="0" w:color="auto"/>
                  </w:divBdr>
                </w:div>
                <w:div w:id="2140684106">
                  <w:marLeft w:val="0"/>
                  <w:marRight w:val="0"/>
                  <w:marTop w:val="0"/>
                  <w:marBottom w:val="0"/>
                  <w:divBdr>
                    <w:top w:val="none" w:sz="0" w:space="0" w:color="auto"/>
                    <w:left w:val="none" w:sz="0" w:space="0" w:color="auto"/>
                    <w:bottom w:val="none" w:sz="0" w:space="0" w:color="auto"/>
                    <w:right w:val="none" w:sz="0" w:space="0" w:color="auto"/>
                  </w:divBdr>
                  <w:divsChild>
                    <w:div w:id="20726542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59255035">
          <w:marLeft w:val="0"/>
          <w:marRight w:val="0"/>
          <w:marTop w:val="0"/>
          <w:marBottom w:val="0"/>
          <w:divBdr>
            <w:top w:val="none" w:sz="0" w:space="0" w:color="auto"/>
            <w:left w:val="none" w:sz="0" w:space="0" w:color="auto"/>
            <w:bottom w:val="none" w:sz="0" w:space="0" w:color="auto"/>
            <w:right w:val="none" w:sz="0" w:space="0" w:color="auto"/>
          </w:divBdr>
          <w:divsChild>
            <w:div w:id="3321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1528">
      <w:bodyDiv w:val="1"/>
      <w:marLeft w:val="0"/>
      <w:marRight w:val="0"/>
      <w:marTop w:val="0"/>
      <w:marBottom w:val="0"/>
      <w:divBdr>
        <w:top w:val="none" w:sz="0" w:space="0" w:color="auto"/>
        <w:left w:val="none" w:sz="0" w:space="0" w:color="auto"/>
        <w:bottom w:val="none" w:sz="0" w:space="0" w:color="auto"/>
        <w:right w:val="none" w:sz="0" w:space="0" w:color="auto"/>
      </w:divBdr>
    </w:div>
    <w:div w:id="214592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hyperlink" Target="https://www.cdpdj.qc.ca/fr/publications/de-lillacgalitac-a-lacgalit" TargetMode="External"/><Relationship Id="rId47" Type="http://schemas.openxmlformats.org/officeDocument/2006/relationships/hyperlink" Target="https://www.cdpdj.qc.ca/storage/app/media/publications/memoire_PL_56_intimidation_violence_ecole.pdf" TargetMode="External"/><Relationship Id="rId50" Type="http://schemas.openxmlformats.org/officeDocument/2006/relationships/hyperlink" Target="https://cdpdj.qc.ca/storage/app/media/publications/memoire_PL59_discours-haineux.pdf" TargetMode="External"/><Relationship Id="rId55" Type="http://schemas.openxmlformats.org/officeDocument/2006/relationships/hyperlink" Target="https://www.cdpdj.qc.ca/fr/publications/reforme-droit-famille-memoire" TargetMode="External"/><Relationship Id="rId63" Type="http://schemas.openxmlformats.org/officeDocument/2006/relationships/header" Target="header18.xml"/><Relationship Id="rId68" Type="http://schemas.openxmlformats.org/officeDocument/2006/relationships/footer" Target="footer1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hyperlink" Target="https://www.cdpdj.qc.ca/fr/publications/de-lacgalitac-juridique-a-l" TargetMode="External"/><Relationship Id="rId53" Type="http://schemas.openxmlformats.org/officeDocument/2006/relationships/hyperlink" Target="https://www.cdpdj.qc.ca/storage/app/media/publications/notes_PL70_therapies_conversion.pdf" TargetMode="External"/><Relationship Id="rId58" Type="http://schemas.openxmlformats.org/officeDocument/2006/relationships/hyperlink" Target="https://www.cdpdj.qc.ca/fr/publications/lettre-identite-genre" TargetMode="External"/><Relationship Id="rId66"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5.xml"/><Relationship Id="rId49" Type="http://schemas.openxmlformats.org/officeDocument/2006/relationships/hyperlink" Target="https://www.cdpdj.qc.ca/storage/app/media/publications/commentaires_etat-civil_trans.pdf" TargetMode="External"/><Relationship Id="rId57" Type="http://schemas.openxmlformats.org/officeDocument/2006/relationships/hyperlink" Target="https://www.cdpdj.qc.ca/fr/actualites/declaration-propos-transphobes" TargetMode="External"/><Relationship Id="rId61" Type="http://schemas.openxmlformats.org/officeDocument/2006/relationships/hyperlink" Target="https://cdpdj.qc.ca/storage/app/media/blocs-informations/pour-en-savoir-plus-accommodement-raisonnable/Guide_virtuel_accommodement.pdf"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2.xml"/><Relationship Id="rId44" Type="http://schemas.openxmlformats.org/officeDocument/2006/relationships/hyperlink" Target="https://www.cdpdj.qc.ca/storage/app/media/publications/union_civile.pdf" TargetMode="External"/><Relationship Id="rId52" Type="http://schemas.openxmlformats.org/officeDocument/2006/relationships/hyperlink" Target="https://www.cdpdj.qc.ca/fr/actualites/lettre-au-pracsident-de-la-com-7" TargetMode="External"/><Relationship Id="rId60" Type="http://schemas.openxmlformats.org/officeDocument/2006/relationships/hyperlink" Target="https://www.cdpdj.qc.ca/fr/publications/module-genre" TargetMode="External"/><Relationship Id="rId65"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yperlink" Target="https://www.cdpdj.qc.ca/storage/app/media/publications/pl133_memoire.pdf" TargetMode="External"/><Relationship Id="rId48" Type="http://schemas.openxmlformats.org/officeDocument/2006/relationships/hyperlink" Target="https://www.cdpdj.qc.ca/storage/app/media/publications/commentaires_PL35_Code_civil_trans_testament_sourd.pdf" TargetMode="External"/><Relationship Id="rId56" Type="http://schemas.openxmlformats.org/officeDocument/2006/relationships/hyperlink" Target="https://www.cdpdj.qc.ca/storage/app/media/publications/2022-12-22%20ENVOI%20Taillon_Lettre_Prog%20prov_Culture_citoyennet%C3%A9_qu%C3%A9b%C3%A9coise.pdf" TargetMode="External"/><Relationship Id="rId64" Type="http://schemas.openxmlformats.org/officeDocument/2006/relationships/header" Target="header19.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cdpdj.qc.ca/fr/actualites/lettre-a-la-ministre-responsa-4"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yperlink" Target="https://www.cdpdj.qc.ca/storage/app/media/publications/Commentaires_PL_70_Victimes_actes_criminels.pdf" TargetMode="External"/><Relationship Id="rId59" Type="http://schemas.openxmlformats.org/officeDocument/2006/relationships/hyperlink" Target="https://www.cdpdj.qc.ca/fr/actualites/lettre-PL47-protection-eleves" TargetMode="External"/><Relationship Id="rId67" Type="http://schemas.openxmlformats.org/officeDocument/2006/relationships/header" Target="header20.xml"/><Relationship Id="rId20" Type="http://schemas.openxmlformats.org/officeDocument/2006/relationships/header" Target="header5.xml"/><Relationship Id="rId41" Type="http://schemas.openxmlformats.org/officeDocument/2006/relationships/hyperlink" Target="https://unik.caij.qc.ca/permalien/fr/qc/legis/lois/lrq-c-c-12/derniere/lrq-c-c-12?anchor=art15par1_smooth" TargetMode="External"/><Relationship Id="rId54" Type="http://schemas.openxmlformats.org/officeDocument/2006/relationships/hyperlink" Target="https://www.cdpdj.qc.ca/storage/app/media/publications/memoire_consultation-police_CCRP.pdf" TargetMode="External"/><Relationship Id="rId62" Type="http://schemas.openxmlformats.org/officeDocument/2006/relationships/footer" Target="footer12.xml"/><Relationship Id="rId70"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s://publications.saskatchewan.ca/" TargetMode="External"/><Relationship Id="rId117" Type="http://schemas.openxmlformats.org/officeDocument/2006/relationships/hyperlink" Target="https://www.journaldequebec.com/2023/05/02/athletes-transgenres-le-reseau-du-sport-etudiant-reclame-une-directive-claire" TargetMode="External"/><Relationship Id="rId21" Type="http://schemas.openxmlformats.org/officeDocument/2006/relationships/hyperlink" Target="https://www150.statcan.gc.ca/n1/fr/pub/82-003-x/2023009/article/00001-fra.pdf?st=kZzi-QRr" TargetMode="External"/><Relationship Id="rId42" Type="http://schemas.openxmlformats.org/officeDocument/2006/relationships/hyperlink" Target="https://www.bibliotheque.assnat.qc.ca/DepotNumerique_v2/AffichageFichier.aspx?idf=141767" TargetMode="External"/><Relationship Id="rId47" Type="http://schemas.openxmlformats.org/officeDocument/2006/relationships/hyperlink" Target="https://savie-lgbtq.uqam.ca/journees-savie-lgbtq/" TargetMode="External"/><Relationship Id="rId63" Type="http://schemas.openxmlformats.org/officeDocument/2006/relationships/hyperlink" Target="https://lglc.ca/" TargetMode="External"/><Relationship Id="rId68" Type="http://schemas.openxmlformats.org/officeDocument/2006/relationships/hyperlink" Target="https://doi.org/10.4000/socio-logos.2837" TargetMode="External"/><Relationship Id="rId84" Type="http://schemas.openxmlformats.org/officeDocument/2006/relationships/hyperlink" Target="https://www.cacp.ca/_Library/_documents/202012101218101621684590_accp2slgbtq2sequitetinclusionboteoutilsdc2020.pdf" TargetMode="External"/><Relationship Id="rId89" Type="http://schemas.openxmlformats.org/officeDocument/2006/relationships/hyperlink" Target="https://cdn-contenu.quebec.ca/cdn-contenu/adm/org/SCF/publications/plans-strategiques/Strategie-egalite-2022-2027.pdf" TargetMode="External"/><Relationship Id="rId112" Type="http://schemas.openxmlformats.org/officeDocument/2006/relationships/hyperlink" Target="https://www.england.nhs.uk/commissioning/spec-services/npc-crg/gender-dysphoria-clinical-programme/implementing-advice-from-the-cass-review/" TargetMode="External"/><Relationship Id="rId16" Type="http://schemas.openxmlformats.org/officeDocument/2006/relationships/hyperlink" Target="https://cdn-contenu.quebec.ca/cdn-contenu/adm/gouv/homophobie-transphobie/PL-plan-action-therapies-conversion-Bilan-mars2022-SCF.pdf" TargetMode="External"/><Relationship Id="rId107" Type="http://schemas.openxmlformats.org/officeDocument/2006/relationships/hyperlink" Target="https://www.unicef.org/fr/node/28116" TargetMode="External"/><Relationship Id="rId11" Type="http://schemas.openxmlformats.org/officeDocument/2006/relationships/hyperlink" Target="https://www.cdpdj.qc.ca/fr/publications/commentaires-sur-le-projet-de-25" TargetMode="External"/><Relationship Id="rId32" Type="http://schemas.openxmlformats.org/officeDocument/2006/relationships/hyperlink" Target="https://palveluvalikoima.fi/documents/1237350/22895623/Summary_non-binary_en.pdf/8e5f9035-6c98-40d9-6acd-7459516d6f92/Summary_non-binary_en.pdf?t=1592318035000" TargetMode="External"/><Relationship Id="rId37" Type="http://schemas.openxmlformats.org/officeDocument/2006/relationships/hyperlink" Target="https://www.forbes.com/sites/joshuacohen/2023/06/06/increasing-number-of-european-nations-adopt-a-more-cautious-approach-to-gender-affirming-care-among-minors/?sh=61483a867efb" TargetMode="External"/><Relationship Id="rId53" Type="http://schemas.openxmlformats.org/officeDocument/2006/relationships/hyperlink" Target="https://agq.qc.ca/histoire-des-communautes-lgbtq2s-du-quebec/" TargetMode="External"/><Relationship Id="rId58" Type="http://schemas.openxmlformats.org/officeDocument/2006/relationships/hyperlink" Target="https://www150.statcan.gc.ca/n1/daily-quotidien/220427/dq220427b-fra.htm" TargetMode="External"/><Relationship Id="rId74" Type="http://schemas.openxmlformats.org/officeDocument/2006/relationships/hyperlink" Target="https://doi.org/10.1177/0959353512467968" TargetMode="External"/><Relationship Id="rId79" Type="http://schemas.openxmlformats.org/officeDocument/2006/relationships/hyperlink" Target="https://doi.org/10.3138/chr.2018-0082-4" TargetMode="External"/><Relationship Id="rId102" Type="http://schemas.openxmlformats.org/officeDocument/2006/relationships/hyperlink" Target="https://www.canlii.org/fr/ca/csc/doc/1999/1999canlii646/1999canlii646.html" TargetMode="External"/><Relationship Id="rId123" Type="http://schemas.openxmlformats.org/officeDocument/2006/relationships/hyperlink" Target="https://www.lesoleil.com/2023/02/02/maisons-dhebergement-les-femmes-trans-y-ont-leur-place-9ee4ea2233c6189d5f91a238074b817c/" TargetMode="External"/><Relationship Id="rId128" Type="http://schemas.openxmlformats.org/officeDocument/2006/relationships/hyperlink" Target="https://www.saskadvocate.ca/assets/acy-policy-review-use-of-preferred-first-name-and-pronouns-of-students-september-15-2023-final.pdf" TargetMode="External"/><Relationship Id="rId5" Type="http://schemas.openxmlformats.org/officeDocument/2006/relationships/hyperlink" Target="https://canlii.ca/t/1fvfw" TargetMode="External"/><Relationship Id="rId90" Type="http://schemas.openxmlformats.org/officeDocument/2006/relationships/hyperlink" Target="https://www.ohrc.on.ca/fr/politique-sur-la-pr%C3%A9vention-de-la-discrimination-fond%C3%A9e-sur-l%E2%80%99identit%C3%A9-sexuelle-et-l%E2%80%99expression-de-l" TargetMode="External"/><Relationship Id="rId95" Type="http://schemas.openxmlformats.org/officeDocument/2006/relationships/hyperlink" Target="https://www.unfe.org/fr/know-the-facts/definitions" TargetMode="External"/><Relationship Id="rId19" Type="http://schemas.openxmlformats.org/officeDocument/2006/relationships/hyperlink" Target="https://www.ledevoir.com/politique/quebec/808374/quebec-autorise-personnes-non-binaires-utiliser-sigle-x-documents-identite" TargetMode="External"/><Relationship Id="rId14" Type="http://schemas.openxmlformats.org/officeDocument/2006/relationships/hyperlink" Target="https://www.cdpdj.qc.ca/fr/nos-services/outils-en-ligne/formations-en-ligne" TargetMode="External"/><Relationship Id="rId22" Type="http://schemas.openxmlformats.org/officeDocument/2006/relationships/hyperlink" Target="https://www150.statcan.gc.ca/n1/fr/daily-quotidien/230322/dq230322a-fra.pdf?st=gsKlB8ui" TargetMode="External"/><Relationship Id="rId27" Type="http://schemas.openxmlformats.org/officeDocument/2006/relationships/hyperlink" Target="https://www.alberta.ca/release.cfm?xID=89690FEFD06CA-AC6A-E4E1-C9274DADFC0141DC" TargetMode="External"/><Relationship Id="rId30" Type="http://schemas.openxmlformats.org/officeDocument/2006/relationships/hyperlink" Target="https://rm.coe.int/issue-paper-on-human-rights-and-gender-identity-and-expression-by-dunj/1680aed541" TargetMode="External"/><Relationship Id="rId35" Type="http://schemas.openxmlformats.org/officeDocument/2006/relationships/hyperlink" Target="https://www.sbu.se/en/publications/sbu-bereder/gender-dysphoria-in-children-and-adolescents-an-inventory-of-the-literature/" TargetMode="External"/><Relationship Id="rId43" Type="http://schemas.openxmlformats.org/officeDocument/2006/relationships/hyperlink" Target="https://cdn-contenu.quebec.ca/cdn-contenu/adm/gouv/homophobie-transphobie/PL_action_PLCHT_2017-2022_MJQ.pdf" TargetMode="External"/><Relationship Id="rId48" Type="http://schemas.openxmlformats.org/officeDocument/2006/relationships/hyperlink" Target="https://www.cdpdj.qc.ca/storage/app/media/publications/Planification_strategique_2021-2025.pdf" TargetMode="External"/><Relationship Id="rId56" Type="http://schemas.openxmlformats.org/officeDocument/2006/relationships/hyperlink" Target="https://www.canada.ca/fr/femmes-egalite-genres/sois-toi-meme/glossaire-2elgbtqi-plus.html" TargetMode="External"/><Relationship Id="rId64" Type="http://schemas.openxmlformats.org/officeDocument/2006/relationships/hyperlink" Target="https://utpjournals.press/doi/full/10.3138/jcs-2020-0067?role=tab" TargetMode="External"/><Relationship Id="rId69" Type="http://schemas.openxmlformats.org/officeDocument/2006/relationships/hyperlink" Target="https://doi.org/10.3390%2Fijerph16060978" TargetMode="External"/><Relationship Id="rId77" Type="http://schemas.openxmlformats.org/officeDocument/2006/relationships/hyperlink" Target="https://www.cdpdj.qc.ca/storage/app/media/publications/itinerance_avis.pdf" TargetMode="External"/><Relationship Id="rId100" Type="http://schemas.openxmlformats.org/officeDocument/2006/relationships/hyperlink" Target="https://www.canlii.org/fr/qc/qctdp/doc/2021/2021qctdp35/2021qctdp35.html" TargetMode="External"/><Relationship Id="rId105" Type="http://schemas.openxmlformats.org/officeDocument/2006/relationships/hyperlink" Target="https://www.undp.org/sites/g/files/zskgke326/files/2023-04/Advancing%20the%20human%20rights%20of%20LGBTI%20people%20-%20FRENCH.pdf" TargetMode="External"/><Relationship Id="rId113" Type="http://schemas.openxmlformats.org/officeDocument/2006/relationships/hyperlink" Target="https://cass.independent-review.uk/wp-content/uploads/2022/07/Cass-Review-Letter-to-NHSE_19-July-2022.pdf" TargetMode="External"/><Relationship Id="rId118" Type="http://schemas.openxmlformats.org/officeDocument/2006/relationships/hyperlink" Target="https://www.journaldequebec.com/2023/11/01/quatre-fois-ou-les-athletes-transgenres-ont-suscite-le-debat" TargetMode="External"/><Relationship Id="rId126" Type="http://schemas.openxmlformats.org/officeDocument/2006/relationships/hyperlink" Target="https://academic.oup.com/hsw/article-abstract/46/4/260/6378750?login=false" TargetMode="External"/><Relationship Id="rId8" Type="http://schemas.openxmlformats.org/officeDocument/2006/relationships/hyperlink" Target="https://www.cdpdj.qc.ca/fr/publications/commentaires-sur-le-projet-de-3" TargetMode="External"/><Relationship Id="rId51" Type="http://schemas.openxmlformats.org/officeDocument/2006/relationships/hyperlink" Target="https://chairedspg.uqam.ca/ligne-temps/" TargetMode="External"/><Relationship Id="rId72" Type="http://schemas.openxmlformats.org/officeDocument/2006/relationships/hyperlink" Target="https://juridique.defenseurdesdroits.fr/index.php?lvl=notice_display&amp;id=50479&amp;opac_view=-1" TargetMode="External"/><Relationship Id="rId80" Type="http://schemas.openxmlformats.org/officeDocument/2006/relationships/hyperlink" Target="https://www.pm.gc.ca/fr/nouvelles/discours/2017/11/28/discours-du-premier-ministre-justin-trudeau-presenter-des-excuses-aux" TargetMode="External"/><Relationship Id="rId85" Type="http://schemas.openxmlformats.org/officeDocument/2006/relationships/hyperlink" Target="https://www.journaldemontreal.com/2023/09/13/les-toilettes-mixtes-qui-existent-deja-dans-les-ecoles-plutot-bien-recues" TargetMode="External"/><Relationship Id="rId93" Type="http://schemas.openxmlformats.org/officeDocument/2006/relationships/hyperlink" Target="https://www.lapresse.ca/actualites/politique/2021-11-09/changement-de-sexe-a-l-etat-civil/quebec-recule-et-n-impose-plus-une-operation-genitale.php" TargetMode="External"/><Relationship Id="rId98" Type="http://schemas.openxmlformats.org/officeDocument/2006/relationships/hyperlink" Target="https://core.ac.uk/download/pdf/156871592.pdf" TargetMode="External"/><Relationship Id="rId121" Type="http://schemas.openxmlformats.org/officeDocument/2006/relationships/hyperlink" Target="https://www.ledevoir.com/societe/519018/identite-de-genre-de-nouvelles-mesures-dans-les-prisons-federales" TargetMode="External"/><Relationship Id="rId3" Type="http://schemas.openxmlformats.org/officeDocument/2006/relationships/hyperlink" Target="https://www.cdpdj.qc.ca/storage/app/media/publications/pl133_memoire.pdf" TargetMode="External"/><Relationship Id="rId12" Type="http://schemas.openxmlformats.org/officeDocument/2006/relationships/hyperlink" Target="https://www.cdpdj.qc.ca/fr/publications/reforme-droit-famille-memoire" TargetMode="External"/><Relationship Id="rId17" Type="http://schemas.openxmlformats.org/officeDocument/2006/relationships/hyperlink" Target="https://www.quebec.ca/nouvelles/actualites/details/mise-sur-pied-du-comite-de-sages-sur-lidentite-de-genre-52578" TargetMode="External"/><Relationship Id="rId25" Type="http://schemas.openxmlformats.org/officeDocument/2006/relationships/hyperlink" Target="https://www2.gnb.ca/content/gnb/fr/nouvelles/communique.2023.06.0297.html" TargetMode="External"/><Relationship Id="rId33" Type="http://schemas.openxmlformats.org/officeDocument/2006/relationships/hyperlink" Target="https://palveluvalikoima.fi/documents/1237350/22895838/Summary+transgender.pdf/2cc3f053-2e34-39ce-4e21-becd685b3044/Summary+transgender.pdf?t=1592318543000" TargetMode="External"/><Relationship Id="rId38" Type="http://schemas.openxmlformats.org/officeDocument/2006/relationships/hyperlink" Target="https://doi.org/10.1080/26895269.2022.2100644" TargetMode="External"/><Relationship Id="rId46" Type="http://schemas.openxmlformats.org/officeDocument/2006/relationships/hyperlink" Target="https://savie-lgbtq.uqam.ca/" TargetMode="External"/><Relationship Id="rId59" Type="http://schemas.openxmlformats.org/officeDocument/2006/relationships/hyperlink" Target="https://www.mmiwg-ffada.ca/fr/final-report/" TargetMode="External"/><Relationship Id="rId67" Type="http://schemas.openxmlformats.org/officeDocument/2006/relationships/hyperlink" Target="https://icd.who.int/fr" TargetMode="External"/><Relationship Id="rId103" Type="http://schemas.openxmlformats.org/officeDocument/2006/relationships/hyperlink" Target="https://www.canlii.org/fr/qc/qccs/doc/2016/2016qccs4521/2016qccs4521.html" TargetMode="External"/><Relationship Id="rId108" Type="http://schemas.openxmlformats.org/officeDocument/2006/relationships/hyperlink" Target="https://www.saravyc.ubc.ca/ctyhs2019/" TargetMode="External"/><Relationship Id="rId116" Type="http://schemas.openxmlformats.org/officeDocument/2006/relationships/hyperlink" Target="https://www.lapresse.ca/actualites/2024-03-16/vestiaire-universel-au-cepsum/des-femmes-se-sont-plaintes-d-incivilites.php" TargetMode="External"/><Relationship Id="rId124" Type="http://schemas.openxmlformats.org/officeDocument/2006/relationships/hyperlink" Target="https://doi.org/10.1111/psj.12484" TargetMode="External"/><Relationship Id="rId129" Type="http://schemas.openxmlformats.org/officeDocument/2006/relationships/hyperlink" Target="https://www.ocya.alberta.ca/adult/news/statement-supporting-gender-diverse-children-and-youth/" TargetMode="External"/><Relationship Id="rId20" Type="http://schemas.openxmlformats.org/officeDocument/2006/relationships/hyperlink" Target="https://www.cdpdj.qc.ca/fr/actualites/declaration-propos-transphobes" TargetMode="External"/><Relationship Id="rId41" Type="http://schemas.openxmlformats.org/officeDocument/2006/relationships/hyperlink" Target="https://www.ledevoir.com/societe/sante/809214/societe-trans-subissent-contrecoups-desinformation-identite-genre" TargetMode="External"/><Relationship Id="rId54" Type="http://schemas.openxmlformats.org/officeDocument/2006/relationships/hyperlink" Target="https://www.inspq.qc.ca/intimidation/personnes-de-la-diversite-sexuelle-ou-de-genre" TargetMode="External"/><Relationship Id="rId62" Type="http://schemas.openxmlformats.org/officeDocument/2006/relationships/hyperlink" Target="https://www.uvic.ca/transgenderarchives/" TargetMode="External"/><Relationship Id="rId70" Type="http://schemas.openxmlformats.org/officeDocument/2006/relationships/hyperlink" Target="https://doi.org/10.1093/pch/pxad046" TargetMode="External"/><Relationship Id="rId75" Type="http://schemas.openxmlformats.org/officeDocument/2006/relationships/hyperlink" Target="https://espace.inrs.ca/id/eprint/6286/1/Actes_Colloque%20%C3%A9tudiant_2016.pdf" TargetMode="External"/><Relationship Id="rId83" Type="http://schemas.openxmlformats.org/officeDocument/2006/relationships/hyperlink" Target="https://www.justice.gc.ca/fra/pr-rp/jr/rqpjgptbnc-qlslpttnpc/pdf/RSD_2022_Trans_2spirit_non_binary_qualitative_report_FR2.pdf" TargetMode="External"/><Relationship Id="rId88" Type="http://schemas.openxmlformats.org/officeDocument/2006/relationships/hyperlink" Target="https://www.assnat.qc.ca/fr/travaux-parlementaires/commissions/crc-41-1/journal-debats/CRC-160609.html" TargetMode="External"/><Relationship Id="rId91" Type="http://schemas.openxmlformats.org/officeDocument/2006/relationships/hyperlink" Target="http://yogyakartaprinciples.org/principles-fr/les-principes-de-jogjakarta-plus-10/" TargetMode="External"/><Relationship Id="rId96" Type="http://schemas.openxmlformats.org/officeDocument/2006/relationships/hyperlink" Target="https://doi.org/10.1093/acrefore/9780190228637.013.1179" TargetMode="External"/><Relationship Id="rId111" Type="http://schemas.openxmlformats.org/officeDocument/2006/relationships/hyperlink" Target="https://cass.independent-review.uk/wp-content/uploads/2022/03/Cass-Review-Interim-Report-Final-Web-Accessible.pdf" TargetMode="External"/><Relationship Id="rId1" Type="http://schemas.openxmlformats.org/officeDocument/2006/relationships/hyperlink" Target="https://canlii.ca/t/jddc1" TargetMode="External"/><Relationship Id="rId6" Type="http://schemas.openxmlformats.org/officeDocument/2006/relationships/hyperlink" Target="https://www.cdpdj.qc.ca/fr/publications/de-lacgalitac-juridique-a-l" TargetMode="External"/><Relationship Id="rId15" Type="http://schemas.openxmlformats.org/officeDocument/2006/relationships/hyperlink" Target="https://cdn-contenu.quebec.ca/cdn-contenu/adm/gouv/homophobie-transphobie/PL-plan-action-homophobie-transphobie-2023-2028-BLCHT.pdf" TargetMode="External"/><Relationship Id="rId23" Type="http://schemas.openxmlformats.org/officeDocument/2006/relationships/hyperlink" Target="https://www150.statcan.gc.ca/n1/pub/75-006-x/2018001/article/54982-fra.pdf" TargetMode="External"/><Relationship Id="rId28" Type="http://schemas.openxmlformats.org/officeDocument/2006/relationships/hyperlink" Target="https://www.aclu.org/legislative-attacks-on-lgbtq-rights-2024" TargetMode="External"/><Relationship Id="rId36" Type="http://schemas.openxmlformats.org/officeDocument/2006/relationships/hyperlink" Target="https://cass.independent-review.uk/" TargetMode="External"/><Relationship Id="rId49" Type="http://schemas.openxmlformats.org/officeDocument/2006/relationships/hyperlink" Target="https://lefondspurgelgbt.com/wp-content/uploads/2021/05/Au-lendemain-de-la-Purge-final-mai-2021.pdf" TargetMode="External"/><Relationship Id="rId57" Type="http://schemas.openxmlformats.org/officeDocument/2006/relationships/hyperlink" Target="https://conseil-lgbt.ca/wp-content/uploads/2023/05/Tajeddine-et-Cremier-CQLGBT-2021-Enjeux-trans-diversite-de-genre.pdf" TargetMode="External"/><Relationship Id="rId106" Type="http://schemas.openxmlformats.org/officeDocument/2006/relationships/hyperlink" Target="https://www.unicef.ca/fr/discover-fr/article/a-propos-d%27une-gouvernance-axee-sur-les-enfants" TargetMode="External"/><Relationship Id="rId114" Type="http://schemas.openxmlformats.org/officeDocument/2006/relationships/hyperlink" Target="https://ici.radio-canada.ca/recit-numerique/8610/transition-genre-testoterone-choix-dysphorie-sante-mentale" TargetMode="External"/><Relationship Id="rId119" Type="http://schemas.openxmlformats.org/officeDocument/2006/relationships/hyperlink" Target="https://www.lapresse.ca/actualites/justice-et-faits-divers/2023-02-26/crimes-violents-et-sexuels/quelle-prison-pour-les-detenues-trans.php" TargetMode="External"/><Relationship Id="rId127" Type="http://schemas.openxmlformats.org/officeDocument/2006/relationships/hyperlink" Target="https://www.cssdm.gouv.qc.ca/wp-content/uploads/lignes-directrices-%20transgenres.pdf" TargetMode="External"/><Relationship Id="rId10" Type="http://schemas.openxmlformats.org/officeDocument/2006/relationships/hyperlink" Target="https://www.cdpdj.qc.ca/fr/publications/commentaires-sur-le-projet-de-17" TargetMode="External"/><Relationship Id="rId31" Type="http://schemas.openxmlformats.org/officeDocument/2006/relationships/hyperlink" Target="https://palveluvalikoima.fi/documents/1237350/22895008/Summary_minors_en+(1).pdf/fa2054c5-8c35-8492-59d6-b3de1c00de49/Summary_minors_en+(1).pdf?t=1631773838474" TargetMode="External"/><Relationship Id="rId44" Type="http://schemas.openxmlformats.org/officeDocument/2006/relationships/hyperlink" Target="https://www.may17mai.com/" TargetMode="External"/><Relationship Id="rId52" Type="http://schemas.openxmlformats.org/officeDocument/2006/relationships/hyperlink" Target="https://cdn-contenu.quebec.ca/cdn-contenu/adm/gouv/homophobie-transphobie/FE-feuillet-Chronologie-LGBTQplus-QC-Ca-FR-SCF.pdf" TargetMode="External"/><Relationship Id="rId60" Type="http://schemas.openxmlformats.org/officeDocument/2006/relationships/hyperlink" Target="https://www.historians.org/research-and-publications/perspectives-on-history/may-2018/what-is-trans-history-from-activist-and-academic-roots-a-field-takes-shape" TargetMode="External"/><Relationship Id="rId65" Type="http://schemas.openxmlformats.org/officeDocument/2006/relationships/hyperlink" Target="https://doi.org/10.3390%2Fbs5040565" TargetMode="External"/><Relationship Id="rId73" Type="http://schemas.openxmlformats.org/officeDocument/2006/relationships/hyperlink" Target="https://cass.independent-review.uk/home/publications/final-report/" TargetMode="External"/><Relationship Id="rId78" Type="http://schemas.openxmlformats.org/officeDocument/2006/relationships/hyperlink" Target="https://www.cdpdj.qc.ca/storage/app/media/publications/memoire_consultation-police_CCRP.pdf" TargetMode="External"/><Relationship Id="rId81" Type="http://schemas.openxmlformats.org/officeDocument/2006/relationships/hyperlink" Target="https://lgbtpurgefund.com/wp-content/uploads/2019/08/Entente-de-R%C3%A8glement-D%C3%A9finitive.pdf" TargetMode="External"/><Relationship Id="rId86" Type="http://schemas.openxmlformats.org/officeDocument/2006/relationships/hyperlink" Target="https://www.lapresse.ca/societe/2023-09-17/quand-les-toilettes-font-peur.php" TargetMode="External"/><Relationship Id="rId94" Type="http://schemas.openxmlformats.org/officeDocument/2006/relationships/hyperlink" Target="https://cdn-contenu.quebec.ca/cdn-contenu/adm/org/SCF/Violences/LEX-lexique-diversite-sexuelle-genre-FR-SCF.pdf" TargetMode="External"/><Relationship Id="rId99" Type="http://schemas.openxmlformats.org/officeDocument/2006/relationships/hyperlink" Target="https://www.cdpdj.qc.ca/storage/app/media/publications/LETTRE_collecte-donnees-desegragees_Covid-19.pdf" TargetMode="External"/><Relationship Id="rId101" Type="http://schemas.openxmlformats.org/officeDocument/2006/relationships/hyperlink" Target="https://www.canlii.org/fr/qc/qctdp/doc/2021/2021qctdp35/2021qctdp35.html" TargetMode="External"/><Relationship Id="rId122" Type="http://schemas.openxmlformats.org/officeDocument/2006/relationships/hyperlink" Target="https://ici.radio-canada.ca/nouvelle/1152746/sensibilisation-genres-trans-diversite-sexuelle" TargetMode="External"/><Relationship Id="rId4" Type="http://schemas.openxmlformats.org/officeDocument/2006/relationships/hyperlink" Target="https://www.cdpdj.qc.ca/storage/app/media/publications/union_civile.pdf" TargetMode="External"/><Relationship Id="rId9" Type="http://schemas.openxmlformats.org/officeDocument/2006/relationships/hyperlink" Target="https://www.cdpdj.qc.ca/fr/publications/commentaires-sur-le-projet-de-3" TargetMode="External"/><Relationship Id="rId13" Type="http://schemas.openxmlformats.org/officeDocument/2006/relationships/hyperlink" Target="https://www.cdpdj.qc.ca/storage/app/media/publications/notes_PL70_therapies_conversion.pdf" TargetMode="External"/><Relationship Id="rId18" Type="http://schemas.openxmlformats.org/officeDocument/2006/relationships/hyperlink" Target="https://www.cdpdj.qc.ca/fr/publications/lettre-identite-genre" TargetMode="External"/><Relationship Id="rId39" Type="http://schemas.openxmlformats.org/officeDocument/2006/relationships/hyperlink" Target="https://www.wpath.org/media/cms/Documents/Public%20Policies/2022/25.11.22%20AUSPATH%20Statement%20reworked%20for%20WPATH%20Final%20ASIAPATH.EPATH.PATHA.USPATH.pdf?_t=1669428978" TargetMode="External"/><Relationship Id="rId109" Type="http://schemas.openxmlformats.org/officeDocument/2006/relationships/hyperlink" Target="https://pubmed.ncbi.nlm.nih.gov/29609917/" TargetMode="External"/><Relationship Id="rId34" Type="http://schemas.openxmlformats.org/officeDocument/2006/relationships/hyperlink" Target="https://www.socialstyrelsen.se/om-socialstyrelsen/pressrum/press/uppdaterade-rekommendationer-for-hormonbehandling-vid-konsdysfori-hos-unga/" TargetMode="External"/><Relationship Id="rId50" Type="http://schemas.openxmlformats.org/officeDocument/2006/relationships/hyperlink" Target="https://www.canada.ca/fr/emploi-developpement-social/ministere/portefeuille/travail/programmes/equite-emploi/rapports/groupe-examen-loi.html" TargetMode="External"/><Relationship Id="rId55" Type="http://schemas.openxmlformats.org/officeDocument/2006/relationships/hyperlink" Target="https://www.erudit.org/en/journals/ref/2011-v17-n1-ref1812734/1005235ar/abstract/" TargetMode="External"/><Relationship Id="rId76" Type="http://schemas.openxmlformats.org/officeDocument/2006/relationships/hyperlink" Target="https://www.cdpdj.qc.ca/storage/app/media/publications/profilage_racial_definition.pdf" TargetMode="External"/><Relationship Id="rId97" Type="http://schemas.openxmlformats.org/officeDocument/2006/relationships/hyperlink" Target="https://doi.org/10.1007/s13178-020-00462-w" TargetMode="External"/><Relationship Id="rId104" Type="http://schemas.openxmlformats.org/officeDocument/2006/relationships/hyperlink" Target="https://www.canlii.org/fr/qc/qccs/doc/2016/2016qccs4521/2016qccs4521.html" TargetMode="External"/><Relationship Id="rId120" Type="http://schemas.openxmlformats.org/officeDocument/2006/relationships/hyperlink" Target="https://www.lhebdojournal.com/actualites/experience-traumatisante-pour-une-personne-trans-a-la-prison-de-trois-rivieres/" TargetMode="External"/><Relationship Id="rId125" Type="http://schemas.openxmlformats.org/officeDocument/2006/relationships/hyperlink" Target="https://statistique.quebec.ca/fr/document/violence-adolescent-sport-quebec/publication/violence-adolescents-adolescentes-milieux-sportifs-quebec" TargetMode="External"/><Relationship Id="rId7" Type="http://schemas.openxmlformats.org/officeDocument/2006/relationships/hyperlink" Target="https://cdn-contenu.quebec.ca/cdn-contenu/adm/gouv/homophobie-transphobie/Politique_Q_LCH.pdf" TargetMode="External"/><Relationship Id="rId71" Type="http://schemas.openxmlformats.org/officeDocument/2006/relationships/hyperlink" Target="https://www.ohchr.org/fr/2019/05/un-experts-hail-move-depathologise-trans-identities" TargetMode="External"/><Relationship Id="rId92" Type="http://schemas.openxmlformats.org/officeDocument/2006/relationships/hyperlink" Target="https://csf.gouv.qc.ca/article/2015/05/19/lettre-etat-civil-des-personnes-transgenres/" TargetMode="External"/><Relationship Id="rId2" Type="http://schemas.openxmlformats.org/officeDocument/2006/relationships/hyperlink" Target="https://www.cdpdj.qc.ca/fr/publications/de-lillacgalitac-a-lacgalit" TargetMode="External"/><Relationship Id="rId29" Type="http://schemas.openxmlformats.org/officeDocument/2006/relationships/hyperlink" Target="https://rm.coe.int/rapport-en-bref-du-document-thematique-droits-humains-et-identite-et-e/1680aed6a8" TargetMode="External"/><Relationship Id="rId24" Type="http://schemas.openxmlformats.org/officeDocument/2006/relationships/hyperlink" Target="https://savie-lgbtq.uqam.ca/wp-content/uploads/2022/08/19_aout_milieu_scolaire.jpg" TargetMode="External"/><Relationship Id="rId40" Type="http://schemas.openxmlformats.org/officeDocument/2006/relationships/hyperlink" Target="https://www.cbc.ca/news/health/puberty-blockers-review-1.7172920" TargetMode="External"/><Relationship Id="rId45" Type="http://schemas.openxmlformats.org/officeDocument/2006/relationships/hyperlink" Target="https://www.ledevoir.com/politique/798859/suzanne-roy-pilotera-comite-sages-identite-genre" TargetMode="External"/><Relationship Id="rId66" Type="http://schemas.openxmlformats.org/officeDocument/2006/relationships/hyperlink" Target="http://dx.doi.org/10.2471/BLT.14.135541" TargetMode="External"/><Relationship Id="rId87" Type="http://schemas.openxmlformats.org/officeDocument/2006/relationships/hyperlink" Target="https://archipel.uqam.ca/16110/" TargetMode="External"/><Relationship Id="rId110" Type="http://schemas.openxmlformats.org/officeDocument/2006/relationships/hyperlink" Target="https://familyproject.sfsu.edu/sites/default/files/documents/FAP_English%20Booklet_pst.pdf" TargetMode="External"/><Relationship Id="rId115" Type="http://schemas.openxmlformats.org/officeDocument/2006/relationships/hyperlink" Target="https://www.journaldemontreal.com/2023/12/19/centre-aquatique-granby-revient-sur-sa-decision-pour-les-vestiaires-non-genres" TargetMode="External"/><Relationship Id="rId61" Type="http://schemas.openxmlformats.org/officeDocument/2006/relationships/hyperlink" Target="https://agq.qc.ca/" TargetMode="External"/><Relationship Id="rId82" Type="http://schemas.openxmlformats.org/officeDocument/2006/relationships/hyperlink" Target="https://ville.montreal.qc.ca/pls/portal/docs/PAGE/COMMISSIONS_PERM_V2_FR/MEDIA/DOCUMENTS/MEM_STELLA_201706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aCh\AppData\Roaming\Microsoft\Templates\Avis_memoire_etu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5.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Props1.xml><?xml version="1.0" encoding="utf-8"?>
<ds:datastoreItem xmlns:ds="http://schemas.openxmlformats.org/officeDocument/2006/customXml" ds:itemID="{0B3254C5-AF4E-4B39-8EAC-8DFE54F5A2B8}">
  <ds:schemaRefs>
    <ds:schemaRef ds:uri="http://schemas.openxmlformats.org/officeDocument/2006/bibliography"/>
  </ds:schemaRefs>
</ds:datastoreItem>
</file>

<file path=customXml/itemProps2.xml><?xml version="1.0" encoding="utf-8"?>
<ds:datastoreItem xmlns:ds="http://schemas.openxmlformats.org/officeDocument/2006/customXml" ds:itemID="{77A4FA4D-E177-40DA-8A79-7AA8C3BC6015}">
  <ds:schemaRefs>
    <ds:schemaRef ds:uri="http://schemas.microsoft.com/sharepoint/v3/contenttype/forms"/>
  </ds:schemaRefs>
</ds:datastoreItem>
</file>

<file path=customXml/itemProps3.xml><?xml version="1.0" encoding="utf-8"?>
<ds:datastoreItem xmlns:ds="http://schemas.openxmlformats.org/officeDocument/2006/customXml" ds:itemID="{7C0532F9-B03F-45BB-9D35-C3EF972C3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F5C2E-79CB-445A-BC29-CF3F8BF4E11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c706f8-daeb-4c57-a93c-fdf45da762a7"/>
    <ds:schemaRef ds:uri="http://www.w3.org/XML/1998/namespace"/>
    <ds:schemaRef ds:uri="http://purl.org/dc/dcmitype/"/>
  </ds:schemaRefs>
</ds:datastoreItem>
</file>

<file path=customXml/itemProps5.xml><?xml version="1.0" encoding="utf-8"?>
<ds:datastoreItem xmlns:ds="http://schemas.openxmlformats.org/officeDocument/2006/customXml" ds:itemID="{B2127C09-8D57-40E7-A256-18099763D7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Avis_memoire_etude</Template>
  <TotalTime>18</TotalTime>
  <Pages>147</Pages>
  <Words>45796</Words>
  <Characters>251881</Characters>
  <Application>Microsoft Office Word</Application>
  <DocSecurity>0</DocSecurity>
  <Lines>2099</Lines>
  <Paragraphs>594</Paragraphs>
  <ScaleCrop>false</ScaleCrop>
  <HeadingPairs>
    <vt:vector size="2" baseType="variant">
      <vt:variant>
        <vt:lpstr>Titre</vt:lpstr>
      </vt:variant>
      <vt:variant>
        <vt:i4>1</vt:i4>
      </vt:variant>
    </vt:vector>
  </HeadingPairs>
  <TitlesOfParts>
    <vt:vector size="1" baseType="lpstr">
      <vt:lpstr>Mémoire au Comité de sages sur l’identité de genre</vt:lpstr>
    </vt:vector>
  </TitlesOfParts>
  <Company>CDPDJ</Company>
  <LinksUpToDate>false</LinksUpToDate>
  <CharactersWithSpaces>297083</CharactersWithSpaces>
  <SharedDoc>false</SharedDoc>
  <HLinks>
    <vt:vector size="1458" baseType="variant">
      <vt:variant>
        <vt:i4>6357117</vt:i4>
      </vt:variant>
      <vt:variant>
        <vt:i4>414</vt:i4>
      </vt:variant>
      <vt:variant>
        <vt:i4>0</vt:i4>
      </vt:variant>
      <vt:variant>
        <vt:i4>5</vt:i4>
      </vt:variant>
      <vt:variant>
        <vt:lpwstr>https://cdpdj.qc.ca/storage/app/media/blocs-informations/pour-en-savoir-plus-accommodement-raisonnable/Guide_virtuel_accommodement.pdf</vt:lpwstr>
      </vt:variant>
      <vt:variant>
        <vt:lpwstr/>
      </vt:variant>
      <vt:variant>
        <vt:i4>1703939</vt:i4>
      </vt:variant>
      <vt:variant>
        <vt:i4>411</vt:i4>
      </vt:variant>
      <vt:variant>
        <vt:i4>0</vt:i4>
      </vt:variant>
      <vt:variant>
        <vt:i4>5</vt:i4>
      </vt:variant>
      <vt:variant>
        <vt:lpwstr>https://www.cdpdj.qc.ca/fr/publications/module-genre</vt:lpwstr>
      </vt:variant>
      <vt:variant>
        <vt:lpwstr/>
      </vt:variant>
      <vt:variant>
        <vt:i4>7733369</vt:i4>
      </vt:variant>
      <vt:variant>
        <vt:i4>408</vt:i4>
      </vt:variant>
      <vt:variant>
        <vt:i4>0</vt:i4>
      </vt:variant>
      <vt:variant>
        <vt:i4>5</vt:i4>
      </vt:variant>
      <vt:variant>
        <vt:lpwstr>https://www.cdpdj.qc.ca/fr/actualites/lettre-PL47-protection-eleves</vt:lpwstr>
      </vt:variant>
      <vt:variant>
        <vt:lpwstr/>
      </vt:variant>
      <vt:variant>
        <vt:i4>4915220</vt:i4>
      </vt:variant>
      <vt:variant>
        <vt:i4>405</vt:i4>
      </vt:variant>
      <vt:variant>
        <vt:i4>0</vt:i4>
      </vt:variant>
      <vt:variant>
        <vt:i4>5</vt:i4>
      </vt:variant>
      <vt:variant>
        <vt:lpwstr>https://www.cdpdj.qc.ca/fr/publications/lettre-identite-genre</vt:lpwstr>
      </vt:variant>
      <vt:variant>
        <vt:lpwstr/>
      </vt:variant>
      <vt:variant>
        <vt:i4>5177352</vt:i4>
      </vt:variant>
      <vt:variant>
        <vt:i4>402</vt:i4>
      </vt:variant>
      <vt:variant>
        <vt:i4>0</vt:i4>
      </vt:variant>
      <vt:variant>
        <vt:i4>5</vt:i4>
      </vt:variant>
      <vt:variant>
        <vt:lpwstr>https://www.cdpdj.qc.ca/fr/actualites/declaration-propos-transphobes</vt:lpwstr>
      </vt:variant>
      <vt:variant>
        <vt:lpwstr/>
      </vt:variant>
      <vt:variant>
        <vt:i4>6357018</vt:i4>
      </vt:variant>
      <vt:variant>
        <vt:i4>399</vt:i4>
      </vt:variant>
      <vt:variant>
        <vt:i4>0</vt:i4>
      </vt:variant>
      <vt:variant>
        <vt:i4>5</vt:i4>
      </vt:variant>
      <vt:variant>
        <vt:lpwstr>https://www.cdpdj.qc.ca/storage/app/media/publications/2022-12-22 ENVOI Taillon_Lettre_Prog prov_Culture_citoyennet%C3%A9_qu%C3%A9b%C3%A9coise.pdf</vt:lpwstr>
      </vt:variant>
      <vt:variant>
        <vt:lpwstr/>
      </vt:variant>
      <vt:variant>
        <vt:i4>4456523</vt:i4>
      </vt:variant>
      <vt:variant>
        <vt:i4>396</vt:i4>
      </vt:variant>
      <vt:variant>
        <vt:i4>0</vt:i4>
      </vt:variant>
      <vt:variant>
        <vt:i4>5</vt:i4>
      </vt:variant>
      <vt:variant>
        <vt:lpwstr>https://www.cdpdj.qc.ca/fr/publications/reforme-droit-famille-memoire</vt:lpwstr>
      </vt:variant>
      <vt:variant>
        <vt:lpwstr/>
      </vt:variant>
      <vt:variant>
        <vt:i4>6750246</vt:i4>
      </vt:variant>
      <vt:variant>
        <vt:i4>393</vt:i4>
      </vt:variant>
      <vt:variant>
        <vt:i4>0</vt:i4>
      </vt:variant>
      <vt:variant>
        <vt:i4>5</vt:i4>
      </vt:variant>
      <vt:variant>
        <vt:lpwstr>https://www.cdpdj.qc.ca/storage/app/media/publications/memoire_consultation-police_CCRP.pdf</vt:lpwstr>
      </vt:variant>
      <vt:variant>
        <vt:lpwstr/>
      </vt:variant>
      <vt:variant>
        <vt:i4>3276809</vt:i4>
      </vt:variant>
      <vt:variant>
        <vt:i4>390</vt:i4>
      </vt:variant>
      <vt:variant>
        <vt:i4>0</vt:i4>
      </vt:variant>
      <vt:variant>
        <vt:i4>5</vt:i4>
      </vt:variant>
      <vt:variant>
        <vt:lpwstr>https://www.cdpdj.qc.ca/storage/app/media/publications/notes_PL70_therapies_conversion.pdf</vt:lpwstr>
      </vt:variant>
      <vt:variant>
        <vt:lpwstr/>
      </vt:variant>
      <vt:variant>
        <vt:i4>2883618</vt:i4>
      </vt:variant>
      <vt:variant>
        <vt:i4>387</vt:i4>
      </vt:variant>
      <vt:variant>
        <vt:i4>0</vt:i4>
      </vt:variant>
      <vt:variant>
        <vt:i4>5</vt:i4>
      </vt:variant>
      <vt:variant>
        <vt:lpwstr>https://www.cdpdj.qc.ca/fr/actualites/lettre-au-pracsident-de-la-com-7</vt:lpwstr>
      </vt:variant>
      <vt:variant>
        <vt:lpwstr/>
      </vt:variant>
      <vt:variant>
        <vt:i4>1638413</vt:i4>
      </vt:variant>
      <vt:variant>
        <vt:i4>384</vt:i4>
      </vt:variant>
      <vt:variant>
        <vt:i4>0</vt:i4>
      </vt:variant>
      <vt:variant>
        <vt:i4>5</vt:i4>
      </vt:variant>
      <vt:variant>
        <vt:lpwstr>https://www.cdpdj.qc.ca/fr/actualites/lettre-a-la-ministre-responsa-4</vt:lpwstr>
      </vt:variant>
      <vt:variant>
        <vt:lpwstr/>
      </vt:variant>
      <vt:variant>
        <vt:i4>2097201</vt:i4>
      </vt:variant>
      <vt:variant>
        <vt:i4>381</vt:i4>
      </vt:variant>
      <vt:variant>
        <vt:i4>0</vt:i4>
      </vt:variant>
      <vt:variant>
        <vt:i4>5</vt:i4>
      </vt:variant>
      <vt:variant>
        <vt:lpwstr>https://cdpdj.qc.ca/storage/app/media/publications/memoire_PL59_discours-haineux.pdf</vt:lpwstr>
      </vt:variant>
      <vt:variant>
        <vt:lpwstr/>
      </vt:variant>
      <vt:variant>
        <vt:i4>2883704</vt:i4>
      </vt:variant>
      <vt:variant>
        <vt:i4>378</vt:i4>
      </vt:variant>
      <vt:variant>
        <vt:i4>0</vt:i4>
      </vt:variant>
      <vt:variant>
        <vt:i4>5</vt:i4>
      </vt:variant>
      <vt:variant>
        <vt:lpwstr>https://www.cdpdj.qc.ca/storage/app/media/publications/commentaires_etat-civil_trans.pdf</vt:lpwstr>
      </vt:variant>
      <vt:variant>
        <vt:lpwstr/>
      </vt:variant>
      <vt:variant>
        <vt:i4>2228276</vt:i4>
      </vt:variant>
      <vt:variant>
        <vt:i4>375</vt:i4>
      </vt:variant>
      <vt:variant>
        <vt:i4>0</vt:i4>
      </vt:variant>
      <vt:variant>
        <vt:i4>5</vt:i4>
      </vt:variant>
      <vt:variant>
        <vt:lpwstr>https://www.cdpdj.qc.ca/storage/app/media/publications/commentaires_PL35_Code_civil_trans_testament_sourd.pdf</vt:lpwstr>
      </vt:variant>
      <vt:variant>
        <vt:lpwstr/>
      </vt:variant>
      <vt:variant>
        <vt:i4>5963896</vt:i4>
      </vt:variant>
      <vt:variant>
        <vt:i4>372</vt:i4>
      </vt:variant>
      <vt:variant>
        <vt:i4>0</vt:i4>
      </vt:variant>
      <vt:variant>
        <vt:i4>5</vt:i4>
      </vt:variant>
      <vt:variant>
        <vt:lpwstr>https://www.cdpdj.qc.ca/storage/app/media/publications/memoire_PL_56_intimidation_violence_ecole.pdf</vt:lpwstr>
      </vt:variant>
      <vt:variant>
        <vt:lpwstr/>
      </vt:variant>
      <vt:variant>
        <vt:i4>2555919</vt:i4>
      </vt:variant>
      <vt:variant>
        <vt:i4>369</vt:i4>
      </vt:variant>
      <vt:variant>
        <vt:i4>0</vt:i4>
      </vt:variant>
      <vt:variant>
        <vt:i4>5</vt:i4>
      </vt:variant>
      <vt:variant>
        <vt:lpwstr>https://www.cdpdj.qc.ca/storage/app/media/publications/Commentaires_PL_70_Victimes_actes_criminels.pdf</vt:lpwstr>
      </vt:variant>
      <vt:variant>
        <vt:lpwstr/>
      </vt:variant>
      <vt:variant>
        <vt:i4>2556001</vt:i4>
      </vt:variant>
      <vt:variant>
        <vt:i4>366</vt:i4>
      </vt:variant>
      <vt:variant>
        <vt:i4>0</vt:i4>
      </vt:variant>
      <vt:variant>
        <vt:i4>5</vt:i4>
      </vt:variant>
      <vt:variant>
        <vt:lpwstr>https://www.cdpdj.qc.ca/fr/publications/de-lacgalitac-juridique-a-l</vt:lpwstr>
      </vt:variant>
      <vt:variant>
        <vt:lpwstr/>
      </vt:variant>
      <vt:variant>
        <vt:i4>2621471</vt:i4>
      </vt:variant>
      <vt:variant>
        <vt:i4>363</vt:i4>
      </vt:variant>
      <vt:variant>
        <vt:i4>0</vt:i4>
      </vt:variant>
      <vt:variant>
        <vt:i4>5</vt:i4>
      </vt:variant>
      <vt:variant>
        <vt:lpwstr>https://www.cdpdj.qc.ca/storage/app/media/publications/union_civile.pdf</vt:lpwstr>
      </vt:variant>
      <vt:variant>
        <vt:lpwstr/>
      </vt:variant>
      <vt:variant>
        <vt:i4>65638</vt:i4>
      </vt:variant>
      <vt:variant>
        <vt:i4>360</vt:i4>
      </vt:variant>
      <vt:variant>
        <vt:i4>0</vt:i4>
      </vt:variant>
      <vt:variant>
        <vt:i4>5</vt:i4>
      </vt:variant>
      <vt:variant>
        <vt:lpwstr>https://www.cdpdj.qc.ca/storage/app/media/publications/pl133_memoire.pdf</vt:lpwstr>
      </vt:variant>
      <vt:variant>
        <vt:lpwstr/>
      </vt:variant>
      <vt:variant>
        <vt:i4>7798896</vt:i4>
      </vt:variant>
      <vt:variant>
        <vt:i4>357</vt:i4>
      </vt:variant>
      <vt:variant>
        <vt:i4>0</vt:i4>
      </vt:variant>
      <vt:variant>
        <vt:i4>5</vt:i4>
      </vt:variant>
      <vt:variant>
        <vt:lpwstr>https://www.cdpdj.qc.ca/fr/publications/de-lillacgalitac-a-lacgalit</vt:lpwstr>
      </vt:variant>
      <vt:variant>
        <vt:lpwstr/>
      </vt:variant>
      <vt:variant>
        <vt:i4>5570613</vt:i4>
      </vt:variant>
      <vt:variant>
        <vt:i4>339</vt:i4>
      </vt:variant>
      <vt:variant>
        <vt:i4>0</vt:i4>
      </vt:variant>
      <vt:variant>
        <vt:i4>5</vt:i4>
      </vt:variant>
      <vt:variant>
        <vt:lpwstr>https://unik.caij.qc.ca/permalien/fr/qc/legis/lois/lrq-c-c-12/derniere/lrq-c-c-12?anchor=art15par1_smooth</vt:lpwstr>
      </vt:variant>
      <vt:variant>
        <vt:lpwstr/>
      </vt:variant>
      <vt:variant>
        <vt:i4>1376310</vt:i4>
      </vt:variant>
      <vt:variant>
        <vt:i4>332</vt:i4>
      </vt:variant>
      <vt:variant>
        <vt:i4>0</vt:i4>
      </vt:variant>
      <vt:variant>
        <vt:i4>5</vt:i4>
      </vt:variant>
      <vt:variant>
        <vt:lpwstr/>
      </vt:variant>
      <vt:variant>
        <vt:lpwstr>_Toc165636144</vt:lpwstr>
      </vt:variant>
      <vt:variant>
        <vt:i4>1376310</vt:i4>
      </vt:variant>
      <vt:variant>
        <vt:i4>326</vt:i4>
      </vt:variant>
      <vt:variant>
        <vt:i4>0</vt:i4>
      </vt:variant>
      <vt:variant>
        <vt:i4>5</vt:i4>
      </vt:variant>
      <vt:variant>
        <vt:lpwstr/>
      </vt:variant>
      <vt:variant>
        <vt:lpwstr>_Toc165636143</vt:lpwstr>
      </vt:variant>
      <vt:variant>
        <vt:i4>1376310</vt:i4>
      </vt:variant>
      <vt:variant>
        <vt:i4>320</vt:i4>
      </vt:variant>
      <vt:variant>
        <vt:i4>0</vt:i4>
      </vt:variant>
      <vt:variant>
        <vt:i4>5</vt:i4>
      </vt:variant>
      <vt:variant>
        <vt:lpwstr/>
      </vt:variant>
      <vt:variant>
        <vt:lpwstr>_Toc165636142</vt:lpwstr>
      </vt:variant>
      <vt:variant>
        <vt:i4>1376310</vt:i4>
      </vt:variant>
      <vt:variant>
        <vt:i4>314</vt:i4>
      </vt:variant>
      <vt:variant>
        <vt:i4>0</vt:i4>
      </vt:variant>
      <vt:variant>
        <vt:i4>5</vt:i4>
      </vt:variant>
      <vt:variant>
        <vt:lpwstr/>
      </vt:variant>
      <vt:variant>
        <vt:lpwstr>_Toc165636141</vt:lpwstr>
      </vt:variant>
      <vt:variant>
        <vt:i4>1376310</vt:i4>
      </vt:variant>
      <vt:variant>
        <vt:i4>308</vt:i4>
      </vt:variant>
      <vt:variant>
        <vt:i4>0</vt:i4>
      </vt:variant>
      <vt:variant>
        <vt:i4>5</vt:i4>
      </vt:variant>
      <vt:variant>
        <vt:lpwstr/>
      </vt:variant>
      <vt:variant>
        <vt:lpwstr>_Toc165636140</vt:lpwstr>
      </vt:variant>
      <vt:variant>
        <vt:i4>1179702</vt:i4>
      </vt:variant>
      <vt:variant>
        <vt:i4>302</vt:i4>
      </vt:variant>
      <vt:variant>
        <vt:i4>0</vt:i4>
      </vt:variant>
      <vt:variant>
        <vt:i4>5</vt:i4>
      </vt:variant>
      <vt:variant>
        <vt:lpwstr/>
      </vt:variant>
      <vt:variant>
        <vt:lpwstr>_Toc165636139</vt:lpwstr>
      </vt:variant>
      <vt:variant>
        <vt:i4>1179702</vt:i4>
      </vt:variant>
      <vt:variant>
        <vt:i4>296</vt:i4>
      </vt:variant>
      <vt:variant>
        <vt:i4>0</vt:i4>
      </vt:variant>
      <vt:variant>
        <vt:i4>5</vt:i4>
      </vt:variant>
      <vt:variant>
        <vt:lpwstr/>
      </vt:variant>
      <vt:variant>
        <vt:lpwstr>_Toc165636138</vt:lpwstr>
      </vt:variant>
      <vt:variant>
        <vt:i4>1179702</vt:i4>
      </vt:variant>
      <vt:variant>
        <vt:i4>290</vt:i4>
      </vt:variant>
      <vt:variant>
        <vt:i4>0</vt:i4>
      </vt:variant>
      <vt:variant>
        <vt:i4>5</vt:i4>
      </vt:variant>
      <vt:variant>
        <vt:lpwstr/>
      </vt:variant>
      <vt:variant>
        <vt:lpwstr>_Toc165636137</vt:lpwstr>
      </vt:variant>
      <vt:variant>
        <vt:i4>1179702</vt:i4>
      </vt:variant>
      <vt:variant>
        <vt:i4>284</vt:i4>
      </vt:variant>
      <vt:variant>
        <vt:i4>0</vt:i4>
      </vt:variant>
      <vt:variant>
        <vt:i4>5</vt:i4>
      </vt:variant>
      <vt:variant>
        <vt:lpwstr/>
      </vt:variant>
      <vt:variant>
        <vt:lpwstr>_Toc165636136</vt:lpwstr>
      </vt:variant>
      <vt:variant>
        <vt:i4>1179702</vt:i4>
      </vt:variant>
      <vt:variant>
        <vt:i4>278</vt:i4>
      </vt:variant>
      <vt:variant>
        <vt:i4>0</vt:i4>
      </vt:variant>
      <vt:variant>
        <vt:i4>5</vt:i4>
      </vt:variant>
      <vt:variant>
        <vt:lpwstr/>
      </vt:variant>
      <vt:variant>
        <vt:lpwstr>_Toc165636135</vt:lpwstr>
      </vt:variant>
      <vt:variant>
        <vt:i4>1179702</vt:i4>
      </vt:variant>
      <vt:variant>
        <vt:i4>272</vt:i4>
      </vt:variant>
      <vt:variant>
        <vt:i4>0</vt:i4>
      </vt:variant>
      <vt:variant>
        <vt:i4>5</vt:i4>
      </vt:variant>
      <vt:variant>
        <vt:lpwstr/>
      </vt:variant>
      <vt:variant>
        <vt:lpwstr>_Toc165636134</vt:lpwstr>
      </vt:variant>
      <vt:variant>
        <vt:i4>1179702</vt:i4>
      </vt:variant>
      <vt:variant>
        <vt:i4>266</vt:i4>
      </vt:variant>
      <vt:variant>
        <vt:i4>0</vt:i4>
      </vt:variant>
      <vt:variant>
        <vt:i4>5</vt:i4>
      </vt:variant>
      <vt:variant>
        <vt:lpwstr/>
      </vt:variant>
      <vt:variant>
        <vt:lpwstr>_Toc165636133</vt:lpwstr>
      </vt:variant>
      <vt:variant>
        <vt:i4>1179702</vt:i4>
      </vt:variant>
      <vt:variant>
        <vt:i4>260</vt:i4>
      </vt:variant>
      <vt:variant>
        <vt:i4>0</vt:i4>
      </vt:variant>
      <vt:variant>
        <vt:i4>5</vt:i4>
      </vt:variant>
      <vt:variant>
        <vt:lpwstr/>
      </vt:variant>
      <vt:variant>
        <vt:lpwstr>_Toc165636132</vt:lpwstr>
      </vt:variant>
      <vt:variant>
        <vt:i4>1179702</vt:i4>
      </vt:variant>
      <vt:variant>
        <vt:i4>254</vt:i4>
      </vt:variant>
      <vt:variant>
        <vt:i4>0</vt:i4>
      </vt:variant>
      <vt:variant>
        <vt:i4>5</vt:i4>
      </vt:variant>
      <vt:variant>
        <vt:lpwstr/>
      </vt:variant>
      <vt:variant>
        <vt:lpwstr>_Toc165636131</vt:lpwstr>
      </vt:variant>
      <vt:variant>
        <vt:i4>1179702</vt:i4>
      </vt:variant>
      <vt:variant>
        <vt:i4>248</vt:i4>
      </vt:variant>
      <vt:variant>
        <vt:i4>0</vt:i4>
      </vt:variant>
      <vt:variant>
        <vt:i4>5</vt:i4>
      </vt:variant>
      <vt:variant>
        <vt:lpwstr/>
      </vt:variant>
      <vt:variant>
        <vt:lpwstr>_Toc165636130</vt:lpwstr>
      </vt:variant>
      <vt:variant>
        <vt:i4>1245238</vt:i4>
      </vt:variant>
      <vt:variant>
        <vt:i4>242</vt:i4>
      </vt:variant>
      <vt:variant>
        <vt:i4>0</vt:i4>
      </vt:variant>
      <vt:variant>
        <vt:i4>5</vt:i4>
      </vt:variant>
      <vt:variant>
        <vt:lpwstr/>
      </vt:variant>
      <vt:variant>
        <vt:lpwstr>_Toc165636129</vt:lpwstr>
      </vt:variant>
      <vt:variant>
        <vt:i4>1245238</vt:i4>
      </vt:variant>
      <vt:variant>
        <vt:i4>236</vt:i4>
      </vt:variant>
      <vt:variant>
        <vt:i4>0</vt:i4>
      </vt:variant>
      <vt:variant>
        <vt:i4>5</vt:i4>
      </vt:variant>
      <vt:variant>
        <vt:lpwstr/>
      </vt:variant>
      <vt:variant>
        <vt:lpwstr>_Toc165636128</vt:lpwstr>
      </vt:variant>
      <vt:variant>
        <vt:i4>1245238</vt:i4>
      </vt:variant>
      <vt:variant>
        <vt:i4>230</vt:i4>
      </vt:variant>
      <vt:variant>
        <vt:i4>0</vt:i4>
      </vt:variant>
      <vt:variant>
        <vt:i4>5</vt:i4>
      </vt:variant>
      <vt:variant>
        <vt:lpwstr/>
      </vt:variant>
      <vt:variant>
        <vt:lpwstr>_Toc165636127</vt:lpwstr>
      </vt:variant>
      <vt:variant>
        <vt:i4>1245238</vt:i4>
      </vt:variant>
      <vt:variant>
        <vt:i4>224</vt:i4>
      </vt:variant>
      <vt:variant>
        <vt:i4>0</vt:i4>
      </vt:variant>
      <vt:variant>
        <vt:i4>5</vt:i4>
      </vt:variant>
      <vt:variant>
        <vt:lpwstr/>
      </vt:variant>
      <vt:variant>
        <vt:lpwstr>_Toc165636126</vt:lpwstr>
      </vt:variant>
      <vt:variant>
        <vt:i4>1245238</vt:i4>
      </vt:variant>
      <vt:variant>
        <vt:i4>218</vt:i4>
      </vt:variant>
      <vt:variant>
        <vt:i4>0</vt:i4>
      </vt:variant>
      <vt:variant>
        <vt:i4>5</vt:i4>
      </vt:variant>
      <vt:variant>
        <vt:lpwstr/>
      </vt:variant>
      <vt:variant>
        <vt:lpwstr>_Toc165636125</vt:lpwstr>
      </vt:variant>
      <vt:variant>
        <vt:i4>1245238</vt:i4>
      </vt:variant>
      <vt:variant>
        <vt:i4>212</vt:i4>
      </vt:variant>
      <vt:variant>
        <vt:i4>0</vt:i4>
      </vt:variant>
      <vt:variant>
        <vt:i4>5</vt:i4>
      </vt:variant>
      <vt:variant>
        <vt:lpwstr/>
      </vt:variant>
      <vt:variant>
        <vt:lpwstr>_Toc165636124</vt:lpwstr>
      </vt:variant>
      <vt:variant>
        <vt:i4>1245238</vt:i4>
      </vt:variant>
      <vt:variant>
        <vt:i4>206</vt:i4>
      </vt:variant>
      <vt:variant>
        <vt:i4>0</vt:i4>
      </vt:variant>
      <vt:variant>
        <vt:i4>5</vt:i4>
      </vt:variant>
      <vt:variant>
        <vt:lpwstr/>
      </vt:variant>
      <vt:variant>
        <vt:lpwstr>_Toc165636123</vt:lpwstr>
      </vt:variant>
      <vt:variant>
        <vt:i4>1245238</vt:i4>
      </vt:variant>
      <vt:variant>
        <vt:i4>200</vt:i4>
      </vt:variant>
      <vt:variant>
        <vt:i4>0</vt:i4>
      </vt:variant>
      <vt:variant>
        <vt:i4>5</vt:i4>
      </vt:variant>
      <vt:variant>
        <vt:lpwstr/>
      </vt:variant>
      <vt:variant>
        <vt:lpwstr>_Toc165636122</vt:lpwstr>
      </vt:variant>
      <vt:variant>
        <vt:i4>1245238</vt:i4>
      </vt:variant>
      <vt:variant>
        <vt:i4>194</vt:i4>
      </vt:variant>
      <vt:variant>
        <vt:i4>0</vt:i4>
      </vt:variant>
      <vt:variant>
        <vt:i4>5</vt:i4>
      </vt:variant>
      <vt:variant>
        <vt:lpwstr/>
      </vt:variant>
      <vt:variant>
        <vt:lpwstr>_Toc165636121</vt:lpwstr>
      </vt:variant>
      <vt:variant>
        <vt:i4>1245238</vt:i4>
      </vt:variant>
      <vt:variant>
        <vt:i4>188</vt:i4>
      </vt:variant>
      <vt:variant>
        <vt:i4>0</vt:i4>
      </vt:variant>
      <vt:variant>
        <vt:i4>5</vt:i4>
      </vt:variant>
      <vt:variant>
        <vt:lpwstr/>
      </vt:variant>
      <vt:variant>
        <vt:lpwstr>_Toc165636120</vt:lpwstr>
      </vt:variant>
      <vt:variant>
        <vt:i4>1048630</vt:i4>
      </vt:variant>
      <vt:variant>
        <vt:i4>182</vt:i4>
      </vt:variant>
      <vt:variant>
        <vt:i4>0</vt:i4>
      </vt:variant>
      <vt:variant>
        <vt:i4>5</vt:i4>
      </vt:variant>
      <vt:variant>
        <vt:lpwstr/>
      </vt:variant>
      <vt:variant>
        <vt:lpwstr>_Toc165636119</vt:lpwstr>
      </vt:variant>
      <vt:variant>
        <vt:i4>1048630</vt:i4>
      </vt:variant>
      <vt:variant>
        <vt:i4>176</vt:i4>
      </vt:variant>
      <vt:variant>
        <vt:i4>0</vt:i4>
      </vt:variant>
      <vt:variant>
        <vt:i4>5</vt:i4>
      </vt:variant>
      <vt:variant>
        <vt:lpwstr/>
      </vt:variant>
      <vt:variant>
        <vt:lpwstr>_Toc165636118</vt:lpwstr>
      </vt:variant>
      <vt:variant>
        <vt:i4>1048630</vt:i4>
      </vt:variant>
      <vt:variant>
        <vt:i4>170</vt:i4>
      </vt:variant>
      <vt:variant>
        <vt:i4>0</vt:i4>
      </vt:variant>
      <vt:variant>
        <vt:i4>5</vt:i4>
      </vt:variant>
      <vt:variant>
        <vt:lpwstr/>
      </vt:variant>
      <vt:variant>
        <vt:lpwstr>_Toc165636117</vt:lpwstr>
      </vt:variant>
      <vt:variant>
        <vt:i4>1048630</vt:i4>
      </vt:variant>
      <vt:variant>
        <vt:i4>164</vt:i4>
      </vt:variant>
      <vt:variant>
        <vt:i4>0</vt:i4>
      </vt:variant>
      <vt:variant>
        <vt:i4>5</vt:i4>
      </vt:variant>
      <vt:variant>
        <vt:lpwstr/>
      </vt:variant>
      <vt:variant>
        <vt:lpwstr>_Toc165636116</vt:lpwstr>
      </vt:variant>
      <vt:variant>
        <vt:i4>1048630</vt:i4>
      </vt:variant>
      <vt:variant>
        <vt:i4>158</vt:i4>
      </vt:variant>
      <vt:variant>
        <vt:i4>0</vt:i4>
      </vt:variant>
      <vt:variant>
        <vt:i4>5</vt:i4>
      </vt:variant>
      <vt:variant>
        <vt:lpwstr/>
      </vt:variant>
      <vt:variant>
        <vt:lpwstr>_Toc165636115</vt:lpwstr>
      </vt:variant>
      <vt:variant>
        <vt:i4>1048630</vt:i4>
      </vt:variant>
      <vt:variant>
        <vt:i4>152</vt:i4>
      </vt:variant>
      <vt:variant>
        <vt:i4>0</vt:i4>
      </vt:variant>
      <vt:variant>
        <vt:i4>5</vt:i4>
      </vt:variant>
      <vt:variant>
        <vt:lpwstr/>
      </vt:variant>
      <vt:variant>
        <vt:lpwstr>_Toc165636114</vt:lpwstr>
      </vt:variant>
      <vt:variant>
        <vt:i4>1048630</vt:i4>
      </vt:variant>
      <vt:variant>
        <vt:i4>146</vt:i4>
      </vt:variant>
      <vt:variant>
        <vt:i4>0</vt:i4>
      </vt:variant>
      <vt:variant>
        <vt:i4>5</vt:i4>
      </vt:variant>
      <vt:variant>
        <vt:lpwstr/>
      </vt:variant>
      <vt:variant>
        <vt:lpwstr>_Toc165636113</vt:lpwstr>
      </vt:variant>
      <vt:variant>
        <vt:i4>1048630</vt:i4>
      </vt:variant>
      <vt:variant>
        <vt:i4>140</vt:i4>
      </vt:variant>
      <vt:variant>
        <vt:i4>0</vt:i4>
      </vt:variant>
      <vt:variant>
        <vt:i4>5</vt:i4>
      </vt:variant>
      <vt:variant>
        <vt:lpwstr/>
      </vt:variant>
      <vt:variant>
        <vt:lpwstr>_Toc165636112</vt:lpwstr>
      </vt:variant>
      <vt:variant>
        <vt:i4>1048630</vt:i4>
      </vt:variant>
      <vt:variant>
        <vt:i4>134</vt:i4>
      </vt:variant>
      <vt:variant>
        <vt:i4>0</vt:i4>
      </vt:variant>
      <vt:variant>
        <vt:i4>5</vt:i4>
      </vt:variant>
      <vt:variant>
        <vt:lpwstr/>
      </vt:variant>
      <vt:variant>
        <vt:lpwstr>_Toc165636111</vt:lpwstr>
      </vt:variant>
      <vt:variant>
        <vt:i4>1048630</vt:i4>
      </vt:variant>
      <vt:variant>
        <vt:i4>128</vt:i4>
      </vt:variant>
      <vt:variant>
        <vt:i4>0</vt:i4>
      </vt:variant>
      <vt:variant>
        <vt:i4>5</vt:i4>
      </vt:variant>
      <vt:variant>
        <vt:lpwstr/>
      </vt:variant>
      <vt:variant>
        <vt:lpwstr>_Toc165636110</vt:lpwstr>
      </vt:variant>
      <vt:variant>
        <vt:i4>1114166</vt:i4>
      </vt:variant>
      <vt:variant>
        <vt:i4>122</vt:i4>
      </vt:variant>
      <vt:variant>
        <vt:i4>0</vt:i4>
      </vt:variant>
      <vt:variant>
        <vt:i4>5</vt:i4>
      </vt:variant>
      <vt:variant>
        <vt:lpwstr/>
      </vt:variant>
      <vt:variant>
        <vt:lpwstr>_Toc165636109</vt:lpwstr>
      </vt:variant>
      <vt:variant>
        <vt:i4>1114166</vt:i4>
      </vt:variant>
      <vt:variant>
        <vt:i4>116</vt:i4>
      </vt:variant>
      <vt:variant>
        <vt:i4>0</vt:i4>
      </vt:variant>
      <vt:variant>
        <vt:i4>5</vt:i4>
      </vt:variant>
      <vt:variant>
        <vt:lpwstr/>
      </vt:variant>
      <vt:variant>
        <vt:lpwstr>_Toc165636108</vt:lpwstr>
      </vt:variant>
      <vt:variant>
        <vt:i4>1114166</vt:i4>
      </vt:variant>
      <vt:variant>
        <vt:i4>110</vt:i4>
      </vt:variant>
      <vt:variant>
        <vt:i4>0</vt:i4>
      </vt:variant>
      <vt:variant>
        <vt:i4>5</vt:i4>
      </vt:variant>
      <vt:variant>
        <vt:lpwstr/>
      </vt:variant>
      <vt:variant>
        <vt:lpwstr>_Toc165636107</vt:lpwstr>
      </vt:variant>
      <vt:variant>
        <vt:i4>1114166</vt:i4>
      </vt:variant>
      <vt:variant>
        <vt:i4>104</vt:i4>
      </vt:variant>
      <vt:variant>
        <vt:i4>0</vt:i4>
      </vt:variant>
      <vt:variant>
        <vt:i4>5</vt:i4>
      </vt:variant>
      <vt:variant>
        <vt:lpwstr/>
      </vt:variant>
      <vt:variant>
        <vt:lpwstr>_Toc165636106</vt:lpwstr>
      </vt:variant>
      <vt:variant>
        <vt:i4>1114166</vt:i4>
      </vt:variant>
      <vt:variant>
        <vt:i4>98</vt:i4>
      </vt:variant>
      <vt:variant>
        <vt:i4>0</vt:i4>
      </vt:variant>
      <vt:variant>
        <vt:i4>5</vt:i4>
      </vt:variant>
      <vt:variant>
        <vt:lpwstr/>
      </vt:variant>
      <vt:variant>
        <vt:lpwstr>_Toc165636105</vt:lpwstr>
      </vt:variant>
      <vt:variant>
        <vt:i4>1114166</vt:i4>
      </vt:variant>
      <vt:variant>
        <vt:i4>92</vt:i4>
      </vt:variant>
      <vt:variant>
        <vt:i4>0</vt:i4>
      </vt:variant>
      <vt:variant>
        <vt:i4>5</vt:i4>
      </vt:variant>
      <vt:variant>
        <vt:lpwstr/>
      </vt:variant>
      <vt:variant>
        <vt:lpwstr>_Toc165636104</vt:lpwstr>
      </vt:variant>
      <vt:variant>
        <vt:i4>1114166</vt:i4>
      </vt:variant>
      <vt:variant>
        <vt:i4>86</vt:i4>
      </vt:variant>
      <vt:variant>
        <vt:i4>0</vt:i4>
      </vt:variant>
      <vt:variant>
        <vt:i4>5</vt:i4>
      </vt:variant>
      <vt:variant>
        <vt:lpwstr/>
      </vt:variant>
      <vt:variant>
        <vt:lpwstr>_Toc165636103</vt:lpwstr>
      </vt:variant>
      <vt:variant>
        <vt:i4>1114166</vt:i4>
      </vt:variant>
      <vt:variant>
        <vt:i4>80</vt:i4>
      </vt:variant>
      <vt:variant>
        <vt:i4>0</vt:i4>
      </vt:variant>
      <vt:variant>
        <vt:i4>5</vt:i4>
      </vt:variant>
      <vt:variant>
        <vt:lpwstr/>
      </vt:variant>
      <vt:variant>
        <vt:lpwstr>_Toc165636102</vt:lpwstr>
      </vt:variant>
      <vt:variant>
        <vt:i4>1114166</vt:i4>
      </vt:variant>
      <vt:variant>
        <vt:i4>74</vt:i4>
      </vt:variant>
      <vt:variant>
        <vt:i4>0</vt:i4>
      </vt:variant>
      <vt:variant>
        <vt:i4>5</vt:i4>
      </vt:variant>
      <vt:variant>
        <vt:lpwstr/>
      </vt:variant>
      <vt:variant>
        <vt:lpwstr>_Toc165636101</vt:lpwstr>
      </vt:variant>
      <vt:variant>
        <vt:i4>1114166</vt:i4>
      </vt:variant>
      <vt:variant>
        <vt:i4>68</vt:i4>
      </vt:variant>
      <vt:variant>
        <vt:i4>0</vt:i4>
      </vt:variant>
      <vt:variant>
        <vt:i4>5</vt:i4>
      </vt:variant>
      <vt:variant>
        <vt:lpwstr/>
      </vt:variant>
      <vt:variant>
        <vt:lpwstr>_Toc165636100</vt:lpwstr>
      </vt:variant>
      <vt:variant>
        <vt:i4>1572919</vt:i4>
      </vt:variant>
      <vt:variant>
        <vt:i4>62</vt:i4>
      </vt:variant>
      <vt:variant>
        <vt:i4>0</vt:i4>
      </vt:variant>
      <vt:variant>
        <vt:i4>5</vt:i4>
      </vt:variant>
      <vt:variant>
        <vt:lpwstr/>
      </vt:variant>
      <vt:variant>
        <vt:lpwstr>_Toc165636099</vt:lpwstr>
      </vt:variant>
      <vt:variant>
        <vt:i4>1572919</vt:i4>
      </vt:variant>
      <vt:variant>
        <vt:i4>56</vt:i4>
      </vt:variant>
      <vt:variant>
        <vt:i4>0</vt:i4>
      </vt:variant>
      <vt:variant>
        <vt:i4>5</vt:i4>
      </vt:variant>
      <vt:variant>
        <vt:lpwstr/>
      </vt:variant>
      <vt:variant>
        <vt:lpwstr>_Toc165636098</vt:lpwstr>
      </vt:variant>
      <vt:variant>
        <vt:i4>1572919</vt:i4>
      </vt:variant>
      <vt:variant>
        <vt:i4>50</vt:i4>
      </vt:variant>
      <vt:variant>
        <vt:i4>0</vt:i4>
      </vt:variant>
      <vt:variant>
        <vt:i4>5</vt:i4>
      </vt:variant>
      <vt:variant>
        <vt:lpwstr/>
      </vt:variant>
      <vt:variant>
        <vt:lpwstr>_Toc165636097</vt:lpwstr>
      </vt:variant>
      <vt:variant>
        <vt:i4>1572919</vt:i4>
      </vt:variant>
      <vt:variant>
        <vt:i4>44</vt:i4>
      </vt:variant>
      <vt:variant>
        <vt:i4>0</vt:i4>
      </vt:variant>
      <vt:variant>
        <vt:i4>5</vt:i4>
      </vt:variant>
      <vt:variant>
        <vt:lpwstr/>
      </vt:variant>
      <vt:variant>
        <vt:lpwstr>_Toc165636096</vt:lpwstr>
      </vt:variant>
      <vt:variant>
        <vt:i4>1572919</vt:i4>
      </vt:variant>
      <vt:variant>
        <vt:i4>38</vt:i4>
      </vt:variant>
      <vt:variant>
        <vt:i4>0</vt:i4>
      </vt:variant>
      <vt:variant>
        <vt:i4>5</vt:i4>
      </vt:variant>
      <vt:variant>
        <vt:lpwstr/>
      </vt:variant>
      <vt:variant>
        <vt:lpwstr>_Toc165636095</vt:lpwstr>
      </vt:variant>
      <vt:variant>
        <vt:i4>1572919</vt:i4>
      </vt:variant>
      <vt:variant>
        <vt:i4>32</vt:i4>
      </vt:variant>
      <vt:variant>
        <vt:i4>0</vt:i4>
      </vt:variant>
      <vt:variant>
        <vt:i4>5</vt:i4>
      </vt:variant>
      <vt:variant>
        <vt:lpwstr/>
      </vt:variant>
      <vt:variant>
        <vt:lpwstr>_Toc165636094</vt:lpwstr>
      </vt:variant>
      <vt:variant>
        <vt:i4>1572919</vt:i4>
      </vt:variant>
      <vt:variant>
        <vt:i4>26</vt:i4>
      </vt:variant>
      <vt:variant>
        <vt:i4>0</vt:i4>
      </vt:variant>
      <vt:variant>
        <vt:i4>5</vt:i4>
      </vt:variant>
      <vt:variant>
        <vt:lpwstr/>
      </vt:variant>
      <vt:variant>
        <vt:lpwstr>_Toc165636093</vt:lpwstr>
      </vt:variant>
      <vt:variant>
        <vt:i4>1572919</vt:i4>
      </vt:variant>
      <vt:variant>
        <vt:i4>20</vt:i4>
      </vt:variant>
      <vt:variant>
        <vt:i4>0</vt:i4>
      </vt:variant>
      <vt:variant>
        <vt:i4>5</vt:i4>
      </vt:variant>
      <vt:variant>
        <vt:lpwstr/>
      </vt:variant>
      <vt:variant>
        <vt:lpwstr>_Toc165636092</vt:lpwstr>
      </vt:variant>
      <vt:variant>
        <vt:i4>1572919</vt:i4>
      </vt:variant>
      <vt:variant>
        <vt:i4>14</vt:i4>
      </vt:variant>
      <vt:variant>
        <vt:i4>0</vt:i4>
      </vt:variant>
      <vt:variant>
        <vt:i4>5</vt:i4>
      </vt:variant>
      <vt:variant>
        <vt:lpwstr/>
      </vt:variant>
      <vt:variant>
        <vt:lpwstr>_Toc165636091</vt:lpwstr>
      </vt:variant>
      <vt:variant>
        <vt:i4>1572919</vt:i4>
      </vt:variant>
      <vt:variant>
        <vt:i4>8</vt:i4>
      </vt:variant>
      <vt:variant>
        <vt:i4>0</vt:i4>
      </vt:variant>
      <vt:variant>
        <vt:i4>5</vt:i4>
      </vt:variant>
      <vt:variant>
        <vt:lpwstr/>
      </vt:variant>
      <vt:variant>
        <vt:lpwstr>_Toc165636090</vt:lpwstr>
      </vt:variant>
      <vt:variant>
        <vt:i4>1638455</vt:i4>
      </vt:variant>
      <vt:variant>
        <vt:i4>2</vt:i4>
      </vt:variant>
      <vt:variant>
        <vt:i4>0</vt:i4>
      </vt:variant>
      <vt:variant>
        <vt:i4>5</vt:i4>
      </vt:variant>
      <vt:variant>
        <vt:lpwstr/>
      </vt:variant>
      <vt:variant>
        <vt:lpwstr>_Toc165636089</vt:lpwstr>
      </vt:variant>
      <vt:variant>
        <vt:i4>6029396</vt:i4>
      </vt:variant>
      <vt:variant>
        <vt:i4>984</vt:i4>
      </vt:variant>
      <vt:variant>
        <vt:i4>0</vt:i4>
      </vt:variant>
      <vt:variant>
        <vt:i4>5</vt:i4>
      </vt:variant>
      <vt:variant>
        <vt:lpwstr>https://www.education.gouv.qc.ca/parents-et-tuteurs/education-a-la-sexualite/</vt:lpwstr>
      </vt:variant>
      <vt:variant>
        <vt:lpwstr/>
      </vt:variant>
      <vt:variant>
        <vt:i4>3997729</vt:i4>
      </vt:variant>
      <vt:variant>
        <vt:i4>933</vt:i4>
      </vt:variant>
      <vt:variant>
        <vt:i4>0</vt:i4>
      </vt:variant>
      <vt:variant>
        <vt:i4>5</vt:i4>
      </vt:variant>
      <vt:variant>
        <vt:lpwstr>https://www.ocya.alberta.ca/adult/news/statement-supporting-gender-diverse-children-and-youth/</vt:lpwstr>
      </vt:variant>
      <vt:variant>
        <vt:lpwstr/>
      </vt:variant>
      <vt:variant>
        <vt:i4>5177359</vt:i4>
      </vt:variant>
      <vt:variant>
        <vt:i4>930</vt:i4>
      </vt:variant>
      <vt:variant>
        <vt:i4>0</vt:i4>
      </vt:variant>
      <vt:variant>
        <vt:i4>5</vt:i4>
      </vt:variant>
      <vt:variant>
        <vt:lpwstr>https://static1.squarespace.com/static/60620922ffdb3f7dec577e42/t/64dba3870f8e910c2df98320/1692115852987/Dans+l%27ensemble+choisissez+la+gentillesse+-+Politique+713.pdf</vt:lpwstr>
      </vt:variant>
      <vt:variant>
        <vt:lpwstr/>
      </vt:variant>
      <vt:variant>
        <vt:i4>1966144</vt:i4>
      </vt:variant>
      <vt:variant>
        <vt:i4>927</vt:i4>
      </vt:variant>
      <vt:variant>
        <vt:i4>0</vt:i4>
      </vt:variant>
      <vt:variant>
        <vt:i4>5</vt:i4>
      </vt:variant>
      <vt:variant>
        <vt:lpwstr>https://www.saskadvocate.ca/assets/acy-policy-review-use-of-preferred-first-name-and-pronouns-of-students-september-15-2023-final.pdf</vt:lpwstr>
      </vt:variant>
      <vt:variant>
        <vt:lpwstr/>
      </vt:variant>
      <vt:variant>
        <vt:i4>6750320</vt:i4>
      </vt:variant>
      <vt:variant>
        <vt:i4>924</vt:i4>
      </vt:variant>
      <vt:variant>
        <vt:i4>0</vt:i4>
      </vt:variant>
      <vt:variant>
        <vt:i4>5</vt:i4>
      </vt:variant>
      <vt:variant>
        <vt:lpwstr>https://www.alberta.ca/release.cfm?xID=89690FEFD06CA-AC6A-E4E1-C9274DADFC0141DC</vt:lpwstr>
      </vt:variant>
      <vt:variant>
        <vt:lpwstr/>
      </vt:variant>
      <vt:variant>
        <vt:i4>8060985</vt:i4>
      </vt:variant>
      <vt:variant>
        <vt:i4>828</vt:i4>
      </vt:variant>
      <vt:variant>
        <vt:i4>0</vt:i4>
      </vt:variant>
      <vt:variant>
        <vt:i4>5</vt:i4>
      </vt:variant>
      <vt:variant>
        <vt:lpwstr>https://www.chrc-ccdp.gc.ca/fr/ressources/des-changements-aux-mesures-dadaptation-pour-les-detenus-transgenres-dans-le-systeme</vt:lpwstr>
      </vt:variant>
      <vt:variant>
        <vt:lpwstr/>
      </vt:variant>
      <vt:variant>
        <vt:i4>7471149</vt:i4>
      </vt:variant>
      <vt:variant>
        <vt:i4>825</vt:i4>
      </vt:variant>
      <vt:variant>
        <vt:i4>0</vt:i4>
      </vt:variant>
      <vt:variant>
        <vt:i4>5</vt:i4>
      </vt:variant>
      <vt:variant>
        <vt:lpwstr>https://www.justice.gc.ca/fra/pr-rp/jr/rqpjgptbnc-qlslpttnpc/pdf/RSD_2022_Trans_2spirit_non_binary_qualitative_report_FR2.pdf</vt:lpwstr>
      </vt:variant>
      <vt:variant>
        <vt:lpwstr/>
      </vt:variant>
      <vt:variant>
        <vt:i4>8060961</vt:i4>
      </vt:variant>
      <vt:variant>
        <vt:i4>810</vt:i4>
      </vt:variant>
      <vt:variant>
        <vt:i4>0</vt:i4>
      </vt:variant>
      <vt:variant>
        <vt:i4>5</vt:i4>
      </vt:variant>
      <vt:variant>
        <vt:lpwstr>https://www.cssdm.gouv.qc.ca/wp-content/uploads/lignes-directrices- transgenres.pdf</vt:lpwstr>
      </vt:variant>
      <vt:variant>
        <vt:lpwstr/>
      </vt:variant>
      <vt:variant>
        <vt:i4>6684719</vt:i4>
      </vt:variant>
      <vt:variant>
        <vt:i4>801</vt:i4>
      </vt:variant>
      <vt:variant>
        <vt:i4>0</vt:i4>
      </vt:variant>
      <vt:variant>
        <vt:i4>5</vt:i4>
      </vt:variant>
      <vt:variant>
        <vt:lpwstr>http://www.conseil-lgbt.ca/architecture</vt:lpwstr>
      </vt:variant>
      <vt:variant>
        <vt:lpwstr/>
      </vt:variant>
      <vt:variant>
        <vt:i4>3604515</vt:i4>
      </vt:variant>
      <vt:variant>
        <vt:i4>783</vt:i4>
      </vt:variant>
      <vt:variant>
        <vt:i4>0</vt:i4>
      </vt:variant>
      <vt:variant>
        <vt:i4>5</vt:i4>
      </vt:variant>
      <vt:variant>
        <vt:lpwstr>https://eduq.info/xmlui/bitstream/handle/11515/37839/chamberland-et-al-transphobie-milieu-scolaire-quebec-uqam-2011.pdf?sequence=2&amp;isAllowed=y</vt:lpwstr>
      </vt:variant>
      <vt:variant>
        <vt:lpwstr/>
      </vt:variant>
      <vt:variant>
        <vt:i4>2424953</vt:i4>
      </vt:variant>
      <vt:variant>
        <vt:i4>780</vt:i4>
      </vt:variant>
      <vt:variant>
        <vt:i4>0</vt:i4>
      </vt:variant>
      <vt:variant>
        <vt:i4>5</vt:i4>
      </vt:variant>
      <vt:variant>
        <vt:lpwstr>https://academic.oup.com/hsw/article-abstract/46/4/260/6378750?login=false</vt:lpwstr>
      </vt:variant>
      <vt:variant>
        <vt:lpwstr/>
      </vt:variant>
      <vt:variant>
        <vt:i4>7733329</vt:i4>
      </vt:variant>
      <vt:variant>
        <vt:i4>777</vt:i4>
      </vt:variant>
      <vt:variant>
        <vt:i4>0</vt:i4>
      </vt:variant>
      <vt:variant>
        <vt:i4>5</vt:i4>
      </vt:variant>
      <vt:variant>
        <vt:lpwstr>https://www3.ohrc.on.ca/sites/default/files/Policy on preventing discrimination because of gender identity and gender expression_FR.pdf</vt:lpwstr>
      </vt:variant>
      <vt:variant>
        <vt:lpwstr/>
      </vt:variant>
      <vt:variant>
        <vt:i4>2424894</vt:i4>
      </vt:variant>
      <vt:variant>
        <vt:i4>774</vt:i4>
      </vt:variant>
      <vt:variant>
        <vt:i4>0</vt:i4>
      </vt:variant>
      <vt:variant>
        <vt:i4>5</vt:i4>
      </vt:variant>
      <vt:variant>
        <vt:lpwstr>https://www.inspq.qc.ca/intimidation/jeunes</vt:lpwstr>
      </vt:variant>
      <vt:variant>
        <vt:lpwstr/>
      </vt:variant>
      <vt:variant>
        <vt:i4>1376259</vt:i4>
      </vt:variant>
      <vt:variant>
        <vt:i4>771</vt:i4>
      </vt:variant>
      <vt:variant>
        <vt:i4>0</vt:i4>
      </vt:variant>
      <vt:variant>
        <vt:i4>5</vt:i4>
      </vt:variant>
      <vt:variant>
        <vt:lpwstr>https://statistique.quebec.ca/fr/document/violence-adolescent-sport-quebec/publication/violence-adolescents-adolescentes-milieux-sportifs-quebec</vt:lpwstr>
      </vt:variant>
      <vt:variant>
        <vt:lpwstr/>
      </vt:variant>
      <vt:variant>
        <vt:i4>8323129</vt:i4>
      </vt:variant>
      <vt:variant>
        <vt:i4>768</vt:i4>
      </vt:variant>
      <vt:variant>
        <vt:i4>0</vt:i4>
      </vt:variant>
      <vt:variant>
        <vt:i4>5</vt:i4>
      </vt:variant>
      <vt:variant>
        <vt:lpwstr>https://www.inspq.qc.ca/rapport-quebecois-sur-la-violence-et-la-sante/la-violence-envers-les-athletes-dans-un-contexte-sportif</vt:lpwstr>
      </vt:variant>
      <vt:variant>
        <vt:lpwstr/>
      </vt:variant>
      <vt:variant>
        <vt:i4>5832792</vt:i4>
      </vt:variant>
      <vt:variant>
        <vt:i4>762</vt:i4>
      </vt:variant>
      <vt:variant>
        <vt:i4>0</vt:i4>
      </vt:variant>
      <vt:variant>
        <vt:i4>5</vt:i4>
      </vt:variant>
      <vt:variant>
        <vt:lpwstr>https://www.lapresse.ca/actualites/education/2023-09-12/blocs-sanitaires-dans-les-ecoles/drainville-exige-le-maintien-de-toilettes-non-mixtes.php</vt:lpwstr>
      </vt:variant>
      <vt:variant>
        <vt:lpwstr/>
      </vt:variant>
      <vt:variant>
        <vt:i4>5832763</vt:i4>
      </vt:variant>
      <vt:variant>
        <vt:i4>759</vt:i4>
      </vt:variant>
      <vt:variant>
        <vt:i4>0</vt:i4>
      </vt:variant>
      <vt:variant>
        <vt:i4>5</vt:i4>
      </vt:variant>
      <vt:variant>
        <vt:lpwstr>https://www.education.gouv.qc.ca/fileadmin/site_web/documents/education/jeunes/Guide-diversite.pdf</vt:lpwstr>
      </vt:variant>
      <vt:variant>
        <vt:lpwstr/>
      </vt:variant>
      <vt:variant>
        <vt:i4>3866667</vt:i4>
      </vt:variant>
      <vt:variant>
        <vt:i4>756</vt:i4>
      </vt:variant>
      <vt:variant>
        <vt:i4>0</vt:i4>
      </vt:variant>
      <vt:variant>
        <vt:i4>5</vt:i4>
      </vt:variant>
      <vt:variant>
        <vt:lpwstr>https://www.journaldequebec.com/2024/03/19/des-toilettes-mixtes-dans-de-nouvelles-ecoles-primaires</vt:lpwstr>
      </vt:variant>
      <vt:variant>
        <vt:lpwstr/>
      </vt:variant>
      <vt:variant>
        <vt:i4>2490477</vt:i4>
      </vt:variant>
      <vt:variant>
        <vt:i4>753</vt:i4>
      </vt:variant>
      <vt:variant>
        <vt:i4>0</vt:i4>
      </vt:variant>
      <vt:variant>
        <vt:i4>5</vt:i4>
      </vt:variant>
      <vt:variant>
        <vt:lpwstr>https://ici.radio-canada.ca/nouvelle/2009789/abitibi-identite-genre-secontaire-toilettes-mixtes</vt:lpwstr>
      </vt:variant>
      <vt:variant>
        <vt:lpwstr/>
      </vt:variant>
      <vt:variant>
        <vt:i4>2162801</vt:i4>
      </vt:variant>
      <vt:variant>
        <vt:i4>732</vt:i4>
      </vt:variant>
      <vt:variant>
        <vt:i4>0</vt:i4>
      </vt:variant>
      <vt:variant>
        <vt:i4>5</vt:i4>
      </vt:variant>
      <vt:variant>
        <vt:lpwstr>https://www.quebec.ca/famille-et-soutien-aux-personnes/enfance/developpement-des-enfants/consequences-stereotypes-developpement</vt:lpwstr>
      </vt:variant>
      <vt:variant>
        <vt:lpwstr/>
      </vt:variant>
      <vt:variant>
        <vt:i4>4522053</vt:i4>
      </vt:variant>
      <vt:variant>
        <vt:i4>729</vt:i4>
      </vt:variant>
      <vt:variant>
        <vt:i4>0</vt:i4>
      </vt:variant>
      <vt:variant>
        <vt:i4>5</vt:i4>
      </vt:variant>
      <vt:variant>
        <vt:lpwstr>https://doi.org/10.1111/psj.12484</vt:lpwstr>
      </vt:variant>
      <vt:variant>
        <vt:lpwstr/>
      </vt:variant>
      <vt:variant>
        <vt:i4>5439503</vt:i4>
      </vt:variant>
      <vt:variant>
        <vt:i4>717</vt:i4>
      </vt:variant>
      <vt:variant>
        <vt:i4>0</vt:i4>
      </vt:variant>
      <vt:variant>
        <vt:i4>5</vt:i4>
      </vt:variant>
      <vt:variant>
        <vt:lpwstr>https://www.lesoleil.com/2023/02/02/maisons-dhebergement-les-femmes-trans-y-ont-leur-place-9ee4ea2233c6189d5f91a238074b817c/</vt:lpwstr>
      </vt:variant>
      <vt:variant>
        <vt:lpwstr/>
      </vt:variant>
      <vt:variant>
        <vt:i4>1835019</vt:i4>
      </vt:variant>
      <vt:variant>
        <vt:i4>714</vt:i4>
      </vt:variant>
      <vt:variant>
        <vt:i4>0</vt:i4>
      </vt:variant>
      <vt:variant>
        <vt:i4>5</vt:i4>
      </vt:variant>
      <vt:variant>
        <vt:lpwstr>https://ici.radio-canada.ca/nouvelle/1152746/sensibilisation-genres-trans-diversite-sexuelle</vt:lpwstr>
      </vt:variant>
      <vt:variant>
        <vt:lpwstr/>
      </vt:variant>
      <vt:variant>
        <vt:i4>2687010</vt:i4>
      </vt:variant>
      <vt:variant>
        <vt:i4>711</vt:i4>
      </vt:variant>
      <vt:variant>
        <vt:i4>0</vt:i4>
      </vt:variant>
      <vt:variant>
        <vt:i4>5</vt:i4>
      </vt:variant>
      <vt:variant>
        <vt:lpwstr>https://gazettedesfemmes.ca/23788/dans-langle-mort-des-violences-les-communautes-lgbtq/</vt:lpwstr>
      </vt:variant>
      <vt:variant>
        <vt:lpwstr/>
      </vt:variant>
      <vt:variant>
        <vt:i4>1966157</vt:i4>
      </vt:variant>
      <vt:variant>
        <vt:i4>708</vt:i4>
      </vt:variant>
      <vt:variant>
        <vt:i4>0</vt:i4>
      </vt:variant>
      <vt:variant>
        <vt:i4>5</vt:i4>
      </vt:variant>
      <vt:variant>
        <vt:lpwstr>https://www.ledevoir.com/societe/519018/identite-de-genre-de-nouvelles-mesures-dans-les-prisons-federales</vt:lpwstr>
      </vt:variant>
      <vt:variant>
        <vt:lpwstr/>
      </vt:variant>
      <vt:variant>
        <vt:i4>1704003</vt:i4>
      </vt:variant>
      <vt:variant>
        <vt:i4>705</vt:i4>
      </vt:variant>
      <vt:variant>
        <vt:i4>0</vt:i4>
      </vt:variant>
      <vt:variant>
        <vt:i4>5</vt:i4>
      </vt:variant>
      <vt:variant>
        <vt:lpwstr>https://www.lhebdojournal.com/actualites/experience-traumatisante-pour-une-personne-trans-a-la-prison-de-trois-rivieres/</vt:lpwstr>
      </vt:variant>
      <vt:variant>
        <vt:lpwstr/>
      </vt:variant>
      <vt:variant>
        <vt:i4>8257658</vt:i4>
      </vt:variant>
      <vt:variant>
        <vt:i4>702</vt:i4>
      </vt:variant>
      <vt:variant>
        <vt:i4>0</vt:i4>
      </vt:variant>
      <vt:variant>
        <vt:i4>5</vt:i4>
      </vt:variant>
      <vt:variant>
        <vt:lpwstr>https://www.lapresse.ca/actualites/justice-et-faits-divers/2023-02-26/crimes-violents-et-sexuels/quelle-prison-pour-les-detenues-trans.php</vt:lpwstr>
      </vt:variant>
      <vt:variant>
        <vt:lpwstr/>
      </vt:variant>
      <vt:variant>
        <vt:i4>7405615</vt:i4>
      </vt:variant>
      <vt:variant>
        <vt:i4>699</vt:i4>
      </vt:variant>
      <vt:variant>
        <vt:i4>0</vt:i4>
      </vt:variant>
      <vt:variant>
        <vt:i4>5</vt:i4>
      </vt:variant>
      <vt:variant>
        <vt:lpwstr>https://www.lapresse.ca/actualites/justice-et-faits-divers/2023-04-21/apres-avoir-tente-de-s-enlever-les-testicules/burke-declare-delinquant-dangereux-et-condamne-a-15-ans-de-penitencier.php</vt:lpwstr>
      </vt:variant>
      <vt:variant>
        <vt:lpwstr/>
      </vt:variant>
      <vt:variant>
        <vt:i4>7667833</vt:i4>
      </vt:variant>
      <vt:variant>
        <vt:i4>696</vt:i4>
      </vt:variant>
      <vt:variant>
        <vt:i4>0</vt:i4>
      </vt:variant>
      <vt:variant>
        <vt:i4>5</vt:i4>
      </vt:variant>
      <vt:variant>
        <vt:lpwstr>https://www.journaldequebec.com/2023/11/01/quatre-fois-ou-les-athletes-transgenres-ont-suscite-le-debat</vt:lpwstr>
      </vt:variant>
      <vt:variant>
        <vt:lpwstr/>
      </vt:variant>
      <vt:variant>
        <vt:i4>6160385</vt:i4>
      </vt:variant>
      <vt:variant>
        <vt:i4>693</vt:i4>
      </vt:variant>
      <vt:variant>
        <vt:i4>0</vt:i4>
      </vt:variant>
      <vt:variant>
        <vt:i4>5</vt:i4>
      </vt:variant>
      <vt:variant>
        <vt:lpwstr>https://www.journaldequebec.com/2023/05/02/athletes-transgenres-le-reseau-du-sport-etudiant-reclame-une-directive-claire</vt:lpwstr>
      </vt:variant>
      <vt:variant>
        <vt:lpwstr/>
      </vt:variant>
      <vt:variant>
        <vt:i4>720905</vt:i4>
      </vt:variant>
      <vt:variant>
        <vt:i4>690</vt:i4>
      </vt:variant>
      <vt:variant>
        <vt:i4>0</vt:i4>
      </vt:variant>
      <vt:variant>
        <vt:i4>5</vt:i4>
      </vt:variant>
      <vt:variant>
        <vt:lpwstr>https://www.lapresse.ca/sports/2023-03-23/athletisme/les-personnes-transgenres-bannies-des-competitions-feminines.php</vt:lpwstr>
      </vt:variant>
      <vt:variant>
        <vt:lpwstr/>
      </vt:variant>
      <vt:variant>
        <vt:i4>327756</vt:i4>
      </vt:variant>
      <vt:variant>
        <vt:i4>687</vt:i4>
      </vt:variant>
      <vt:variant>
        <vt:i4>0</vt:i4>
      </vt:variant>
      <vt:variant>
        <vt:i4>5</vt:i4>
      </vt:variant>
      <vt:variant>
        <vt:lpwstr>https://www.lapresse.ca/actualites/2024-03-16/vestiaire-universel-au-cepsum/des-femmes-se-sont-plaintes-d-incivilites.php</vt:lpwstr>
      </vt:variant>
      <vt:variant>
        <vt:lpwstr/>
      </vt:variant>
      <vt:variant>
        <vt:i4>2097204</vt:i4>
      </vt:variant>
      <vt:variant>
        <vt:i4>684</vt:i4>
      </vt:variant>
      <vt:variant>
        <vt:i4>0</vt:i4>
      </vt:variant>
      <vt:variant>
        <vt:i4>5</vt:i4>
      </vt:variant>
      <vt:variant>
        <vt:lpwstr>https://www.journaldemontreal.com/2023/12/19/centre-aquatique-granby-revient-sur-sa-decision-pour-les-vestiaires-non-genres</vt:lpwstr>
      </vt:variant>
      <vt:variant>
        <vt:lpwstr/>
      </vt:variant>
      <vt:variant>
        <vt:i4>5832792</vt:i4>
      </vt:variant>
      <vt:variant>
        <vt:i4>681</vt:i4>
      </vt:variant>
      <vt:variant>
        <vt:i4>0</vt:i4>
      </vt:variant>
      <vt:variant>
        <vt:i4>5</vt:i4>
      </vt:variant>
      <vt:variant>
        <vt:lpwstr>https://www.lapresse.ca/actualites/education/2023-09-12/blocs-sanitaires-dans-les-ecoles/drainville-exige-le-maintien-de-toilettes-non-mixtes.php</vt:lpwstr>
      </vt:variant>
      <vt:variant>
        <vt:lpwstr/>
      </vt:variant>
      <vt:variant>
        <vt:i4>2424870</vt:i4>
      </vt:variant>
      <vt:variant>
        <vt:i4>675</vt:i4>
      </vt:variant>
      <vt:variant>
        <vt:i4>0</vt:i4>
      </vt:variant>
      <vt:variant>
        <vt:i4>5</vt:i4>
      </vt:variant>
      <vt:variant>
        <vt:lpwstr>https://ici.radio-canada.ca/recit-numerique/8610/transition-genre-testoterone-choix-dysphorie-sante-mentale</vt:lpwstr>
      </vt:variant>
      <vt:variant>
        <vt:lpwstr/>
      </vt:variant>
      <vt:variant>
        <vt:i4>3473420</vt:i4>
      </vt:variant>
      <vt:variant>
        <vt:i4>669</vt:i4>
      </vt:variant>
      <vt:variant>
        <vt:i4>0</vt:i4>
      </vt:variant>
      <vt:variant>
        <vt:i4>5</vt:i4>
      </vt:variant>
      <vt:variant>
        <vt:lpwstr>https://www.cdpdj.qc.ca/storage/app/media/publications/bilan_charte.pdf</vt:lpwstr>
      </vt:variant>
      <vt:variant>
        <vt:lpwstr/>
      </vt:variant>
      <vt:variant>
        <vt:i4>3539062</vt:i4>
      </vt:variant>
      <vt:variant>
        <vt:i4>666</vt:i4>
      </vt:variant>
      <vt:variant>
        <vt:i4>0</vt:i4>
      </vt:variant>
      <vt:variant>
        <vt:i4>5</vt:i4>
      </vt:variant>
      <vt:variant>
        <vt:lpwstr>https://www.who.int/news-room/questions-and-answers/item/social-determinants-of-health-key-concepts</vt:lpwstr>
      </vt:variant>
      <vt:variant>
        <vt:lpwstr/>
      </vt:variant>
      <vt:variant>
        <vt:i4>2752564</vt:i4>
      </vt:variant>
      <vt:variant>
        <vt:i4>657</vt:i4>
      </vt:variant>
      <vt:variant>
        <vt:i4>0</vt:i4>
      </vt:variant>
      <vt:variant>
        <vt:i4>5</vt:i4>
      </vt:variant>
      <vt:variant>
        <vt:lpwstr>https://www.journaldemontreal.com/2023/09/26/aucun-mineur-quebecois-na-subi-de-changement-de-sexe-depuis-trois-ans</vt:lpwstr>
      </vt:variant>
      <vt:variant>
        <vt:lpwstr/>
      </vt:variant>
      <vt:variant>
        <vt:i4>6225970</vt:i4>
      </vt:variant>
      <vt:variant>
        <vt:i4>618</vt:i4>
      </vt:variant>
      <vt:variant>
        <vt:i4>0</vt:i4>
      </vt:variant>
      <vt:variant>
        <vt:i4>5</vt:i4>
      </vt:variant>
      <vt:variant>
        <vt:lpwstr>https://cass.independent-review.uk/wp-content/uploads/2022/07/Cass-Review-Letter-to-NHSE_19-July-2022.pdf</vt:lpwstr>
      </vt:variant>
      <vt:variant>
        <vt:lpwstr/>
      </vt:variant>
      <vt:variant>
        <vt:i4>1245213</vt:i4>
      </vt:variant>
      <vt:variant>
        <vt:i4>615</vt:i4>
      </vt:variant>
      <vt:variant>
        <vt:i4>0</vt:i4>
      </vt:variant>
      <vt:variant>
        <vt:i4>5</vt:i4>
      </vt:variant>
      <vt:variant>
        <vt:lpwstr>https://www.england.nhs.uk/commissioning/spec-services/npc-crg/gender-dysphoria-clinical-programme/implementing-advice-from-the-cass-review/</vt:lpwstr>
      </vt:variant>
      <vt:variant>
        <vt:lpwstr/>
      </vt:variant>
      <vt:variant>
        <vt:i4>4980763</vt:i4>
      </vt:variant>
      <vt:variant>
        <vt:i4>612</vt:i4>
      </vt:variant>
      <vt:variant>
        <vt:i4>0</vt:i4>
      </vt:variant>
      <vt:variant>
        <vt:i4>5</vt:i4>
      </vt:variant>
      <vt:variant>
        <vt:lpwstr>https://cass.independent-review.uk/wp-content/uploads/2022/03/Cass-Review-Interim-Report-Final-Web-Accessible.pdf</vt:lpwstr>
      </vt:variant>
      <vt:variant>
        <vt:lpwstr/>
      </vt:variant>
      <vt:variant>
        <vt:i4>8257579</vt:i4>
      </vt:variant>
      <vt:variant>
        <vt:i4>603</vt:i4>
      </vt:variant>
      <vt:variant>
        <vt:i4>0</vt:i4>
      </vt:variant>
      <vt:variant>
        <vt:i4>5</vt:i4>
      </vt:variant>
      <vt:variant>
        <vt:lpwstr>https://publications.msss.gouv.qc.ca/msss/fichiers/2023/23-302-01W.pdf</vt:lpwstr>
      </vt:variant>
      <vt:variant>
        <vt:lpwstr/>
      </vt:variant>
      <vt:variant>
        <vt:i4>6094919</vt:i4>
      </vt:variant>
      <vt:variant>
        <vt:i4>585</vt:i4>
      </vt:variant>
      <vt:variant>
        <vt:i4>0</vt:i4>
      </vt:variant>
      <vt:variant>
        <vt:i4>5</vt:i4>
      </vt:variant>
      <vt:variant>
        <vt:lpwstr>https://familyproject.sfsu.edu/sites/default/files/documents/FAP_English Booklet_pst.pdf</vt:lpwstr>
      </vt:variant>
      <vt:variant>
        <vt:lpwstr/>
      </vt:variant>
      <vt:variant>
        <vt:i4>851979</vt:i4>
      </vt:variant>
      <vt:variant>
        <vt:i4>582</vt:i4>
      </vt:variant>
      <vt:variant>
        <vt:i4>0</vt:i4>
      </vt:variant>
      <vt:variant>
        <vt:i4>5</vt:i4>
      </vt:variant>
      <vt:variant>
        <vt:lpwstr>https://pubmed.ncbi.nlm.nih.gov/29609917/</vt:lpwstr>
      </vt:variant>
      <vt:variant>
        <vt:lpwstr/>
      </vt:variant>
      <vt:variant>
        <vt:i4>7012449</vt:i4>
      </vt:variant>
      <vt:variant>
        <vt:i4>567</vt:i4>
      </vt:variant>
      <vt:variant>
        <vt:i4>0</vt:i4>
      </vt:variant>
      <vt:variant>
        <vt:i4>5</vt:i4>
      </vt:variant>
      <vt:variant>
        <vt:lpwstr>https://www.education-index.org/wp-content/uploads/2022/05/IGLYO-LGBTQI-Inclusive-Education-Report-2022.pdf</vt:lpwstr>
      </vt:variant>
      <vt:variant>
        <vt:lpwstr/>
      </vt:variant>
      <vt:variant>
        <vt:i4>5373969</vt:i4>
      </vt:variant>
      <vt:variant>
        <vt:i4>564</vt:i4>
      </vt:variant>
      <vt:variant>
        <vt:i4>0</vt:i4>
      </vt:variant>
      <vt:variant>
        <vt:i4>5</vt:i4>
      </vt:variant>
      <vt:variant>
        <vt:lpwstr>https://www.saravyc.ubc.ca/ctyhs2019/</vt:lpwstr>
      </vt:variant>
      <vt:variant>
        <vt:lpwstr/>
      </vt:variant>
      <vt:variant>
        <vt:i4>5701653</vt:i4>
      </vt:variant>
      <vt:variant>
        <vt:i4>555</vt:i4>
      </vt:variant>
      <vt:variant>
        <vt:i4>0</vt:i4>
      </vt:variant>
      <vt:variant>
        <vt:i4>5</vt:i4>
      </vt:variant>
      <vt:variant>
        <vt:lpwstr>https://www.erudit.org/fr/revues/crimino/2023-v56-n1-crimino07959/1099016ar/</vt:lpwstr>
      </vt:variant>
      <vt:variant>
        <vt:lpwstr/>
      </vt:variant>
      <vt:variant>
        <vt:i4>1441911</vt:i4>
      </vt:variant>
      <vt:variant>
        <vt:i4>543</vt:i4>
      </vt:variant>
      <vt:variant>
        <vt:i4>0</vt:i4>
      </vt:variant>
      <vt:variant>
        <vt:i4>5</vt:i4>
      </vt:variant>
      <vt:variant>
        <vt:lpwstr>https://yogyakartaprinciples.org/wp-content/uploads/2016/08/principles_fr.pdf</vt:lpwstr>
      </vt:variant>
      <vt:variant>
        <vt:lpwstr/>
      </vt:variant>
      <vt:variant>
        <vt:i4>6094868</vt:i4>
      </vt:variant>
      <vt:variant>
        <vt:i4>516</vt:i4>
      </vt:variant>
      <vt:variant>
        <vt:i4>0</vt:i4>
      </vt:variant>
      <vt:variant>
        <vt:i4>5</vt:i4>
      </vt:variant>
      <vt:variant>
        <vt:lpwstr>https://www.unicef.org/fr/node/28116</vt:lpwstr>
      </vt:variant>
      <vt:variant>
        <vt:lpwstr/>
      </vt:variant>
      <vt:variant>
        <vt:i4>7864426</vt:i4>
      </vt:variant>
      <vt:variant>
        <vt:i4>513</vt:i4>
      </vt:variant>
      <vt:variant>
        <vt:i4>0</vt:i4>
      </vt:variant>
      <vt:variant>
        <vt:i4>5</vt:i4>
      </vt:variant>
      <vt:variant>
        <vt:lpwstr>https://www.unicef.ca/fr/discover-fr/article/a-propos-d%27une-gouvernance-axee-sur-les-enfants</vt:lpwstr>
      </vt:variant>
      <vt:variant>
        <vt:lpwstr/>
      </vt:variant>
      <vt:variant>
        <vt:i4>7798899</vt:i4>
      </vt:variant>
      <vt:variant>
        <vt:i4>507</vt:i4>
      </vt:variant>
      <vt:variant>
        <vt:i4>0</vt:i4>
      </vt:variant>
      <vt:variant>
        <vt:i4>5</vt:i4>
      </vt:variant>
      <vt:variant>
        <vt:lpwstr>https://www.undp.org/sites/g/files/zskgke326/files/2023-04/Advancing the human rights of LGBTI people - FRENCH.pdf</vt:lpwstr>
      </vt:variant>
      <vt:variant>
        <vt:lpwstr/>
      </vt:variant>
      <vt:variant>
        <vt:i4>4653093</vt:i4>
      </vt:variant>
      <vt:variant>
        <vt:i4>486</vt:i4>
      </vt:variant>
      <vt:variant>
        <vt:i4>0</vt:i4>
      </vt:variant>
      <vt:variant>
        <vt:i4>5</vt:i4>
      </vt:variant>
      <vt:variant>
        <vt:lpwstr>https://www.cdpdj.qcca/storage/app/media/publications/Charte_religion_espace_public.pdf</vt:lpwstr>
      </vt:variant>
      <vt:variant>
        <vt:lpwstr/>
      </vt:variant>
      <vt:variant>
        <vt:i4>786461</vt:i4>
      </vt:variant>
      <vt:variant>
        <vt:i4>483</vt:i4>
      </vt:variant>
      <vt:variant>
        <vt:i4>0</vt:i4>
      </vt:variant>
      <vt:variant>
        <vt:i4>5</vt:i4>
      </vt:variant>
      <vt:variant>
        <vt:lpwstr>https://www.canlii.org/fr/qc/qccs/doc/2016/2016qccs4521/2016qccs4521.html</vt:lpwstr>
      </vt:variant>
      <vt:variant>
        <vt:lpwstr>par78</vt:lpwstr>
      </vt:variant>
      <vt:variant>
        <vt:i4>5898271</vt:i4>
      </vt:variant>
      <vt:variant>
        <vt:i4>480</vt:i4>
      </vt:variant>
      <vt:variant>
        <vt:i4>0</vt:i4>
      </vt:variant>
      <vt:variant>
        <vt:i4>5</vt:i4>
      </vt:variant>
      <vt:variant>
        <vt:lpwstr>https://www.canlii.org/fr/qc/qccs/doc/2016/2016qccs4521/2016qccs4521.html</vt:lpwstr>
      </vt:variant>
      <vt:variant>
        <vt:lpwstr/>
      </vt:variant>
      <vt:variant>
        <vt:i4>6750322</vt:i4>
      </vt:variant>
      <vt:variant>
        <vt:i4>477</vt:i4>
      </vt:variant>
      <vt:variant>
        <vt:i4>0</vt:i4>
      </vt:variant>
      <vt:variant>
        <vt:i4>5</vt:i4>
      </vt:variant>
      <vt:variant>
        <vt:lpwstr>https://www.canlii.org/fr/ca/csc/doc/1999/1999canlii646/1999canlii646.html</vt:lpwstr>
      </vt:variant>
      <vt:variant>
        <vt:lpwstr>par30</vt:lpwstr>
      </vt:variant>
      <vt:variant>
        <vt:i4>1179669</vt:i4>
      </vt:variant>
      <vt:variant>
        <vt:i4>471</vt:i4>
      </vt:variant>
      <vt:variant>
        <vt:i4>0</vt:i4>
      </vt:variant>
      <vt:variant>
        <vt:i4>5</vt:i4>
      </vt:variant>
      <vt:variant>
        <vt:lpwstr>https://www.canlii.org/fr/qc/qctdp/doc/2021/2021qctdp35/2021qctdp35.html</vt:lpwstr>
      </vt:variant>
      <vt:variant>
        <vt:lpwstr>par95</vt:lpwstr>
      </vt:variant>
      <vt:variant>
        <vt:i4>4849687</vt:i4>
      </vt:variant>
      <vt:variant>
        <vt:i4>468</vt:i4>
      </vt:variant>
      <vt:variant>
        <vt:i4>0</vt:i4>
      </vt:variant>
      <vt:variant>
        <vt:i4>5</vt:i4>
      </vt:variant>
      <vt:variant>
        <vt:lpwstr>https://www.canlii.org/fr/qc/qctdp/doc/2021/2021qctdp35/2021qctdp35.html</vt:lpwstr>
      </vt:variant>
      <vt:variant>
        <vt:lpwstr/>
      </vt:variant>
      <vt:variant>
        <vt:i4>6357117</vt:i4>
      </vt:variant>
      <vt:variant>
        <vt:i4>435</vt:i4>
      </vt:variant>
      <vt:variant>
        <vt:i4>0</vt:i4>
      </vt:variant>
      <vt:variant>
        <vt:i4>5</vt:i4>
      </vt:variant>
      <vt:variant>
        <vt:lpwstr>https://cdpdj.qc.ca/storage/app/media/blocs-informations/pour-en-savoir-plus-accommodement-raisonnable/Guide_virtuel_accommodement.pdf</vt:lpwstr>
      </vt:variant>
      <vt:variant>
        <vt:lpwstr/>
      </vt:variant>
      <vt:variant>
        <vt:i4>5308435</vt:i4>
      </vt:variant>
      <vt:variant>
        <vt:i4>429</vt:i4>
      </vt:variant>
      <vt:variant>
        <vt:i4>0</vt:i4>
      </vt:variant>
      <vt:variant>
        <vt:i4>5</vt:i4>
      </vt:variant>
      <vt:variant>
        <vt:lpwstr>https://www.erudit.org/fr/revues/crimino/2023-v56-n2-crimino08911/1107607ar/</vt:lpwstr>
      </vt:variant>
      <vt:variant>
        <vt:lpwstr/>
      </vt:variant>
      <vt:variant>
        <vt:i4>3801104</vt:i4>
      </vt:variant>
      <vt:variant>
        <vt:i4>417</vt:i4>
      </vt:variant>
      <vt:variant>
        <vt:i4>0</vt:i4>
      </vt:variant>
      <vt:variant>
        <vt:i4>5</vt:i4>
      </vt:variant>
      <vt:variant>
        <vt:lpwstr>https://www23.statcan.gc.ca/imdb/p3Var_f.pl?Function=DEC&amp;Id=410445</vt:lpwstr>
      </vt:variant>
      <vt:variant>
        <vt:lpwstr/>
      </vt:variant>
      <vt:variant>
        <vt:i4>786522</vt:i4>
      </vt:variant>
      <vt:variant>
        <vt:i4>414</vt:i4>
      </vt:variant>
      <vt:variant>
        <vt:i4>0</vt:i4>
      </vt:variant>
      <vt:variant>
        <vt:i4>5</vt:i4>
      </vt:variant>
      <vt:variant>
        <vt:lpwstr>https://cashra.ca/wp-content/uploads/sites/71/ACCDP-Lettre-donne%CC%81es-de%CC%81sagre%CC%81ge%CC%81es-sur-la-sante%CC%81-5-juin-2020.pdf</vt:lpwstr>
      </vt:variant>
      <vt:variant>
        <vt:lpwstr/>
      </vt:variant>
      <vt:variant>
        <vt:i4>4718615</vt:i4>
      </vt:variant>
      <vt:variant>
        <vt:i4>405</vt:i4>
      </vt:variant>
      <vt:variant>
        <vt:i4>0</vt:i4>
      </vt:variant>
      <vt:variant>
        <vt:i4>5</vt:i4>
      </vt:variant>
      <vt:variant>
        <vt:lpwstr>https://www.cdpdj.qc.ca/storage/app/media/publications/LETTRE_collecte-donnees-desegragees_Covid-19.pdf</vt:lpwstr>
      </vt:variant>
      <vt:variant>
        <vt:lpwstr/>
      </vt:variant>
      <vt:variant>
        <vt:i4>4259927</vt:i4>
      </vt:variant>
      <vt:variant>
        <vt:i4>402</vt:i4>
      </vt:variant>
      <vt:variant>
        <vt:i4>0</vt:i4>
      </vt:variant>
      <vt:variant>
        <vt:i4>5</vt:i4>
      </vt:variant>
      <vt:variant>
        <vt:lpwstr>https://www.cdpdj.qc.ca/storage/app/media/publications/bilan-profilage-racial.pdf</vt:lpwstr>
      </vt:variant>
      <vt:variant>
        <vt:lpwstr/>
      </vt:variant>
      <vt:variant>
        <vt:i4>655389</vt:i4>
      </vt:variant>
      <vt:variant>
        <vt:i4>396</vt:i4>
      </vt:variant>
      <vt:variant>
        <vt:i4>0</vt:i4>
      </vt:variant>
      <vt:variant>
        <vt:i4>5</vt:i4>
      </vt:variant>
      <vt:variant>
        <vt:lpwstr>https://core.ac.uk/download/pdf/156871592.pdf</vt:lpwstr>
      </vt:variant>
      <vt:variant>
        <vt:lpwstr/>
      </vt:variant>
      <vt:variant>
        <vt:i4>6946867</vt:i4>
      </vt:variant>
      <vt:variant>
        <vt:i4>393</vt:i4>
      </vt:variant>
      <vt:variant>
        <vt:i4>0</vt:i4>
      </vt:variant>
      <vt:variant>
        <vt:i4>5</vt:i4>
      </vt:variant>
      <vt:variant>
        <vt:lpwstr>https://doi.org/10.1007/s13178-020-00462-w</vt:lpwstr>
      </vt:variant>
      <vt:variant>
        <vt:lpwstr/>
      </vt:variant>
      <vt:variant>
        <vt:i4>2097270</vt:i4>
      </vt:variant>
      <vt:variant>
        <vt:i4>390</vt:i4>
      </vt:variant>
      <vt:variant>
        <vt:i4>0</vt:i4>
      </vt:variant>
      <vt:variant>
        <vt:i4>5</vt:i4>
      </vt:variant>
      <vt:variant>
        <vt:lpwstr>https://doi.org/10.1093/acrefore/9780190228637.013.1179</vt:lpwstr>
      </vt:variant>
      <vt:variant>
        <vt:lpwstr/>
      </vt:variant>
      <vt:variant>
        <vt:i4>6357025</vt:i4>
      </vt:variant>
      <vt:variant>
        <vt:i4>375</vt:i4>
      </vt:variant>
      <vt:variant>
        <vt:i4>0</vt:i4>
      </vt:variant>
      <vt:variant>
        <vt:i4>5</vt:i4>
      </vt:variant>
      <vt:variant>
        <vt:lpwstr>https://www150.statcan.gc.ca/n1/daily-quotidien/220427/cg-b002-fra.htm</vt:lpwstr>
      </vt:variant>
      <vt:variant>
        <vt:lpwstr/>
      </vt:variant>
      <vt:variant>
        <vt:i4>6750241</vt:i4>
      </vt:variant>
      <vt:variant>
        <vt:i4>372</vt:i4>
      </vt:variant>
      <vt:variant>
        <vt:i4>0</vt:i4>
      </vt:variant>
      <vt:variant>
        <vt:i4>5</vt:i4>
      </vt:variant>
      <vt:variant>
        <vt:lpwstr>https://www150.statcan.gc.ca/n1/daily-quotidien/220427/cg-b004-fra.htm</vt:lpwstr>
      </vt:variant>
      <vt:variant>
        <vt:lpwstr/>
      </vt:variant>
      <vt:variant>
        <vt:i4>6291489</vt:i4>
      </vt:variant>
      <vt:variant>
        <vt:i4>369</vt:i4>
      </vt:variant>
      <vt:variant>
        <vt:i4>0</vt:i4>
      </vt:variant>
      <vt:variant>
        <vt:i4>5</vt:i4>
      </vt:variant>
      <vt:variant>
        <vt:lpwstr>https://www150.statcan.gc.ca/n1/daily-quotidien/220427/cg-b003-fra.htm</vt:lpwstr>
      </vt:variant>
      <vt:variant>
        <vt:lpwstr/>
      </vt:variant>
      <vt:variant>
        <vt:i4>7864422</vt:i4>
      </vt:variant>
      <vt:variant>
        <vt:i4>360</vt:i4>
      </vt:variant>
      <vt:variant>
        <vt:i4>0</vt:i4>
      </vt:variant>
      <vt:variant>
        <vt:i4>5</vt:i4>
      </vt:variant>
      <vt:variant>
        <vt:lpwstr>https://www.unfe.org/fr/know-the-facts/definitions</vt:lpwstr>
      </vt:variant>
      <vt:variant>
        <vt:lpwstr/>
      </vt:variant>
      <vt:variant>
        <vt:i4>8257657</vt:i4>
      </vt:variant>
      <vt:variant>
        <vt:i4>357</vt:i4>
      </vt:variant>
      <vt:variant>
        <vt:i4>0</vt:i4>
      </vt:variant>
      <vt:variant>
        <vt:i4>5</vt:i4>
      </vt:variant>
      <vt:variant>
        <vt:lpwstr>https://cdn-contenu.quebec.ca/cdn-contenu/adm/org/SCF/Violences/LEX-lexique-diversite-sexuelle-genre-FR-SCF.pdf</vt:lpwstr>
      </vt:variant>
      <vt:variant>
        <vt:lpwstr/>
      </vt:variant>
      <vt:variant>
        <vt:i4>8257598</vt:i4>
      </vt:variant>
      <vt:variant>
        <vt:i4>348</vt:i4>
      </vt:variant>
      <vt:variant>
        <vt:i4>0</vt:i4>
      </vt:variant>
      <vt:variant>
        <vt:i4>5</vt:i4>
      </vt:variant>
      <vt:variant>
        <vt:lpwstr>https://www.lapresse.ca/actualites/politique/2021-11-09/changement-de-sexe-a-l-etat-civil/quebec-recule-et-n-impose-plus-une-operation-genitale.php</vt:lpwstr>
      </vt:variant>
      <vt:variant>
        <vt:lpwstr/>
      </vt:variant>
      <vt:variant>
        <vt:i4>2621558</vt:i4>
      </vt:variant>
      <vt:variant>
        <vt:i4>345</vt:i4>
      </vt:variant>
      <vt:variant>
        <vt:i4>0</vt:i4>
      </vt:variant>
      <vt:variant>
        <vt:i4>5</vt:i4>
      </vt:variant>
      <vt:variant>
        <vt:lpwstr>https://csf.gouv.qc.ca/article/2015/05/19/lettre-etat-civil-des-personnes-transgenres/</vt:lpwstr>
      </vt:variant>
      <vt:variant>
        <vt:lpwstr/>
      </vt:variant>
      <vt:variant>
        <vt:i4>3866751</vt:i4>
      </vt:variant>
      <vt:variant>
        <vt:i4>342</vt:i4>
      </vt:variant>
      <vt:variant>
        <vt:i4>0</vt:i4>
      </vt:variant>
      <vt:variant>
        <vt:i4>5</vt:i4>
      </vt:variant>
      <vt:variant>
        <vt:lpwstr>http://yogyakartaprinciples.org/principles-fr/les-principes-de-jogjakarta-plus-10/</vt:lpwstr>
      </vt:variant>
      <vt:variant>
        <vt:lpwstr/>
      </vt:variant>
      <vt:variant>
        <vt:i4>1703966</vt:i4>
      </vt:variant>
      <vt:variant>
        <vt:i4>339</vt:i4>
      </vt:variant>
      <vt:variant>
        <vt:i4>0</vt:i4>
      </vt:variant>
      <vt:variant>
        <vt:i4>5</vt:i4>
      </vt:variant>
      <vt:variant>
        <vt:lpwstr>https://www.ohrc.on.ca/fr/politique-sur-la-pr%C3%A9vention-de-la-discrimination-fond%C3%A9e-sur-l%E2%80%99identit%C3%A9-sexuelle-et-l%E2%80%99expression-de-l</vt:lpwstr>
      </vt:variant>
      <vt:variant>
        <vt:lpwstr/>
      </vt:variant>
      <vt:variant>
        <vt:i4>327752</vt:i4>
      </vt:variant>
      <vt:variant>
        <vt:i4>336</vt:i4>
      </vt:variant>
      <vt:variant>
        <vt:i4>0</vt:i4>
      </vt:variant>
      <vt:variant>
        <vt:i4>5</vt:i4>
      </vt:variant>
      <vt:variant>
        <vt:lpwstr>https://cdn-contenu.quebec.ca/cdn-contenu/adm/org/SCF/publications/plans-strategiques/Strategie-egalite-2022-2027.pdf</vt:lpwstr>
      </vt:variant>
      <vt:variant>
        <vt:lpwstr/>
      </vt:variant>
      <vt:variant>
        <vt:i4>8060988</vt:i4>
      </vt:variant>
      <vt:variant>
        <vt:i4>330</vt:i4>
      </vt:variant>
      <vt:variant>
        <vt:i4>0</vt:i4>
      </vt:variant>
      <vt:variant>
        <vt:i4>5</vt:i4>
      </vt:variant>
      <vt:variant>
        <vt:lpwstr>https://www.assnat.qc.ca/fr/travaux-parlementaires/commissions/crc-41-1/journal-debats/CRC-160609.html</vt:lpwstr>
      </vt:variant>
      <vt:variant>
        <vt:lpwstr/>
      </vt:variant>
      <vt:variant>
        <vt:i4>8126519</vt:i4>
      </vt:variant>
      <vt:variant>
        <vt:i4>324</vt:i4>
      </vt:variant>
      <vt:variant>
        <vt:i4>0</vt:i4>
      </vt:variant>
      <vt:variant>
        <vt:i4>5</vt:i4>
      </vt:variant>
      <vt:variant>
        <vt:lpwstr>https://archipel.uqam.ca/16110/</vt:lpwstr>
      </vt:variant>
      <vt:variant>
        <vt:lpwstr/>
      </vt:variant>
      <vt:variant>
        <vt:i4>5439494</vt:i4>
      </vt:variant>
      <vt:variant>
        <vt:i4>318</vt:i4>
      </vt:variant>
      <vt:variant>
        <vt:i4>0</vt:i4>
      </vt:variant>
      <vt:variant>
        <vt:i4>5</vt:i4>
      </vt:variant>
      <vt:variant>
        <vt:lpwstr>https://www.lapresse.ca/societe/2023-09-17/quand-les-toilettes-font-peur.php</vt:lpwstr>
      </vt:variant>
      <vt:variant>
        <vt:lpwstr/>
      </vt:variant>
      <vt:variant>
        <vt:i4>3604533</vt:i4>
      </vt:variant>
      <vt:variant>
        <vt:i4>315</vt:i4>
      </vt:variant>
      <vt:variant>
        <vt:i4>0</vt:i4>
      </vt:variant>
      <vt:variant>
        <vt:i4>5</vt:i4>
      </vt:variant>
      <vt:variant>
        <vt:lpwstr>https://www.journaldemontreal.com/2023/09/13/les-toilettes-mixtes-qui-existent-deja-dans-les-ecoles-plutot-bien-recues</vt:lpwstr>
      </vt:variant>
      <vt:variant>
        <vt:lpwstr/>
      </vt:variant>
      <vt:variant>
        <vt:i4>5439543</vt:i4>
      </vt:variant>
      <vt:variant>
        <vt:i4>312</vt:i4>
      </vt:variant>
      <vt:variant>
        <vt:i4>0</vt:i4>
      </vt:variant>
      <vt:variant>
        <vt:i4>5</vt:i4>
      </vt:variant>
      <vt:variant>
        <vt:lpwstr>https://www.cacp.ca/_Library/_documents/202012101218101621684590_accp2slgbtq2sequitetinclusionboteoutilsdc2020.pdf</vt:lpwstr>
      </vt:variant>
      <vt:variant>
        <vt:lpwstr/>
      </vt:variant>
      <vt:variant>
        <vt:i4>7471149</vt:i4>
      </vt:variant>
      <vt:variant>
        <vt:i4>306</vt:i4>
      </vt:variant>
      <vt:variant>
        <vt:i4>0</vt:i4>
      </vt:variant>
      <vt:variant>
        <vt:i4>5</vt:i4>
      </vt:variant>
      <vt:variant>
        <vt:lpwstr>https://www.justice.gc.ca/fra/pr-rp/jr/rqpjgptbnc-qlslpttnpc/pdf/RSD_2022_Trans_2spirit_non_binary_qualitative_report_FR2.pdf</vt:lpwstr>
      </vt:variant>
      <vt:variant>
        <vt:lpwstr/>
      </vt:variant>
      <vt:variant>
        <vt:i4>2621463</vt:i4>
      </vt:variant>
      <vt:variant>
        <vt:i4>303</vt:i4>
      </vt:variant>
      <vt:variant>
        <vt:i4>0</vt:i4>
      </vt:variant>
      <vt:variant>
        <vt:i4>5</vt:i4>
      </vt:variant>
      <vt:variant>
        <vt:lpwstr>https://ville.montreal.qc.ca/pls/portal/docs/PAGE/COMMISSIONS_PERM_V2_FR/MEDIA/DOCUMENTS/MEM_STELLA_20170622.PDF</vt:lpwstr>
      </vt:variant>
      <vt:variant>
        <vt:lpwstr/>
      </vt:variant>
      <vt:variant>
        <vt:i4>3342394</vt:i4>
      </vt:variant>
      <vt:variant>
        <vt:i4>294</vt:i4>
      </vt:variant>
      <vt:variant>
        <vt:i4>0</vt:i4>
      </vt:variant>
      <vt:variant>
        <vt:i4>5</vt:i4>
      </vt:variant>
      <vt:variant>
        <vt:lpwstr>https://lgbtpurgefund.com/wp-content/uploads/2019/08/Entente-de-R%C3%A8glement-D%C3%A9finitive.pdf</vt:lpwstr>
      </vt:variant>
      <vt:variant>
        <vt:lpwstr/>
      </vt:variant>
      <vt:variant>
        <vt:i4>2883629</vt:i4>
      </vt:variant>
      <vt:variant>
        <vt:i4>291</vt:i4>
      </vt:variant>
      <vt:variant>
        <vt:i4>0</vt:i4>
      </vt:variant>
      <vt:variant>
        <vt:i4>5</vt:i4>
      </vt:variant>
      <vt:variant>
        <vt:lpwstr>https://www.pm.gc.ca/fr/nouvelles/discours/2017/11/28/discours-du-premier-ministre-justin-trudeau-presenter-des-excuses-aux</vt:lpwstr>
      </vt:variant>
      <vt:variant>
        <vt:lpwstr/>
      </vt:variant>
      <vt:variant>
        <vt:i4>7929966</vt:i4>
      </vt:variant>
      <vt:variant>
        <vt:i4>279</vt:i4>
      </vt:variant>
      <vt:variant>
        <vt:i4>0</vt:i4>
      </vt:variant>
      <vt:variant>
        <vt:i4>5</vt:i4>
      </vt:variant>
      <vt:variant>
        <vt:lpwstr>https://doi.org/10.3138/chr.2018-0082-4</vt:lpwstr>
      </vt:variant>
      <vt:variant>
        <vt:lpwstr/>
      </vt:variant>
      <vt:variant>
        <vt:i4>6750246</vt:i4>
      </vt:variant>
      <vt:variant>
        <vt:i4>276</vt:i4>
      </vt:variant>
      <vt:variant>
        <vt:i4>0</vt:i4>
      </vt:variant>
      <vt:variant>
        <vt:i4>5</vt:i4>
      </vt:variant>
      <vt:variant>
        <vt:lpwstr>https://www.cdpdj.qc.ca/storage/app/media/publications/memoire_consultation-police_CCRP.pdf</vt:lpwstr>
      </vt:variant>
      <vt:variant>
        <vt:lpwstr/>
      </vt:variant>
      <vt:variant>
        <vt:i4>4325493</vt:i4>
      </vt:variant>
      <vt:variant>
        <vt:i4>273</vt:i4>
      </vt:variant>
      <vt:variant>
        <vt:i4>0</vt:i4>
      </vt:variant>
      <vt:variant>
        <vt:i4>5</vt:i4>
      </vt:variant>
      <vt:variant>
        <vt:lpwstr>https://www.cdpdj.qc.ca/storage/app/media/publications/itinerance_avis.pdf</vt:lpwstr>
      </vt:variant>
      <vt:variant>
        <vt:lpwstr/>
      </vt:variant>
      <vt:variant>
        <vt:i4>4194381</vt:i4>
      </vt:variant>
      <vt:variant>
        <vt:i4>270</vt:i4>
      </vt:variant>
      <vt:variant>
        <vt:i4>0</vt:i4>
      </vt:variant>
      <vt:variant>
        <vt:i4>5</vt:i4>
      </vt:variant>
      <vt:variant>
        <vt:lpwstr>https://www.cdpdj.qc.ca/storage/app/media/publications/profilage_racial_definition.pdf</vt:lpwstr>
      </vt:variant>
      <vt:variant>
        <vt:lpwstr/>
      </vt:variant>
      <vt:variant>
        <vt:i4>6422585</vt:i4>
      </vt:variant>
      <vt:variant>
        <vt:i4>267</vt:i4>
      </vt:variant>
      <vt:variant>
        <vt:i4>0</vt:i4>
      </vt:variant>
      <vt:variant>
        <vt:i4>5</vt:i4>
      </vt:variant>
      <vt:variant>
        <vt:lpwstr>https://espace.inrs.ca/id/eprint/6286/1/Actes_Colloque %C3%A9tudiant_2016.pdf</vt:lpwstr>
      </vt:variant>
      <vt:variant>
        <vt:lpwstr/>
      </vt:variant>
      <vt:variant>
        <vt:i4>1114205</vt:i4>
      </vt:variant>
      <vt:variant>
        <vt:i4>264</vt:i4>
      </vt:variant>
      <vt:variant>
        <vt:i4>0</vt:i4>
      </vt:variant>
      <vt:variant>
        <vt:i4>5</vt:i4>
      </vt:variant>
      <vt:variant>
        <vt:lpwstr>https://doi.org/10.1177/0959353512467968</vt:lpwstr>
      </vt:variant>
      <vt:variant>
        <vt:lpwstr/>
      </vt:variant>
      <vt:variant>
        <vt:i4>2490485</vt:i4>
      </vt:variant>
      <vt:variant>
        <vt:i4>258</vt:i4>
      </vt:variant>
      <vt:variant>
        <vt:i4>0</vt:i4>
      </vt:variant>
      <vt:variant>
        <vt:i4>5</vt:i4>
      </vt:variant>
      <vt:variant>
        <vt:lpwstr>https://cass.independent-review.uk/home/publications/final-report/</vt:lpwstr>
      </vt:variant>
      <vt:variant>
        <vt:lpwstr/>
      </vt:variant>
      <vt:variant>
        <vt:i4>3014694</vt:i4>
      </vt:variant>
      <vt:variant>
        <vt:i4>255</vt:i4>
      </vt:variant>
      <vt:variant>
        <vt:i4>0</vt:i4>
      </vt:variant>
      <vt:variant>
        <vt:i4>5</vt:i4>
      </vt:variant>
      <vt:variant>
        <vt:lpwstr>https://juridique.defenseurdesdroits.fr/index.php?lvl=notice_display&amp;id=50479&amp;opac_view=-1</vt:lpwstr>
      </vt:variant>
      <vt:variant>
        <vt:lpwstr/>
      </vt:variant>
      <vt:variant>
        <vt:i4>7536702</vt:i4>
      </vt:variant>
      <vt:variant>
        <vt:i4>252</vt:i4>
      </vt:variant>
      <vt:variant>
        <vt:i4>0</vt:i4>
      </vt:variant>
      <vt:variant>
        <vt:i4>5</vt:i4>
      </vt:variant>
      <vt:variant>
        <vt:lpwstr>https://cass.independent-review.uk/entry-6-following-the-interim-report-march-2022/</vt:lpwstr>
      </vt:variant>
      <vt:variant>
        <vt:lpwstr/>
      </vt:variant>
      <vt:variant>
        <vt:i4>393302</vt:i4>
      </vt:variant>
      <vt:variant>
        <vt:i4>246</vt:i4>
      </vt:variant>
      <vt:variant>
        <vt:i4>0</vt:i4>
      </vt:variant>
      <vt:variant>
        <vt:i4>5</vt:i4>
      </vt:variant>
      <vt:variant>
        <vt:lpwstr>https://www.ohchr.org/fr/2019/05/un-experts-hail-move-depathologise-trans-identities</vt:lpwstr>
      </vt:variant>
      <vt:variant>
        <vt:lpwstr/>
      </vt:variant>
      <vt:variant>
        <vt:i4>8257632</vt:i4>
      </vt:variant>
      <vt:variant>
        <vt:i4>243</vt:i4>
      </vt:variant>
      <vt:variant>
        <vt:i4>0</vt:i4>
      </vt:variant>
      <vt:variant>
        <vt:i4>5</vt:i4>
      </vt:variant>
      <vt:variant>
        <vt:lpwstr>https://doi.org/10.1093/pch/pxad046</vt:lpwstr>
      </vt:variant>
      <vt:variant>
        <vt:lpwstr/>
      </vt:variant>
      <vt:variant>
        <vt:i4>327697</vt:i4>
      </vt:variant>
      <vt:variant>
        <vt:i4>240</vt:i4>
      </vt:variant>
      <vt:variant>
        <vt:i4>0</vt:i4>
      </vt:variant>
      <vt:variant>
        <vt:i4>5</vt:i4>
      </vt:variant>
      <vt:variant>
        <vt:lpwstr>https://doi.org/10.3390%2Fijerph16060978</vt:lpwstr>
      </vt:variant>
      <vt:variant>
        <vt:lpwstr/>
      </vt:variant>
      <vt:variant>
        <vt:i4>1835100</vt:i4>
      </vt:variant>
      <vt:variant>
        <vt:i4>237</vt:i4>
      </vt:variant>
      <vt:variant>
        <vt:i4>0</vt:i4>
      </vt:variant>
      <vt:variant>
        <vt:i4>5</vt:i4>
      </vt:variant>
      <vt:variant>
        <vt:lpwstr>https://doi.org/10.4000/socio-logos.2837</vt:lpwstr>
      </vt:variant>
      <vt:variant>
        <vt:lpwstr/>
      </vt:variant>
      <vt:variant>
        <vt:i4>2687022</vt:i4>
      </vt:variant>
      <vt:variant>
        <vt:i4>228</vt:i4>
      </vt:variant>
      <vt:variant>
        <vt:i4>0</vt:i4>
      </vt:variant>
      <vt:variant>
        <vt:i4>5</vt:i4>
      </vt:variant>
      <vt:variant>
        <vt:lpwstr>https://icd.who.int/fr</vt:lpwstr>
      </vt:variant>
      <vt:variant>
        <vt:lpwstr/>
      </vt:variant>
      <vt:variant>
        <vt:i4>2162785</vt:i4>
      </vt:variant>
      <vt:variant>
        <vt:i4>225</vt:i4>
      </vt:variant>
      <vt:variant>
        <vt:i4>0</vt:i4>
      </vt:variant>
      <vt:variant>
        <vt:i4>5</vt:i4>
      </vt:variant>
      <vt:variant>
        <vt:lpwstr>http://dx.doi.org/10.2471/BLT.14.135541</vt:lpwstr>
      </vt:variant>
      <vt:variant>
        <vt:lpwstr/>
      </vt:variant>
      <vt:variant>
        <vt:i4>3211325</vt:i4>
      </vt:variant>
      <vt:variant>
        <vt:i4>222</vt:i4>
      </vt:variant>
      <vt:variant>
        <vt:i4>0</vt:i4>
      </vt:variant>
      <vt:variant>
        <vt:i4>5</vt:i4>
      </vt:variant>
      <vt:variant>
        <vt:lpwstr>https://doi.org/10.3390%2Fbs5040565</vt:lpwstr>
      </vt:variant>
      <vt:variant>
        <vt:lpwstr/>
      </vt:variant>
      <vt:variant>
        <vt:i4>4587538</vt:i4>
      </vt:variant>
      <vt:variant>
        <vt:i4>219</vt:i4>
      </vt:variant>
      <vt:variant>
        <vt:i4>0</vt:i4>
      </vt:variant>
      <vt:variant>
        <vt:i4>5</vt:i4>
      </vt:variant>
      <vt:variant>
        <vt:lpwstr>https://utpjournals.press/doi/full/10.3138/jcs-2020-0067?role=tab</vt:lpwstr>
      </vt:variant>
      <vt:variant>
        <vt:lpwstr/>
      </vt:variant>
      <vt:variant>
        <vt:i4>5832719</vt:i4>
      </vt:variant>
      <vt:variant>
        <vt:i4>216</vt:i4>
      </vt:variant>
      <vt:variant>
        <vt:i4>0</vt:i4>
      </vt:variant>
      <vt:variant>
        <vt:i4>5</vt:i4>
      </vt:variant>
      <vt:variant>
        <vt:lpwstr>https://lglc.ca/</vt:lpwstr>
      </vt:variant>
      <vt:variant>
        <vt:lpwstr/>
      </vt:variant>
      <vt:variant>
        <vt:i4>4194329</vt:i4>
      </vt:variant>
      <vt:variant>
        <vt:i4>213</vt:i4>
      </vt:variant>
      <vt:variant>
        <vt:i4>0</vt:i4>
      </vt:variant>
      <vt:variant>
        <vt:i4>5</vt:i4>
      </vt:variant>
      <vt:variant>
        <vt:lpwstr>https://www.uvic.ca/transgenderarchives/</vt:lpwstr>
      </vt:variant>
      <vt:variant>
        <vt:lpwstr/>
      </vt:variant>
      <vt:variant>
        <vt:i4>7798894</vt:i4>
      </vt:variant>
      <vt:variant>
        <vt:i4>210</vt:i4>
      </vt:variant>
      <vt:variant>
        <vt:i4>0</vt:i4>
      </vt:variant>
      <vt:variant>
        <vt:i4>5</vt:i4>
      </vt:variant>
      <vt:variant>
        <vt:lpwstr>https://agq.qc.ca/</vt:lpwstr>
      </vt:variant>
      <vt:variant>
        <vt:lpwstr/>
      </vt:variant>
      <vt:variant>
        <vt:i4>1638431</vt:i4>
      </vt:variant>
      <vt:variant>
        <vt:i4>207</vt:i4>
      </vt:variant>
      <vt:variant>
        <vt:i4>0</vt:i4>
      </vt:variant>
      <vt:variant>
        <vt:i4>5</vt:i4>
      </vt:variant>
      <vt:variant>
        <vt:lpwstr>https://www.historians.org/research-and-publications/perspectives-on-history/may-2018/what-is-trans-history-from-activist-and-academic-roots-a-field-takes-shape</vt:lpwstr>
      </vt:variant>
      <vt:variant>
        <vt:lpwstr/>
      </vt:variant>
      <vt:variant>
        <vt:i4>2097263</vt:i4>
      </vt:variant>
      <vt:variant>
        <vt:i4>204</vt:i4>
      </vt:variant>
      <vt:variant>
        <vt:i4>0</vt:i4>
      </vt:variant>
      <vt:variant>
        <vt:i4>5</vt:i4>
      </vt:variant>
      <vt:variant>
        <vt:lpwstr>https://www.mmiwg-ffada.ca/fr/final-report/</vt:lpwstr>
      </vt:variant>
      <vt:variant>
        <vt:lpwstr/>
      </vt:variant>
      <vt:variant>
        <vt:i4>1769556</vt:i4>
      </vt:variant>
      <vt:variant>
        <vt:i4>201</vt:i4>
      </vt:variant>
      <vt:variant>
        <vt:i4>0</vt:i4>
      </vt:variant>
      <vt:variant>
        <vt:i4>5</vt:i4>
      </vt:variant>
      <vt:variant>
        <vt:lpwstr>https://www150.statcan.gc.ca/n1/daily-quotidien/220427/dq220427b-fra.htm</vt:lpwstr>
      </vt:variant>
      <vt:variant>
        <vt:lpwstr/>
      </vt:variant>
      <vt:variant>
        <vt:i4>92</vt:i4>
      </vt:variant>
      <vt:variant>
        <vt:i4>198</vt:i4>
      </vt:variant>
      <vt:variant>
        <vt:i4>0</vt:i4>
      </vt:variant>
      <vt:variant>
        <vt:i4>5</vt:i4>
      </vt:variant>
      <vt:variant>
        <vt:lpwstr>https://doi.org/10.1146/annurev-soc-060116-053348</vt:lpwstr>
      </vt:variant>
      <vt:variant>
        <vt:lpwstr/>
      </vt:variant>
      <vt:variant>
        <vt:i4>2097279</vt:i4>
      </vt:variant>
      <vt:variant>
        <vt:i4>195</vt:i4>
      </vt:variant>
      <vt:variant>
        <vt:i4>0</vt:i4>
      </vt:variant>
      <vt:variant>
        <vt:i4>5</vt:i4>
      </vt:variant>
      <vt:variant>
        <vt:lpwstr>https://conseil-lgbt.ca/wp-content/uploads/2023/05/Tajeddine-et-Cremier-CQLGBT-2021-Enjeux-trans-diversite-de-genre.pdf</vt:lpwstr>
      </vt:variant>
      <vt:variant>
        <vt:lpwstr/>
      </vt:variant>
      <vt:variant>
        <vt:i4>1704016</vt:i4>
      </vt:variant>
      <vt:variant>
        <vt:i4>189</vt:i4>
      </vt:variant>
      <vt:variant>
        <vt:i4>0</vt:i4>
      </vt:variant>
      <vt:variant>
        <vt:i4>5</vt:i4>
      </vt:variant>
      <vt:variant>
        <vt:lpwstr>https://www.canada.ca/fr/femmes-egalite-genres/sois-toi-meme/glossaire-2elgbtqi-plus.html</vt:lpwstr>
      </vt:variant>
      <vt:variant>
        <vt:lpwstr/>
      </vt:variant>
      <vt:variant>
        <vt:i4>589902</vt:i4>
      </vt:variant>
      <vt:variant>
        <vt:i4>186</vt:i4>
      </vt:variant>
      <vt:variant>
        <vt:i4>0</vt:i4>
      </vt:variant>
      <vt:variant>
        <vt:i4>5</vt:i4>
      </vt:variant>
      <vt:variant>
        <vt:lpwstr>https://www.erudit.org/en/journals/ref/2011-v17-n1-ref1812734/1005235ar/abstract/</vt:lpwstr>
      </vt:variant>
      <vt:variant>
        <vt:lpwstr/>
      </vt:variant>
      <vt:variant>
        <vt:i4>7274544</vt:i4>
      </vt:variant>
      <vt:variant>
        <vt:i4>183</vt:i4>
      </vt:variant>
      <vt:variant>
        <vt:i4>0</vt:i4>
      </vt:variant>
      <vt:variant>
        <vt:i4>5</vt:i4>
      </vt:variant>
      <vt:variant>
        <vt:lpwstr>https://www.inspq.qc.ca/intimidation/personnes-de-la-diversite-sexuelle-ou-de-genre</vt:lpwstr>
      </vt:variant>
      <vt:variant>
        <vt:lpwstr/>
      </vt:variant>
      <vt:variant>
        <vt:i4>6094932</vt:i4>
      </vt:variant>
      <vt:variant>
        <vt:i4>180</vt:i4>
      </vt:variant>
      <vt:variant>
        <vt:i4>0</vt:i4>
      </vt:variant>
      <vt:variant>
        <vt:i4>5</vt:i4>
      </vt:variant>
      <vt:variant>
        <vt:lpwstr>https://agq.qc.ca/histoire-des-communautes-lgbtq2s-du-quebec/</vt:lpwstr>
      </vt:variant>
      <vt:variant>
        <vt:lpwstr/>
      </vt:variant>
      <vt:variant>
        <vt:i4>1507416</vt:i4>
      </vt:variant>
      <vt:variant>
        <vt:i4>177</vt:i4>
      </vt:variant>
      <vt:variant>
        <vt:i4>0</vt:i4>
      </vt:variant>
      <vt:variant>
        <vt:i4>5</vt:i4>
      </vt:variant>
      <vt:variant>
        <vt:lpwstr>https://cdn-contenu.quebec.ca/cdn-contenu/adm/gouv/homophobie-transphobie/FE-feuillet-Chronologie-LGBTQplus-QC-Ca-FR-SCF.pdf</vt:lpwstr>
      </vt:variant>
      <vt:variant>
        <vt:lpwstr/>
      </vt:variant>
      <vt:variant>
        <vt:i4>4063333</vt:i4>
      </vt:variant>
      <vt:variant>
        <vt:i4>174</vt:i4>
      </vt:variant>
      <vt:variant>
        <vt:i4>0</vt:i4>
      </vt:variant>
      <vt:variant>
        <vt:i4>5</vt:i4>
      </vt:variant>
      <vt:variant>
        <vt:lpwstr>https://chairedspg.uqam.ca/ligne-temps/</vt:lpwstr>
      </vt:variant>
      <vt:variant>
        <vt:lpwstr/>
      </vt:variant>
      <vt:variant>
        <vt:i4>720911</vt:i4>
      </vt:variant>
      <vt:variant>
        <vt:i4>171</vt:i4>
      </vt:variant>
      <vt:variant>
        <vt:i4>0</vt:i4>
      </vt:variant>
      <vt:variant>
        <vt:i4>5</vt:i4>
      </vt:variant>
      <vt:variant>
        <vt:lpwstr>https://www.canada.ca/fr/emploi-developpement-social/ministere/portefeuille/travail/programmes/equite-emploi/rapports/groupe-examen-loi.html</vt:lpwstr>
      </vt:variant>
      <vt:variant>
        <vt:lpwstr/>
      </vt:variant>
      <vt:variant>
        <vt:i4>3604543</vt:i4>
      </vt:variant>
      <vt:variant>
        <vt:i4>168</vt:i4>
      </vt:variant>
      <vt:variant>
        <vt:i4>0</vt:i4>
      </vt:variant>
      <vt:variant>
        <vt:i4>5</vt:i4>
      </vt:variant>
      <vt:variant>
        <vt:lpwstr>https://lefondspurgelgbt.com/wp-content/uploads/2021/05/Au-lendemain-de-la-Purge-final-mai-2021.pdf</vt:lpwstr>
      </vt:variant>
      <vt:variant>
        <vt:lpwstr/>
      </vt:variant>
      <vt:variant>
        <vt:i4>2490479</vt:i4>
      </vt:variant>
      <vt:variant>
        <vt:i4>165</vt:i4>
      </vt:variant>
      <vt:variant>
        <vt:i4>0</vt:i4>
      </vt:variant>
      <vt:variant>
        <vt:i4>5</vt:i4>
      </vt:variant>
      <vt:variant>
        <vt:lpwstr>https://www.cdpdj.qc.ca/storage/app/media/publications/Planification_strategique_2021-2025.pdf</vt:lpwstr>
      </vt:variant>
      <vt:variant>
        <vt:lpwstr/>
      </vt:variant>
      <vt:variant>
        <vt:i4>5046283</vt:i4>
      </vt:variant>
      <vt:variant>
        <vt:i4>162</vt:i4>
      </vt:variant>
      <vt:variant>
        <vt:i4>0</vt:i4>
      </vt:variant>
      <vt:variant>
        <vt:i4>5</vt:i4>
      </vt:variant>
      <vt:variant>
        <vt:lpwstr>https://savie-lgbtq.uqam.ca/journees-savie-lgbtq/</vt:lpwstr>
      </vt:variant>
      <vt:variant>
        <vt:lpwstr/>
      </vt:variant>
      <vt:variant>
        <vt:i4>5832708</vt:i4>
      </vt:variant>
      <vt:variant>
        <vt:i4>159</vt:i4>
      </vt:variant>
      <vt:variant>
        <vt:i4>0</vt:i4>
      </vt:variant>
      <vt:variant>
        <vt:i4>5</vt:i4>
      </vt:variant>
      <vt:variant>
        <vt:lpwstr>https://savie-lgbtq.uqam.ca/</vt:lpwstr>
      </vt:variant>
      <vt:variant>
        <vt:lpwstr/>
      </vt:variant>
      <vt:variant>
        <vt:i4>3211320</vt:i4>
      </vt:variant>
      <vt:variant>
        <vt:i4>156</vt:i4>
      </vt:variant>
      <vt:variant>
        <vt:i4>0</vt:i4>
      </vt:variant>
      <vt:variant>
        <vt:i4>5</vt:i4>
      </vt:variant>
      <vt:variant>
        <vt:lpwstr>https://www.ledevoir.com/politique/798859/suzanne-roy-pilotera-comite-sages-identite-genre</vt:lpwstr>
      </vt:variant>
      <vt:variant>
        <vt:lpwstr/>
      </vt:variant>
      <vt:variant>
        <vt:i4>1179715</vt:i4>
      </vt:variant>
      <vt:variant>
        <vt:i4>144</vt:i4>
      </vt:variant>
      <vt:variant>
        <vt:i4>0</vt:i4>
      </vt:variant>
      <vt:variant>
        <vt:i4>5</vt:i4>
      </vt:variant>
      <vt:variant>
        <vt:lpwstr>https://www.may17mai.com/</vt:lpwstr>
      </vt:variant>
      <vt:variant>
        <vt:lpwstr/>
      </vt:variant>
      <vt:variant>
        <vt:i4>720965</vt:i4>
      </vt:variant>
      <vt:variant>
        <vt:i4>135</vt:i4>
      </vt:variant>
      <vt:variant>
        <vt:i4>0</vt:i4>
      </vt:variant>
      <vt:variant>
        <vt:i4>5</vt:i4>
      </vt:variant>
      <vt:variant>
        <vt:lpwstr>https://cdn-contenu.quebec.ca/cdn-contenu/adm/gouv/homophobie-transphobie/PL_action_PLCHT_2017-2022_MJQ.pdf</vt:lpwstr>
      </vt:variant>
      <vt:variant>
        <vt:lpwstr/>
      </vt:variant>
      <vt:variant>
        <vt:i4>4653101</vt:i4>
      </vt:variant>
      <vt:variant>
        <vt:i4>132</vt:i4>
      </vt:variant>
      <vt:variant>
        <vt:i4>0</vt:i4>
      </vt:variant>
      <vt:variant>
        <vt:i4>5</vt:i4>
      </vt:variant>
      <vt:variant>
        <vt:lpwstr>https://www.bibliotheque.assnat.qc.ca/DepotNumerique_v2/AffichageFichier.aspx?idf=141767</vt:lpwstr>
      </vt:variant>
      <vt:variant>
        <vt:lpwstr/>
      </vt:variant>
      <vt:variant>
        <vt:i4>6946869</vt:i4>
      </vt:variant>
      <vt:variant>
        <vt:i4>126</vt:i4>
      </vt:variant>
      <vt:variant>
        <vt:i4>0</vt:i4>
      </vt:variant>
      <vt:variant>
        <vt:i4>5</vt:i4>
      </vt:variant>
      <vt:variant>
        <vt:lpwstr>https://www.ledevoir.com/societe/sante/809214/societe-trans-subissent-contrecoups-desinformation-identite-genre</vt:lpwstr>
      </vt:variant>
      <vt:variant>
        <vt:lpwstr/>
      </vt:variant>
      <vt:variant>
        <vt:i4>5308491</vt:i4>
      </vt:variant>
      <vt:variant>
        <vt:i4>123</vt:i4>
      </vt:variant>
      <vt:variant>
        <vt:i4>0</vt:i4>
      </vt:variant>
      <vt:variant>
        <vt:i4>5</vt:i4>
      </vt:variant>
      <vt:variant>
        <vt:lpwstr>https://www.cbc.ca/news/health/puberty-blockers-review-1.7172920</vt:lpwstr>
      </vt:variant>
      <vt:variant>
        <vt:lpwstr/>
      </vt:variant>
      <vt:variant>
        <vt:i4>7077915</vt:i4>
      </vt:variant>
      <vt:variant>
        <vt:i4>120</vt:i4>
      </vt:variant>
      <vt:variant>
        <vt:i4>0</vt:i4>
      </vt:variant>
      <vt:variant>
        <vt:i4>5</vt:i4>
      </vt:variant>
      <vt:variant>
        <vt:lpwstr>https://www.wpath.org/media/cms/Documents/Public Policies/2022/25.11.22 AUSPATH Statement reworked for WPATH Final ASIAPATH.EPATH.PATHA.USPATH.pdf?_t=1669428978</vt:lpwstr>
      </vt:variant>
      <vt:variant>
        <vt:lpwstr/>
      </vt:variant>
      <vt:variant>
        <vt:i4>262219</vt:i4>
      </vt:variant>
      <vt:variant>
        <vt:i4>117</vt:i4>
      </vt:variant>
      <vt:variant>
        <vt:i4>0</vt:i4>
      </vt:variant>
      <vt:variant>
        <vt:i4>5</vt:i4>
      </vt:variant>
      <vt:variant>
        <vt:lpwstr>https://doi.org/10.1080/26895269.2022.2100644</vt:lpwstr>
      </vt:variant>
      <vt:variant>
        <vt:lpwstr/>
      </vt:variant>
      <vt:variant>
        <vt:i4>7733283</vt:i4>
      </vt:variant>
      <vt:variant>
        <vt:i4>114</vt:i4>
      </vt:variant>
      <vt:variant>
        <vt:i4>0</vt:i4>
      </vt:variant>
      <vt:variant>
        <vt:i4>5</vt:i4>
      </vt:variant>
      <vt:variant>
        <vt:lpwstr>https://www.forbes.com/sites/joshuacohen/2023/06/06/increasing-number-of-european-nations-adopt-a-more-cautious-approach-to-gender-affirming-care-among-minors/?sh=61483a867efb</vt:lpwstr>
      </vt:variant>
      <vt:variant>
        <vt:lpwstr/>
      </vt:variant>
      <vt:variant>
        <vt:i4>2424889</vt:i4>
      </vt:variant>
      <vt:variant>
        <vt:i4>111</vt:i4>
      </vt:variant>
      <vt:variant>
        <vt:i4>0</vt:i4>
      </vt:variant>
      <vt:variant>
        <vt:i4>5</vt:i4>
      </vt:variant>
      <vt:variant>
        <vt:lpwstr>https://cass.independent-review.uk/</vt:lpwstr>
      </vt:variant>
      <vt:variant>
        <vt:lpwstr/>
      </vt:variant>
      <vt:variant>
        <vt:i4>6619239</vt:i4>
      </vt:variant>
      <vt:variant>
        <vt:i4>108</vt:i4>
      </vt:variant>
      <vt:variant>
        <vt:i4>0</vt:i4>
      </vt:variant>
      <vt:variant>
        <vt:i4>5</vt:i4>
      </vt:variant>
      <vt:variant>
        <vt:lpwstr>https://www.sbu.se/en/publications/sbu-bereder/gender-dysphoria-in-children-and-adolescents-an-inventory-of-the-literature/</vt:lpwstr>
      </vt:variant>
      <vt:variant>
        <vt:lpwstr/>
      </vt:variant>
      <vt:variant>
        <vt:i4>5570650</vt:i4>
      </vt:variant>
      <vt:variant>
        <vt:i4>105</vt:i4>
      </vt:variant>
      <vt:variant>
        <vt:i4>0</vt:i4>
      </vt:variant>
      <vt:variant>
        <vt:i4>5</vt:i4>
      </vt:variant>
      <vt:variant>
        <vt:lpwstr>https://www.socialstyrelsen.se/om-socialstyrelsen/pressrum/press/uppdaterade-rekommendationer-for-hormonbehandling-vid-konsdysfori-hos-unga/</vt:lpwstr>
      </vt:variant>
      <vt:variant>
        <vt:lpwstr/>
      </vt:variant>
      <vt:variant>
        <vt:i4>7012385</vt:i4>
      </vt:variant>
      <vt:variant>
        <vt:i4>102</vt:i4>
      </vt:variant>
      <vt:variant>
        <vt:i4>0</vt:i4>
      </vt:variant>
      <vt:variant>
        <vt:i4>5</vt:i4>
      </vt:variant>
      <vt:variant>
        <vt:lpwstr>https://palveluvalikoima.fi/documents/1237350/22895838/Summary+transgender.pdf/2cc3f053-2e34-39ce-4e21-becd685b3044/Summary+transgender.pdf?t=1592318543000</vt:lpwstr>
      </vt:variant>
      <vt:variant>
        <vt:lpwstr/>
      </vt:variant>
      <vt:variant>
        <vt:i4>3145761</vt:i4>
      </vt:variant>
      <vt:variant>
        <vt:i4>99</vt:i4>
      </vt:variant>
      <vt:variant>
        <vt:i4>0</vt:i4>
      </vt:variant>
      <vt:variant>
        <vt:i4>5</vt:i4>
      </vt:variant>
      <vt:variant>
        <vt:lpwstr>https://palveluvalikoima.fi/documents/1237350/22895623/Summary_non-binary_en.pdf/8e5f9035-6c98-40d9-6acd-7459516d6f92/Summary_non-binary_en.pdf?t=1592318035000</vt:lpwstr>
      </vt:variant>
      <vt:variant>
        <vt:lpwstr/>
      </vt:variant>
      <vt:variant>
        <vt:i4>6357116</vt:i4>
      </vt:variant>
      <vt:variant>
        <vt:i4>96</vt:i4>
      </vt:variant>
      <vt:variant>
        <vt:i4>0</vt:i4>
      </vt:variant>
      <vt:variant>
        <vt:i4>5</vt:i4>
      </vt:variant>
      <vt:variant>
        <vt:lpwstr>https://palveluvalikoima.fi/documents/1237350/22895008/Summary_minors_en+(1).pdf/fa2054c5-8c35-8492-59d6-b3de1c00de49/Summary_minors_en+(1).pdf?t=1631773838474</vt:lpwstr>
      </vt:variant>
      <vt:variant>
        <vt:lpwstr/>
      </vt:variant>
      <vt:variant>
        <vt:i4>4325395</vt:i4>
      </vt:variant>
      <vt:variant>
        <vt:i4>93</vt:i4>
      </vt:variant>
      <vt:variant>
        <vt:i4>0</vt:i4>
      </vt:variant>
      <vt:variant>
        <vt:i4>5</vt:i4>
      </vt:variant>
      <vt:variant>
        <vt:lpwstr>https://rm.coe.int/issue-paper-on-human-rights-and-gender-identity-and-expression-by-dunj/1680aed541</vt:lpwstr>
      </vt:variant>
      <vt:variant>
        <vt:lpwstr/>
      </vt:variant>
      <vt:variant>
        <vt:i4>1179651</vt:i4>
      </vt:variant>
      <vt:variant>
        <vt:i4>90</vt:i4>
      </vt:variant>
      <vt:variant>
        <vt:i4>0</vt:i4>
      </vt:variant>
      <vt:variant>
        <vt:i4>5</vt:i4>
      </vt:variant>
      <vt:variant>
        <vt:lpwstr>https://rm.coe.int/rapport-en-bref-du-document-thematique-droits-humains-et-identite-et-e/1680aed6a8</vt:lpwstr>
      </vt:variant>
      <vt:variant>
        <vt:lpwstr/>
      </vt:variant>
      <vt:variant>
        <vt:i4>4718671</vt:i4>
      </vt:variant>
      <vt:variant>
        <vt:i4>87</vt:i4>
      </vt:variant>
      <vt:variant>
        <vt:i4>0</vt:i4>
      </vt:variant>
      <vt:variant>
        <vt:i4>5</vt:i4>
      </vt:variant>
      <vt:variant>
        <vt:lpwstr>https://www.aclu.org/legislative-attacks-on-lgbtq-rights-2024</vt:lpwstr>
      </vt:variant>
      <vt:variant>
        <vt:lpwstr/>
      </vt:variant>
      <vt:variant>
        <vt:i4>6750320</vt:i4>
      </vt:variant>
      <vt:variant>
        <vt:i4>84</vt:i4>
      </vt:variant>
      <vt:variant>
        <vt:i4>0</vt:i4>
      </vt:variant>
      <vt:variant>
        <vt:i4>5</vt:i4>
      </vt:variant>
      <vt:variant>
        <vt:lpwstr>https://www.alberta.ca/release.cfm?xID=89690FEFD06CA-AC6A-E4E1-C9274DADFC0141DC</vt:lpwstr>
      </vt:variant>
      <vt:variant>
        <vt:lpwstr/>
      </vt:variant>
      <vt:variant>
        <vt:i4>4784140</vt:i4>
      </vt:variant>
      <vt:variant>
        <vt:i4>81</vt:i4>
      </vt:variant>
      <vt:variant>
        <vt:i4>0</vt:i4>
      </vt:variant>
      <vt:variant>
        <vt:i4>5</vt:i4>
      </vt:variant>
      <vt:variant>
        <vt:lpwstr>https://publications.saskatchewan.ca/</vt:lpwstr>
      </vt:variant>
      <vt:variant>
        <vt:lpwstr>/products/122292</vt:lpwstr>
      </vt:variant>
      <vt:variant>
        <vt:i4>4259859</vt:i4>
      </vt:variant>
      <vt:variant>
        <vt:i4>78</vt:i4>
      </vt:variant>
      <vt:variant>
        <vt:i4>0</vt:i4>
      </vt:variant>
      <vt:variant>
        <vt:i4>5</vt:i4>
      </vt:variant>
      <vt:variant>
        <vt:lpwstr>https://www2.gnb.ca/content/gnb/fr/nouvelles/communique.2023.06.0297.html</vt:lpwstr>
      </vt:variant>
      <vt:variant>
        <vt:lpwstr/>
      </vt:variant>
      <vt:variant>
        <vt:i4>6881307</vt:i4>
      </vt:variant>
      <vt:variant>
        <vt:i4>75</vt:i4>
      </vt:variant>
      <vt:variant>
        <vt:i4>0</vt:i4>
      </vt:variant>
      <vt:variant>
        <vt:i4>5</vt:i4>
      </vt:variant>
      <vt:variant>
        <vt:lpwstr>https://savie-lgbtq.uqam.ca/wp-content/uploads/2022/08/19_aout_milieu_scolaire.jpg</vt:lpwstr>
      </vt:variant>
      <vt:variant>
        <vt:lpwstr/>
      </vt:variant>
      <vt:variant>
        <vt:i4>4063334</vt:i4>
      </vt:variant>
      <vt:variant>
        <vt:i4>72</vt:i4>
      </vt:variant>
      <vt:variant>
        <vt:i4>0</vt:i4>
      </vt:variant>
      <vt:variant>
        <vt:i4>5</vt:i4>
      </vt:variant>
      <vt:variant>
        <vt:lpwstr>https://www150.statcan.gc.ca/n1/pub/75-006-x/2018001/article/54982-fra.pdf</vt:lpwstr>
      </vt:variant>
      <vt:variant>
        <vt:lpwstr/>
      </vt:variant>
      <vt:variant>
        <vt:i4>8257587</vt:i4>
      </vt:variant>
      <vt:variant>
        <vt:i4>69</vt:i4>
      </vt:variant>
      <vt:variant>
        <vt:i4>0</vt:i4>
      </vt:variant>
      <vt:variant>
        <vt:i4>5</vt:i4>
      </vt:variant>
      <vt:variant>
        <vt:lpwstr>https://www150.statcan.gc.ca/n1/fr/daily-quotidien/230322/dq230322a-fra.pdf?st=gsKlB8ui</vt:lpwstr>
      </vt:variant>
      <vt:variant>
        <vt:lpwstr/>
      </vt:variant>
      <vt:variant>
        <vt:i4>131142</vt:i4>
      </vt:variant>
      <vt:variant>
        <vt:i4>66</vt:i4>
      </vt:variant>
      <vt:variant>
        <vt:i4>0</vt:i4>
      </vt:variant>
      <vt:variant>
        <vt:i4>5</vt:i4>
      </vt:variant>
      <vt:variant>
        <vt:lpwstr>https://www150.statcan.gc.ca/n1/fr/pub/82-003-x/2023009/article/00001-fra.pdf?st=kZzi-QRr</vt:lpwstr>
      </vt:variant>
      <vt:variant>
        <vt:lpwstr/>
      </vt:variant>
      <vt:variant>
        <vt:i4>5177352</vt:i4>
      </vt:variant>
      <vt:variant>
        <vt:i4>63</vt:i4>
      </vt:variant>
      <vt:variant>
        <vt:i4>0</vt:i4>
      </vt:variant>
      <vt:variant>
        <vt:i4>5</vt:i4>
      </vt:variant>
      <vt:variant>
        <vt:lpwstr>https://www.cdpdj.qc.ca/fr/actualites/declaration-propos-transphobes</vt:lpwstr>
      </vt:variant>
      <vt:variant>
        <vt:lpwstr/>
      </vt:variant>
      <vt:variant>
        <vt:i4>3276843</vt:i4>
      </vt:variant>
      <vt:variant>
        <vt:i4>60</vt:i4>
      </vt:variant>
      <vt:variant>
        <vt:i4>0</vt:i4>
      </vt:variant>
      <vt:variant>
        <vt:i4>5</vt:i4>
      </vt:variant>
      <vt:variant>
        <vt:lpwstr>https://www.ledevoir.com/politique/quebec/808374/quebec-autorise-personnes-non-binaires-utiliser-sigle-x-documents-identite</vt:lpwstr>
      </vt:variant>
      <vt:variant>
        <vt:lpwstr/>
      </vt:variant>
      <vt:variant>
        <vt:i4>4915220</vt:i4>
      </vt:variant>
      <vt:variant>
        <vt:i4>57</vt:i4>
      </vt:variant>
      <vt:variant>
        <vt:i4>0</vt:i4>
      </vt:variant>
      <vt:variant>
        <vt:i4>5</vt:i4>
      </vt:variant>
      <vt:variant>
        <vt:lpwstr>https://www.cdpdj.qc.ca/fr/publications/lettre-identite-genre</vt:lpwstr>
      </vt:variant>
      <vt:variant>
        <vt:lpwstr/>
      </vt:variant>
      <vt:variant>
        <vt:i4>6029319</vt:i4>
      </vt:variant>
      <vt:variant>
        <vt:i4>54</vt:i4>
      </vt:variant>
      <vt:variant>
        <vt:i4>0</vt:i4>
      </vt:variant>
      <vt:variant>
        <vt:i4>5</vt:i4>
      </vt:variant>
      <vt:variant>
        <vt:lpwstr>https://www.quebec.ca/nouvelles/actualites/details/mise-sur-pied-du-comite-de-sages-sur-lidentite-de-genre-52578</vt:lpwstr>
      </vt:variant>
      <vt:variant>
        <vt:lpwstr/>
      </vt:variant>
      <vt:variant>
        <vt:i4>5242900</vt:i4>
      </vt:variant>
      <vt:variant>
        <vt:i4>51</vt:i4>
      </vt:variant>
      <vt:variant>
        <vt:i4>0</vt:i4>
      </vt:variant>
      <vt:variant>
        <vt:i4>5</vt:i4>
      </vt:variant>
      <vt:variant>
        <vt:lpwstr>https://cdn-contenu.quebec.ca/cdn-contenu/adm/gouv/homophobie-transphobie/PL-plan-action-therapies-conversion-Bilan-mars2022-SCF.pdf</vt:lpwstr>
      </vt:variant>
      <vt:variant>
        <vt:lpwstr/>
      </vt:variant>
      <vt:variant>
        <vt:i4>2883687</vt:i4>
      </vt:variant>
      <vt:variant>
        <vt:i4>48</vt:i4>
      </vt:variant>
      <vt:variant>
        <vt:i4>0</vt:i4>
      </vt:variant>
      <vt:variant>
        <vt:i4>5</vt:i4>
      </vt:variant>
      <vt:variant>
        <vt:lpwstr>https://cdn-contenu.quebec.ca/cdn-contenu/adm/gouv/homophobie-transphobie/PL-plan-action-homophobie-transphobie-2023-2028-BLCHT.pdf</vt:lpwstr>
      </vt:variant>
      <vt:variant>
        <vt:lpwstr/>
      </vt:variant>
      <vt:variant>
        <vt:i4>3014767</vt:i4>
      </vt:variant>
      <vt:variant>
        <vt:i4>45</vt:i4>
      </vt:variant>
      <vt:variant>
        <vt:i4>0</vt:i4>
      </vt:variant>
      <vt:variant>
        <vt:i4>5</vt:i4>
      </vt:variant>
      <vt:variant>
        <vt:lpwstr>https://www.cdpdj.qc.ca/fr/nos-services/outils-en-ligne/formations-en-ligne</vt:lpwstr>
      </vt:variant>
      <vt:variant>
        <vt:lpwstr/>
      </vt:variant>
      <vt:variant>
        <vt:i4>3276809</vt:i4>
      </vt:variant>
      <vt:variant>
        <vt:i4>42</vt:i4>
      </vt:variant>
      <vt:variant>
        <vt:i4>0</vt:i4>
      </vt:variant>
      <vt:variant>
        <vt:i4>5</vt:i4>
      </vt:variant>
      <vt:variant>
        <vt:lpwstr>https://www.cdpdj.qc.ca/storage/app/media/publications/notes_PL70_therapies_conversion.pdf</vt:lpwstr>
      </vt:variant>
      <vt:variant>
        <vt:lpwstr/>
      </vt:variant>
      <vt:variant>
        <vt:i4>4456523</vt:i4>
      </vt:variant>
      <vt:variant>
        <vt:i4>36</vt:i4>
      </vt:variant>
      <vt:variant>
        <vt:i4>0</vt:i4>
      </vt:variant>
      <vt:variant>
        <vt:i4>5</vt:i4>
      </vt:variant>
      <vt:variant>
        <vt:lpwstr>https://www.cdpdj.qc.ca/fr/publications/reforme-droit-famille-memoire</vt:lpwstr>
      </vt:variant>
      <vt:variant>
        <vt:lpwstr/>
      </vt:variant>
      <vt:variant>
        <vt:i4>5570655</vt:i4>
      </vt:variant>
      <vt:variant>
        <vt:i4>33</vt:i4>
      </vt:variant>
      <vt:variant>
        <vt:i4>0</vt:i4>
      </vt:variant>
      <vt:variant>
        <vt:i4>5</vt:i4>
      </vt:variant>
      <vt:variant>
        <vt:lpwstr>https://www.cdpdj.qc.ca/fr/publications/commentaires-sur-le-projet-de-25</vt:lpwstr>
      </vt:variant>
      <vt:variant>
        <vt:lpwstr/>
      </vt:variant>
      <vt:variant>
        <vt:i4>5701724</vt:i4>
      </vt:variant>
      <vt:variant>
        <vt:i4>30</vt:i4>
      </vt:variant>
      <vt:variant>
        <vt:i4>0</vt:i4>
      </vt:variant>
      <vt:variant>
        <vt:i4>5</vt:i4>
      </vt:variant>
      <vt:variant>
        <vt:lpwstr>https://www.cdpdj.qc.ca/fr/publications/commentaires-sur-le-projet-de-17</vt:lpwstr>
      </vt:variant>
      <vt:variant>
        <vt:lpwstr/>
      </vt:variant>
      <vt:variant>
        <vt:i4>6291565</vt:i4>
      </vt:variant>
      <vt:variant>
        <vt:i4>27</vt:i4>
      </vt:variant>
      <vt:variant>
        <vt:i4>0</vt:i4>
      </vt:variant>
      <vt:variant>
        <vt:i4>5</vt:i4>
      </vt:variant>
      <vt:variant>
        <vt:lpwstr>https://www.cdpdj.qc.ca/fr/publications/commentaires-sur-le-projet-de-3</vt:lpwstr>
      </vt:variant>
      <vt:variant>
        <vt:lpwstr/>
      </vt:variant>
      <vt:variant>
        <vt:i4>6291565</vt:i4>
      </vt:variant>
      <vt:variant>
        <vt:i4>24</vt:i4>
      </vt:variant>
      <vt:variant>
        <vt:i4>0</vt:i4>
      </vt:variant>
      <vt:variant>
        <vt:i4>5</vt:i4>
      </vt:variant>
      <vt:variant>
        <vt:lpwstr>https://www.cdpdj.qc.ca/fr/publications/commentaires-sur-le-projet-de-3</vt:lpwstr>
      </vt:variant>
      <vt:variant>
        <vt:lpwstr/>
      </vt:variant>
      <vt:variant>
        <vt:i4>5374032</vt:i4>
      </vt:variant>
      <vt:variant>
        <vt:i4>18</vt:i4>
      </vt:variant>
      <vt:variant>
        <vt:i4>0</vt:i4>
      </vt:variant>
      <vt:variant>
        <vt:i4>5</vt:i4>
      </vt:variant>
      <vt:variant>
        <vt:lpwstr>https://cdn-contenu.quebec.ca/cdn-contenu/adm/gouv/homophobie-transphobie/Politique_Q_LCH.pdf</vt:lpwstr>
      </vt:variant>
      <vt:variant>
        <vt:lpwstr/>
      </vt:variant>
      <vt:variant>
        <vt:i4>2556001</vt:i4>
      </vt:variant>
      <vt:variant>
        <vt:i4>15</vt:i4>
      </vt:variant>
      <vt:variant>
        <vt:i4>0</vt:i4>
      </vt:variant>
      <vt:variant>
        <vt:i4>5</vt:i4>
      </vt:variant>
      <vt:variant>
        <vt:lpwstr>https://www.cdpdj.qc.ca/fr/publications/de-lacgalitac-juridique-a-l</vt:lpwstr>
      </vt:variant>
      <vt:variant>
        <vt:lpwstr/>
      </vt:variant>
      <vt:variant>
        <vt:i4>1441880</vt:i4>
      </vt:variant>
      <vt:variant>
        <vt:i4>12</vt:i4>
      </vt:variant>
      <vt:variant>
        <vt:i4>0</vt:i4>
      </vt:variant>
      <vt:variant>
        <vt:i4>5</vt:i4>
      </vt:variant>
      <vt:variant>
        <vt:lpwstr>https://canlii.ca/t/1fvfw</vt:lpwstr>
      </vt:variant>
      <vt:variant>
        <vt:lpwstr/>
      </vt:variant>
      <vt:variant>
        <vt:i4>2621471</vt:i4>
      </vt:variant>
      <vt:variant>
        <vt:i4>9</vt:i4>
      </vt:variant>
      <vt:variant>
        <vt:i4>0</vt:i4>
      </vt:variant>
      <vt:variant>
        <vt:i4>5</vt:i4>
      </vt:variant>
      <vt:variant>
        <vt:lpwstr>https://www.cdpdj.qc.ca/storage/app/media/publications/union_civile.pdf</vt:lpwstr>
      </vt:variant>
      <vt:variant>
        <vt:lpwstr/>
      </vt:variant>
      <vt:variant>
        <vt:i4>65638</vt:i4>
      </vt:variant>
      <vt:variant>
        <vt:i4>6</vt:i4>
      </vt:variant>
      <vt:variant>
        <vt:i4>0</vt:i4>
      </vt:variant>
      <vt:variant>
        <vt:i4>5</vt:i4>
      </vt:variant>
      <vt:variant>
        <vt:lpwstr>https://www.cdpdj.qc.ca/storage/app/media/publications/pl133_memoire.pdf</vt:lpwstr>
      </vt:variant>
      <vt:variant>
        <vt:lpwstr/>
      </vt:variant>
      <vt:variant>
        <vt:i4>7798896</vt:i4>
      </vt:variant>
      <vt:variant>
        <vt:i4>3</vt:i4>
      </vt:variant>
      <vt:variant>
        <vt:i4>0</vt:i4>
      </vt:variant>
      <vt:variant>
        <vt:i4>5</vt:i4>
      </vt:variant>
      <vt:variant>
        <vt:lpwstr>https://www.cdpdj.qc.ca/fr/publications/de-lillacgalitac-a-lacgalit</vt:lpwstr>
      </vt:variant>
      <vt:variant>
        <vt:lpwstr/>
      </vt:variant>
      <vt:variant>
        <vt:i4>1114129</vt:i4>
      </vt:variant>
      <vt:variant>
        <vt:i4>0</vt:i4>
      </vt:variant>
      <vt:variant>
        <vt:i4>0</vt:i4>
      </vt:variant>
      <vt:variant>
        <vt:i4>5</vt:i4>
      </vt:variant>
      <vt:variant>
        <vt:lpwstr>https://canlii.ca/t/jddc1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au Comité de sages sur l’identité de genre</dc:title>
  <dc:subject/>
  <dc:creator>Commission des des droits de la personne et des droits de la jeunesse</dc:creator>
  <cp:keywords>Identité de genre; Non binaire; Trans; LGBTQ+; Discrimination; Éducation aux droits; Enfants</cp:keywords>
  <dc:description>Ce mémoire est le premier document d’ampleur de la Commission des droits consacré exclusivement aux enjeux de droits concernant spécifiquement les personnes trans et non binaires dans différents domaines de leur vie. La Commission prend acte des avancées encore relativement récentes dans la reconnaissance des droits de ces personnes, mais aussi des violations de droits auxquelles elles sont toujours confrontées au quotidien. Par exemple, en regard de la discrimination fondée sur le motif identité ou expression de genre ou sur le croisement entre celui-ci et d’autres motifs de discrimination comme le sexe, la « race », l’orientation sexuelle et la condition sociale. La Commission s’inquiète également des reculs dans la reconnaissance des droits de ces personnes qui surviennent dans différents contextes en Amérique du Nord et en Europe.</dc:description>
  <cp:lastModifiedBy>Sophie Ambrosi</cp:lastModifiedBy>
  <cp:revision>8</cp:revision>
  <cp:lastPrinted>2024-05-06T23:33:00Z</cp:lastPrinted>
  <dcterms:created xsi:type="dcterms:W3CDTF">2024-06-20T20:53:00Z</dcterms:created>
  <dcterms:modified xsi:type="dcterms:W3CDTF">2024-10-23T17:42:00Z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HUBClassification">
    <vt:lpwstr>676</vt:lpwstr>
  </property>
  <property fmtid="{D5CDD505-2E9C-101B-9397-08002B2CF9AE}" pid="4" name="TypeDocument">
    <vt:lpwstr/>
  </property>
  <property fmtid="{D5CDD505-2E9C-101B-9397-08002B2CF9AE}" pid="5" name="HUBStatutDocument">
    <vt:lpwstr>10</vt:lpwstr>
  </property>
  <property fmtid="{D5CDD505-2E9C-101B-9397-08002B2CF9AE}" pid="6" name="Droits">
    <vt:lpwstr/>
  </property>
  <property fmtid="{D5CDD505-2E9C-101B-9397-08002B2CF9AE}" pid="7" name="Auteur-s">
    <vt:lpwstr/>
  </property>
  <property fmtid="{D5CDD505-2E9C-101B-9397-08002B2CF9AE}" pid="8" name="BiblioAnalytique">
    <vt:lpwstr/>
  </property>
  <property fmtid="{D5CDD505-2E9C-101B-9397-08002B2CF9AE}" pid="9" name="TypeDiffusion">
    <vt:lpwstr/>
  </property>
  <property fmtid="{D5CDD505-2E9C-101B-9397-08002B2CF9AE}" pid="10" name="Motifs">
    <vt:lpwstr/>
  </property>
  <property fmtid="{D5CDD505-2E9C-101B-9397-08002B2CF9AE}" pid="11" name="Thematiques">
    <vt:lpwstr/>
  </property>
  <property fmtid="{D5CDD505-2E9C-101B-9397-08002B2CF9AE}" pid="12" name="SecteursActivites">
    <vt:lpwstr/>
  </property>
  <property fmtid="{D5CDD505-2E9C-101B-9397-08002B2CF9AE}" pid="13" name="SharedWithUsers">
    <vt:lpwstr>53;#Samuel Blouin;#25;#Jean-Sébastien Imbeault;#646;#Arianne Martel;#22;#Evelyne Pedneault;#28;#Geneviève St-Laurent</vt:lpwstr>
  </property>
  <property fmtid="{D5CDD505-2E9C-101B-9397-08002B2CF9AE}" pid="14" name="JEWJCDocID">
    <vt:lpwstr>94a334b3-e773-4190-a71e-6d93b1eee3d1</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o3f969483fcf4e7a836a7d9c172357db">
    <vt:lpwstr/>
  </property>
  <property fmtid="{D5CDD505-2E9C-101B-9397-08002B2CF9AE}" pid="18" name="Volet">
    <vt:lpwstr/>
  </property>
  <property fmtid="{D5CDD505-2E9C-101B-9397-08002B2CF9AE}" pid="19" name="_docset_NoMedatataSyncRequired">
    <vt:lpwstr>False</vt:lpwstr>
  </property>
</Properties>
</file>