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7C8A3" w14:textId="4444A81D" w:rsidR="007B20D3" w:rsidRPr="00A0175C" w:rsidRDefault="007B20D3" w:rsidP="007B20D3">
      <w:pPr>
        <w:pStyle w:val="Titre1"/>
        <w:jc w:val="center"/>
        <w:rPr>
          <w:b/>
          <w:bCs/>
          <w:color w:val="auto"/>
          <w:sz w:val="36"/>
          <w:szCs w:val="36"/>
        </w:rPr>
      </w:pPr>
      <w:r w:rsidRPr="00A0175C">
        <w:rPr>
          <w:b/>
          <w:bCs/>
          <w:color w:val="auto"/>
          <w:sz w:val="36"/>
          <w:szCs w:val="36"/>
        </w:rPr>
        <w:t>Directive sur les contrats de services</w:t>
      </w:r>
      <w:r w:rsidR="2671361B" w:rsidRPr="00A0175C">
        <w:rPr>
          <w:b/>
          <w:bCs/>
          <w:color w:val="auto"/>
          <w:sz w:val="36"/>
          <w:szCs w:val="36"/>
        </w:rPr>
        <w:t xml:space="preserve"> </w:t>
      </w:r>
      <w:r w:rsidR="00AD12F7">
        <w:rPr>
          <w:b/>
          <w:bCs/>
          <w:color w:val="auto"/>
          <w:sz w:val="36"/>
          <w:szCs w:val="36"/>
        </w:rPr>
        <w:br/>
      </w:r>
      <w:r w:rsidR="2671361B" w:rsidRPr="00A0175C">
        <w:rPr>
          <w:b/>
          <w:bCs/>
          <w:color w:val="auto"/>
          <w:sz w:val="36"/>
          <w:szCs w:val="36"/>
        </w:rPr>
        <w:t>non soumis à l’autorisation du président</w:t>
      </w:r>
    </w:p>
    <w:p w14:paraId="2C0A7F89" w14:textId="4A11AFFD" w:rsidR="2671361B" w:rsidRPr="00A0175C" w:rsidRDefault="2671361B" w:rsidP="00C368E0">
      <w:pPr>
        <w:pStyle w:val="Titre1"/>
        <w:spacing w:before="0" w:after="0"/>
        <w:jc w:val="center"/>
        <w:rPr>
          <w:b/>
          <w:bCs/>
          <w:color w:val="auto"/>
          <w:sz w:val="28"/>
          <w:szCs w:val="28"/>
        </w:rPr>
      </w:pPr>
      <w:r w:rsidRPr="00A0175C">
        <w:rPr>
          <w:b/>
          <w:bCs/>
          <w:color w:val="auto"/>
          <w:sz w:val="28"/>
          <w:szCs w:val="28"/>
        </w:rPr>
        <w:t>Commission des droits de la personne</w:t>
      </w:r>
      <w:r w:rsidR="00C368E0" w:rsidRPr="00A0175C">
        <w:rPr>
          <w:b/>
          <w:bCs/>
          <w:color w:val="auto"/>
          <w:sz w:val="28"/>
          <w:szCs w:val="28"/>
        </w:rPr>
        <w:br/>
      </w:r>
      <w:r w:rsidRPr="00A0175C">
        <w:rPr>
          <w:b/>
          <w:bCs/>
          <w:color w:val="auto"/>
          <w:sz w:val="28"/>
          <w:szCs w:val="28"/>
        </w:rPr>
        <w:t>et des droits de la jeunesse</w:t>
      </w:r>
    </w:p>
    <w:p w14:paraId="21AEF6F7" w14:textId="77777777" w:rsidR="007B20D3" w:rsidRPr="00215D58" w:rsidRDefault="007B20D3" w:rsidP="00215D58">
      <w:pPr>
        <w:pStyle w:val="Titre2"/>
        <w:jc w:val="left"/>
      </w:pPr>
      <w:r w:rsidRPr="00215D58">
        <w:t>PRÉAMBULE</w:t>
      </w:r>
    </w:p>
    <w:p w14:paraId="1DD6E571" w14:textId="73D9416F" w:rsidR="007B20D3" w:rsidRPr="001F7064" w:rsidRDefault="007B20D3" w:rsidP="00215D58">
      <w:pPr>
        <w:rPr>
          <w:sz w:val="24"/>
          <w:szCs w:val="24"/>
        </w:rPr>
      </w:pPr>
      <w:r w:rsidRPr="001F7064">
        <w:rPr>
          <w:sz w:val="24"/>
          <w:szCs w:val="24"/>
        </w:rPr>
        <w:t>La Loi sur la gestion et le contrôle des effectifs des ministères, des organismes et des réseaux du secteur public ainsi que des sociétés d’État (2014, chapitre 17) (ci-après la « LGCE ») établit des mesures particulières applicables aux contrats de services qu’un organisme entend conclure pendant les périodes soumises à des mesures de contrôle de l’effectif, entre autres en assujettissant la conclusion de ces contrats à une autorisation du dirigeant de l’organisme.</w:t>
      </w:r>
    </w:p>
    <w:p w14:paraId="44AECCCA" w14:textId="30B65B81" w:rsidR="007B20D3" w:rsidRPr="001F7064" w:rsidRDefault="007B20D3" w:rsidP="00215D58">
      <w:pPr>
        <w:rPr>
          <w:sz w:val="24"/>
          <w:szCs w:val="24"/>
        </w:rPr>
      </w:pPr>
      <w:r w:rsidRPr="001F7064">
        <w:rPr>
          <w:sz w:val="24"/>
          <w:szCs w:val="24"/>
        </w:rPr>
        <w:t xml:space="preserve">La LGCE vise à ce qu’un organisme public ne puisse conclure un contrat de services si celui-ci a pour effet d’éluder les mesures de contrôle relatives aux effectifs prises en vertu de cette loi. </w:t>
      </w:r>
    </w:p>
    <w:p w14:paraId="14307D0F" w14:textId="77777777" w:rsidR="001F7064" w:rsidRDefault="007B20D3" w:rsidP="00215D58">
      <w:pPr>
        <w:rPr>
          <w:sz w:val="24"/>
          <w:szCs w:val="24"/>
        </w:rPr>
      </w:pPr>
      <w:r w:rsidRPr="001F7064">
        <w:rPr>
          <w:sz w:val="24"/>
          <w:szCs w:val="24"/>
        </w:rPr>
        <w:t xml:space="preserve">Les organismes publics, désignés par le Conseil du trésor, peuvent prendre une directive sur les contrats de services non soumis à l’autorisation de leur dirigeant. </w:t>
      </w:r>
    </w:p>
    <w:p w14:paraId="1152554B" w14:textId="61E42616" w:rsidR="007B20D3" w:rsidRPr="001F7064" w:rsidRDefault="008872CD" w:rsidP="00215D58">
      <w:pPr>
        <w:rPr>
          <w:sz w:val="24"/>
          <w:szCs w:val="24"/>
        </w:rPr>
      </w:pPr>
      <w:r w:rsidRPr="008872CD">
        <w:rPr>
          <w:sz w:val="24"/>
          <w:szCs w:val="24"/>
        </w:rPr>
        <w:t xml:space="preserve">La </w:t>
      </w:r>
      <w:r w:rsidRPr="003A31AF">
        <w:rPr>
          <w:b/>
          <w:bCs/>
          <w:sz w:val="24"/>
          <w:szCs w:val="24"/>
        </w:rPr>
        <w:t>Commission des droits de la personne et des droits de la jeunesse</w:t>
      </w:r>
      <w:r>
        <w:rPr>
          <w:color w:val="FF0000"/>
          <w:sz w:val="24"/>
          <w:szCs w:val="24"/>
        </w:rPr>
        <w:t xml:space="preserve"> </w:t>
      </w:r>
      <w:r w:rsidR="007B20D3" w:rsidRPr="001F7064">
        <w:rPr>
          <w:sz w:val="24"/>
          <w:szCs w:val="24"/>
        </w:rPr>
        <w:t xml:space="preserve">a été désigné par décision du Conseil du trésor, le </w:t>
      </w:r>
      <w:r w:rsidR="0057209E" w:rsidRPr="003A31AF">
        <w:rPr>
          <w:b/>
          <w:bCs/>
          <w:sz w:val="24"/>
          <w:szCs w:val="24"/>
        </w:rPr>
        <w:t>08</w:t>
      </w:r>
      <w:r w:rsidR="0011522D" w:rsidRPr="003A31AF">
        <w:rPr>
          <w:b/>
          <w:bCs/>
          <w:sz w:val="24"/>
          <w:szCs w:val="24"/>
        </w:rPr>
        <w:t>-04-2024</w:t>
      </w:r>
      <w:r w:rsidR="007B20D3" w:rsidRPr="001F7064">
        <w:rPr>
          <w:sz w:val="24"/>
          <w:szCs w:val="24"/>
        </w:rPr>
        <w:t>, afin de lui permettre de se doter d’une directive sur les contrats de services non soumis à l’autorisation de son dirigeant.</w:t>
      </w:r>
    </w:p>
    <w:p w14:paraId="448CD762" w14:textId="5ACBF2FE" w:rsidR="007B20D3" w:rsidRPr="001F7064" w:rsidRDefault="007B20D3" w:rsidP="00215D58">
      <w:pPr>
        <w:rPr>
          <w:sz w:val="24"/>
          <w:szCs w:val="24"/>
        </w:rPr>
      </w:pPr>
      <w:r w:rsidRPr="001F7064">
        <w:rPr>
          <w:sz w:val="24"/>
          <w:szCs w:val="24"/>
        </w:rPr>
        <w:t>En vertu de l’article 17 de la LGCE, cette directive doit être rendue publique au plus tard 30 jours après son adoption. Elle doit également être transmise au président du Conseil du trésor qui peut en tout temps requérir de l’organisme public que des modifications y soient apportées.</w:t>
      </w:r>
    </w:p>
    <w:p w14:paraId="6A2FB153" w14:textId="77777777" w:rsidR="007B20D3" w:rsidRPr="001F7064" w:rsidRDefault="007B20D3" w:rsidP="00215D58">
      <w:pPr>
        <w:pStyle w:val="Titre2"/>
        <w:jc w:val="left"/>
      </w:pPr>
      <w:r w:rsidRPr="001F7064">
        <w:t>OBJET</w:t>
      </w:r>
    </w:p>
    <w:p w14:paraId="6CBC01D8" w14:textId="6D7BEBF9" w:rsidR="007B20D3" w:rsidRPr="001F7064" w:rsidRDefault="007B20D3" w:rsidP="00215D58">
      <w:pPr>
        <w:rPr>
          <w:color w:val="FF0000"/>
          <w:sz w:val="24"/>
          <w:szCs w:val="24"/>
        </w:rPr>
      </w:pPr>
      <w:r w:rsidRPr="001F7064">
        <w:rPr>
          <w:sz w:val="24"/>
          <w:szCs w:val="24"/>
        </w:rPr>
        <w:t>La présente directive a pour but d’établir les situations où l’autorisation du dirigeant de</w:t>
      </w:r>
      <w:r w:rsidR="00E17F51">
        <w:rPr>
          <w:sz w:val="24"/>
          <w:szCs w:val="24"/>
        </w:rPr>
        <w:t xml:space="preserve"> l</w:t>
      </w:r>
      <w:r w:rsidR="00E17F51" w:rsidRPr="008872CD">
        <w:rPr>
          <w:sz w:val="24"/>
          <w:szCs w:val="24"/>
        </w:rPr>
        <w:t>a Commission des droits de la personne et des droits de la jeunesse</w:t>
      </w:r>
      <w:r w:rsidR="00E17F51">
        <w:rPr>
          <w:color w:val="FF0000"/>
          <w:sz w:val="24"/>
          <w:szCs w:val="24"/>
        </w:rPr>
        <w:t xml:space="preserve"> </w:t>
      </w:r>
      <w:r w:rsidRPr="001F7064">
        <w:rPr>
          <w:sz w:val="24"/>
          <w:szCs w:val="24"/>
        </w:rPr>
        <w:t xml:space="preserve">n’est pas requise pour la conclusion d’un contrat de services pendant la période d’application de la LGCE1. </w:t>
      </w:r>
    </w:p>
    <w:p w14:paraId="774D199E" w14:textId="46303109" w:rsidR="007B20D3" w:rsidRPr="001F7064" w:rsidRDefault="007B20D3" w:rsidP="00215D58">
      <w:pPr>
        <w:rPr>
          <w:sz w:val="24"/>
          <w:szCs w:val="24"/>
        </w:rPr>
      </w:pPr>
      <w:r w:rsidRPr="001F7064">
        <w:rPr>
          <w:sz w:val="24"/>
          <w:szCs w:val="24"/>
        </w:rPr>
        <w:t xml:space="preserve">Cette directive découle de l’article 16 de la LGCE qui prévoit, en période de contrôle visée à l’article 11 de la LGCE, que la conclusion de tout contrat de services par un organisme public doit être autorisée par son dirigeant. </w:t>
      </w:r>
    </w:p>
    <w:p w14:paraId="17CCA623" w14:textId="4B4D52A5" w:rsidR="007B20D3" w:rsidRPr="001F7064" w:rsidRDefault="007B20D3" w:rsidP="00215D58">
      <w:pPr>
        <w:rPr>
          <w:sz w:val="24"/>
          <w:szCs w:val="24"/>
        </w:rPr>
      </w:pPr>
      <w:r w:rsidRPr="001F7064">
        <w:rPr>
          <w:sz w:val="24"/>
          <w:szCs w:val="24"/>
        </w:rPr>
        <w:lastRenderedPageBreak/>
        <w:t xml:space="preserve">Ce pouvoir peut être délégué par le dirigeant lorsqu’il s’agit de conclure un contrat de services avec une personne physique (en affaire ou non) comportant une dépense inférieure à 10 000 $ et, dans les autres cas, une dépense inférieure à 25 000 $. </w:t>
      </w:r>
    </w:p>
    <w:p w14:paraId="210E3F4B" w14:textId="77777777" w:rsidR="007B20D3" w:rsidRPr="001F7064" w:rsidRDefault="007B20D3" w:rsidP="00215D58">
      <w:pPr>
        <w:rPr>
          <w:sz w:val="24"/>
          <w:szCs w:val="24"/>
        </w:rPr>
      </w:pPr>
      <w:r w:rsidRPr="001F7064">
        <w:rPr>
          <w:sz w:val="24"/>
          <w:szCs w:val="24"/>
        </w:rPr>
        <w:t>L’autorisation n’est toutefois pas requise si les conditions suivantes sont remplies :</w:t>
      </w:r>
    </w:p>
    <w:p w14:paraId="2A6A0220" w14:textId="4A2F7217" w:rsidR="007B20D3" w:rsidRPr="001F7064" w:rsidRDefault="007B20D3" w:rsidP="00215D58">
      <w:pPr>
        <w:pStyle w:val="Paragraphedeliste"/>
        <w:numPr>
          <w:ilvl w:val="0"/>
          <w:numId w:val="1"/>
        </w:numPr>
        <w:rPr>
          <w:sz w:val="24"/>
          <w:szCs w:val="24"/>
        </w:rPr>
      </w:pPr>
      <w:r w:rsidRPr="001F7064">
        <w:rPr>
          <w:sz w:val="24"/>
          <w:szCs w:val="24"/>
        </w:rPr>
        <w:t>L’organisme public, après avoir été désigné par le Conseil du trésor, a pris une directive sur les contrats de services non soumis à l’autorisation du dirigeant d’organisme;</w:t>
      </w:r>
    </w:p>
    <w:p w14:paraId="1C343B7E" w14:textId="2128AD2B" w:rsidR="007B20D3" w:rsidRPr="001F7064" w:rsidRDefault="007B20D3" w:rsidP="00215D58">
      <w:pPr>
        <w:pStyle w:val="Paragraphedeliste"/>
        <w:numPr>
          <w:ilvl w:val="0"/>
          <w:numId w:val="1"/>
        </w:numPr>
        <w:rPr>
          <w:sz w:val="24"/>
          <w:szCs w:val="24"/>
        </w:rPr>
      </w:pPr>
      <w:r w:rsidRPr="001F7064">
        <w:rPr>
          <w:sz w:val="24"/>
          <w:szCs w:val="24"/>
        </w:rPr>
        <w:t>L’objet du contrat de services correspond à l’un de ceux indiqués dans cette directive;</w:t>
      </w:r>
    </w:p>
    <w:p w14:paraId="2CEDE1DA" w14:textId="41A15BB4" w:rsidR="007B20D3" w:rsidRPr="001F7064" w:rsidRDefault="007B20D3" w:rsidP="00215D58">
      <w:pPr>
        <w:pStyle w:val="Paragraphedeliste"/>
        <w:numPr>
          <w:ilvl w:val="0"/>
          <w:numId w:val="1"/>
        </w:numPr>
        <w:rPr>
          <w:sz w:val="24"/>
          <w:szCs w:val="24"/>
        </w:rPr>
      </w:pPr>
      <w:r w:rsidRPr="001F7064">
        <w:rPr>
          <w:sz w:val="24"/>
          <w:szCs w:val="24"/>
        </w:rPr>
        <w:t>Le contrat est conclu avec un contractant autre qu’une personne physique.</w:t>
      </w:r>
    </w:p>
    <w:p w14:paraId="25F8BCFC" w14:textId="77777777" w:rsidR="007B20D3" w:rsidRPr="001F7064" w:rsidRDefault="007B20D3" w:rsidP="00215D58">
      <w:pPr>
        <w:pStyle w:val="Titre2"/>
        <w:jc w:val="left"/>
      </w:pPr>
      <w:r w:rsidRPr="001F7064">
        <w:t>CHAMP D’APPLICATION</w:t>
      </w:r>
    </w:p>
    <w:p w14:paraId="026D6F39" w14:textId="79CAFE65" w:rsidR="007B20D3" w:rsidRPr="001F7064" w:rsidRDefault="007B20D3" w:rsidP="00215D58">
      <w:pPr>
        <w:rPr>
          <w:sz w:val="24"/>
          <w:szCs w:val="24"/>
        </w:rPr>
      </w:pPr>
      <w:r w:rsidRPr="001F7064">
        <w:rPr>
          <w:sz w:val="24"/>
          <w:szCs w:val="24"/>
        </w:rPr>
        <w:t>Cette directive s’applique aux contrats de services visés au paragraphe 3</w:t>
      </w:r>
      <w:r w:rsidRPr="001F7064">
        <w:rPr>
          <w:sz w:val="24"/>
          <w:szCs w:val="24"/>
          <w:vertAlign w:val="superscript"/>
        </w:rPr>
        <w:t>o</w:t>
      </w:r>
      <w:r w:rsidRPr="001F7064">
        <w:rPr>
          <w:sz w:val="24"/>
          <w:szCs w:val="24"/>
        </w:rPr>
        <w:t xml:space="preserve"> du premier alinéa de l’article 3 de la Loi sur les contrats des organismes publics (RLRQ, chapitre C65.1) et les contrats assimilés à un contrat de services conformément au troisième alinéa de cet article pour chaque période que détermine le Conseil du trésor en vertu de l’article 11 de la LGCE.</w:t>
      </w:r>
    </w:p>
    <w:p w14:paraId="3B508EEF" w14:textId="77777777" w:rsidR="007B20D3" w:rsidRPr="001F7064" w:rsidRDefault="007B20D3" w:rsidP="00215D58">
      <w:pPr>
        <w:pStyle w:val="Titre2"/>
        <w:jc w:val="left"/>
      </w:pPr>
      <w:r w:rsidRPr="001F7064">
        <w:t xml:space="preserve">CONTRATS NON SOUMIS À L’AUTORISATION DU DIRIGEANT D’ORGANISME </w:t>
      </w:r>
    </w:p>
    <w:p w14:paraId="03EC05EC" w14:textId="1D73602B" w:rsidR="007B20D3" w:rsidRPr="001F7064" w:rsidRDefault="00944D8D" w:rsidP="00215D58">
      <w:pPr>
        <w:rPr>
          <w:b/>
          <w:bCs/>
          <w:color w:val="FF0000"/>
          <w:sz w:val="24"/>
          <w:szCs w:val="24"/>
        </w:rPr>
      </w:pPr>
      <w:r>
        <w:rPr>
          <w:sz w:val="24"/>
          <w:szCs w:val="24"/>
        </w:rPr>
        <w:t xml:space="preserve">En vertu de la présente politique et de notre plan de délégation financière, </w:t>
      </w:r>
      <w:r w:rsidR="00B50BD2">
        <w:rPr>
          <w:sz w:val="24"/>
          <w:szCs w:val="24"/>
        </w:rPr>
        <w:t xml:space="preserve">l’ensemble des </w:t>
      </w:r>
      <w:r w:rsidR="007B20D3" w:rsidRPr="001F7064">
        <w:rPr>
          <w:sz w:val="24"/>
          <w:szCs w:val="24"/>
        </w:rPr>
        <w:t xml:space="preserve">contrats de services ne sont pas soumis à l’autorisation du dirigeant </w:t>
      </w:r>
      <w:r w:rsidR="00B5468A">
        <w:rPr>
          <w:sz w:val="24"/>
          <w:szCs w:val="24"/>
        </w:rPr>
        <w:t>de la</w:t>
      </w:r>
      <w:r w:rsidR="00B5468A" w:rsidRPr="008872CD">
        <w:rPr>
          <w:sz w:val="24"/>
          <w:szCs w:val="24"/>
        </w:rPr>
        <w:t xml:space="preserve"> Commission des </w:t>
      </w:r>
      <w:r w:rsidR="003665D3">
        <w:rPr>
          <w:sz w:val="24"/>
          <w:szCs w:val="24"/>
        </w:rPr>
        <w:t xml:space="preserve">droits de la personne et des droits de la jeunesse.  Ce dernier </w:t>
      </w:r>
      <w:r w:rsidR="00904440">
        <w:rPr>
          <w:sz w:val="24"/>
          <w:szCs w:val="24"/>
        </w:rPr>
        <w:t>délègue cette responsabilité</w:t>
      </w:r>
      <w:r w:rsidR="00331B95">
        <w:rPr>
          <w:sz w:val="24"/>
          <w:szCs w:val="24"/>
        </w:rPr>
        <w:t> </w:t>
      </w:r>
      <w:r w:rsidR="00AD55A4">
        <w:rPr>
          <w:sz w:val="24"/>
          <w:szCs w:val="24"/>
        </w:rPr>
        <w:t>à la personne qui occupe le</w:t>
      </w:r>
      <w:r w:rsidR="008535B2">
        <w:rPr>
          <w:sz w:val="24"/>
          <w:szCs w:val="24"/>
        </w:rPr>
        <w:t>s</w:t>
      </w:r>
      <w:r w:rsidR="00AD55A4">
        <w:rPr>
          <w:sz w:val="24"/>
          <w:szCs w:val="24"/>
        </w:rPr>
        <w:t xml:space="preserve"> poste</w:t>
      </w:r>
      <w:r w:rsidR="008535B2">
        <w:rPr>
          <w:sz w:val="24"/>
          <w:szCs w:val="24"/>
        </w:rPr>
        <w:t>s</w:t>
      </w:r>
      <w:r w:rsidR="00AD55A4">
        <w:rPr>
          <w:sz w:val="24"/>
          <w:szCs w:val="24"/>
        </w:rPr>
        <w:t xml:space="preserve"> suivant</w:t>
      </w:r>
      <w:r w:rsidR="008535B2">
        <w:rPr>
          <w:sz w:val="24"/>
          <w:szCs w:val="24"/>
        </w:rPr>
        <w:t>s</w:t>
      </w:r>
      <w:r w:rsidR="00AD55A4">
        <w:rPr>
          <w:sz w:val="24"/>
          <w:szCs w:val="24"/>
        </w:rPr>
        <w:t> :</w:t>
      </w:r>
    </w:p>
    <w:p w14:paraId="11AC80CC" w14:textId="171C4FA8" w:rsidR="007B20D3" w:rsidRPr="00B3330A" w:rsidRDefault="5ED7497A" w:rsidP="00215D58">
      <w:pPr>
        <w:pStyle w:val="Paragraphedeliste"/>
        <w:numPr>
          <w:ilvl w:val="0"/>
          <w:numId w:val="5"/>
        </w:numPr>
        <w:rPr>
          <w:sz w:val="24"/>
          <w:szCs w:val="24"/>
        </w:rPr>
      </w:pPr>
      <w:r w:rsidRPr="48300FCF">
        <w:rPr>
          <w:sz w:val="24"/>
          <w:szCs w:val="24"/>
        </w:rPr>
        <w:t>L</w:t>
      </w:r>
      <w:r w:rsidR="055C936C" w:rsidRPr="48300FCF">
        <w:rPr>
          <w:sz w:val="24"/>
          <w:szCs w:val="24"/>
        </w:rPr>
        <w:t>e</w:t>
      </w:r>
      <w:r w:rsidR="09A01433" w:rsidRPr="48300FCF">
        <w:rPr>
          <w:sz w:val="24"/>
          <w:szCs w:val="24"/>
        </w:rPr>
        <w:t xml:space="preserve"> </w:t>
      </w:r>
      <w:r w:rsidR="0C4FD328" w:rsidRPr="48300FCF">
        <w:rPr>
          <w:b/>
          <w:bCs/>
          <w:sz w:val="24"/>
          <w:szCs w:val="24"/>
        </w:rPr>
        <w:t>D</w:t>
      </w:r>
      <w:r w:rsidR="09A01433" w:rsidRPr="48300FCF">
        <w:rPr>
          <w:b/>
          <w:bCs/>
          <w:sz w:val="24"/>
          <w:szCs w:val="24"/>
        </w:rPr>
        <w:t xml:space="preserve">irecteur </w:t>
      </w:r>
      <w:r w:rsidR="014C52A2" w:rsidRPr="48300FCF">
        <w:rPr>
          <w:b/>
          <w:bCs/>
          <w:sz w:val="24"/>
          <w:szCs w:val="24"/>
        </w:rPr>
        <w:t>principal de l’administration</w:t>
      </w:r>
      <w:r w:rsidR="75BB5620" w:rsidRPr="48300FCF">
        <w:rPr>
          <w:b/>
          <w:bCs/>
          <w:sz w:val="24"/>
          <w:szCs w:val="24"/>
        </w:rPr>
        <w:t xml:space="preserve"> et secrétaire général </w:t>
      </w:r>
      <w:r w:rsidR="227CFF12" w:rsidRPr="48300FCF">
        <w:rPr>
          <w:sz w:val="24"/>
          <w:szCs w:val="24"/>
        </w:rPr>
        <w:t xml:space="preserve">doit autoriser les contrats de services d’une </w:t>
      </w:r>
      <w:r w:rsidR="227CFF12" w:rsidRPr="48300FCF">
        <w:rPr>
          <w:b/>
          <w:bCs/>
          <w:sz w:val="24"/>
          <w:szCs w:val="24"/>
        </w:rPr>
        <w:t>dépense supérieure à 25 000 $</w:t>
      </w:r>
      <w:r w:rsidR="227CFF12" w:rsidRPr="48300FCF">
        <w:rPr>
          <w:sz w:val="24"/>
          <w:szCs w:val="24"/>
        </w:rPr>
        <w:t xml:space="preserve"> avec un contractant autre qu’une personne physique</w:t>
      </w:r>
      <w:r w:rsidR="0C4FD328" w:rsidRPr="48300FCF">
        <w:rPr>
          <w:sz w:val="24"/>
          <w:szCs w:val="24"/>
        </w:rPr>
        <w:t>.</w:t>
      </w:r>
    </w:p>
    <w:p w14:paraId="5C623B17" w14:textId="3107D2C0" w:rsidR="003A31AF" w:rsidRDefault="2C98C9C9" w:rsidP="00215D58">
      <w:pPr>
        <w:pStyle w:val="Paragraphedeliste"/>
        <w:numPr>
          <w:ilvl w:val="0"/>
          <w:numId w:val="5"/>
        </w:numPr>
        <w:rPr>
          <w:sz w:val="24"/>
          <w:szCs w:val="24"/>
        </w:rPr>
      </w:pPr>
      <w:r w:rsidRPr="48300FCF">
        <w:rPr>
          <w:sz w:val="24"/>
          <w:szCs w:val="24"/>
        </w:rPr>
        <w:t>L</w:t>
      </w:r>
      <w:r w:rsidR="055C936C" w:rsidRPr="48300FCF">
        <w:rPr>
          <w:sz w:val="24"/>
          <w:szCs w:val="24"/>
        </w:rPr>
        <w:t xml:space="preserve">e </w:t>
      </w:r>
      <w:r w:rsidR="0C4FD328" w:rsidRPr="48300FCF">
        <w:rPr>
          <w:b/>
          <w:bCs/>
          <w:sz w:val="24"/>
          <w:szCs w:val="24"/>
        </w:rPr>
        <w:t>D</w:t>
      </w:r>
      <w:r w:rsidR="055C936C" w:rsidRPr="48300FCF">
        <w:rPr>
          <w:b/>
          <w:bCs/>
          <w:sz w:val="24"/>
          <w:szCs w:val="24"/>
        </w:rPr>
        <w:t>irecteur des ressources informationnelles, matérielles et immobilières</w:t>
      </w:r>
      <w:r w:rsidR="055C936C" w:rsidRPr="48300FCF">
        <w:rPr>
          <w:sz w:val="24"/>
          <w:szCs w:val="24"/>
        </w:rPr>
        <w:t xml:space="preserve"> doit autoriser les contrats de services d’une dépense </w:t>
      </w:r>
      <w:r w:rsidR="055C936C" w:rsidRPr="48300FCF">
        <w:rPr>
          <w:b/>
          <w:bCs/>
          <w:sz w:val="24"/>
          <w:szCs w:val="24"/>
        </w:rPr>
        <w:t>inférieur à 25 000 $</w:t>
      </w:r>
      <w:r w:rsidR="055C936C" w:rsidRPr="48300FCF">
        <w:rPr>
          <w:sz w:val="24"/>
          <w:szCs w:val="24"/>
        </w:rPr>
        <w:t xml:space="preserve"> avec un contractant autre qu’une personne physique</w:t>
      </w:r>
      <w:r w:rsidR="0C4FD328" w:rsidRPr="48300FCF">
        <w:rPr>
          <w:sz w:val="24"/>
          <w:szCs w:val="24"/>
        </w:rPr>
        <w:t>.</w:t>
      </w:r>
    </w:p>
    <w:p w14:paraId="7C27BE75" w14:textId="77777777" w:rsidR="00525230" w:rsidRDefault="00525230" w:rsidP="00215D58">
      <w:pPr>
        <w:rPr>
          <w:sz w:val="24"/>
          <w:szCs w:val="24"/>
        </w:rPr>
      </w:pPr>
    </w:p>
    <w:p w14:paraId="22E5565B" w14:textId="26FCC079" w:rsidR="00525230" w:rsidRDefault="00525230" w:rsidP="00215D58">
      <w:pPr>
        <w:rPr>
          <w:sz w:val="24"/>
          <w:szCs w:val="24"/>
        </w:rPr>
      </w:pPr>
      <w:r>
        <w:rPr>
          <w:sz w:val="24"/>
          <w:szCs w:val="24"/>
        </w:rPr>
        <w:t>Adoption : 19-04-2024</w:t>
      </w:r>
    </w:p>
    <w:p w14:paraId="5D0EC5FE" w14:textId="130799D5" w:rsidR="007B20D3" w:rsidRPr="001F7064" w:rsidRDefault="00525230" w:rsidP="00C368E0">
      <w:pPr>
        <w:rPr>
          <w:sz w:val="24"/>
          <w:szCs w:val="24"/>
        </w:rPr>
      </w:pPr>
      <w:r>
        <w:rPr>
          <w:sz w:val="24"/>
          <w:szCs w:val="24"/>
        </w:rPr>
        <w:t>Philippe-André Tessier, Président</w:t>
      </w:r>
    </w:p>
    <w:sectPr w:rsidR="007B20D3" w:rsidRPr="001F7064" w:rsidSect="00215D58">
      <w:headerReference w:type="first" r:id="rId11"/>
      <w:footerReference w:type="first" r:id="rId12"/>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813B8" w14:textId="77777777" w:rsidR="007323CE" w:rsidRDefault="007323CE" w:rsidP="005156DC">
      <w:pPr>
        <w:spacing w:after="0" w:line="240" w:lineRule="auto"/>
      </w:pPr>
      <w:r>
        <w:separator/>
      </w:r>
    </w:p>
  </w:endnote>
  <w:endnote w:type="continuationSeparator" w:id="0">
    <w:p w14:paraId="2E115481" w14:textId="77777777" w:rsidR="007323CE" w:rsidRDefault="007323CE" w:rsidP="005156DC">
      <w:pPr>
        <w:spacing w:after="0" w:line="240" w:lineRule="auto"/>
      </w:pPr>
      <w:r>
        <w:continuationSeparator/>
      </w:r>
    </w:p>
  </w:endnote>
  <w:endnote w:type="continuationNotice" w:id="1">
    <w:p w14:paraId="5B29A4A7" w14:textId="77777777" w:rsidR="007323CE" w:rsidRDefault="00732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5893864"/>
      <w:docPartObj>
        <w:docPartGallery w:val="Page Numbers (Bottom of Page)"/>
        <w:docPartUnique/>
      </w:docPartObj>
    </w:sdtPr>
    <w:sdtEndPr/>
    <w:sdtContent>
      <w:p w14:paraId="7EB41BE1" w14:textId="14C957A2" w:rsidR="003A4976" w:rsidRDefault="003A4976">
        <w:pPr>
          <w:pStyle w:val="Pieddepage"/>
          <w:jc w:val="right"/>
        </w:pPr>
        <w:r>
          <w:fldChar w:fldCharType="begin"/>
        </w:r>
        <w:r>
          <w:instrText>PAGE   \* MERGEFORMAT</w:instrText>
        </w:r>
        <w:r>
          <w:fldChar w:fldCharType="separate"/>
        </w:r>
        <w:r>
          <w:rPr>
            <w:lang w:val="fr-FR"/>
          </w:rPr>
          <w:t>2</w:t>
        </w:r>
        <w:r>
          <w:fldChar w:fldCharType="end"/>
        </w:r>
      </w:p>
    </w:sdtContent>
  </w:sdt>
  <w:p w14:paraId="2ABC4286" w14:textId="77777777" w:rsidR="003A4976" w:rsidRDefault="003A49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BAD9D" w14:textId="77777777" w:rsidR="007323CE" w:rsidRDefault="007323CE" w:rsidP="005156DC">
      <w:pPr>
        <w:spacing w:after="0" w:line="240" w:lineRule="auto"/>
      </w:pPr>
      <w:r>
        <w:separator/>
      </w:r>
    </w:p>
  </w:footnote>
  <w:footnote w:type="continuationSeparator" w:id="0">
    <w:p w14:paraId="22B0FF38" w14:textId="77777777" w:rsidR="007323CE" w:rsidRDefault="007323CE" w:rsidP="005156DC">
      <w:pPr>
        <w:spacing w:after="0" w:line="240" w:lineRule="auto"/>
      </w:pPr>
      <w:r>
        <w:continuationSeparator/>
      </w:r>
    </w:p>
  </w:footnote>
  <w:footnote w:type="continuationNotice" w:id="1">
    <w:p w14:paraId="3F919AE9" w14:textId="77777777" w:rsidR="007323CE" w:rsidRDefault="007323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ECE3D" w14:textId="77777777" w:rsidR="00215D58" w:rsidRDefault="00215D58">
    <w:pPr>
      <w:pStyle w:val="En-tte"/>
      <w:rPr>
        <w:noProof/>
      </w:rPr>
    </w:pPr>
  </w:p>
  <w:p w14:paraId="19E0E3C2" w14:textId="009B37C0" w:rsidR="000C42A4" w:rsidRDefault="00FF62A8">
    <w:pPr>
      <w:pStyle w:val="En-tte"/>
    </w:pPr>
    <w:r>
      <w:rPr>
        <w:noProof/>
      </w:rPr>
      <w:drawing>
        <wp:inline distT="0" distB="0" distL="0" distR="0" wp14:anchorId="5DB672E0" wp14:editId="35EFD99D">
          <wp:extent cx="1729260" cy="400050"/>
          <wp:effectExtent l="0" t="0" r="4445" b="0"/>
          <wp:docPr id="1370628104" name="Image 1"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28104" name="Image 1"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736918" cy="4018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000"/>
    <w:multiLevelType w:val="hybridMultilevel"/>
    <w:tmpl w:val="BBF67D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BCB1D59"/>
    <w:multiLevelType w:val="hybridMultilevel"/>
    <w:tmpl w:val="06F67C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CA07AF9"/>
    <w:multiLevelType w:val="hybridMultilevel"/>
    <w:tmpl w:val="E7A0AAF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619354B"/>
    <w:multiLevelType w:val="hybridMultilevel"/>
    <w:tmpl w:val="9DFC5C1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2E13D88"/>
    <w:multiLevelType w:val="hybridMultilevel"/>
    <w:tmpl w:val="A01E40A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1467162">
    <w:abstractNumId w:val="3"/>
  </w:num>
  <w:num w:numId="2" w16cid:durableId="1235971556">
    <w:abstractNumId w:val="2"/>
  </w:num>
  <w:num w:numId="3" w16cid:durableId="1391927066">
    <w:abstractNumId w:val="0"/>
  </w:num>
  <w:num w:numId="4" w16cid:durableId="762801806">
    <w:abstractNumId w:val="1"/>
  </w:num>
  <w:num w:numId="5" w16cid:durableId="976842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eA3PZlsu9KLIKbCILI92bWiEMhKDS6UeQiXvROciQfpgqSNyO3rufXceO0ZE1ZjBwPrWNZC0XaEheOuJ0Q7Pfg==" w:salt="Xkhd7ZA2jyYX0oojyFJ1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D3"/>
    <w:rsid w:val="00004F13"/>
    <w:rsid w:val="00004FFB"/>
    <w:rsid w:val="00021B93"/>
    <w:rsid w:val="00072C7C"/>
    <w:rsid w:val="0009793E"/>
    <w:rsid w:val="000C42A4"/>
    <w:rsid w:val="000F6058"/>
    <w:rsid w:val="00113E29"/>
    <w:rsid w:val="0011522D"/>
    <w:rsid w:val="001326D8"/>
    <w:rsid w:val="00185A41"/>
    <w:rsid w:val="00196293"/>
    <w:rsid w:val="001C41DE"/>
    <w:rsid w:val="001D6822"/>
    <w:rsid w:val="001F41D0"/>
    <w:rsid w:val="001F7064"/>
    <w:rsid w:val="00215D58"/>
    <w:rsid w:val="0029764B"/>
    <w:rsid w:val="002B468E"/>
    <w:rsid w:val="002C5985"/>
    <w:rsid w:val="00316835"/>
    <w:rsid w:val="0032065F"/>
    <w:rsid w:val="00331B95"/>
    <w:rsid w:val="00342351"/>
    <w:rsid w:val="003424F3"/>
    <w:rsid w:val="003665D3"/>
    <w:rsid w:val="003A31AF"/>
    <w:rsid w:val="003A4976"/>
    <w:rsid w:val="003B045B"/>
    <w:rsid w:val="003D2CFE"/>
    <w:rsid w:val="00474B53"/>
    <w:rsid w:val="0049224D"/>
    <w:rsid w:val="004C6CBE"/>
    <w:rsid w:val="004E27DD"/>
    <w:rsid w:val="005156DC"/>
    <w:rsid w:val="00525230"/>
    <w:rsid w:val="005456C6"/>
    <w:rsid w:val="0057209E"/>
    <w:rsid w:val="00585077"/>
    <w:rsid w:val="006054DA"/>
    <w:rsid w:val="00613DA2"/>
    <w:rsid w:val="006526B9"/>
    <w:rsid w:val="006670E4"/>
    <w:rsid w:val="00676657"/>
    <w:rsid w:val="006931F0"/>
    <w:rsid w:val="006A4ADB"/>
    <w:rsid w:val="006C2034"/>
    <w:rsid w:val="006D2BE3"/>
    <w:rsid w:val="007323CE"/>
    <w:rsid w:val="0074254E"/>
    <w:rsid w:val="00780C96"/>
    <w:rsid w:val="007B20D3"/>
    <w:rsid w:val="008353A4"/>
    <w:rsid w:val="008535B2"/>
    <w:rsid w:val="00871414"/>
    <w:rsid w:val="008872CD"/>
    <w:rsid w:val="008A2D83"/>
    <w:rsid w:val="008E05CE"/>
    <w:rsid w:val="009023D9"/>
    <w:rsid w:val="00904440"/>
    <w:rsid w:val="00922519"/>
    <w:rsid w:val="00944D8D"/>
    <w:rsid w:val="009771B4"/>
    <w:rsid w:val="009929BC"/>
    <w:rsid w:val="009C46A4"/>
    <w:rsid w:val="009C523C"/>
    <w:rsid w:val="00A00ABF"/>
    <w:rsid w:val="00A0175C"/>
    <w:rsid w:val="00A70DA4"/>
    <w:rsid w:val="00A74A9D"/>
    <w:rsid w:val="00A75FD1"/>
    <w:rsid w:val="00AD12F7"/>
    <w:rsid w:val="00AD55A4"/>
    <w:rsid w:val="00B3330A"/>
    <w:rsid w:val="00B50BD2"/>
    <w:rsid w:val="00B5468A"/>
    <w:rsid w:val="00B74E5A"/>
    <w:rsid w:val="00B81EB4"/>
    <w:rsid w:val="00B84B37"/>
    <w:rsid w:val="00BB1859"/>
    <w:rsid w:val="00BC0D76"/>
    <w:rsid w:val="00C169AD"/>
    <w:rsid w:val="00C27A88"/>
    <w:rsid w:val="00C368E0"/>
    <w:rsid w:val="00C525A6"/>
    <w:rsid w:val="00C820F6"/>
    <w:rsid w:val="00CD61DD"/>
    <w:rsid w:val="00CD63DA"/>
    <w:rsid w:val="00D23F5F"/>
    <w:rsid w:val="00D73F60"/>
    <w:rsid w:val="00DA5018"/>
    <w:rsid w:val="00DC0847"/>
    <w:rsid w:val="00DC473C"/>
    <w:rsid w:val="00DD5D92"/>
    <w:rsid w:val="00E02B2C"/>
    <w:rsid w:val="00E17F51"/>
    <w:rsid w:val="00E47464"/>
    <w:rsid w:val="00E545C5"/>
    <w:rsid w:val="00E559D6"/>
    <w:rsid w:val="00E661B9"/>
    <w:rsid w:val="00E772F8"/>
    <w:rsid w:val="00EB2496"/>
    <w:rsid w:val="00EB62D4"/>
    <w:rsid w:val="00ED3E30"/>
    <w:rsid w:val="00F1464D"/>
    <w:rsid w:val="00F275F2"/>
    <w:rsid w:val="00FF0190"/>
    <w:rsid w:val="00FF62A8"/>
    <w:rsid w:val="014C52A2"/>
    <w:rsid w:val="055C936C"/>
    <w:rsid w:val="09A01433"/>
    <w:rsid w:val="0C4FD328"/>
    <w:rsid w:val="0D605391"/>
    <w:rsid w:val="19AC6186"/>
    <w:rsid w:val="227CFF12"/>
    <w:rsid w:val="2671361B"/>
    <w:rsid w:val="2C98C9C9"/>
    <w:rsid w:val="2E669103"/>
    <w:rsid w:val="3C50181E"/>
    <w:rsid w:val="48300FCF"/>
    <w:rsid w:val="5ED7497A"/>
    <w:rsid w:val="61242CB5"/>
    <w:rsid w:val="6AB4774F"/>
    <w:rsid w:val="6BC659D2"/>
    <w:rsid w:val="75BB562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5D64"/>
  <w15:chartTrackingRefBased/>
  <w15:docId w15:val="{30FFAF5E-48DA-49C6-A0D3-B159C2E6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2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Titre3"/>
    <w:next w:val="Normal"/>
    <w:link w:val="Titre2Car"/>
    <w:uiPriority w:val="9"/>
    <w:unhideWhenUsed/>
    <w:qFormat/>
    <w:rsid w:val="00215D58"/>
    <w:pPr>
      <w:jc w:val="both"/>
      <w:outlineLvl w:val="1"/>
    </w:pPr>
    <w:rPr>
      <w:b/>
      <w:bCs/>
      <w:sz w:val="32"/>
      <w:szCs w:val="32"/>
    </w:rPr>
  </w:style>
  <w:style w:type="paragraph" w:styleId="Titre3">
    <w:name w:val="heading 3"/>
    <w:basedOn w:val="Normal"/>
    <w:next w:val="Normal"/>
    <w:link w:val="Titre3Car"/>
    <w:uiPriority w:val="9"/>
    <w:unhideWhenUsed/>
    <w:qFormat/>
    <w:rsid w:val="007B20D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B20D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B20D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B20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20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20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20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20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15D58"/>
    <w:rPr>
      <w:rFonts w:eastAsiaTheme="majorEastAsia" w:cstheme="majorBidi"/>
      <w:b/>
      <w:bCs/>
      <w:color w:val="0F4761" w:themeColor="accent1" w:themeShade="BF"/>
      <w:sz w:val="32"/>
      <w:szCs w:val="32"/>
    </w:rPr>
  </w:style>
  <w:style w:type="character" w:customStyle="1" w:styleId="Titre3Car">
    <w:name w:val="Titre 3 Car"/>
    <w:basedOn w:val="Policepardfaut"/>
    <w:link w:val="Titre3"/>
    <w:uiPriority w:val="9"/>
    <w:rsid w:val="007B20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B20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B20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B20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20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20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20D3"/>
    <w:rPr>
      <w:rFonts w:eastAsiaTheme="majorEastAsia" w:cstheme="majorBidi"/>
      <w:color w:val="272727" w:themeColor="text1" w:themeTint="D8"/>
    </w:rPr>
  </w:style>
  <w:style w:type="paragraph" w:styleId="Titre">
    <w:name w:val="Title"/>
    <w:basedOn w:val="Normal"/>
    <w:next w:val="Normal"/>
    <w:link w:val="TitreCar"/>
    <w:uiPriority w:val="10"/>
    <w:qFormat/>
    <w:rsid w:val="007B2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20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20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20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20D3"/>
    <w:pPr>
      <w:spacing w:before="160"/>
      <w:jc w:val="center"/>
    </w:pPr>
    <w:rPr>
      <w:i/>
      <w:iCs/>
      <w:color w:val="404040" w:themeColor="text1" w:themeTint="BF"/>
    </w:rPr>
  </w:style>
  <w:style w:type="character" w:customStyle="1" w:styleId="CitationCar">
    <w:name w:val="Citation Car"/>
    <w:basedOn w:val="Policepardfaut"/>
    <w:link w:val="Citation"/>
    <w:uiPriority w:val="29"/>
    <w:rsid w:val="007B20D3"/>
    <w:rPr>
      <w:i/>
      <w:iCs/>
      <w:color w:val="404040" w:themeColor="text1" w:themeTint="BF"/>
    </w:rPr>
  </w:style>
  <w:style w:type="paragraph" w:styleId="Paragraphedeliste">
    <w:name w:val="List Paragraph"/>
    <w:basedOn w:val="Normal"/>
    <w:uiPriority w:val="34"/>
    <w:qFormat/>
    <w:rsid w:val="007B20D3"/>
    <w:pPr>
      <w:ind w:left="720"/>
      <w:contextualSpacing/>
    </w:pPr>
  </w:style>
  <w:style w:type="character" w:styleId="Accentuationintense">
    <w:name w:val="Intense Emphasis"/>
    <w:basedOn w:val="Policepardfaut"/>
    <w:uiPriority w:val="21"/>
    <w:qFormat/>
    <w:rsid w:val="007B20D3"/>
    <w:rPr>
      <w:i/>
      <w:iCs/>
      <w:color w:val="0F4761" w:themeColor="accent1" w:themeShade="BF"/>
    </w:rPr>
  </w:style>
  <w:style w:type="paragraph" w:styleId="Citationintense">
    <w:name w:val="Intense Quote"/>
    <w:basedOn w:val="Normal"/>
    <w:next w:val="Normal"/>
    <w:link w:val="CitationintenseCar"/>
    <w:uiPriority w:val="30"/>
    <w:qFormat/>
    <w:rsid w:val="007B2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B20D3"/>
    <w:rPr>
      <w:i/>
      <w:iCs/>
      <w:color w:val="0F4761" w:themeColor="accent1" w:themeShade="BF"/>
    </w:rPr>
  </w:style>
  <w:style w:type="character" w:styleId="Rfrenceintense">
    <w:name w:val="Intense Reference"/>
    <w:basedOn w:val="Policepardfaut"/>
    <w:uiPriority w:val="32"/>
    <w:qFormat/>
    <w:rsid w:val="007B20D3"/>
    <w:rPr>
      <w:b/>
      <w:bCs/>
      <w:smallCaps/>
      <w:color w:val="0F4761" w:themeColor="accent1" w:themeShade="BF"/>
      <w:spacing w:val="5"/>
    </w:rPr>
  </w:style>
  <w:style w:type="paragraph" w:styleId="Rvision">
    <w:name w:val="Revision"/>
    <w:hidden/>
    <w:uiPriority w:val="99"/>
    <w:semiHidden/>
    <w:rsid w:val="005156DC"/>
    <w:pPr>
      <w:spacing w:after="0" w:line="240" w:lineRule="auto"/>
    </w:pPr>
  </w:style>
  <w:style w:type="paragraph" w:styleId="En-tte">
    <w:name w:val="header"/>
    <w:basedOn w:val="Normal"/>
    <w:link w:val="En-tteCar"/>
    <w:uiPriority w:val="99"/>
    <w:unhideWhenUsed/>
    <w:rsid w:val="005156DC"/>
    <w:pPr>
      <w:tabs>
        <w:tab w:val="center" w:pos="4320"/>
        <w:tab w:val="right" w:pos="8640"/>
      </w:tabs>
      <w:spacing w:after="0" w:line="240" w:lineRule="auto"/>
    </w:pPr>
  </w:style>
  <w:style w:type="character" w:customStyle="1" w:styleId="En-tteCar">
    <w:name w:val="En-tête Car"/>
    <w:basedOn w:val="Policepardfaut"/>
    <w:link w:val="En-tte"/>
    <w:uiPriority w:val="99"/>
    <w:rsid w:val="005156DC"/>
  </w:style>
  <w:style w:type="paragraph" w:styleId="Pieddepage">
    <w:name w:val="footer"/>
    <w:basedOn w:val="Normal"/>
    <w:link w:val="PieddepageCar"/>
    <w:uiPriority w:val="99"/>
    <w:unhideWhenUsed/>
    <w:rsid w:val="005156D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5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b66c5a5-9349-45f3-a35d-93d4de43bb68" ContentTypeId="0x0101005B31C1E327F24A4395DD83803DF5CBECC1" PreviousValue="false" LastSyncTimeStamp="2022-04-26T18:24:49.14Z"/>
</file>

<file path=customXml/item3.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TaxCatchAll xmlns="3cc706f8-daeb-4c57-a93c-fdf45da762a7">
      <Value>676</Value>
    </TaxCatchAll>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documentManagement>
</p:properties>
</file>

<file path=customXml/item4.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f6ae1c49fcfead61fc762dab160a2d4f">
  <xsd:schema xmlns:xsd="http://www.w3.org/2001/XMLSchema" xmlns:xs="http://www.w3.org/2001/XMLSchema" xmlns:p="http://schemas.microsoft.com/office/2006/metadata/properties" xmlns:ns2="3cc706f8-daeb-4c57-a93c-fdf45da762a7" targetNamespace="http://schemas.microsoft.com/office/2006/metadata/properties" ma:root="true" ma:fieldsID="47455ea3a91d577e44d58617b16a0518"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6;#05500 Publications et outils de communication|ff97af88-16fc-40b3-99b5-dad2c88afb6d"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163E0-3C80-4B69-B4EC-0302741A15B0}">
  <ds:schemaRefs>
    <ds:schemaRef ds:uri="http://schemas.microsoft.com/sharepoint/v3/contenttype/forms"/>
  </ds:schemaRefs>
</ds:datastoreItem>
</file>

<file path=customXml/itemProps2.xml><?xml version="1.0" encoding="utf-8"?>
<ds:datastoreItem xmlns:ds="http://schemas.openxmlformats.org/officeDocument/2006/customXml" ds:itemID="{2FC0A5FD-C232-4B8C-BFDB-32E5908F8005}">
  <ds:schemaRefs>
    <ds:schemaRef ds:uri="Microsoft.SharePoint.Taxonomy.ContentTypeSync"/>
  </ds:schemaRefs>
</ds:datastoreItem>
</file>

<file path=customXml/itemProps3.xml><?xml version="1.0" encoding="utf-8"?>
<ds:datastoreItem xmlns:ds="http://schemas.openxmlformats.org/officeDocument/2006/customXml" ds:itemID="{936E93F7-9C68-40EC-9017-D4D3191DEC2C}">
  <ds:schemaRefs>
    <ds:schemaRef ds:uri="http://schemas.microsoft.com/office/infopath/2007/PartnerControls"/>
    <ds:schemaRef ds:uri="3cc706f8-daeb-4c57-a93c-fdf45da762a7"/>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8CB90A6-B152-4463-941B-7DD3F9B22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606</Words>
  <Characters>3338</Characters>
  <Application>Microsoft Office Word</Application>
  <DocSecurity>8</DocSecurity>
  <Lines>27</Lines>
  <Paragraphs>7</Paragraphs>
  <ScaleCrop>false</ScaleCrop>
  <HeadingPairs>
    <vt:vector size="2" baseType="variant">
      <vt:variant>
        <vt:lpstr>Titre</vt:lpstr>
      </vt:variant>
      <vt:variant>
        <vt:i4>1</vt:i4>
      </vt:variant>
    </vt:vector>
  </HeadingPairs>
  <TitlesOfParts>
    <vt:vector size="1" baseType="lpstr">
      <vt:lpstr>Directive sur les contrats de services</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 sur les contrats de services</dc:title>
  <dc:subject/>
  <dc:creator>Commission des droits de la personne et des droits de la jeunesse</dc:creator>
  <cp:keywords/>
  <dc:description>La présente directive a pour but d’établir les situations où l’autorisation du dirigeant de la Commission des droits de la personne et des droits de la jeunesse n’est pas requise pour la conclusion d’un contrat de services pendant la période d’application de la LGCE.</dc:description>
  <cp:lastModifiedBy>Sophie Ambrosi</cp:lastModifiedBy>
  <cp:revision>9</cp:revision>
  <cp:lastPrinted>2024-04-22T16:21:00Z</cp:lastPrinted>
  <dcterms:created xsi:type="dcterms:W3CDTF">2024-04-30T17:32:00Z</dcterms:created>
  <dcterms:modified xsi:type="dcterms:W3CDTF">2024-04-30T19:47:00Z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f89c33f4f2c46ec9c8e5a9ac9138037">
    <vt:lpwstr>08260 Politiques, directives et code de régie interne|bb2fbbeb-3e50-4400-8466-3ace223e28d3</vt:lpwstr>
  </property>
  <property fmtid="{D5CDD505-2E9C-101B-9397-08002B2CF9AE}" pid="3" name="TypeDocument">
    <vt:lpwstr/>
  </property>
  <property fmtid="{D5CDD505-2E9C-101B-9397-08002B2CF9AE}" pid="4" name="SharedWithUsers">
    <vt:lpwstr>77;#Jean-François Trudel;#333;#Sophie Ambrosi</vt:lpwstr>
  </property>
  <property fmtid="{D5CDD505-2E9C-101B-9397-08002B2CF9AE}" pid="5" name="ContentTypeId">
    <vt:lpwstr>0x0101005B31C1E327F24A4395DD83803DF5CBECC100008FF0FC23E3FE48BD24CD9549EFFD2A</vt:lpwstr>
  </property>
  <property fmtid="{D5CDD505-2E9C-101B-9397-08002B2CF9AE}" pid="6" name="HUBClassification">
    <vt:lpwstr>676</vt:lpwstr>
  </property>
  <property fmtid="{D5CDD505-2E9C-101B-9397-08002B2CF9AE}" pid="7" name="MediaServiceImageTags">
    <vt:lpwstr/>
  </property>
  <property fmtid="{D5CDD505-2E9C-101B-9397-08002B2CF9AE}" pid="8" name="lcf76f155ced4ddcb4097134ff3c332f">
    <vt:lpwstr/>
  </property>
</Properties>
</file>