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8882" w14:textId="77777777" w:rsidR="007D429D" w:rsidRDefault="00D67179" w:rsidP="007D429D">
      <w:pPr>
        <w:pStyle w:val="En-tte"/>
        <w:spacing w:before="120" w:after="240"/>
        <w:jc w:val="center"/>
        <w:rPr>
          <w:rFonts w:ascii="Arial" w:hAnsi="Arial" w:cs="Arial"/>
          <w:b/>
          <w:bCs/>
          <w:sz w:val="24"/>
          <w:szCs w:val="24"/>
        </w:rPr>
      </w:pPr>
      <w:r>
        <w:rPr>
          <w:rFonts w:ascii="Arial" w:hAnsi="Arial" w:cs="Arial"/>
          <w:b/>
          <w:bCs/>
          <w:sz w:val="24"/>
          <w:szCs w:val="24"/>
        </w:rPr>
        <w:t>OUTIL D’AI</w:t>
      </w:r>
      <w:r w:rsidR="00B70245">
        <w:rPr>
          <w:rFonts w:ascii="Arial" w:hAnsi="Arial" w:cs="Arial"/>
          <w:b/>
          <w:bCs/>
          <w:sz w:val="24"/>
          <w:szCs w:val="24"/>
        </w:rPr>
        <w:t>DE AU TRAITEMENT DES DOSSIERS</w:t>
      </w:r>
      <w:r w:rsidR="007D429D">
        <w:rPr>
          <w:rFonts w:ascii="Arial" w:hAnsi="Arial" w:cs="Arial"/>
          <w:b/>
          <w:bCs/>
          <w:sz w:val="24"/>
          <w:szCs w:val="24"/>
        </w:rPr>
        <w:t> :</w:t>
      </w:r>
    </w:p>
    <w:p w14:paraId="4D7B8D1C" w14:textId="422D3D72" w:rsidR="00D67179" w:rsidRDefault="00AD7EE1" w:rsidP="0092335B">
      <w:pPr>
        <w:pStyle w:val="En-tte"/>
        <w:spacing w:after="480"/>
        <w:jc w:val="center"/>
        <w:rPr>
          <w:rFonts w:ascii="Arial Black" w:hAnsi="Arial Black" w:cs="Arial"/>
          <w:b/>
          <w:bCs/>
          <w:sz w:val="24"/>
          <w:szCs w:val="24"/>
        </w:rPr>
      </w:pPr>
      <w:r>
        <w:rPr>
          <w:rFonts w:ascii="Arial Black" w:hAnsi="Arial Black" w:cs="Arial"/>
          <w:b/>
          <w:bCs/>
          <w:sz w:val="24"/>
          <w:szCs w:val="24"/>
        </w:rPr>
        <w:t xml:space="preserve">LES </w:t>
      </w:r>
      <w:r w:rsidR="00D67179" w:rsidRPr="007D429D">
        <w:rPr>
          <w:rFonts w:ascii="Arial Black" w:hAnsi="Arial Black" w:cs="Arial"/>
          <w:b/>
          <w:bCs/>
          <w:sz w:val="24"/>
          <w:szCs w:val="24"/>
        </w:rPr>
        <w:t>ANTÉCÉDENTS JUDICIAIRES</w:t>
      </w:r>
    </w:p>
    <w:tbl>
      <w:tblPr>
        <w:tblStyle w:val="Grilledutableau"/>
        <w:tblW w:w="0" w:type="auto"/>
        <w:jc w:val="center"/>
        <w:tblLook w:val="04A0" w:firstRow="1" w:lastRow="0" w:firstColumn="1" w:lastColumn="0" w:noHBand="0" w:noVBand="1"/>
      </w:tblPr>
      <w:tblGrid>
        <w:gridCol w:w="9350"/>
      </w:tblGrid>
      <w:tr w:rsidR="00084C02" w14:paraId="3B37E933" w14:textId="77777777" w:rsidTr="0092335B">
        <w:trPr>
          <w:jc w:val="center"/>
        </w:trPr>
        <w:tc>
          <w:tcPr>
            <w:tcW w:w="9500" w:type="dxa"/>
          </w:tcPr>
          <w:p w14:paraId="17E1599F" w14:textId="77777777" w:rsidR="00084C02" w:rsidRPr="004B5C1E" w:rsidRDefault="00084C02" w:rsidP="0092335B">
            <w:pPr>
              <w:pStyle w:val="En-tte"/>
              <w:tabs>
                <w:tab w:val="left" w:pos="1942"/>
              </w:tabs>
              <w:spacing w:before="120" w:after="120"/>
              <w:ind w:left="1942" w:hanging="1942"/>
              <w:jc w:val="both"/>
              <w:rPr>
                <w:rFonts w:ascii="Arial" w:hAnsi="Arial" w:cs="Arial"/>
                <w:b/>
                <w:bCs/>
                <w:sz w:val="24"/>
              </w:rPr>
            </w:pPr>
            <w:r w:rsidRPr="004B5C1E">
              <w:rPr>
                <w:rFonts w:ascii="Arial" w:hAnsi="Arial" w:cs="Arial"/>
                <w:b/>
                <w:sz w:val="20"/>
                <w:szCs w:val="20"/>
              </w:rPr>
              <w:t>MISE EN GARDE :</w:t>
            </w:r>
            <w:r w:rsidRPr="004B5C1E">
              <w:rPr>
                <w:rFonts w:ascii="Arial" w:hAnsi="Arial" w:cs="Arial"/>
                <w:b/>
                <w:sz w:val="20"/>
                <w:szCs w:val="20"/>
              </w:rPr>
              <w:tab/>
            </w:r>
            <w:r w:rsidRPr="004B5C1E">
              <w:rPr>
                <w:rFonts w:ascii="Arial" w:hAnsi="Arial" w:cs="Arial"/>
                <w:b/>
                <w:sz w:val="20"/>
                <w:szCs w:val="20"/>
              </w:rPr>
              <w:tab/>
            </w:r>
            <w:r w:rsidR="00E47806" w:rsidRPr="00E47806">
              <w:rPr>
                <w:rFonts w:ascii="Arial" w:hAnsi="Arial" w:cs="Arial"/>
                <w:b/>
                <w:sz w:val="20"/>
                <w:szCs w:val="20"/>
              </w:rPr>
              <w:t xml:space="preserve">Cet outil ne tient pas lieu d’avis juridique et ne couvre que les situations les plus couramment </w:t>
            </w:r>
            <w:r w:rsidR="00575095">
              <w:rPr>
                <w:rFonts w:ascii="Arial" w:hAnsi="Arial" w:cs="Arial"/>
                <w:b/>
                <w:sz w:val="20"/>
                <w:szCs w:val="20"/>
              </w:rPr>
              <w:t>rencontrées</w:t>
            </w:r>
            <w:r w:rsidR="00E47806" w:rsidRPr="00E47806">
              <w:rPr>
                <w:rFonts w:ascii="Arial" w:hAnsi="Arial" w:cs="Arial"/>
                <w:b/>
                <w:sz w:val="20"/>
                <w:szCs w:val="20"/>
              </w:rPr>
              <w:t>.</w:t>
            </w:r>
          </w:p>
        </w:tc>
      </w:tr>
    </w:tbl>
    <w:p w14:paraId="6AFA2B75" w14:textId="77777777" w:rsidR="00084C02" w:rsidRPr="00084C02" w:rsidRDefault="00084C02" w:rsidP="0092335B">
      <w:pPr>
        <w:pStyle w:val="En-tte"/>
        <w:spacing w:after="240"/>
        <w:rPr>
          <w:rFonts w:ascii="Arial" w:hAnsi="Arial" w:cs="Arial"/>
          <w:b/>
          <w:bCs/>
          <w:sz w:val="24"/>
          <w:szCs w:val="24"/>
        </w:rPr>
      </w:pPr>
    </w:p>
    <w:tbl>
      <w:tblPr>
        <w:tblStyle w:val="Grilledutableau"/>
        <w:tblW w:w="0" w:type="auto"/>
        <w:jc w:val="center"/>
        <w:tblLook w:val="04A0" w:firstRow="1" w:lastRow="0" w:firstColumn="1" w:lastColumn="0" w:noHBand="0" w:noVBand="1"/>
      </w:tblPr>
      <w:tblGrid>
        <w:gridCol w:w="2108"/>
        <w:gridCol w:w="7242"/>
      </w:tblGrid>
      <w:tr w:rsidR="0092335B" w:rsidRPr="00C871D8" w14:paraId="19015EA7" w14:textId="77777777" w:rsidTr="15FDF7B7">
        <w:trPr>
          <w:jc w:val="center"/>
        </w:trPr>
        <w:tc>
          <w:tcPr>
            <w:tcW w:w="2032" w:type="dxa"/>
          </w:tcPr>
          <w:p w14:paraId="1A6210DB" w14:textId="77777777" w:rsidR="0092335B" w:rsidRPr="00C871D8" w:rsidRDefault="0092335B" w:rsidP="00AB5BB8">
            <w:pPr>
              <w:spacing w:before="120" w:after="120"/>
              <w:ind w:left="72" w:right="72"/>
              <w:rPr>
                <w:rFonts w:ascii="Arial" w:hAnsi="Arial" w:cs="Arial"/>
                <w:b/>
                <w:sz w:val="24"/>
                <w:szCs w:val="24"/>
              </w:rPr>
            </w:pPr>
            <w:r w:rsidRPr="00C871D8">
              <w:rPr>
                <w:rFonts w:ascii="Arial" w:hAnsi="Arial" w:cs="Arial"/>
                <w:b/>
                <w:bCs/>
                <w:sz w:val="24"/>
                <w:szCs w:val="24"/>
              </w:rPr>
              <w:t>Cadre légal</w:t>
            </w:r>
          </w:p>
        </w:tc>
        <w:tc>
          <w:tcPr>
            <w:tcW w:w="7544" w:type="dxa"/>
          </w:tcPr>
          <w:p w14:paraId="3F2D6405" w14:textId="77777777" w:rsidR="0092335B" w:rsidRPr="009A45A7" w:rsidRDefault="0092335B" w:rsidP="00AB5BB8">
            <w:pPr>
              <w:autoSpaceDE w:val="0"/>
              <w:autoSpaceDN w:val="0"/>
              <w:adjustRightInd w:val="0"/>
              <w:spacing w:before="120" w:after="120"/>
              <w:ind w:left="72" w:right="72"/>
              <w:rPr>
                <w:rFonts w:ascii="Arial" w:hAnsi="Arial" w:cs="Arial"/>
                <w:b/>
                <w:bCs/>
                <w:i/>
                <w:sz w:val="24"/>
                <w:szCs w:val="24"/>
              </w:rPr>
            </w:pPr>
            <w:r w:rsidRPr="009A45A7">
              <w:rPr>
                <w:rFonts w:ascii="Arial" w:hAnsi="Arial" w:cs="Arial"/>
                <w:b/>
                <w:bCs/>
                <w:i/>
                <w:sz w:val="24"/>
                <w:szCs w:val="24"/>
              </w:rPr>
              <w:t>CHARTE DES DROITS ET LIBERTÉS DE LA PERSONNE</w:t>
            </w:r>
          </w:p>
          <w:p w14:paraId="4B62F213" w14:textId="77777777" w:rsidR="0092335B" w:rsidRPr="00C871D8" w:rsidRDefault="0092335B" w:rsidP="004B3F2F">
            <w:pPr>
              <w:autoSpaceDE w:val="0"/>
              <w:autoSpaceDN w:val="0"/>
              <w:adjustRightInd w:val="0"/>
              <w:spacing w:before="120" w:after="240"/>
              <w:ind w:left="72" w:right="72"/>
              <w:rPr>
                <w:rFonts w:ascii="Arial" w:hAnsi="Arial" w:cs="Arial"/>
                <w:sz w:val="24"/>
                <w:szCs w:val="24"/>
              </w:rPr>
            </w:pPr>
            <w:r w:rsidRPr="00C871D8">
              <w:rPr>
                <w:rFonts w:ascii="Arial" w:hAnsi="Arial" w:cs="Arial"/>
                <w:sz w:val="24"/>
                <w:szCs w:val="24"/>
              </w:rPr>
              <w:t>(</w:t>
            </w:r>
            <w:r w:rsidRPr="009A45A7">
              <w:rPr>
                <w:rFonts w:ascii="Arial" w:hAnsi="Arial" w:cs="Arial"/>
                <w:sz w:val="24"/>
                <w:szCs w:val="24"/>
              </w:rPr>
              <w:t>RLRQ, c. C-12</w:t>
            </w:r>
            <w:r w:rsidRPr="00C871D8">
              <w:rPr>
                <w:rFonts w:ascii="Arial" w:hAnsi="Arial" w:cs="Arial"/>
                <w:sz w:val="24"/>
                <w:szCs w:val="24"/>
              </w:rPr>
              <w:t>)</w:t>
            </w:r>
          </w:p>
          <w:p w14:paraId="2DEDB013" w14:textId="77777777" w:rsidR="0092335B" w:rsidRDefault="0092335B" w:rsidP="0092335B">
            <w:pPr>
              <w:spacing w:before="120" w:after="120"/>
              <w:ind w:left="72" w:right="72"/>
              <w:jc w:val="both"/>
              <w:rPr>
                <w:rFonts w:ascii="Arial" w:hAnsi="Arial" w:cs="Arial"/>
                <w:sz w:val="24"/>
                <w:szCs w:val="24"/>
              </w:rPr>
            </w:pPr>
            <w:r w:rsidRPr="00A07662">
              <w:rPr>
                <w:rFonts w:ascii="Arial" w:hAnsi="Arial" w:cs="Arial"/>
                <w:b/>
                <w:sz w:val="24"/>
                <w:szCs w:val="24"/>
              </w:rPr>
              <w:t>18.2.</w:t>
            </w:r>
            <w:r>
              <w:rPr>
                <w:rFonts w:ascii="Arial" w:hAnsi="Arial" w:cs="Arial"/>
                <w:sz w:val="24"/>
                <w:szCs w:val="24"/>
              </w:rPr>
              <w:tab/>
            </w:r>
            <w:r w:rsidRPr="00C871D8">
              <w:rPr>
                <w:rFonts w:ascii="Arial" w:hAnsi="Arial" w:cs="Arial"/>
                <w:sz w:val="24"/>
                <w:szCs w:val="24"/>
              </w:rPr>
              <w:t>Nul ne peut congédier, refuser d'embaucher ou autrement</w:t>
            </w:r>
            <w:r>
              <w:rPr>
                <w:rFonts w:ascii="Arial" w:hAnsi="Arial" w:cs="Arial"/>
                <w:sz w:val="24"/>
                <w:szCs w:val="24"/>
              </w:rPr>
              <w:t xml:space="preserve"> </w:t>
            </w:r>
            <w:r w:rsidRPr="00C871D8">
              <w:rPr>
                <w:rFonts w:ascii="Arial" w:hAnsi="Arial" w:cs="Arial"/>
                <w:sz w:val="24"/>
                <w:szCs w:val="24"/>
              </w:rPr>
              <w:t>pénaliser dans le</w:t>
            </w:r>
            <w:r>
              <w:rPr>
                <w:rFonts w:ascii="Arial" w:hAnsi="Arial" w:cs="Arial"/>
                <w:sz w:val="24"/>
                <w:szCs w:val="24"/>
              </w:rPr>
              <w:t xml:space="preserve"> </w:t>
            </w:r>
            <w:r w:rsidRPr="00C871D8">
              <w:rPr>
                <w:rFonts w:ascii="Arial" w:hAnsi="Arial" w:cs="Arial"/>
                <w:sz w:val="24"/>
                <w:szCs w:val="24"/>
              </w:rPr>
              <w:t>cadre de son emploi une personne du seul fait qu'elle a été déclarée coupable</w:t>
            </w:r>
            <w:r>
              <w:rPr>
                <w:rFonts w:ascii="Arial" w:hAnsi="Arial" w:cs="Arial"/>
                <w:sz w:val="24"/>
                <w:szCs w:val="24"/>
              </w:rPr>
              <w:t xml:space="preserve"> </w:t>
            </w:r>
            <w:r w:rsidRPr="00C871D8">
              <w:rPr>
                <w:rFonts w:ascii="Arial" w:hAnsi="Arial" w:cs="Arial"/>
                <w:sz w:val="24"/>
                <w:szCs w:val="24"/>
              </w:rPr>
              <w:t>d'une infraction pénale ou criminelle, si cette infraction n'a aucun lien avec l'emploi</w:t>
            </w:r>
            <w:r>
              <w:rPr>
                <w:rFonts w:ascii="Arial" w:hAnsi="Arial" w:cs="Arial"/>
                <w:sz w:val="24"/>
                <w:szCs w:val="24"/>
              </w:rPr>
              <w:t xml:space="preserve"> </w:t>
            </w:r>
            <w:r w:rsidRPr="00C871D8">
              <w:rPr>
                <w:rFonts w:ascii="Arial" w:hAnsi="Arial" w:cs="Arial"/>
                <w:sz w:val="24"/>
                <w:szCs w:val="24"/>
              </w:rPr>
              <w:t>ou si cette personne en a obtenu le pardon.</w:t>
            </w:r>
          </w:p>
          <w:p w14:paraId="12889555" w14:textId="77777777" w:rsidR="0088145E" w:rsidRDefault="0088145E" w:rsidP="0092335B">
            <w:pPr>
              <w:spacing w:before="120" w:after="120"/>
              <w:ind w:left="72" w:right="72"/>
              <w:jc w:val="both"/>
              <w:rPr>
                <w:rFonts w:ascii="Arial" w:hAnsi="Arial" w:cs="Arial"/>
                <w:sz w:val="24"/>
                <w:szCs w:val="24"/>
              </w:rPr>
            </w:pPr>
          </w:p>
          <w:p w14:paraId="1CD59BD9" w14:textId="77777777" w:rsidR="0088145E" w:rsidRDefault="0088145E" w:rsidP="0088145E">
            <w:pPr>
              <w:spacing w:before="120"/>
              <w:rPr>
                <w:rFonts w:ascii="Arial" w:hAnsi="Arial" w:cs="Arial"/>
                <w:sz w:val="24"/>
                <w:szCs w:val="24"/>
              </w:rPr>
            </w:pPr>
            <w:r w:rsidRPr="001E381D">
              <w:rPr>
                <w:rFonts w:ascii="Arial" w:hAnsi="Arial" w:cs="Arial"/>
                <w:b/>
                <w:i/>
                <w:sz w:val="24"/>
                <w:szCs w:val="24"/>
              </w:rPr>
              <w:t>LOI SUR LE SYSTÈME DE JUSTICE PÉNALE POUR ADOLESCENTS</w:t>
            </w:r>
            <w:r>
              <w:rPr>
                <w:rFonts w:ascii="Arial" w:hAnsi="Arial" w:cs="Arial"/>
                <w:sz w:val="24"/>
                <w:szCs w:val="24"/>
              </w:rPr>
              <w:t xml:space="preserve"> </w:t>
            </w:r>
            <w:r w:rsidRPr="001E381D">
              <w:rPr>
                <w:rFonts w:ascii="Arial" w:hAnsi="Arial" w:cs="Arial"/>
                <w:b/>
                <w:sz w:val="24"/>
                <w:szCs w:val="24"/>
              </w:rPr>
              <w:t>(LSJPA)</w:t>
            </w:r>
          </w:p>
          <w:p w14:paraId="49C88FA0" w14:textId="77777777" w:rsidR="0088145E" w:rsidRPr="001E381D" w:rsidRDefault="0088145E" w:rsidP="0088145E">
            <w:pPr>
              <w:spacing w:before="120" w:after="240"/>
              <w:rPr>
                <w:rFonts w:ascii="Times New Roman" w:hAnsi="Times New Roman"/>
                <w:sz w:val="24"/>
                <w:szCs w:val="24"/>
              </w:rPr>
            </w:pPr>
            <w:r w:rsidRPr="001E381D">
              <w:rPr>
                <w:rFonts w:ascii="Arial" w:hAnsi="Arial" w:cs="Arial"/>
                <w:sz w:val="24"/>
                <w:szCs w:val="24"/>
              </w:rPr>
              <w:t>(L.C. 2002, ch. 1)</w:t>
            </w:r>
          </w:p>
          <w:p w14:paraId="2E3AC504" w14:textId="77777777" w:rsidR="0088145E" w:rsidRPr="001E381D" w:rsidRDefault="0088145E" w:rsidP="0088145E">
            <w:pPr>
              <w:spacing w:before="120"/>
              <w:ind w:right="72"/>
              <w:jc w:val="both"/>
              <w:rPr>
                <w:rFonts w:ascii="Arial" w:hAnsi="Arial" w:cs="Arial"/>
                <w:i/>
                <w:sz w:val="24"/>
                <w:szCs w:val="24"/>
              </w:rPr>
            </w:pPr>
            <w:r w:rsidRPr="000F3714">
              <w:rPr>
                <w:rFonts w:ascii="Arial" w:hAnsi="Arial" w:cs="Arial"/>
                <w:b/>
                <w:bCs/>
                <w:i/>
                <w:sz w:val="24"/>
                <w:szCs w:val="24"/>
              </w:rPr>
              <w:t>82</w:t>
            </w:r>
            <w:r w:rsidRPr="000F3714">
              <w:rPr>
                <w:rFonts w:ascii="Arial" w:hAnsi="Arial" w:cs="Arial"/>
                <w:i/>
                <w:sz w:val="24"/>
                <w:szCs w:val="24"/>
              </w:rPr>
              <w:t xml:space="preserve"> (1) Sous réserve de l’article 12 (interrogatoire sur condamnations antérieures) de la </w:t>
            </w:r>
            <w:hyperlink r:id="rId12" w:history="1">
              <w:r w:rsidRPr="000F3714">
                <w:rPr>
                  <w:rStyle w:val="Lienhypertexte"/>
                  <w:rFonts w:ascii="Arial" w:hAnsi="Arial" w:cs="Arial"/>
                  <w:i/>
                  <w:sz w:val="24"/>
                  <w:szCs w:val="24"/>
                </w:rPr>
                <w:t>Loi sur la preuve au Canada</w:t>
              </w:r>
            </w:hyperlink>
            <w:r w:rsidRPr="000F3714">
              <w:rPr>
                <w:rFonts w:ascii="Arial" w:hAnsi="Arial" w:cs="Arial"/>
                <w:i/>
                <w:sz w:val="24"/>
                <w:szCs w:val="24"/>
              </w:rPr>
              <w:t xml:space="preserve">, la déclaration de culpabilité visant un adolescent est réputée n’avoir jamais existé dans le cas où soit le tribunal pour adolescents a ordonné l’absolution inconditionnelle de l’adolescent en vertu de l’alinéa 42(2)b), soit la peine spécifique imposée sous le régime de la présente loi, ainsi que toute décision rendue sous le régime de la </w:t>
            </w:r>
            <w:hyperlink r:id="rId13" w:history="1">
              <w:r w:rsidRPr="000F3714">
                <w:rPr>
                  <w:rStyle w:val="Lienhypertexte"/>
                  <w:rFonts w:ascii="Arial" w:hAnsi="Arial" w:cs="Arial"/>
                  <w:i/>
                  <w:sz w:val="24"/>
                  <w:szCs w:val="24"/>
                </w:rPr>
                <w:t>Loi sur les jeunes contrevenants</w:t>
              </w:r>
            </w:hyperlink>
            <w:r w:rsidRPr="000F3714">
              <w:rPr>
                <w:rFonts w:ascii="Arial" w:hAnsi="Arial" w:cs="Arial"/>
                <w:i/>
                <w:sz w:val="24"/>
                <w:szCs w:val="24"/>
              </w:rPr>
              <w:t xml:space="preserve">, chapitre Y-1 des Lois révisées du Canada (1985), à l’égard de l’infraction, à l’exception de l’ordonnance d’interdiction visée à l’article 51 (ordonnance d’interdiction obligatoire) de la présente loi ou à l’article 20.1 (ordonnance d’interdiction obligatoire) de la </w:t>
            </w:r>
            <w:hyperlink r:id="rId14" w:history="1">
              <w:r w:rsidRPr="000F3714">
                <w:rPr>
                  <w:rStyle w:val="Lienhypertexte"/>
                  <w:rFonts w:ascii="Arial" w:hAnsi="Arial" w:cs="Arial"/>
                  <w:i/>
                  <w:sz w:val="24"/>
                  <w:szCs w:val="24"/>
                </w:rPr>
                <w:t>Loi sur les jeunes contrevenants</w:t>
              </w:r>
            </w:hyperlink>
            <w:r w:rsidRPr="000F3714">
              <w:rPr>
                <w:rFonts w:ascii="Arial" w:hAnsi="Arial" w:cs="Arial"/>
                <w:i/>
                <w:sz w:val="24"/>
                <w:szCs w:val="24"/>
              </w:rPr>
              <w:t>, ont cessé de produire leurs effets. (…)</w:t>
            </w:r>
          </w:p>
          <w:p w14:paraId="1FA506C4" w14:textId="77777777" w:rsidR="0088145E" w:rsidRPr="00C871D8" w:rsidRDefault="0088145E" w:rsidP="0088145E">
            <w:pPr>
              <w:spacing w:before="120" w:after="120"/>
              <w:ind w:right="74"/>
              <w:jc w:val="both"/>
              <w:rPr>
                <w:rFonts w:ascii="Arial" w:hAnsi="Arial" w:cs="Arial"/>
                <w:sz w:val="24"/>
                <w:szCs w:val="24"/>
              </w:rPr>
            </w:pPr>
          </w:p>
        </w:tc>
      </w:tr>
      <w:tr w:rsidR="0092335B" w:rsidRPr="00C871D8" w14:paraId="5958A130" w14:textId="77777777" w:rsidTr="15FDF7B7">
        <w:trPr>
          <w:jc w:val="center"/>
        </w:trPr>
        <w:tc>
          <w:tcPr>
            <w:tcW w:w="2032" w:type="dxa"/>
          </w:tcPr>
          <w:p w14:paraId="6498F127" w14:textId="77777777" w:rsidR="0092335B" w:rsidRPr="00C871D8" w:rsidRDefault="0092335B" w:rsidP="00AB5BB8">
            <w:pPr>
              <w:spacing w:before="120" w:after="120"/>
              <w:ind w:left="72" w:right="72"/>
              <w:rPr>
                <w:rFonts w:ascii="Arial" w:hAnsi="Arial" w:cs="Arial"/>
                <w:b/>
                <w:sz w:val="24"/>
                <w:szCs w:val="24"/>
              </w:rPr>
            </w:pPr>
            <w:r w:rsidRPr="00C871D8">
              <w:rPr>
                <w:rFonts w:ascii="Arial" w:hAnsi="Arial" w:cs="Arial"/>
                <w:b/>
                <w:sz w:val="24"/>
                <w:szCs w:val="24"/>
              </w:rPr>
              <w:t xml:space="preserve">Cadre d’analyse et </w:t>
            </w:r>
            <w:r w:rsidRPr="00C871D8">
              <w:rPr>
                <w:rFonts w:ascii="Arial" w:hAnsi="Arial" w:cs="Arial"/>
                <w:b/>
                <w:sz w:val="24"/>
                <w:szCs w:val="24"/>
              </w:rPr>
              <w:lastRenderedPageBreak/>
              <w:t>conditions essentielles</w:t>
            </w:r>
          </w:p>
        </w:tc>
        <w:tc>
          <w:tcPr>
            <w:tcW w:w="7544" w:type="dxa"/>
          </w:tcPr>
          <w:p w14:paraId="5A683FC1" w14:textId="77777777" w:rsidR="0092335B" w:rsidRPr="00C871D8" w:rsidRDefault="0092335B" w:rsidP="0092335B">
            <w:pPr>
              <w:autoSpaceDE w:val="0"/>
              <w:autoSpaceDN w:val="0"/>
              <w:adjustRightInd w:val="0"/>
              <w:spacing w:before="120" w:after="120"/>
              <w:ind w:left="72" w:right="72"/>
              <w:jc w:val="both"/>
              <w:rPr>
                <w:rFonts w:ascii="Arial" w:hAnsi="Arial" w:cs="Arial"/>
                <w:sz w:val="24"/>
                <w:szCs w:val="24"/>
              </w:rPr>
            </w:pPr>
            <w:r w:rsidRPr="00C871D8">
              <w:rPr>
                <w:rFonts w:ascii="Arial" w:hAnsi="Arial" w:cs="Arial"/>
                <w:sz w:val="24"/>
                <w:szCs w:val="24"/>
              </w:rPr>
              <w:lastRenderedPageBreak/>
              <w:t>Le cadre d'analyse de l'article 18.2 est distinct de la protection contre la</w:t>
            </w:r>
            <w:r>
              <w:rPr>
                <w:rFonts w:ascii="Arial" w:hAnsi="Arial" w:cs="Arial"/>
                <w:sz w:val="24"/>
                <w:szCs w:val="24"/>
              </w:rPr>
              <w:t xml:space="preserve"> </w:t>
            </w:r>
            <w:r w:rsidRPr="00C871D8">
              <w:rPr>
                <w:rFonts w:ascii="Arial" w:hAnsi="Arial" w:cs="Arial"/>
                <w:sz w:val="24"/>
                <w:szCs w:val="24"/>
              </w:rPr>
              <w:t xml:space="preserve">discrimination que l'on retrouve à l’article 10 de la </w:t>
            </w:r>
            <w:r w:rsidRPr="00A07662">
              <w:rPr>
                <w:rFonts w:ascii="Arial" w:hAnsi="Arial" w:cs="Arial"/>
                <w:i/>
                <w:sz w:val="24"/>
                <w:szCs w:val="24"/>
              </w:rPr>
              <w:t>Charte</w:t>
            </w:r>
            <w:r w:rsidRPr="00C871D8">
              <w:rPr>
                <w:rFonts w:ascii="Arial" w:hAnsi="Arial" w:cs="Arial"/>
                <w:sz w:val="24"/>
                <w:szCs w:val="24"/>
              </w:rPr>
              <w:t xml:space="preserve">. Il s'agit d'une protection autonome ou qualifiée de </w:t>
            </w:r>
            <w:r w:rsidRPr="00C871D8">
              <w:rPr>
                <w:rFonts w:ascii="Arial" w:hAnsi="Arial" w:cs="Arial"/>
                <w:sz w:val="24"/>
                <w:szCs w:val="24"/>
              </w:rPr>
              <w:lastRenderedPageBreak/>
              <w:t>«</w:t>
            </w:r>
            <w:r>
              <w:rPr>
                <w:rFonts w:ascii="Arial" w:hAnsi="Arial" w:cs="Arial"/>
                <w:sz w:val="24"/>
                <w:szCs w:val="24"/>
              </w:rPr>
              <w:t> disposition à circuit fermé </w:t>
            </w:r>
            <w:r w:rsidRPr="00C871D8">
              <w:rPr>
                <w:rFonts w:ascii="Arial" w:hAnsi="Arial" w:cs="Arial"/>
                <w:sz w:val="24"/>
                <w:szCs w:val="24"/>
              </w:rPr>
              <w:t>» par la Cour suprême du Canada. Par conséquent, la notion d'accommodement raisonnable ne peut recevoir ici d'application.</w:t>
            </w:r>
          </w:p>
          <w:p w14:paraId="6C62C01A" w14:textId="77777777" w:rsidR="0092335B" w:rsidRPr="00C871D8" w:rsidRDefault="0092335B" w:rsidP="0092335B">
            <w:pPr>
              <w:autoSpaceDE w:val="0"/>
              <w:autoSpaceDN w:val="0"/>
              <w:adjustRightInd w:val="0"/>
              <w:spacing w:before="120" w:after="120"/>
              <w:ind w:left="72" w:right="72"/>
              <w:jc w:val="both"/>
              <w:rPr>
                <w:rFonts w:ascii="Arial" w:hAnsi="Arial" w:cs="Arial"/>
                <w:sz w:val="24"/>
                <w:szCs w:val="24"/>
              </w:rPr>
            </w:pPr>
            <w:r w:rsidRPr="00C871D8">
              <w:rPr>
                <w:rFonts w:ascii="Arial" w:hAnsi="Arial" w:cs="Arial"/>
                <w:sz w:val="24"/>
                <w:szCs w:val="24"/>
              </w:rPr>
              <w:t xml:space="preserve">Pour rencontrer son fardeau de preuve </w:t>
            </w:r>
            <w:r w:rsidRPr="00A07662">
              <w:rPr>
                <w:rFonts w:ascii="Arial" w:hAnsi="Arial" w:cs="Arial"/>
                <w:i/>
                <w:sz w:val="24"/>
                <w:szCs w:val="24"/>
              </w:rPr>
              <w:t>prima facie</w:t>
            </w:r>
            <w:r w:rsidRPr="00C871D8">
              <w:rPr>
                <w:rFonts w:ascii="Arial" w:hAnsi="Arial" w:cs="Arial"/>
                <w:sz w:val="24"/>
                <w:szCs w:val="24"/>
              </w:rPr>
              <w:t>, la Commission doit démontrer</w:t>
            </w:r>
            <w:r>
              <w:rPr>
                <w:rFonts w:ascii="Arial" w:hAnsi="Arial" w:cs="Arial"/>
                <w:sz w:val="24"/>
                <w:szCs w:val="24"/>
              </w:rPr>
              <w:t xml:space="preserve"> </w:t>
            </w:r>
            <w:r w:rsidRPr="00C871D8">
              <w:rPr>
                <w:rFonts w:ascii="Arial" w:hAnsi="Arial" w:cs="Arial"/>
                <w:sz w:val="24"/>
                <w:szCs w:val="24"/>
              </w:rPr>
              <w:t>les éléments suivants</w:t>
            </w:r>
            <w:r>
              <w:rPr>
                <w:rFonts w:ascii="Arial" w:hAnsi="Arial" w:cs="Arial"/>
                <w:sz w:val="24"/>
                <w:szCs w:val="24"/>
              </w:rPr>
              <w:t> :</w:t>
            </w:r>
          </w:p>
          <w:p w14:paraId="2370A25A" w14:textId="77777777" w:rsidR="0092335B" w:rsidRPr="00A07662" w:rsidRDefault="0092335B" w:rsidP="0092335B">
            <w:pPr>
              <w:pStyle w:val="Paragraphedeliste"/>
              <w:numPr>
                <w:ilvl w:val="0"/>
                <w:numId w:val="1"/>
              </w:numPr>
              <w:autoSpaceDE w:val="0"/>
              <w:autoSpaceDN w:val="0"/>
              <w:adjustRightInd w:val="0"/>
              <w:spacing w:before="120" w:after="120"/>
              <w:ind w:left="402" w:right="72" w:hanging="330"/>
              <w:contextualSpacing w:val="0"/>
              <w:jc w:val="both"/>
              <w:rPr>
                <w:rFonts w:ascii="Arial" w:hAnsi="Arial" w:cs="Arial"/>
                <w:sz w:val="24"/>
                <w:szCs w:val="24"/>
              </w:rPr>
            </w:pPr>
            <w:r w:rsidRPr="00A07662">
              <w:rPr>
                <w:rFonts w:ascii="Arial" w:hAnsi="Arial" w:cs="Arial"/>
                <w:sz w:val="24"/>
                <w:szCs w:val="24"/>
              </w:rPr>
              <w:t>un congédiement, un r</w:t>
            </w:r>
            <w:r>
              <w:rPr>
                <w:rFonts w:ascii="Arial" w:hAnsi="Arial" w:cs="Arial"/>
                <w:sz w:val="24"/>
                <w:szCs w:val="24"/>
              </w:rPr>
              <w:t>efus d'embauche ou une pénalité.</w:t>
            </w:r>
          </w:p>
          <w:p w14:paraId="331128BE" w14:textId="77777777" w:rsidR="0092335B" w:rsidRDefault="0092335B" w:rsidP="0092335B">
            <w:pPr>
              <w:pStyle w:val="Paragraphedeliste"/>
              <w:numPr>
                <w:ilvl w:val="0"/>
                <w:numId w:val="1"/>
              </w:numPr>
              <w:autoSpaceDE w:val="0"/>
              <w:autoSpaceDN w:val="0"/>
              <w:adjustRightInd w:val="0"/>
              <w:spacing w:before="120" w:after="120"/>
              <w:ind w:left="402" w:right="72" w:hanging="330"/>
              <w:contextualSpacing w:val="0"/>
              <w:jc w:val="both"/>
              <w:rPr>
                <w:rFonts w:ascii="Arial" w:hAnsi="Arial" w:cs="Arial"/>
                <w:sz w:val="24"/>
                <w:szCs w:val="24"/>
              </w:rPr>
            </w:pPr>
            <w:r>
              <w:rPr>
                <w:rFonts w:ascii="Arial" w:hAnsi="Arial" w:cs="Arial"/>
                <w:sz w:val="24"/>
                <w:szCs w:val="24"/>
              </w:rPr>
              <w:t>dans le cadre d'un emploi.</w:t>
            </w:r>
          </w:p>
          <w:p w14:paraId="3454D6E4" w14:textId="77777777" w:rsidR="00102D17" w:rsidRDefault="0092335B" w:rsidP="00102D17">
            <w:pPr>
              <w:pStyle w:val="Paragraphedeliste"/>
              <w:numPr>
                <w:ilvl w:val="0"/>
                <w:numId w:val="1"/>
              </w:numPr>
              <w:autoSpaceDE w:val="0"/>
              <w:autoSpaceDN w:val="0"/>
              <w:adjustRightInd w:val="0"/>
              <w:spacing w:before="120" w:after="120"/>
              <w:ind w:left="402" w:right="72" w:hanging="330"/>
              <w:contextualSpacing w:val="0"/>
              <w:jc w:val="both"/>
              <w:rPr>
                <w:rFonts w:ascii="Arial" w:hAnsi="Arial" w:cs="Arial"/>
                <w:sz w:val="24"/>
                <w:szCs w:val="24"/>
              </w:rPr>
            </w:pPr>
            <w:r w:rsidRPr="00A07662">
              <w:rPr>
                <w:rFonts w:ascii="Arial" w:hAnsi="Arial" w:cs="Arial"/>
                <w:sz w:val="24"/>
                <w:szCs w:val="24"/>
              </w:rPr>
              <w:t xml:space="preserve">du seul fait qu'une personne a été déclarée coupable d'une infraction </w:t>
            </w:r>
            <w:r>
              <w:rPr>
                <w:rFonts w:ascii="Arial" w:hAnsi="Arial" w:cs="Arial"/>
                <w:sz w:val="24"/>
                <w:szCs w:val="24"/>
              </w:rPr>
              <w:t>pénale ou criminelle.</w:t>
            </w:r>
          </w:p>
          <w:p w14:paraId="35C4C8D0" w14:textId="77777777" w:rsidR="0092335B" w:rsidRPr="00102D17" w:rsidRDefault="0092335B" w:rsidP="00102D17">
            <w:pPr>
              <w:pStyle w:val="Paragraphedeliste"/>
              <w:numPr>
                <w:ilvl w:val="0"/>
                <w:numId w:val="1"/>
              </w:numPr>
              <w:autoSpaceDE w:val="0"/>
              <w:autoSpaceDN w:val="0"/>
              <w:adjustRightInd w:val="0"/>
              <w:spacing w:before="120" w:after="120"/>
              <w:ind w:left="402" w:right="72" w:hanging="330"/>
              <w:contextualSpacing w:val="0"/>
              <w:jc w:val="both"/>
              <w:rPr>
                <w:rFonts w:ascii="Arial" w:hAnsi="Arial" w:cs="Arial"/>
                <w:sz w:val="24"/>
                <w:szCs w:val="24"/>
              </w:rPr>
            </w:pPr>
            <w:r w:rsidRPr="00102D17">
              <w:rPr>
                <w:rFonts w:ascii="Arial" w:hAnsi="Arial" w:cs="Arial"/>
                <w:sz w:val="24"/>
                <w:szCs w:val="24"/>
              </w:rPr>
              <w:t>si l'infraction n'a aucun lien avec l'emploi ou si elle en a obtenu le pardon.</w:t>
            </w:r>
          </w:p>
        </w:tc>
      </w:tr>
      <w:tr w:rsidR="0092335B" w:rsidRPr="00C871D8" w14:paraId="1DB1879D" w14:textId="77777777" w:rsidTr="15FDF7B7">
        <w:trPr>
          <w:jc w:val="center"/>
        </w:trPr>
        <w:tc>
          <w:tcPr>
            <w:tcW w:w="2032" w:type="dxa"/>
          </w:tcPr>
          <w:p w14:paraId="382C8F2C" w14:textId="77777777" w:rsidR="0092335B" w:rsidRPr="00C871D8" w:rsidRDefault="0092335B" w:rsidP="00AB5BB8">
            <w:pPr>
              <w:spacing w:before="120" w:after="120"/>
              <w:ind w:left="72" w:right="72"/>
              <w:rPr>
                <w:rFonts w:ascii="Arial" w:hAnsi="Arial" w:cs="Arial"/>
                <w:b/>
                <w:sz w:val="24"/>
                <w:szCs w:val="24"/>
              </w:rPr>
            </w:pPr>
            <w:r w:rsidRPr="00C871D8">
              <w:rPr>
                <w:rFonts w:ascii="Arial" w:hAnsi="Arial" w:cs="Arial"/>
                <w:b/>
                <w:sz w:val="24"/>
                <w:szCs w:val="24"/>
              </w:rPr>
              <w:lastRenderedPageBreak/>
              <w:t>La notion « d’emploi »</w:t>
            </w:r>
          </w:p>
        </w:tc>
        <w:tc>
          <w:tcPr>
            <w:tcW w:w="7544" w:type="dxa"/>
          </w:tcPr>
          <w:p w14:paraId="207D5192" w14:textId="368EA1EC" w:rsidR="0092335B" w:rsidRPr="00C871D8" w:rsidRDefault="00CD2375" w:rsidP="0092335B">
            <w:pPr>
              <w:autoSpaceDE w:val="0"/>
              <w:autoSpaceDN w:val="0"/>
              <w:adjustRightInd w:val="0"/>
              <w:spacing w:before="120" w:after="120"/>
              <w:ind w:left="72" w:right="72"/>
              <w:jc w:val="both"/>
              <w:rPr>
                <w:rFonts w:ascii="Arial" w:hAnsi="Arial" w:cs="Arial"/>
                <w:sz w:val="24"/>
                <w:szCs w:val="24"/>
              </w:rPr>
            </w:pPr>
            <w:r>
              <w:rPr>
                <w:rFonts w:ascii="Arial" w:hAnsi="Arial" w:cs="Arial"/>
                <w:sz w:val="24"/>
                <w:szCs w:val="24"/>
              </w:rPr>
              <w:t xml:space="preserve">Les tribunaux favorisent </w:t>
            </w:r>
            <w:r w:rsidR="0092335B" w:rsidRPr="00C871D8">
              <w:rPr>
                <w:rFonts w:ascii="Arial" w:hAnsi="Arial" w:cs="Arial"/>
                <w:sz w:val="24"/>
                <w:szCs w:val="24"/>
              </w:rPr>
              <w:t>une interprétation large de la notion d'emploi qui ne se</w:t>
            </w:r>
            <w:r w:rsidR="0092335B">
              <w:rPr>
                <w:rFonts w:ascii="Arial" w:hAnsi="Arial" w:cs="Arial"/>
                <w:sz w:val="24"/>
                <w:szCs w:val="24"/>
              </w:rPr>
              <w:t xml:space="preserve"> </w:t>
            </w:r>
            <w:r w:rsidR="0092335B" w:rsidRPr="00C871D8">
              <w:rPr>
                <w:rFonts w:ascii="Arial" w:hAnsi="Arial" w:cs="Arial"/>
                <w:sz w:val="24"/>
                <w:szCs w:val="24"/>
              </w:rPr>
              <w:t>limite pas aux seules situations classiques d'emploi.</w:t>
            </w:r>
          </w:p>
          <w:p w14:paraId="02AF0591" w14:textId="4A18DACC" w:rsidR="0092335B" w:rsidRDefault="00CD2375" w:rsidP="0092335B">
            <w:pPr>
              <w:spacing w:before="120" w:after="120"/>
              <w:ind w:left="72" w:right="72"/>
              <w:jc w:val="both"/>
              <w:rPr>
                <w:rFonts w:ascii="Arial" w:hAnsi="Arial" w:cs="Arial"/>
                <w:sz w:val="24"/>
                <w:szCs w:val="24"/>
              </w:rPr>
            </w:pPr>
            <w:r>
              <w:rPr>
                <w:rFonts w:ascii="Arial" w:hAnsi="Arial" w:cs="Arial"/>
                <w:sz w:val="24"/>
                <w:szCs w:val="24"/>
              </w:rPr>
              <w:t>Ainsi, c</w:t>
            </w:r>
            <w:r w:rsidR="0092335B" w:rsidRPr="00C871D8">
              <w:rPr>
                <w:rFonts w:ascii="Arial" w:hAnsi="Arial" w:cs="Arial"/>
                <w:sz w:val="24"/>
                <w:szCs w:val="24"/>
              </w:rPr>
              <w:t>ette disposition peut viser toute personne qui, sans être l'employeur, émet par</w:t>
            </w:r>
            <w:r w:rsidR="0092335B">
              <w:rPr>
                <w:rFonts w:ascii="Arial" w:hAnsi="Arial" w:cs="Arial"/>
                <w:sz w:val="24"/>
                <w:szCs w:val="24"/>
              </w:rPr>
              <w:t xml:space="preserve"> </w:t>
            </w:r>
            <w:r w:rsidR="0092335B" w:rsidRPr="00C871D8">
              <w:rPr>
                <w:rFonts w:ascii="Arial" w:hAnsi="Arial" w:cs="Arial"/>
                <w:sz w:val="24"/>
                <w:szCs w:val="24"/>
              </w:rPr>
              <w:t xml:space="preserve">exemple un permis, un brevet d'enseignement ou une autorisation </w:t>
            </w:r>
            <w:r w:rsidR="0092335B" w:rsidRPr="00F24231">
              <w:rPr>
                <w:rFonts w:ascii="Arial" w:hAnsi="Arial" w:cs="Arial"/>
                <w:sz w:val="24"/>
                <w:szCs w:val="24"/>
              </w:rPr>
              <w:t>préalable et</w:t>
            </w:r>
            <w:r w:rsidR="0092335B" w:rsidRPr="00F24231">
              <w:rPr>
                <w:rFonts w:ascii="Arial" w:hAnsi="Arial" w:cs="Arial"/>
                <w:bCs/>
                <w:sz w:val="24"/>
                <w:szCs w:val="24"/>
              </w:rPr>
              <w:t xml:space="preserve"> nécessaire</w:t>
            </w:r>
            <w:r w:rsidR="0092335B">
              <w:rPr>
                <w:rFonts w:ascii="Arial" w:hAnsi="Arial" w:cs="Arial"/>
                <w:b/>
                <w:bCs/>
                <w:sz w:val="24"/>
                <w:szCs w:val="24"/>
              </w:rPr>
              <w:t xml:space="preserve"> </w:t>
            </w:r>
            <w:r w:rsidR="0092335B" w:rsidRPr="00C871D8">
              <w:rPr>
                <w:rFonts w:ascii="Arial" w:hAnsi="Arial" w:cs="Arial"/>
                <w:sz w:val="24"/>
                <w:szCs w:val="24"/>
              </w:rPr>
              <w:t>à l'obtention d'un emploi.</w:t>
            </w:r>
          </w:p>
          <w:p w14:paraId="0F752FA5" w14:textId="77777777" w:rsidR="00575095" w:rsidRPr="00C871D8" w:rsidRDefault="00575095" w:rsidP="0092335B">
            <w:pPr>
              <w:spacing w:before="120" w:after="120"/>
              <w:ind w:left="72" w:right="72"/>
              <w:jc w:val="both"/>
              <w:rPr>
                <w:rFonts w:ascii="Arial" w:hAnsi="Arial" w:cs="Arial"/>
                <w:sz w:val="24"/>
                <w:szCs w:val="24"/>
              </w:rPr>
            </w:pPr>
          </w:p>
        </w:tc>
      </w:tr>
      <w:tr w:rsidR="0092335B" w:rsidRPr="00C871D8" w14:paraId="6E386596" w14:textId="77777777" w:rsidTr="15FDF7B7">
        <w:trPr>
          <w:jc w:val="center"/>
        </w:trPr>
        <w:tc>
          <w:tcPr>
            <w:tcW w:w="2032" w:type="dxa"/>
          </w:tcPr>
          <w:p w14:paraId="3EAC6522" w14:textId="77777777" w:rsidR="0092335B" w:rsidRPr="00C871D8" w:rsidRDefault="0092335B" w:rsidP="00AB5BB8">
            <w:pPr>
              <w:spacing w:before="120" w:after="120"/>
              <w:ind w:left="72" w:right="72"/>
              <w:rPr>
                <w:rFonts w:ascii="Arial" w:hAnsi="Arial" w:cs="Arial"/>
                <w:b/>
                <w:sz w:val="24"/>
                <w:szCs w:val="24"/>
              </w:rPr>
            </w:pPr>
            <w:r>
              <w:rPr>
                <w:rFonts w:ascii="Arial" w:hAnsi="Arial" w:cs="Arial"/>
                <w:b/>
                <w:sz w:val="24"/>
                <w:szCs w:val="24"/>
              </w:rPr>
              <w:t>Le motif réel ou l</w:t>
            </w:r>
            <w:r w:rsidRPr="00C871D8">
              <w:rPr>
                <w:rFonts w:ascii="Arial" w:hAnsi="Arial" w:cs="Arial"/>
                <w:b/>
                <w:sz w:val="24"/>
                <w:szCs w:val="24"/>
              </w:rPr>
              <w:t>a</w:t>
            </w:r>
            <w:r>
              <w:rPr>
                <w:rFonts w:ascii="Arial" w:hAnsi="Arial" w:cs="Arial"/>
                <w:b/>
                <w:sz w:val="24"/>
                <w:szCs w:val="24"/>
              </w:rPr>
              <w:t xml:space="preserve"> </w:t>
            </w:r>
            <w:r w:rsidRPr="00C871D8">
              <w:rPr>
                <w:rFonts w:ascii="Arial" w:hAnsi="Arial" w:cs="Arial"/>
                <w:b/>
                <w:sz w:val="24"/>
                <w:szCs w:val="24"/>
              </w:rPr>
              <w:t>cause véritable de la différence de traitement</w:t>
            </w:r>
          </w:p>
        </w:tc>
        <w:tc>
          <w:tcPr>
            <w:tcW w:w="7544" w:type="dxa"/>
          </w:tcPr>
          <w:p w14:paraId="76B08DAF" w14:textId="77777777" w:rsidR="0092335B" w:rsidRPr="00C871D8" w:rsidRDefault="0092335B" w:rsidP="0092335B">
            <w:pPr>
              <w:spacing w:before="120" w:after="120"/>
              <w:ind w:left="72" w:right="72"/>
              <w:jc w:val="both"/>
              <w:rPr>
                <w:rFonts w:ascii="Arial" w:hAnsi="Arial" w:cs="Arial"/>
                <w:sz w:val="24"/>
                <w:szCs w:val="24"/>
              </w:rPr>
            </w:pPr>
            <w:r w:rsidRPr="00C871D8">
              <w:rPr>
                <w:rFonts w:ascii="Arial" w:hAnsi="Arial" w:cs="Arial"/>
                <w:sz w:val="24"/>
                <w:szCs w:val="24"/>
              </w:rPr>
              <w:t xml:space="preserve">L'article 18.2 protège l'employé contre les mesures prises à son égard </w:t>
            </w:r>
            <w:r w:rsidRPr="00C871D8">
              <w:rPr>
                <w:rFonts w:ascii="Arial" w:hAnsi="Arial" w:cs="Arial"/>
                <w:i/>
                <w:iCs/>
                <w:sz w:val="24"/>
                <w:szCs w:val="24"/>
              </w:rPr>
              <w:t>du seul fait</w:t>
            </w:r>
            <w:r>
              <w:rPr>
                <w:rFonts w:ascii="Arial" w:hAnsi="Arial" w:cs="Arial"/>
                <w:i/>
                <w:iCs/>
                <w:sz w:val="24"/>
                <w:szCs w:val="24"/>
              </w:rPr>
              <w:t xml:space="preserve"> </w:t>
            </w:r>
            <w:r w:rsidRPr="00C871D8">
              <w:rPr>
                <w:rFonts w:ascii="Arial" w:hAnsi="Arial" w:cs="Arial"/>
                <w:sz w:val="24"/>
                <w:szCs w:val="24"/>
              </w:rPr>
              <w:t>qu'il a des antécédents judiciaires. Il faut donc déterminer si le motif réel de la</w:t>
            </w:r>
            <w:r>
              <w:rPr>
                <w:rFonts w:ascii="Arial" w:hAnsi="Arial" w:cs="Arial"/>
                <w:sz w:val="24"/>
                <w:szCs w:val="24"/>
              </w:rPr>
              <w:t xml:space="preserve"> </w:t>
            </w:r>
            <w:r w:rsidRPr="00C871D8">
              <w:rPr>
                <w:rFonts w:ascii="Arial" w:hAnsi="Arial" w:cs="Arial"/>
                <w:sz w:val="24"/>
                <w:szCs w:val="24"/>
              </w:rPr>
              <w:t>mesure prise contre l'employé concerne ses antécédents judiciaires.</w:t>
            </w:r>
          </w:p>
        </w:tc>
      </w:tr>
      <w:tr w:rsidR="0092335B" w:rsidRPr="00C871D8" w14:paraId="12F186E5" w14:textId="77777777" w:rsidTr="15FDF7B7">
        <w:trPr>
          <w:jc w:val="center"/>
        </w:trPr>
        <w:tc>
          <w:tcPr>
            <w:tcW w:w="2032" w:type="dxa"/>
          </w:tcPr>
          <w:p w14:paraId="049E24CE" w14:textId="77777777" w:rsidR="0092335B" w:rsidRPr="00C871D8" w:rsidRDefault="0092335B" w:rsidP="00AB5BB8">
            <w:pPr>
              <w:spacing w:before="120" w:after="120"/>
              <w:ind w:left="72" w:right="72"/>
              <w:rPr>
                <w:rFonts w:ascii="Arial" w:hAnsi="Arial" w:cs="Arial"/>
                <w:b/>
                <w:sz w:val="24"/>
                <w:szCs w:val="24"/>
              </w:rPr>
            </w:pPr>
            <w:r w:rsidRPr="00C871D8">
              <w:rPr>
                <w:rFonts w:ascii="Arial" w:hAnsi="Arial" w:cs="Arial"/>
                <w:b/>
                <w:sz w:val="24"/>
                <w:szCs w:val="24"/>
              </w:rPr>
              <w:t>Le lien avec l’emploi</w:t>
            </w:r>
          </w:p>
        </w:tc>
        <w:tc>
          <w:tcPr>
            <w:tcW w:w="7544" w:type="dxa"/>
          </w:tcPr>
          <w:p w14:paraId="41F6A94F" w14:textId="77777777" w:rsidR="0092335B" w:rsidRPr="00F24231" w:rsidRDefault="0092335B" w:rsidP="00223846">
            <w:pPr>
              <w:pStyle w:val="Paragraphedeliste"/>
              <w:numPr>
                <w:ilvl w:val="0"/>
                <w:numId w:val="2"/>
              </w:numPr>
              <w:autoSpaceDE w:val="0"/>
              <w:autoSpaceDN w:val="0"/>
              <w:adjustRightInd w:val="0"/>
              <w:spacing w:before="120" w:after="120"/>
              <w:ind w:left="398" w:right="72" w:hanging="326"/>
              <w:contextualSpacing w:val="0"/>
              <w:jc w:val="both"/>
              <w:rPr>
                <w:rFonts w:ascii="Arial" w:hAnsi="Arial" w:cs="Arial"/>
                <w:sz w:val="24"/>
                <w:szCs w:val="24"/>
              </w:rPr>
            </w:pPr>
            <w:r>
              <w:rPr>
                <w:rFonts w:ascii="Arial" w:hAnsi="Arial" w:cs="Arial"/>
                <w:sz w:val="24"/>
                <w:szCs w:val="24"/>
              </w:rPr>
              <w:t>Le lien doit être objectif.</w:t>
            </w:r>
          </w:p>
          <w:p w14:paraId="2ECA1790" w14:textId="77777777" w:rsidR="0092335B" w:rsidRDefault="0092335B" w:rsidP="00223846">
            <w:pPr>
              <w:pStyle w:val="Paragraphedeliste"/>
              <w:numPr>
                <w:ilvl w:val="0"/>
                <w:numId w:val="2"/>
              </w:numPr>
              <w:autoSpaceDE w:val="0"/>
              <w:autoSpaceDN w:val="0"/>
              <w:adjustRightInd w:val="0"/>
              <w:spacing w:before="120" w:after="120"/>
              <w:ind w:left="398" w:right="72" w:hanging="326"/>
              <w:contextualSpacing w:val="0"/>
              <w:jc w:val="both"/>
              <w:rPr>
                <w:rFonts w:ascii="Arial" w:hAnsi="Arial" w:cs="Arial"/>
                <w:sz w:val="24"/>
                <w:szCs w:val="24"/>
              </w:rPr>
            </w:pPr>
            <w:r w:rsidRPr="00F24231">
              <w:rPr>
                <w:rFonts w:ascii="Arial" w:hAnsi="Arial" w:cs="Arial"/>
                <w:sz w:val="24"/>
                <w:szCs w:val="24"/>
              </w:rPr>
              <w:t xml:space="preserve">Sa détermination est essentiellement contextuelle (éviter les exclusions </w:t>
            </w:r>
            <w:r>
              <w:rPr>
                <w:rFonts w:ascii="Arial" w:hAnsi="Arial" w:cs="Arial"/>
                <w:sz w:val="24"/>
                <w:szCs w:val="24"/>
              </w:rPr>
              <w:t>automatiques).</w:t>
            </w:r>
          </w:p>
          <w:p w14:paraId="19F6BD51" w14:textId="77777777" w:rsidR="0092335B" w:rsidRDefault="0092335B" w:rsidP="00223846">
            <w:pPr>
              <w:pStyle w:val="Paragraphedeliste"/>
              <w:numPr>
                <w:ilvl w:val="0"/>
                <w:numId w:val="2"/>
              </w:numPr>
              <w:autoSpaceDE w:val="0"/>
              <w:autoSpaceDN w:val="0"/>
              <w:adjustRightInd w:val="0"/>
              <w:spacing w:before="120" w:after="120"/>
              <w:ind w:left="398" w:right="72" w:hanging="326"/>
              <w:contextualSpacing w:val="0"/>
              <w:jc w:val="both"/>
              <w:rPr>
                <w:rFonts w:ascii="Arial" w:hAnsi="Arial" w:cs="Arial"/>
                <w:sz w:val="24"/>
                <w:szCs w:val="24"/>
              </w:rPr>
            </w:pPr>
            <w:r w:rsidRPr="00F24231">
              <w:rPr>
                <w:rFonts w:ascii="Arial" w:hAnsi="Arial" w:cs="Arial"/>
                <w:sz w:val="24"/>
                <w:szCs w:val="24"/>
              </w:rPr>
              <w:t xml:space="preserve">La mesure prise par l'employeur doit avoir une justification </w:t>
            </w:r>
            <w:r w:rsidRPr="00F24231">
              <w:rPr>
                <w:rFonts w:ascii="Arial" w:hAnsi="Arial" w:cs="Arial"/>
                <w:bCs/>
                <w:sz w:val="24"/>
                <w:szCs w:val="24"/>
              </w:rPr>
              <w:t xml:space="preserve">réelle et </w:t>
            </w:r>
            <w:r>
              <w:rPr>
                <w:rFonts w:ascii="Arial" w:hAnsi="Arial" w:cs="Arial"/>
                <w:sz w:val="24"/>
                <w:szCs w:val="24"/>
              </w:rPr>
              <w:t>raisonnable.</w:t>
            </w:r>
          </w:p>
          <w:p w14:paraId="29C98346" w14:textId="77777777" w:rsidR="0092335B" w:rsidRPr="00F24231" w:rsidRDefault="0092335B" w:rsidP="00223846">
            <w:pPr>
              <w:pStyle w:val="Paragraphedeliste"/>
              <w:numPr>
                <w:ilvl w:val="0"/>
                <w:numId w:val="2"/>
              </w:numPr>
              <w:autoSpaceDE w:val="0"/>
              <w:autoSpaceDN w:val="0"/>
              <w:adjustRightInd w:val="0"/>
              <w:spacing w:before="120" w:after="120"/>
              <w:ind w:left="398" w:right="72" w:hanging="326"/>
              <w:contextualSpacing w:val="0"/>
              <w:jc w:val="both"/>
              <w:rPr>
                <w:rFonts w:ascii="Arial" w:hAnsi="Arial" w:cs="Arial"/>
                <w:sz w:val="24"/>
                <w:szCs w:val="24"/>
              </w:rPr>
            </w:pPr>
            <w:r w:rsidRPr="00F24231">
              <w:rPr>
                <w:rFonts w:ascii="Arial" w:hAnsi="Arial" w:cs="Arial"/>
                <w:sz w:val="24"/>
                <w:szCs w:val="24"/>
              </w:rPr>
              <w:t>Si l'employeur invoque le risque que présente le candidat en raison de ses antécédents judiciaires, il faut évaluer</w:t>
            </w:r>
          </w:p>
          <w:p w14:paraId="32BDECC5" w14:textId="77777777" w:rsidR="0092335B" w:rsidRDefault="0092335B" w:rsidP="00223846">
            <w:pPr>
              <w:pStyle w:val="Paragraphedeliste"/>
              <w:numPr>
                <w:ilvl w:val="0"/>
                <w:numId w:val="3"/>
              </w:numPr>
              <w:autoSpaceDE w:val="0"/>
              <w:autoSpaceDN w:val="0"/>
              <w:adjustRightInd w:val="0"/>
              <w:spacing w:before="120" w:after="120"/>
              <w:ind w:left="668" w:right="72" w:hanging="270"/>
              <w:contextualSpacing w:val="0"/>
              <w:jc w:val="both"/>
              <w:rPr>
                <w:rFonts w:ascii="Arial" w:hAnsi="Arial" w:cs="Arial"/>
                <w:sz w:val="24"/>
                <w:szCs w:val="24"/>
              </w:rPr>
            </w:pPr>
            <w:r w:rsidRPr="00F24231">
              <w:rPr>
                <w:rFonts w:ascii="Arial" w:hAnsi="Arial" w:cs="Arial"/>
                <w:sz w:val="24"/>
                <w:szCs w:val="24"/>
              </w:rPr>
              <w:t>Quel est le risque anticipé (pour s'assurer qu</w:t>
            </w:r>
            <w:r w:rsidRPr="00F24231">
              <w:rPr>
                <w:rFonts w:ascii="Arial" w:hAnsi="Arial" w:cs="Arial"/>
                <w:bCs/>
                <w:sz w:val="24"/>
                <w:szCs w:val="24"/>
              </w:rPr>
              <w:t xml:space="preserve">'il ne s'agit </w:t>
            </w:r>
            <w:r w:rsidRPr="00F24231">
              <w:rPr>
                <w:rFonts w:ascii="Arial" w:hAnsi="Arial" w:cs="Arial"/>
                <w:sz w:val="24"/>
                <w:szCs w:val="24"/>
              </w:rPr>
              <w:t xml:space="preserve">pas d'une </w:t>
            </w:r>
            <w:r>
              <w:rPr>
                <w:rFonts w:ascii="Arial" w:hAnsi="Arial" w:cs="Arial"/>
                <w:sz w:val="24"/>
                <w:szCs w:val="24"/>
              </w:rPr>
              <w:t>vue de l'esprit).</w:t>
            </w:r>
          </w:p>
          <w:p w14:paraId="3B312153" w14:textId="77777777" w:rsidR="00102D17" w:rsidRDefault="0092335B" w:rsidP="00102D17">
            <w:pPr>
              <w:pStyle w:val="Paragraphedeliste"/>
              <w:numPr>
                <w:ilvl w:val="0"/>
                <w:numId w:val="3"/>
              </w:numPr>
              <w:autoSpaceDE w:val="0"/>
              <w:autoSpaceDN w:val="0"/>
              <w:adjustRightInd w:val="0"/>
              <w:spacing w:before="120" w:after="120"/>
              <w:ind w:left="668" w:right="72" w:hanging="270"/>
              <w:contextualSpacing w:val="0"/>
              <w:jc w:val="both"/>
              <w:rPr>
                <w:rFonts w:ascii="Arial" w:hAnsi="Arial" w:cs="Arial"/>
                <w:sz w:val="24"/>
                <w:szCs w:val="24"/>
              </w:rPr>
            </w:pPr>
            <w:r w:rsidRPr="00F24231">
              <w:rPr>
                <w:rFonts w:ascii="Arial" w:hAnsi="Arial" w:cs="Arial"/>
                <w:sz w:val="24"/>
                <w:szCs w:val="24"/>
              </w:rPr>
              <w:t xml:space="preserve">Est-ce que le risque est réel (par opposition à un risque </w:t>
            </w:r>
            <w:r>
              <w:rPr>
                <w:rFonts w:ascii="Arial" w:hAnsi="Arial" w:cs="Arial"/>
                <w:sz w:val="24"/>
                <w:szCs w:val="24"/>
              </w:rPr>
              <w:t>hypothétique).</w:t>
            </w:r>
          </w:p>
          <w:p w14:paraId="66D84C3C" w14:textId="77777777" w:rsidR="0092335B" w:rsidRPr="00102D17" w:rsidRDefault="0092335B" w:rsidP="00102D17">
            <w:pPr>
              <w:pStyle w:val="Paragraphedeliste"/>
              <w:numPr>
                <w:ilvl w:val="0"/>
                <w:numId w:val="3"/>
              </w:numPr>
              <w:autoSpaceDE w:val="0"/>
              <w:autoSpaceDN w:val="0"/>
              <w:adjustRightInd w:val="0"/>
              <w:spacing w:before="120" w:after="120"/>
              <w:ind w:left="668" w:right="72" w:hanging="270"/>
              <w:contextualSpacing w:val="0"/>
              <w:jc w:val="both"/>
              <w:rPr>
                <w:rFonts w:ascii="Arial" w:hAnsi="Arial" w:cs="Arial"/>
                <w:sz w:val="24"/>
                <w:szCs w:val="24"/>
              </w:rPr>
            </w:pPr>
            <w:r w:rsidRPr="00102D17">
              <w:rPr>
                <w:rFonts w:ascii="Arial" w:hAnsi="Arial" w:cs="Arial"/>
                <w:sz w:val="24"/>
                <w:szCs w:val="24"/>
              </w:rPr>
              <w:lastRenderedPageBreak/>
              <w:t>Est-ce que la preuve du risque est bien fondée et se rattache aux fonctions occupées ou s'agit-il d'une preuve impressionniste.</w:t>
            </w:r>
          </w:p>
        </w:tc>
      </w:tr>
      <w:tr w:rsidR="0092335B" w:rsidRPr="00C871D8" w14:paraId="6242E1DC" w14:textId="77777777" w:rsidTr="15FDF7B7">
        <w:trPr>
          <w:jc w:val="center"/>
        </w:trPr>
        <w:tc>
          <w:tcPr>
            <w:tcW w:w="2032" w:type="dxa"/>
          </w:tcPr>
          <w:p w14:paraId="56D0C4A6" w14:textId="77777777" w:rsidR="0092335B" w:rsidRPr="00C871D8" w:rsidRDefault="0092335B" w:rsidP="00AB5BB8">
            <w:pPr>
              <w:spacing w:before="120" w:after="120"/>
              <w:ind w:left="72" w:right="72"/>
              <w:rPr>
                <w:rFonts w:ascii="Arial" w:hAnsi="Arial" w:cs="Arial"/>
                <w:b/>
                <w:sz w:val="24"/>
                <w:szCs w:val="24"/>
              </w:rPr>
            </w:pPr>
            <w:r w:rsidRPr="00C871D8">
              <w:rPr>
                <w:rFonts w:ascii="Arial" w:hAnsi="Arial" w:cs="Arial"/>
                <w:b/>
                <w:sz w:val="24"/>
                <w:szCs w:val="24"/>
              </w:rPr>
              <w:lastRenderedPageBreak/>
              <w:t>Les personnes protégées</w:t>
            </w:r>
          </w:p>
        </w:tc>
        <w:tc>
          <w:tcPr>
            <w:tcW w:w="7544" w:type="dxa"/>
          </w:tcPr>
          <w:p w14:paraId="2214FCC2" w14:textId="77777777" w:rsidR="0092335B" w:rsidRPr="00C871D8" w:rsidRDefault="0092335B" w:rsidP="00102D17">
            <w:pPr>
              <w:autoSpaceDE w:val="0"/>
              <w:autoSpaceDN w:val="0"/>
              <w:adjustRightInd w:val="0"/>
              <w:spacing w:before="120" w:after="120" w:line="235" w:lineRule="auto"/>
              <w:ind w:left="72" w:right="72"/>
              <w:jc w:val="both"/>
              <w:rPr>
                <w:rFonts w:ascii="Arial" w:hAnsi="Arial" w:cs="Arial"/>
                <w:sz w:val="24"/>
                <w:szCs w:val="24"/>
              </w:rPr>
            </w:pPr>
            <w:r w:rsidRPr="00C871D8">
              <w:rPr>
                <w:rFonts w:ascii="Arial" w:hAnsi="Arial" w:cs="Arial"/>
                <w:b/>
                <w:bCs/>
                <w:sz w:val="24"/>
                <w:szCs w:val="24"/>
              </w:rPr>
              <w:t>La personne déc</w:t>
            </w:r>
            <w:r>
              <w:rPr>
                <w:rFonts w:ascii="Arial" w:hAnsi="Arial" w:cs="Arial"/>
                <w:b/>
                <w:bCs/>
                <w:sz w:val="24"/>
                <w:szCs w:val="24"/>
              </w:rPr>
              <w:t>larée coupable d'une infraction </w:t>
            </w:r>
            <w:r w:rsidRPr="00C871D8">
              <w:rPr>
                <w:rFonts w:ascii="Arial" w:hAnsi="Arial" w:cs="Arial"/>
                <w:sz w:val="24"/>
                <w:szCs w:val="24"/>
              </w:rPr>
              <w:t>: L'article 18.2</w:t>
            </w:r>
            <w:r>
              <w:rPr>
                <w:rFonts w:ascii="Arial" w:hAnsi="Arial" w:cs="Arial"/>
                <w:sz w:val="24"/>
                <w:szCs w:val="24"/>
              </w:rPr>
              <w:t xml:space="preserve"> </w:t>
            </w:r>
            <w:r w:rsidRPr="00C871D8">
              <w:rPr>
                <w:rFonts w:ascii="Arial" w:hAnsi="Arial" w:cs="Arial"/>
                <w:sz w:val="24"/>
                <w:szCs w:val="24"/>
              </w:rPr>
              <w:t>vise</w:t>
            </w:r>
            <w:r>
              <w:rPr>
                <w:rFonts w:ascii="Arial" w:hAnsi="Arial" w:cs="Arial"/>
                <w:sz w:val="24"/>
                <w:szCs w:val="24"/>
              </w:rPr>
              <w:t xml:space="preserve"> </w:t>
            </w:r>
            <w:r w:rsidRPr="00C871D8">
              <w:rPr>
                <w:rFonts w:ascii="Arial" w:hAnsi="Arial" w:cs="Arial"/>
                <w:sz w:val="24"/>
                <w:szCs w:val="24"/>
              </w:rPr>
              <w:t>spécifiquement la personne déclarée coupable d'une infraction et la protège contre</w:t>
            </w:r>
            <w:r>
              <w:rPr>
                <w:rFonts w:ascii="Arial" w:hAnsi="Arial" w:cs="Arial"/>
                <w:sz w:val="24"/>
                <w:szCs w:val="24"/>
              </w:rPr>
              <w:t xml:space="preserve"> </w:t>
            </w:r>
            <w:r w:rsidRPr="00C871D8">
              <w:rPr>
                <w:rFonts w:ascii="Arial" w:hAnsi="Arial" w:cs="Arial"/>
                <w:sz w:val="24"/>
                <w:szCs w:val="24"/>
              </w:rPr>
              <w:t>les stigmates sociaux liés à sa culpabilité.</w:t>
            </w:r>
          </w:p>
          <w:p w14:paraId="1A3159E6" w14:textId="77777777" w:rsidR="0092335B" w:rsidRPr="00C871D8" w:rsidRDefault="0092335B" w:rsidP="00102D17">
            <w:pPr>
              <w:autoSpaceDE w:val="0"/>
              <w:autoSpaceDN w:val="0"/>
              <w:adjustRightInd w:val="0"/>
              <w:spacing w:before="120" w:after="120" w:line="235" w:lineRule="auto"/>
              <w:ind w:left="72" w:right="72"/>
              <w:jc w:val="both"/>
              <w:rPr>
                <w:rFonts w:ascii="Arial" w:hAnsi="Arial" w:cs="Arial"/>
                <w:sz w:val="24"/>
                <w:szCs w:val="24"/>
              </w:rPr>
            </w:pPr>
            <w:r w:rsidRPr="00C871D8">
              <w:rPr>
                <w:rFonts w:ascii="Arial" w:hAnsi="Arial" w:cs="Arial"/>
                <w:b/>
                <w:bCs/>
                <w:sz w:val="24"/>
                <w:szCs w:val="24"/>
              </w:rPr>
              <w:t>La personne ayant obtenu un pardon</w:t>
            </w:r>
            <w:r>
              <w:rPr>
                <w:rFonts w:ascii="Arial" w:hAnsi="Arial" w:cs="Arial"/>
                <w:b/>
                <w:bCs/>
                <w:sz w:val="24"/>
                <w:szCs w:val="24"/>
              </w:rPr>
              <w:t> </w:t>
            </w:r>
            <w:r w:rsidRPr="00C871D8">
              <w:rPr>
                <w:rFonts w:ascii="Arial" w:hAnsi="Arial" w:cs="Arial"/>
                <w:sz w:val="24"/>
                <w:szCs w:val="24"/>
              </w:rPr>
              <w:t>: La personne pardonnée</w:t>
            </w:r>
            <w:r>
              <w:rPr>
                <w:rFonts w:ascii="Arial" w:hAnsi="Arial" w:cs="Arial"/>
                <w:sz w:val="24"/>
                <w:szCs w:val="24"/>
              </w:rPr>
              <w:t xml:space="preserve"> </w:t>
            </w:r>
            <w:r w:rsidRPr="00C871D8">
              <w:rPr>
                <w:rFonts w:ascii="Arial" w:hAnsi="Arial" w:cs="Arial"/>
                <w:sz w:val="24"/>
                <w:szCs w:val="24"/>
              </w:rPr>
              <w:t>bénéficie de la</w:t>
            </w:r>
            <w:r>
              <w:rPr>
                <w:rFonts w:ascii="Arial" w:hAnsi="Arial" w:cs="Arial"/>
                <w:sz w:val="24"/>
                <w:szCs w:val="24"/>
              </w:rPr>
              <w:t xml:space="preserve"> </w:t>
            </w:r>
            <w:r w:rsidRPr="00C871D8">
              <w:rPr>
                <w:rFonts w:ascii="Arial" w:hAnsi="Arial" w:cs="Arial"/>
                <w:sz w:val="24"/>
                <w:szCs w:val="24"/>
              </w:rPr>
              <w:t>protection de l'article 18.2. (</w:t>
            </w:r>
            <w:r>
              <w:rPr>
                <w:rFonts w:ascii="Arial" w:hAnsi="Arial" w:cs="Arial"/>
                <w:sz w:val="24"/>
                <w:szCs w:val="24"/>
              </w:rPr>
              <w:t>Voir définition du « pardon </w:t>
            </w:r>
            <w:r w:rsidRPr="00C871D8">
              <w:rPr>
                <w:rFonts w:ascii="Arial" w:hAnsi="Arial" w:cs="Arial"/>
                <w:sz w:val="24"/>
                <w:szCs w:val="24"/>
              </w:rPr>
              <w:t>»).</w:t>
            </w:r>
          </w:p>
          <w:p w14:paraId="7252819A" w14:textId="6A2FE2B3" w:rsidR="0092335B" w:rsidRPr="00C871D8" w:rsidRDefault="0092335B" w:rsidP="00102D17">
            <w:pPr>
              <w:spacing w:before="120" w:after="120"/>
              <w:ind w:left="72" w:right="72"/>
              <w:jc w:val="both"/>
              <w:rPr>
                <w:rFonts w:ascii="Arial" w:hAnsi="Arial" w:cs="Arial"/>
                <w:sz w:val="24"/>
                <w:szCs w:val="24"/>
              </w:rPr>
            </w:pPr>
            <w:r w:rsidRPr="00C871D8">
              <w:rPr>
                <w:rFonts w:ascii="Arial" w:hAnsi="Arial" w:cs="Arial"/>
                <w:b/>
                <w:bCs/>
                <w:sz w:val="24"/>
                <w:szCs w:val="24"/>
              </w:rPr>
              <w:t>La personne accusée d'une infraction</w:t>
            </w:r>
            <w:r>
              <w:rPr>
                <w:rFonts w:ascii="Arial" w:hAnsi="Arial" w:cs="Arial"/>
                <w:b/>
                <w:bCs/>
                <w:sz w:val="24"/>
                <w:szCs w:val="24"/>
              </w:rPr>
              <w:t> </w:t>
            </w:r>
            <w:r w:rsidRPr="00C871D8">
              <w:rPr>
                <w:rFonts w:ascii="Arial" w:hAnsi="Arial" w:cs="Arial"/>
                <w:sz w:val="24"/>
                <w:szCs w:val="24"/>
              </w:rPr>
              <w:t>: La Commission, dans ses</w:t>
            </w:r>
            <w:r>
              <w:rPr>
                <w:rFonts w:ascii="Arial" w:hAnsi="Arial" w:cs="Arial"/>
                <w:sz w:val="24"/>
                <w:szCs w:val="24"/>
              </w:rPr>
              <w:t xml:space="preserve"> </w:t>
            </w:r>
            <w:r w:rsidRPr="00C871D8">
              <w:rPr>
                <w:rFonts w:ascii="Arial" w:hAnsi="Arial" w:cs="Arial"/>
                <w:sz w:val="24"/>
                <w:szCs w:val="24"/>
              </w:rPr>
              <w:t>représentations publiques et judiciaires, a toujours défendu une interprétation de</w:t>
            </w:r>
            <w:r>
              <w:rPr>
                <w:rFonts w:ascii="Arial" w:hAnsi="Arial" w:cs="Arial"/>
                <w:sz w:val="24"/>
                <w:szCs w:val="24"/>
              </w:rPr>
              <w:t xml:space="preserve"> </w:t>
            </w:r>
            <w:r w:rsidRPr="00C871D8">
              <w:rPr>
                <w:rFonts w:ascii="Arial" w:hAnsi="Arial" w:cs="Arial"/>
                <w:sz w:val="24"/>
                <w:szCs w:val="24"/>
              </w:rPr>
              <w:t>l'article 18.2 qui englobe la situation de la personne accusée en attente d'un</w:t>
            </w:r>
            <w:r>
              <w:rPr>
                <w:rFonts w:ascii="Arial" w:hAnsi="Arial" w:cs="Arial"/>
                <w:sz w:val="24"/>
                <w:szCs w:val="24"/>
              </w:rPr>
              <w:t xml:space="preserve"> </w:t>
            </w:r>
            <w:r w:rsidRPr="00C871D8">
              <w:rPr>
                <w:rFonts w:ascii="Arial" w:hAnsi="Arial" w:cs="Arial"/>
                <w:sz w:val="24"/>
                <w:szCs w:val="24"/>
              </w:rPr>
              <w:t xml:space="preserve">procès. </w:t>
            </w:r>
            <w:r w:rsidR="00CD2375">
              <w:rPr>
                <w:rFonts w:ascii="Arial" w:hAnsi="Arial" w:cs="Arial"/>
                <w:sz w:val="24"/>
                <w:szCs w:val="24"/>
              </w:rPr>
              <w:t>En 2015, le Tribunal des droits de la personne lui a donné raison en concluant que l’article 18.2 de la Charte, interprété de manière large et libérale, vise tout autant la personne déclarée coupable que celle accusée et présumée innocente</w:t>
            </w:r>
            <w:r w:rsidRPr="00C871D8">
              <w:rPr>
                <w:rFonts w:ascii="Arial" w:hAnsi="Arial" w:cs="Arial"/>
                <w:sz w:val="24"/>
                <w:szCs w:val="24"/>
              </w:rPr>
              <w:t>.</w:t>
            </w:r>
          </w:p>
        </w:tc>
      </w:tr>
      <w:tr w:rsidR="00132239" w:rsidRPr="00C871D8" w14:paraId="278FE444" w14:textId="77777777" w:rsidTr="15FDF7B7">
        <w:trPr>
          <w:jc w:val="center"/>
        </w:trPr>
        <w:tc>
          <w:tcPr>
            <w:tcW w:w="2032" w:type="dxa"/>
          </w:tcPr>
          <w:p w14:paraId="38C57B77" w14:textId="735370D0" w:rsidR="00132239" w:rsidRPr="00C871D8" w:rsidRDefault="00132239" w:rsidP="00AB5BB8">
            <w:pPr>
              <w:spacing w:before="120" w:after="120"/>
              <w:ind w:left="72" w:right="72"/>
              <w:rPr>
                <w:rFonts w:ascii="Arial" w:hAnsi="Arial" w:cs="Arial"/>
                <w:b/>
                <w:sz w:val="24"/>
                <w:szCs w:val="24"/>
              </w:rPr>
            </w:pPr>
            <w:r>
              <w:rPr>
                <w:rFonts w:ascii="Arial" w:hAnsi="Arial" w:cs="Arial"/>
                <w:b/>
                <w:sz w:val="24"/>
                <w:szCs w:val="24"/>
              </w:rPr>
              <w:t>La vérification des empêchements</w:t>
            </w:r>
          </w:p>
        </w:tc>
        <w:tc>
          <w:tcPr>
            <w:tcW w:w="7544" w:type="dxa"/>
          </w:tcPr>
          <w:p w14:paraId="0827A916" w14:textId="68694CC9" w:rsidR="0018574C" w:rsidRDefault="00320D69" w:rsidP="00102D17">
            <w:pPr>
              <w:autoSpaceDE w:val="0"/>
              <w:autoSpaceDN w:val="0"/>
              <w:adjustRightInd w:val="0"/>
              <w:spacing w:before="120" w:after="120" w:line="235" w:lineRule="auto"/>
              <w:ind w:left="72" w:right="72"/>
              <w:jc w:val="both"/>
              <w:rPr>
                <w:rFonts w:ascii="Arial" w:hAnsi="Arial" w:cs="Arial"/>
                <w:sz w:val="24"/>
                <w:szCs w:val="24"/>
              </w:rPr>
            </w:pPr>
            <w:r>
              <w:rPr>
                <w:rFonts w:ascii="Arial" w:hAnsi="Arial" w:cs="Arial"/>
                <w:sz w:val="24"/>
                <w:szCs w:val="24"/>
              </w:rPr>
              <w:t>Certaines</w:t>
            </w:r>
            <w:r w:rsidR="0018574C">
              <w:rPr>
                <w:rFonts w:ascii="Arial" w:hAnsi="Arial" w:cs="Arial"/>
                <w:sz w:val="24"/>
                <w:szCs w:val="24"/>
              </w:rPr>
              <w:t xml:space="preserve"> lois </w:t>
            </w:r>
            <w:r w:rsidR="00AC0A02">
              <w:rPr>
                <w:rFonts w:ascii="Arial" w:hAnsi="Arial" w:cs="Arial"/>
                <w:sz w:val="24"/>
                <w:szCs w:val="24"/>
              </w:rPr>
              <w:t>prévoient un encadrement particulier</w:t>
            </w:r>
            <w:r w:rsidR="00C25563">
              <w:rPr>
                <w:rFonts w:ascii="Arial" w:hAnsi="Arial" w:cs="Arial"/>
                <w:sz w:val="24"/>
                <w:szCs w:val="24"/>
              </w:rPr>
              <w:t xml:space="preserve"> </w:t>
            </w:r>
            <w:r w:rsidR="000F4F95">
              <w:rPr>
                <w:rFonts w:ascii="Arial" w:hAnsi="Arial" w:cs="Arial"/>
                <w:sz w:val="24"/>
                <w:szCs w:val="24"/>
              </w:rPr>
              <w:t>permettant la vérification des antécédents judiciaires ou des «empêchements» de personnes</w:t>
            </w:r>
            <w:r w:rsidR="000C2D6A">
              <w:rPr>
                <w:rFonts w:ascii="Arial" w:hAnsi="Arial" w:cs="Arial"/>
                <w:sz w:val="24"/>
                <w:szCs w:val="24"/>
              </w:rPr>
              <w:t xml:space="preserve"> qui </w:t>
            </w:r>
            <w:r>
              <w:rPr>
                <w:rFonts w:ascii="Arial" w:hAnsi="Arial" w:cs="Arial"/>
                <w:sz w:val="24"/>
                <w:szCs w:val="24"/>
              </w:rPr>
              <w:t>œuvrent</w:t>
            </w:r>
            <w:r w:rsidR="000C2D6A">
              <w:rPr>
                <w:rFonts w:ascii="Arial" w:hAnsi="Arial" w:cs="Arial"/>
                <w:sz w:val="24"/>
                <w:szCs w:val="24"/>
              </w:rPr>
              <w:t xml:space="preserve"> ou qui seraient appelées à œuvrer </w:t>
            </w:r>
            <w:r w:rsidR="0038614D">
              <w:rPr>
                <w:rFonts w:ascii="Arial" w:hAnsi="Arial" w:cs="Arial"/>
                <w:sz w:val="24"/>
                <w:szCs w:val="24"/>
              </w:rPr>
              <w:t xml:space="preserve">auprès de personnes vulnérables, </w:t>
            </w:r>
            <w:r w:rsidR="008638DC">
              <w:rPr>
                <w:rFonts w:ascii="Arial" w:hAnsi="Arial" w:cs="Arial"/>
                <w:sz w:val="24"/>
                <w:szCs w:val="24"/>
              </w:rPr>
              <w:t>par exemple</w:t>
            </w:r>
            <w:r w:rsidR="00CE7CD6">
              <w:rPr>
                <w:rFonts w:ascii="Arial" w:hAnsi="Arial" w:cs="Arial"/>
                <w:sz w:val="24"/>
                <w:szCs w:val="24"/>
              </w:rPr>
              <w:t xml:space="preserve"> dans le domaine scolaire</w:t>
            </w:r>
            <w:r w:rsidR="00267D01">
              <w:rPr>
                <w:rFonts w:ascii="Arial" w:hAnsi="Arial" w:cs="Arial"/>
                <w:sz w:val="24"/>
                <w:szCs w:val="24"/>
              </w:rPr>
              <w:t xml:space="preserve"> (</w:t>
            </w:r>
            <w:r w:rsidR="00363931">
              <w:rPr>
                <w:rFonts w:ascii="Arial" w:hAnsi="Arial" w:cs="Arial"/>
                <w:sz w:val="24"/>
                <w:szCs w:val="24"/>
              </w:rPr>
              <w:t>RLRQ, c</w:t>
            </w:r>
            <w:r w:rsidR="00C870C9">
              <w:rPr>
                <w:rFonts w:ascii="Arial" w:hAnsi="Arial" w:cs="Arial"/>
                <w:sz w:val="24"/>
                <w:szCs w:val="24"/>
              </w:rPr>
              <w:t>. I-13.3; RLRQ, c. E-9.1)</w:t>
            </w:r>
            <w:r w:rsidR="00CE7CD6">
              <w:rPr>
                <w:rFonts w:ascii="Arial" w:hAnsi="Arial" w:cs="Arial"/>
                <w:sz w:val="24"/>
                <w:szCs w:val="24"/>
              </w:rPr>
              <w:t>, les centres de la petite enfan</w:t>
            </w:r>
            <w:r w:rsidR="0053602B">
              <w:rPr>
                <w:rFonts w:ascii="Arial" w:hAnsi="Arial" w:cs="Arial"/>
                <w:sz w:val="24"/>
                <w:szCs w:val="24"/>
              </w:rPr>
              <w:t>ce RLRQ, c. S-4.1.1)</w:t>
            </w:r>
            <w:r w:rsidR="00CE7CD6">
              <w:rPr>
                <w:rFonts w:ascii="Arial" w:hAnsi="Arial" w:cs="Arial"/>
                <w:sz w:val="24"/>
                <w:szCs w:val="24"/>
              </w:rPr>
              <w:t>, les résidences pour personnes âgées</w:t>
            </w:r>
            <w:r w:rsidR="0053602B">
              <w:rPr>
                <w:rFonts w:ascii="Arial" w:hAnsi="Arial" w:cs="Arial"/>
                <w:sz w:val="24"/>
                <w:szCs w:val="24"/>
              </w:rPr>
              <w:t xml:space="preserve"> (RLRQ</w:t>
            </w:r>
            <w:r w:rsidR="00274B99">
              <w:rPr>
                <w:rFonts w:ascii="Arial" w:hAnsi="Arial" w:cs="Arial"/>
                <w:sz w:val="24"/>
                <w:szCs w:val="24"/>
              </w:rPr>
              <w:t xml:space="preserve"> c. S</w:t>
            </w:r>
            <w:r w:rsidR="00DF12B9">
              <w:rPr>
                <w:rFonts w:ascii="Arial" w:hAnsi="Arial" w:cs="Arial"/>
                <w:sz w:val="24"/>
                <w:szCs w:val="24"/>
              </w:rPr>
              <w:t>-4.2, r. 0.01)</w:t>
            </w:r>
            <w:r w:rsidR="00194FFF">
              <w:rPr>
                <w:rFonts w:ascii="Arial" w:hAnsi="Arial" w:cs="Arial"/>
                <w:sz w:val="24"/>
                <w:szCs w:val="24"/>
              </w:rPr>
              <w:t>, les milieux offrants</w:t>
            </w:r>
            <w:r w:rsidR="00D521FF">
              <w:rPr>
                <w:rFonts w:ascii="Arial" w:hAnsi="Arial" w:cs="Arial"/>
                <w:sz w:val="24"/>
                <w:szCs w:val="24"/>
              </w:rPr>
              <w:t xml:space="preserve"> de l’hébergement en dépendance</w:t>
            </w:r>
            <w:r w:rsidR="00131642">
              <w:rPr>
                <w:rFonts w:ascii="Arial" w:hAnsi="Arial" w:cs="Arial"/>
                <w:sz w:val="24"/>
                <w:szCs w:val="24"/>
              </w:rPr>
              <w:t xml:space="preserve"> (</w:t>
            </w:r>
            <w:r w:rsidR="00131642" w:rsidRPr="00131642">
              <w:rPr>
                <w:rFonts w:ascii="Arial" w:hAnsi="Arial" w:cs="Arial"/>
                <w:sz w:val="24"/>
                <w:szCs w:val="24"/>
              </w:rPr>
              <w:t>RLRQ, c. S-4.2, r. 0.1</w:t>
            </w:r>
            <w:r w:rsidR="00131642">
              <w:rPr>
                <w:rFonts w:ascii="Arial" w:hAnsi="Arial" w:cs="Arial"/>
                <w:sz w:val="24"/>
                <w:szCs w:val="24"/>
              </w:rPr>
              <w:t>)</w:t>
            </w:r>
            <w:r w:rsidR="00D54628">
              <w:rPr>
                <w:rFonts w:ascii="Arial" w:hAnsi="Arial" w:cs="Arial"/>
                <w:sz w:val="24"/>
                <w:szCs w:val="24"/>
              </w:rPr>
              <w:t>, etc.</w:t>
            </w:r>
          </w:p>
          <w:p w14:paraId="22CED51D" w14:textId="1C3A149E" w:rsidR="00132239" w:rsidRDefault="00132239" w:rsidP="00102D17">
            <w:pPr>
              <w:autoSpaceDE w:val="0"/>
              <w:autoSpaceDN w:val="0"/>
              <w:adjustRightInd w:val="0"/>
              <w:spacing w:before="120" w:after="120" w:line="235" w:lineRule="auto"/>
              <w:ind w:left="72" w:right="72"/>
              <w:jc w:val="both"/>
              <w:rPr>
                <w:rFonts w:ascii="Arial" w:hAnsi="Arial" w:cs="Arial"/>
                <w:sz w:val="24"/>
                <w:szCs w:val="24"/>
              </w:rPr>
            </w:pPr>
            <w:r w:rsidRPr="00132239">
              <w:rPr>
                <w:rFonts w:ascii="Arial" w:hAnsi="Arial" w:cs="Arial"/>
                <w:sz w:val="24"/>
                <w:szCs w:val="24"/>
              </w:rPr>
              <w:t xml:space="preserve">On </w:t>
            </w:r>
            <w:r>
              <w:rPr>
                <w:rFonts w:ascii="Arial" w:hAnsi="Arial" w:cs="Arial"/>
                <w:sz w:val="24"/>
                <w:szCs w:val="24"/>
              </w:rPr>
              <w:t xml:space="preserve">constate </w:t>
            </w:r>
            <w:r w:rsidR="004E5307">
              <w:rPr>
                <w:rFonts w:ascii="Arial" w:hAnsi="Arial" w:cs="Arial"/>
                <w:sz w:val="24"/>
                <w:szCs w:val="24"/>
              </w:rPr>
              <w:t>ainsi</w:t>
            </w:r>
            <w:r>
              <w:rPr>
                <w:rFonts w:ascii="Arial" w:hAnsi="Arial" w:cs="Arial"/>
                <w:sz w:val="24"/>
                <w:szCs w:val="24"/>
              </w:rPr>
              <w:t xml:space="preserve"> une tendance de plus en plus marquée</w:t>
            </w:r>
            <w:r w:rsidR="00131642">
              <w:rPr>
                <w:rFonts w:ascii="Arial" w:hAnsi="Arial" w:cs="Arial"/>
                <w:sz w:val="24"/>
                <w:szCs w:val="24"/>
              </w:rPr>
              <w:t>, particulièrement</w:t>
            </w:r>
            <w:r>
              <w:rPr>
                <w:rFonts w:ascii="Arial" w:hAnsi="Arial" w:cs="Arial"/>
                <w:sz w:val="24"/>
                <w:szCs w:val="24"/>
              </w:rPr>
              <w:t xml:space="preserve"> chez </w:t>
            </w:r>
            <w:r w:rsidR="00131642">
              <w:rPr>
                <w:rFonts w:ascii="Arial" w:hAnsi="Arial" w:cs="Arial"/>
                <w:sz w:val="24"/>
                <w:szCs w:val="24"/>
              </w:rPr>
              <w:t xml:space="preserve">les </w:t>
            </w:r>
            <w:r>
              <w:rPr>
                <w:rFonts w:ascii="Arial" w:hAnsi="Arial" w:cs="Arial"/>
                <w:sz w:val="24"/>
                <w:szCs w:val="24"/>
              </w:rPr>
              <w:t>employeurs</w:t>
            </w:r>
            <w:r w:rsidR="0085788F">
              <w:rPr>
                <w:rFonts w:ascii="Arial" w:hAnsi="Arial" w:cs="Arial"/>
                <w:sz w:val="24"/>
                <w:szCs w:val="24"/>
              </w:rPr>
              <w:t xml:space="preserve"> œuvrant dans ces domaines</w:t>
            </w:r>
            <w:r>
              <w:rPr>
                <w:rFonts w:ascii="Arial" w:hAnsi="Arial" w:cs="Arial"/>
                <w:sz w:val="24"/>
                <w:szCs w:val="24"/>
              </w:rPr>
              <w:t>, à procéder à une vérification des empêchements.</w:t>
            </w:r>
          </w:p>
          <w:p w14:paraId="37CBF4FE" w14:textId="3D2732D4" w:rsidR="00132239" w:rsidRDefault="00132239" w:rsidP="00102D17">
            <w:pPr>
              <w:autoSpaceDE w:val="0"/>
              <w:autoSpaceDN w:val="0"/>
              <w:adjustRightInd w:val="0"/>
              <w:spacing w:before="120" w:after="120" w:line="235" w:lineRule="auto"/>
              <w:ind w:left="72" w:right="72"/>
              <w:jc w:val="both"/>
              <w:rPr>
                <w:rFonts w:ascii="Arial" w:hAnsi="Arial" w:cs="Arial"/>
                <w:sz w:val="24"/>
                <w:szCs w:val="24"/>
              </w:rPr>
            </w:pPr>
            <w:r>
              <w:rPr>
                <w:rFonts w:ascii="Arial" w:hAnsi="Arial" w:cs="Arial"/>
                <w:sz w:val="24"/>
                <w:szCs w:val="24"/>
              </w:rPr>
              <w:t xml:space="preserve">La notion d’empêchement englobe les mises en accusation et les condamnations pour des actes criminels. Mais elle va plus loin puisqu’elle cible les inconduites, les comportements ou les informations pouvant faire craindre qu’un comportement passé ou actuel d’un candidat constitue un risque pour la sécurité physique ou morale des personnes vulnérables auprès de qui il pourrait être appelé à œuvrer. </w:t>
            </w:r>
          </w:p>
          <w:p w14:paraId="5D341A48" w14:textId="4E21F137" w:rsidR="005A6B7B" w:rsidRDefault="005A6B7B" w:rsidP="00102D17">
            <w:pPr>
              <w:autoSpaceDE w:val="0"/>
              <w:autoSpaceDN w:val="0"/>
              <w:adjustRightInd w:val="0"/>
              <w:spacing w:before="120" w:after="120" w:line="235" w:lineRule="auto"/>
              <w:ind w:left="72" w:right="72"/>
              <w:jc w:val="both"/>
              <w:rPr>
                <w:rFonts w:ascii="Arial" w:hAnsi="Arial" w:cs="Arial"/>
                <w:sz w:val="24"/>
                <w:szCs w:val="24"/>
              </w:rPr>
            </w:pPr>
            <w:r>
              <w:rPr>
                <w:rFonts w:ascii="Arial" w:hAnsi="Arial" w:cs="Arial"/>
                <w:sz w:val="24"/>
                <w:szCs w:val="24"/>
              </w:rPr>
              <w:t xml:space="preserve">Les informations </w:t>
            </w:r>
            <w:r w:rsidR="00C92F56">
              <w:rPr>
                <w:rFonts w:ascii="Arial" w:hAnsi="Arial" w:cs="Arial"/>
                <w:sz w:val="24"/>
                <w:szCs w:val="24"/>
              </w:rPr>
              <w:t xml:space="preserve">concernant les empêchements </w:t>
            </w:r>
            <w:r w:rsidR="005E1448">
              <w:rPr>
                <w:rFonts w:ascii="Arial" w:hAnsi="Arial" w:cs="Arial"/>
                <w:sz w:val="24"/>
                <w:szCs w:val="24"/>
              </w:rPr>
              <w:t>sont colligées par les policiers</w:t>
            </w:r>
            <w:r w:rsidR="00121D69">
              <w:rPr>
                <w:rFonts w:ascii="Arial" w:hAnsi="Arial" w:cs="Arial"/>
                <w:sz w:val="24"/>
                <w:szCs w:val="24"/>
              </w:rPr>
              <w:t xml:space="preserve"> et</w:t>
            </w:r>
            <w:r w:rsidR="0042083E">
              <w:rPr>
                <w:rFonts w:ascii="Arial" w:hAnsi="Arial" w:cs="Arial"/>
                <w:sz w:val="24"/>
                <w:szCs w:val="24"/>
              </w:rPr>
              <w:t xml:space="preserve"> les protocoles </w:t>
            </w:r>
            <w:r w:rsidR="0011336C">
              <w:rPr>
                <w:rFonts w:ascii="Arial" w:hAnsi="Arial" w:cs="Arial"/>
                <w:sz w:val="24"/>
                <w:szCs w:val="24"/>
              </w:rPr>
              <w:t>prévoient généralement qu’elles</w:t>
            </w:r>
            <w:r w:rsidR="005E1448">
              <w:rPr>
                <w:rFonts w:ascii="Arial" w:hAnsi="Arial" w:cs="Arial"/>
                <w:sz w:val="24"/>
                <w:szCs w:val="24"/>
              </w:rPr>
              <w:t xml:space="preserve"> </w:t>
            </w:r>
            <w:r w:rsidR="00C92F56">
              <w:rPr>
                <w:rFonts w:ascii="Arial" w:hAnsi="Arial" w:cs="Arial"/>
                <w:sz w:val="24"/>
                <w:szCs w:val="24"/>
              </w:rPr>
              <w:t xml:space="preserve">doivent être remises au candidat. C’est à ce dernier de décider s’il souhaite transmettre ou non à son employeur le résultat de la </w:t>
            </w:r>
            <w:r w:rsidR="00C92F56">
              <w:rPr>
                <w:rFonts w:ascii="Arial" w:hAnsi="Arial" w:cs="Arial"/>
                <w:sz w:val="24"/>
                <w:szCs w:val="24"/>
              </w:rPr>
              <w:lastRenderedPageBreak/>
              <w:t xml:space="preserve">vérification. </w:t>
            </w:r>
            <w:r w:rsidR="0011336C">
              <w:rPr>
                <w:rFonts w:ascii="Arial" w:hAnsi="Arial" w:cs="Arial"/>
                <w:sz w:val="24"/>
                <w:szCs w:val="24"/>
              </w:rPr>
              <w:t>Bien qu’ils disposent d’une certaine discrétion sur la nature des informations à divulguer, i</w:t>
            </w:r>
            <w:r w:rsidR="00C92F56">
              <w:rPr>
                <w:rFonts w:ascii="Arial" w:hAnsi="Arial" w:cs="Arial"/>
                <w:sz w:val="24"/>
                <w:szCs w:val="24"/>
              </w:rPr>
              <w:t>l ne revient pas au</w:t>
            </w:r>
            <w:r w:rsidR="00BF6E93">
              <w:rPr>
                <w:rFonts w:ascii="Arial" w:hAnsi="Arial" w:cs="Arial"/>
                <w:sz w:val="24"/>
                <w:szCs w:val="24"/>
              </w:rPr>
              <w:t>x</w:t>
            </w:r>
            <w:r w:rsidR="00C92F56">
              <w:rPr>
                <w:rFonts w:ascii="Arial" w:hAnsi="Arial" w:cs="Arial"/>
                <w:sz w:val="24"/>
                <w:szCs w:val="24"/>
              </w:rPr>
              <w:t xml:space="preserve"> policier</w:t>
            </w:r>
            <w:r w:rsidR="00BF6E93">
              <w:rPr>
                <w:rFonts w:ascii="Arial" w:hAnsi="Arial" w:cs="Arial"/>
                <w:sz w:val="24"/>
                <w:szCs w:val="24"/>
              </w:rPr>
              <w:t>s</w:t>
            </w:r>
            <w:r w:rsidR="00C92F56">
              <w:rPr>
                <w:rFonts w:ascii="Arial" w:hAnsi="Arial" w:cs="Arial"/>
                <w:sz w:val="24"/>
                <w:szCs w:val="24"/>
              </w:rPr>
              <w:t xml:space="preserve"> qui procède</w:t>
            </w:r>
            <w:r w:rsidR="00BF6E93">
              <w:rPr>
                <w:rFonts w:ascii="Arial" w:hAnsi="Arial" w:cs="Arial"/>
                <w:sz w:val="24"/>
                <w:szCs w:val="24"/>
              </w:rPr>
              <w:t>nt</w:t>
            </w:r>
            <w:r w:rsidR="00C92F56">
              <w:rPr>
                <w:rFonts w:ascii="Arial" w:hAnsi="Arial" w:cs="Arial"/>
                <w:sz w:val="24"/>
                <w:szCs w:val="24"/>
              </w:rPr>
              <w:t xml:space="preserve"> à la vérification de déterminer si le comportement constitue un empêchement</w:t>
            </w:r>
            <w:r w:rsidR="006650D3">
              <w:rPr>
                <w:rFonts w:ascii="Arial" w:hAnsi="Arial" w:cs="Arial"/>
                <w:sz w:val="24"/>
                <w:szCs w:val="24"/>
              </w:rPr>
              <w:t xml:space="preserve"> à l’emploi</w:t>
            </w:r>
            <w:r w:rsidR="00C92F56">
              <w:rPr>
                <w:rFonts w:ascii="Arial" w:hAnsi="Arial" w:cs="Arial"/>
                <w:sz w:val="24"/>
                <w:szCs w:val="24"/>
              </w:rPr>
              <w:t>. Cette tâche incombe à l’employeur. C’est sur cette base que la Cour d’appel a confirmé que les policiers étaient tenus de divulguer des renseignements concernant des allégations d</w:t>
            </w:r>
            <w:r w:rsidR="005E1448">
              <w:rPr>
                <w:rFonts w:ascii="Arial" w:hAnsi="Arial" w:cs="Arial"/>
                <w:sz w:val="24"/>
                <w:szCs w:val="24"/>
              </w:rPr>
              <w:t>e tentative de suicide et d’agression sexuelle pour travailler dans un centre de la petite enfance, même si ce</w:t>
            </w:r>
            <w:r w:rsidR="00121D69">
              <w:rPr>
                <w:rFonts w:ascii="Arial" w:hAnsi="Arial" w:cs="Arial"/>
                <w:sz w:val="24"/>
                <w:szCs w:val="24"/>
              </w:rPr>
              <w:t>ux-ci n’o</w:t>
            </w:r>
            <w:r w:rsidR="005E1448">
              <w:rPr>
                <w:rFonts w:ascii="Arial" w:hAnsi="Arial" w:cs="Arial"/>
                <w:sz w:val="24"/>
                <w:szCs w:val="24"/>
              </w:rPr>
              <w:t>nt mené à aucune accusation</w:t>
            </w:r>
            <w:r w:rsidR="005E1448">
              <w:rPr>
                <w:rStyle w:val="Appelnotedebasdep"/>
                <w:rFonts w:ascii="Arial" w:hAnsi="Arial" w:cs="Arial"/>
                <w:sz w:val="24"/>
                <w:szCs w:val="24"/>
              </w:rPr>
              <w:footnoteReference w:id="2"/>
            </w:r>
            <w:r w:rsidR="005E1448">
              <w:rPr>
                <w:rFonts w:ascii="Arial" w:hAnsi="Arial" w:cs="Arial"/>
                <w:sz w:val="24"/>
                <w:szCs w:val="24"/>
              </w:rPr>
              <w:t xml:space="preserve">. </w:t>
            </w:r>
          </w:p>
          <w:p w14:paraId="7C1682D1" w14:textId="77777777" w:rsidR="002846D4" w:rsidRDefault="00132239" w:rsidP="00102D17">
            <w:pPr>
              <w:autoSpaceDE w:val="0"/>
              <w:autoSpaceDN w:val="0"/>
              <w:adjustRightInd w:val="0"/>
              <w:spacing w:before="120" w:after="120" w:line="235" w:lineRule="auto"/>
              <w:ind w:left="72" w:right="72"/>
              <w:jc w:val="both"/>
              <w:rPr>
                <w:rFonts w:ascii="Arial" w:hAnsi="Arial" w:cs="Arial"/>
                <w:sz w:val="24"/>
                <w:szCs w:val="24"/>
              </w:rPr>
            </w:pPr>
            <w:r w:rsidRPr="15FDF7B7">
              <w:rPr>
                <w:rFonts w:ascii="Arial" w:hAnsi="Arial" w:cs="Arial"/>
                <w:sz w:val="24"/>
                <w:szCs w:val="24"/>
              </w:rPr>
              <w:t xml:space="preserve">Les empêchements sont des informations versées dans les </w:t>
            </w:r>
            <w:r w:rsidR="00B61248" w:rsidRPr="15FDF7B7">
              <w:rPr>
                <w:rFonts w:ascii="Arial" w:hAnsi="Arial" w:cs="Arial"/>
                <w:sz w:val="24"/>
                <w:szCs w:val="24"/>
              </w:rPr>
              <w:t xml:space="preserve">banques de données policières. </w:t>
            </w:r>
            <w:r w:rsidR="009023CA" w:rsidRPr="15FDF7B7">
              <w:rPr>
                <w:rFonts w:ascii="Arial" w:hAnsi="Arial" w:cs="Arial"/>
                <w:sz w:val="24"/>
                <w:szCs w:val="24"/>
              </w:rPr>
              <w:t xml:space="preserve">Comme il ne s’agit pas </w:t>
            </w:r>
            <w:r w:rsidR="009F2AEF" w:rsidRPr="15FDF7B7">
              <w:rPr>
                <w:rFonts w:ascii="Arial" w:hAnsi="Arial" w:cs="Arial"/>
                <w:sz w:val="24"/>
                <w:szCs w:val="24"/>
              </w:rPr>
              <w:t xml:space="preserve">nécessairement </w:t>
            </w:r>
            <w:r w:rsidR="009023CA" w:rsidRPr="15FDF7B7">
              <w:rPr>
                <w:rFonts w:ascii="Arial" w:hAnsi="Arial" w:cs="Arial"/>
                <w:sz w:val="24"/>
                <w:szCs w:val="24"/>
              </w:rPr>
              <w:t xml:space="preserve">d’informations relatives à des infractions criminelles ou pénales ayant mené à des accusations ou des condamnations, la protection de l’article 18.2 </w:t>
            </w:r>
            <w:r w:rsidR="00176694" w:rsidRPr="15FDF7B7">
              <w:rPr>
                <w:rFonts w:ascii="Arial" w:hAnsi="Arial" w:cs="Arial"/>
                <w:sz w:val="24"/>
                <w:szCs w:val="24"/>
              </w:rPr>
              <w:t xml:space="preserve">de la Charte </w:t>
            </w:r>
            <w:r w:rsidR="008354F5" w:rsidRPr="15FDF7B7">
              <w:rPr>
                <w:rFonts w:ascii="Arial" w:hAnsi="Arial" w:cs="Arial"/>
                <w:sz w:val="24"/>
                <w:szCs w:val="24"/>
              </w:rPr>
              <w:t xml:space="preserve">pourrait </w:t>
            </w:r>
            <w:r w:rsidR="009023CA" w:rsidRPr="15FDF7B7">
              <w:rPr>
                <w:rFonts w:ascii="Arial" w:hAnsi="Arial" w:cs="Arial"/>
                <w:sz w:val="24"/>
                <w:szCs w:val="24"/>
              </w:rPr>
              <w:t>ne</w:t>
            </w:r>
            <w:r w:rsidR="008354F5" w:rsidRPr="15FDF7B7">
              <w:rPr>
                <w:rFonts w:ascii="Arial" w:hAnsi="Arial" w:cs="Arial"/>
                <w:sz w:val="24"/>
                <w:szCs w:val="24"/>
              </w:rPr>
              <w:t xml:space="preserve"> pas</w:t>
            </w:r>
            <w:r w:rsidR="009023CA" w:rsidRPr="15FDF7B7">
              <w:rPr>
                <w:rFonts w:ascii="Arial" w:hAnsi="Arial" w:cs="Arial"/>
                <w:sz w:val="24"/>
                <w:szCs w:val="24"/>
              </w:rPr>
              <w:t xml:space="preserve"> s’applique</w:t>
            </w:r>
            <w:r w:rsidR="008354F5" w:rsidRPr="15FDF7B7">
              <w:rPr>
                <w:rFonts w:ascii="Arial" w:hAnsi="Arial" w:cs="Arial"/>
                <w:sz w:val="24"/>
                <w:szCs w:val="24"/>
              </w:rPr>
              <w:t>r. Le débat</w:t>
            </w:r>
            <w:r w:rsidR="00482193">
              <w:rPr>
                <w:rFonts w:ascii="Arial" w:hAnsi="Arial" w:cs="Arial"/>
                <w:sz w:val="24"/>
                <w:szCs w:val="24"/>
              </w:rPr>
              <w:t xml:space="preserve"> devant les tribunaux</w:t>
            </w:r>
            <w:r w:rsidR="008354F5" w:rsidRPr="15FDF7B7">
              <w:rPr>
                <w:rFonts w:ascii="Arial" w:hAnsi="Arial" w:cs="Arial"/>
                <w:sz w:val="24"/>
                <w:szCs w:val="24"/>
              </w:rPr>
              <w:t xml:space="preserve"> </w:t>
            </w:r>
            <w:r w:rsidR="2256BA6B" w:rsidRPr="2B093ADC">
              <w:rPr>
                <w:rFonts w:ascii="Arial" w:hAnsi="Arial" w:cs="Arial"/>
                <w:sz w:val="24"/>
                <w:szCs w:val="24"/>
              </w:rPr>
              <w:t>reste</w:t>
            </w:r>
            <w:r w:rsidR="008354F5" w:rsidRPr="15FDF7B7">
              <w:rPr>
                <w:rFonts w:ascii="Arial" w:hAnsi="Arial" w:cs="Arial"/>
                <w:sz w:val="24"/>
                <w:szCs w:val="24"/>
              </w:rPr>
              <w:t xml:space="preserve"> cependant à faire. </w:t>
            </w:r>
          </w:p>
          <w:p w14:paraId="5D0ECB61" w14:textId="0014470D" w:rsidR="00132239" w:rsidRDefault="002846D4" w:rsidP="00102D17">
            <w:pPr>
              <w:autoSpaceDE w:val="0"/>
              <w:autoSpaceDN w:val="0"/>
              <w:adjustRightInd w:val="0"/>
              <w:spacing w:before="120" w:after="120" w:line="235" w:lineRule="auto"/>
              <w:ind w:left="72" w:right="72"/>
              <w:jc w:val="both"/>
              <w:rPr>
                <w:rFonts w:ascii="Arial" w:hAnsi="Arial" w:cs="Arial"/>
                <w:sz w:val="24"/>
                <w:szCs w:val="24"/>
              </w:rPr>
            </w:pPr>
            <w:r>
              <w:rPr>
                <w:rFonts w:ascii="Arial" w:hAnsi="Arial" w:cs="Arial"/>
                <w:sz w:val="24"/>
                <w:szCs w:val="24"/>
              </w:rPr>
              <w:t>S</w:t>
            </w:r>
            <w:r w:rsidR="115BE6E5" w:rsidRPr="2B093ADC">
              <w:rPr>
                <w:rFonts w:ascii="Arial" w:hAnsi="Arial" w:cs="Arial"/>
                <w:sz w:val="24"/>
                <w:szCs w:val="24"/>
              </w:rPr>
              <w:t>elon</w:t>
            </w:r>
            <w:r w:rsidR="005A6B7B" w:rsidRPr="15FDF7B7">
              <w:rPr>
                <w:rFonts w:ascii="Arial" w:hAnsi="Arial" w:cs="Arial"/>
                <w:sz w:val="24"/>
                <w:szCs w:val="24"/>
              </w:rPr>
              <w:t xml:space="preserve"> leur nature, ces informations p</w:t>
            </w:r>
            <w:r w:rsidR="00A47228" w:rsidRPr="15FDF7B7">
              <w:rPr>
                <w:rFonts w:ascii="Arial" w:hAnsi="Arial" w:cs="Arial"/>
                <w:sz w:val="24"/>
                <w:szCs w:val="24"/>
              </w:rPr>
              <w:t>ourraient</w:t>
            </w:r>
            <w:r w:rsidR="005A6B7B" w:rsidRPr="15FDF7B7">
              <w:rPr>
                <w:rFonts w:ascii="Arial" w:hAnsi="Arial" w:cs="Arial"/>
                <w:sz w:val="24"/>
                <w:szCs w:val="24"/>
              </w:rPr>
              <w:t xml:space="preserve"> toutefois être englobées par le motif handicap énoncé à l’article 10 de la Charte. C’est le cas des informations concernant la santé mentale d’un candidat. </w:t>
            </w:r>
            <w:r w:rsidR="001302BE">
              <w:rPr>
                <w:rFonts w:ascii="Arial" w:hAnsi="Arial" w:cs="Arial"/>
                <w:sz w:val="24"/>
                <w:szCs w:val="24"/>
              </w:rPr>
              <w:t>Ces informations p</w:t>
            </w:r>
            <w:r w:rsidR="005F4120">
              <w:rPr>
                <w:rFonts w:ascii="Arial" w:hAnsi="Arial" w:cs="Arial"/>
                <w:sz w:val="24"/>
                <w:szCs w:val="24"/>
              </w:rPr>
              <w:t xml:space="preserve">ourraient </w:t>
            </w:r>
            <w:r w:rsidR="001302BE">
              <w:rPr>
                <w:rFonts w:ascii="Arial" w:hAnsi="Arial" w:cs="Arial"/>
                <w:sz w:val="24"/>
                <w:szCs w:val="24"/>
              </w:rPr>
              <w:t xml:space="preserve">également être </w:t>
            </w:r>
            <w:r w:rsidR="005F4120">
              <w:rPr>
                <w:rFonts w:ascii="Arial" w:hAnsi="Arial" w:cs="Arial"/>
                <w:sz w:val="24"/>
                <w:szCs w:val="24"/>
              </w:rPr>
              <w:t>protégées par l’article 5 de la Charte qui consacre le droit au respect de sa vie privée.</w:t>
            </w:r>
          </w:p>
          <w:p w14:paraId="0B1E6185" w14:textId="743E0EB2" w:rsidR="00132239" w:rsidRPr="00132239" w:rsidRDefault="00132239" w:rsidP="008354F5">
            <w:pPr>
              <w:autoSpaceDE w:val="0"/>
              <w:autoSpaceDN w:val="0"/>
              <w:adjustRightInd w:val="0"/>
              <w:spacing w:before="120" w:after="120" w:line="235" w:lineRule="auto"/>
              <w:ind w:right="72"/>
              <w:jc w:val="both"/>
              <w:rPr>
                <w:rFonts w:ascii="Arial" w:hAnsi="Arial" w:cs="Arial"/>
                <w:sz w:val="24"/>
                <w:szCs w:val="24"/>
              </w:rPr>
            </w:pPr>
          </w:p>
        </w:tc>
      </w:tr>
      <w:tr w:rsidR="0092335B" w:rsidRPr="00C871D8" w14:paraId="61A3318B" w14:textId="77777777" w:rsidTr="15FDF7B7">
        <w:trPr>
          <w:jc w:val="center"/>
        </w:trPr>
        <w:tc>
          <w:tcPr>
            <w:tcW w:w="2032" w:type="dxa"/>
          </w:tcPr>
          <w:p w14:paraId="3ADFAAEF" w14:textId="77777777" w:rsidR="0092335B" w:rsidRPr="00C871D8" w:rsidRDefault="0092335B" w:rsidP="00AB5BB8">
            <w:pPr>
              <w:spacing w:before="120" w:after="120"/>
              <w:ind w:left="72" w:right="72"/>
              <w:rPr>
                <w:rFonts w:ascii="Arial" w:hAnsi="Arial" w:cs="Arial"/>
                <w:b/>
                <w:sz w:val="24"/>
                <w:szCs w:val="24"/>
              </w:rPr>
            </w:pPr>
            <w:r w:rsidRPr="00C871D8">
              <w:rPr>
                <w:rFonts w:ascii="Arial" w:hAnsi="Arial" w:cs="Arial"/>
                <w:b/>
                <w:sz w:val="24"/>
                <w:szCs w:val="24"/>
              </w:rPr>
              <w:lastRenderedPageBreak/>
              <w:t>Le cas particulier des fausses déclarations</w:t>
            </w:r>
          </w:p>
        </w:tc>
        <w:tc>
          <w:tcPr>
            <w:tcW w:w="7544" w:type="dxa"/>
          </w:tcPr>
          <w:p w14:paraId="31AD6FE3" w14:textId="18E69E19" w:rsidR="0092335B" w:rsidRPr="00C871D8" w:rsidRDefault="0092335B" w:rsidP="00102D17">
            <w:pPr>
              <w:autoSpaceDE w:val="0"/>
              <w:autoSpaceDN w:val="0"/>
              <w:adjustRightInd w:val="0"/>
              <w:spacing w:before="120" w:after="120" w:line="235" w:lineRule="auto"/>
              <w:ind w:left="72" w:right="72"/>
              <w:jc w:val="both"/>
              <w:rPr>
                <w:rFonts w:ascii="Arial" w:hAnsi="Arial" w:cs="Arial"/>
                <w:sz w:val="24"/>
                <w:szCs w:val="24"/>
              </w:rPr>
            </w:pPr>
            <w:r w:rsidRPr="00C871D8">
              <w:rPr>
                <w:rFonts w:ascii="Arial" w:hAnsi="Arial" w:cs="Arial"/>
                <w:sz w:val="24"/>
                <w:szCs w:val="24"/>
              </w:rPr>
              <w:t xml:space="preserve">L'article 18.2 protège la personne contre l'utilisation </w:t>
            </w:r>
            <w:r w:rsidR="00CD2375">
              <w:rPr>
                <w:rFonts w:ascii="Arial" w:hAnsi="Arial" w:cs="Arial"/>
                <w:sz w:val="24"/>
                <w:szCs w:val="24"/>
              </w:rPr>
              <w:t xml:space="preserve">discriminatoire </w:t>
            </w:r>
            <w:r w:rsidRPr="00C871D8">
              <w:rPr>
                <w:rFonts w:ascii="Arial" w:hAnsi="Arial" w:cs="Arial"/>
                <w:sz w:val="24"/>
                <w:szCs w:val="24"/>
              </w:rPr>
              <w:t>des</w:t>
            </w:r>
            <w:r>
              <w:rPr>
                <w:rFonts w:ascii="Arial" w:hAnsi="Arial" w:cs="Arial"/>
                <w:sz w:val="24"/>
                <w:szCs w:val="24"/>
              </w:rPr>
              <w:t xml:space="preserve"> </w:t>
            </w:r>
            <w:r w:rsidRPr="00C871D8">
              <w:rPr>
                <w:rFonts w:ascii="Arial" w:hAnsi="Arial" w:cs="Arial"/>
                <w:sz w:val="24"/>
                <w:szCs w:val="24"/>
              </w:rPr>
              <w:t>informations</w:t>
            </w:r>
            <w:r>
              <w:rPr>
                <w:rFonts w:ascii="Arial" w:hAnsi="Arial" w:cs="Arial"/>
                <w:sz w:val="24"/>
                <w:szCs w:val="24"/>
              </w:rPr>
              <w:t xml:space="preserve"> </w:t>
            </w:r>
            <w:r w:rsidRPr="00C871D8">
              <w:rPr>
                <w:rFonts w:ascii="Arial" w:hAnsi="Arial" w:cs="Arial"/>
                <w:sz w:val="24"/>
                <w:szCs w:val="24"/>
              </w:rPr>
              <w:t>obtenues par l'employeur concernant les antécédents judiciaires.</w:t>
            </w:r>
          </w:p>
          <w:p w14:paraId="65AA21DE" w14:textId="2016EFCD" w:rsidR="0092335B" w:rsidRPr="00C871D8" w:rsidRDefault="0092335B" w:rsidP="00102D17">
            <w:pPr>
              <w:autoSpaceDE w:val="0"/>
              <w:autoSpaceDN w:val="0"/>
              <w:adjustRightInd w:val="0"/>
              <w:spacing w:before="120" w:after="120" w:line="235" w:lineRule="auto"/>
              <w:ind w:left="72" w:right="72"/>
              <w:jc w:val="both"/>
              <w:rPr>
                <w:rFonts w:ascii="Arial" w:hAnsi="Arial" w:cs="Arial"/>
                <w:sz w:val="24"/>
                <w:szCs w:val="24"/>
              </w:rPr>
            </w:pPr>
            <w:r w:rsidRPr="00C871D8">
              <w:rPr>
                <w:rFonts w:ascii="Arial" w:hAnsi="Arial" w:cs="Arial"/>
                <w:sz w:val="24"/>
                <w:szCs w:val="24"/>
              </w:rPr>
              <w:t>Un employeur a le droit de s'informer de l'existence</w:t>
            </w:r>
            <w:r>
              <w:rPr>
                <w:rFonts w:ascii="Arial" w:hAnsi="Arial" w:cs="Arial"/>
                <w:sz w:val="24"/>
                <w:szCs w:val="24"/>
              </w:rPr>
              <w:t xml:space="preserve"> </w:t>
            </w:r>
            <w:r w:rsidRPr="00C871D8">
              <w:rPr>
                <w:rFonts w:ascii="Arial" w:hAnsi="Arial" w:cs="Arial"/>
                <w:sz w:val="24"/>
                <w:szCs w:val="24"/>
              </w:rPr>
              <w:t>d'antécédents</w:t>
            </w:r>
            <w:r>
              <w:rPr>
                <w:rFonts w:ascii="Arial" w:hAnsi="Arial" w:cs="Arial"/>
                <w:sz w:val="24"/>
                <w:szCs w:val="24"/>
              </w:rPr>
              <w:t xml:space="preserve"> </w:t>
            </w:r>
            <w:r w:rsidRPr="00C871D8">
              <w:rPr>
                <w:rFonts w:ascii="Arial" w:hAnsi="Arial" w:cs="Arial"/>
                <w:sz w:val="24"/>
                <w:szCs w:val="24"/>
              </w:rPr>
              <w:t>judiciaires chez un candidat.</w:t>
            </w:r>
          </w:p>
          <w:p w14:paraId="4AE229A6" w14:textId="77777777" w:rsidR="0092335B" w:rsidRPr="00C871D8" w:rsidRDefault="0092335B" w:rsidP="00102D17">
            <w:pPr>
              <w:autoSpaceDE w:val="0"/>
              <w:autoSpaceDN w:val="0"/>
              <w:adjustRightInd w:val="0"/>
              <w:spacing w:before="120" w:after="120" w:line="235" w:lineRule="auto"/>
              <w:ind w:left="72" w:right="72"/>
              <w:jc w:val="both"/>
              <w:rPr>
                <w:rFonts w:ascii="Arial" w:hAnsi="Arial" w:cs="Arial"/>
                <w:sz w:val="24"/>
                <w:szCs w:val="24"/>
              </w:rPr>
            </w:pPr>
            <w:r w:rsidRPr="00C871D8">
              <w:rPr>
                <w:rFonts w:ascii="Arial" w:hAnsi="Arial" w:cs="Arial"/>
                <w:sz w:val="24"/>
                <w:szCs w:val="24"/>
              </w:rPr>
              <w:t>Ainsi, lorsqu'une personne est interrogée sur ses antécédents</w:t>
            </w:r>
            <w:r>
              <w:rPr>
                <w:rFonts w:ascii="Arial" w:hAnsi="Arial" w:cs="Arial"/>
                <w:sz w:val="24"/>
                <w:szCs w:val="24"/>
              </w:rPr>
              <w:t xml:space="preserve"> </w:t>
            </w:r>
            <w:r w:rsidRPr="00C871D8">
              <w:rPr>
                <w:rFonts w:ascii="Arial" w:hAnsi="Arial" w:cs="Arial"/>
                <w:sz w:val="24"/>
                <w:szCs w:val="24"/>
              </w:rPr>
              <w:t>judiciaires, elle est</w:t>
            </w:r>
            <w:r>
              <w:rPr>
                <w:rFonts w:ascii="Arial" w:hAnsi="Arial" w:cs="Arial"/>
                <w:sz w:val="24"/>
                <w:szCs w:val="24"/>
              </w:rPr>
              <w:t xml:space="preserve"> </w:t>
            </w:r>
            <w:r w:rsidRPr="00C871D8">
              <w:rPr>
                <w:rFonts w:ascii="Arial" w:hAnsi="Arial" w:cs="Arial"/>
                <w:sz w:val="24"/>
                <w:szCs w:val="24"/>
              </w:rPr>
              <w:t>tenue de tous les divulguer, même si elle a obtenu un pardon, à moins que</w:t>
            </w:r>
            <w:r>
              <w:rPr>
                <w:rFonts w:ascii="Arial" w:hAnsi="Arial" w:cs="Arial"/>
                <w:sz w:val="24"/>
                <w:szCs w:val="24"/>
              </w:rPr>
              <w:t xml:space="preserve"> </w:t>
            </w:r>
            <w:r w:rsidRPr="00C871D8">
              <w:rPr>
                <w:rFonts w:ascii="Arial" w:hAnsi="Arial" w:cs="Arial"/>
                <w:sz w:val="24"/>
                <w:szCs w:val="24"/>
              </w:rPr>
              <w:t>l'employeur ne l'en exempte spécifiquement dans sa question.</w:t>
            </w:r>
          </w:p>
          <w:p w14:paraId="6164A3A3" w14:textId="77777777" w:rsidR="0092335B" w:rsidRDefault="0092335B" w:rsidP="00102D17">
            <w:pPr>
              <w:spacing w:before="120" w:after="120"/>
              <w:ind w:left="72" w:right="72"/>
              <w:jc w:val="both"/>
              <w:rPr>
                <w:rFonts w:ascii="Arial" w:hAnsi="Arial" w:cs="Arial"/>
                <w:sz w:val="24"/>
                <w:szCs w:val="24"/>
              </w:rPr>
            </w:pPr>
            <w:r w:rsidRPr="00C871D8">
              <w:rPr>
                <w:rFonts w:ascii="Arial" w:hAnsi="Arial" w:cs="Arial"/>
                <w:sz w:val="24"/>
                <w:szCs w:val="24"/>
              </w:rPr>
              <w:t>L'omission de révéler sa condamnation à une infraction pénale ou</w:t>
            </w:r>
            <w:r>
              <w:rPr>
                <w:rFonts w:ascii="Arial" w:hAnsi="Arial" w:cs="Arial"/>
                <w:sz w:val="24"/>
                <w:szCs w:val="24"/>
              </w:rPr>
              <w:t xml:space="preserve"> </w:t>
            </w:r>
            <w:r w:rsidRPr="00C871D8">
              <w:rPr>
                <w:rFonts w:ascii="Arial" w:hAnsi="Arial" w:cs="Arial"/>
                <w:sz w:val="24"/>
                <w:szCs w:val="24"/>
              </w:rPr>
              <w:t>criminelle</w:t>
            </w:r>
            <w:r>
              <w:rPr>
                <w:rFonts w:ascii="Arial" w:hAnsi="Arial" w:cs="Arial"/>
                <w:sz w:val="24"/>
                <w:szCs w:val="24"/>
              </w:rPr>
              <w:t xml:space="preserve"> </w:t>
            </w:r>
            <w:r w:rsidRPr="00C871D8">
              <w:rPr>
                <w:rFonts w:ascii="Arial" w:hAnsi="Arial" w:cs="Arial"/>
                <w:sz w:val="24"/>
                <w:szCs w:val="24"/>
              </w:rPr>
              <w:t xml:space="preserve">pourrait être </w:t>
            </w:r>
            <w:r>
              <w:rPr>
                <w:rFonts w:ascii="Arial" w:hAnsi="Arial" w:cs="Arial"/>
                <w:sz w:val="24"/>
                <w:szCs w:val="24"/>
              </w:rPr>
              <w:t>considérée</w:t>
            </w:r>
            <w:r w:rsidRPr="00C871D8">
              <w:rPr>
                <w:rFonts w:ascii="Arial" w:hAnsi="Arial" w:cs="Arial"/>
                <w:sz w:val="24"/>
                <w:szCs w:val="24"/>
              </w:rPr>
              <w:t xml:space="preserve"> comme étant une fausse déclaration par l'employeur.</w:t>
            </w:r>
          </w:p>
          <w:p w14:paraId="6CE6985A" w14:textId="77777777" w:rsidR="00124B30" w:rsidRPr="00124B30" w:rsidRDefault="00124B30" w:rsidP="00124B30">
            <w:pPr>
              <w:spacing w:before="120" w:after="120" w:line="276" w:lineRule="auto"/>
              <w:ind w:right="72"/>
              <w:jc w:val="both"/>
              <w:rPr>
                <w:rFonts w:ascii="Arial" w:hAnsi="Arial" w:cs="Arial"/>
                <w:sz w:val="24"/>
                <w:szCs w:val="24"/>
              </w:rPr>
            </w:pPr>
            <w:r w:rsidRPr="00124B30">
              <w:rPr>
                <w:rFonts w:ascii="Arial" w:hAnsi="Arial" w:cs="Arial"/>
                <w:sz w:val="24"/>
                <w:szCs w:val="24"/>
              </w:rPr>
              <w:lastRenderedPageBreak/>
              <w:t>Cependant, lorsque le crime a été commis alors que la personne était mineure et qu’elle a été soumise à l’application de la LSJPA</w:t>
            </w:r>
            <w:r w:rsidRPr="00124B30">
              <w:rPr>
                <w:rFonts w:ascii="Arial" w:hAnsi="Arial" w:cs="Arial"/>
                <w:sz w:val="24"/>
                <w:szCs w:val="24"/>
                <w:vertAlign w:val="superscript"/>
              </w:rPr>
              <w:footnoteReference w:id="3"/>
            </w:r>
            <w:r w:rsidRPr="00124B30">
              <w:rPr>
                <w:rFonts w:ascii="Arial" w:hAnsi="Arial" w:cs="Arial"/>
                <w:sz w:val="24"/>
                <w:szCs w:val="24"/>
              </w:rPr>
              <w:t>, celle-ci n’est pas tenue de dévoiler ses antécédents judiciaires dans les cas suivants :</w:t>
            </w:r>
          </w:p>
          <w:p w14:paraId="656FA35D" w14:textId="77777777" w:rsidR="00124B30" w:rsidRPr="00124B30" w:rsidRDefault="00124B30" w:rsidP="00124B30">
            <w:pPr>
              <w:numPr>
                <w:ilvl w:val="0"/>
                <w:numId w:val="8"/>
              </w:numPr>
              <w:spacing w:before="120" w:after="120" w:line="276" w:lineRule="auto"/>
              <w:ind w:right="72"/>
              <w:contextualSpacing/>
              <w:jc w:val="both"/>
              <w:rPr>
                <w:rFonts w:ascii="Arial" w:eastAsia="Times New Roman" w:hAnsi="Arial" w:cs="Arial"/>
                <w:sz w:val="24"/>
                <w:szCs w:val="24"/>
              </w:rPr>
            </w:pPr>
            <w:r w:rsidRPr="00124B30">
              <w:rPr>
                <w:rFonts w:ascii="Arial" w:eastAsia="Times New Roman" w:hAnsi="Arial" w:cs="Arial"/>
                <w:sz w:val="24"/>
                <w:szCs w:val="24"/>
              </w:rPr>
              <w:t>Le tribunal a ordonné l’absolution inconditionnelle ;</w:t>
            </w:r>
          </w:p>
          <w:p w14:paraId="06DB0B91" w14:textId="77777777" w:rsidR="00124B30" w:rsidRPr="00124B30" w:rsidRDefault="00124B30" w:rsidP="00124B30">
            <w:pPr>
              <w:numPr>
                <w:ilvl w:val="0"/>
                <w:numId w:val="8"/>
              </w:numPr>
              <w:spacing w:before="120" w:after="120" w:line="276" w:lineRule="auto"/>
              <w:ind w:right="72"/>
              <w:contextualSpacing/>
              <w:jc w:val="both"/>
              <w:rPr>
                <w:rFonts w:ascii="Arial" w:eastAsia="Times New Roman" w:hAnsi="Arial" w:cs="Arial"/>
                <w:sz w:val="24"/>
                <w:szCs w:val="24"/>
              </w:rPr>
            </w:pPr>
            <w:r w:rsidRPr="00124B30">
              <w:rPr>
                <w:rFonts w:ascii="Arial" w:eastAsia="Times New Roman" w:hAnsi="Arial" w:cs="Arial"/>
                <w:sz w:val="24"/>
                <w:szCs w:val="24"/>
              </w:rPr>
              <w:t xml:space="preserve">La peine spécifique imposée </w:t>
            </w:r>
            <w:r>
              <w:rPr>
                <w:rFonts w:ascii="Arial" w:eastAsia="Times New Roman" w:hAnsi="Arial" w:cs="Arial"/>
                <w:sz w:val="24"/>
                <w:szCs w:val="24"/>
              </w:rPr>
              <w:t>a</w:t>
            </w:r>
            <w:r w:rsidRPr="00124B30">
              <w:rPr>
                <w:rFonts w:ascii="Arial" w:eastAsia="Times New Roman" w:hAnsi="Arial" w:cs="Arial"/>
                <w:sz w:val="24"/>
                <w:szCs w:val="24"/>
              </w:rPr>
              <w:t xml:space="preserve"> cessé de produire ses effets (la peine est terminée);</w:t>
            </w:r>
          </w:p>
          <w:p w14:paraId="1C5778EB" w14:textId="77777777" w:rsidR="00124B30" w:rsidRPr="00124B30" w:rsidRDefault="00124B30" w:rsidP="00124B30">
            <w:pPr>
              <w:numPr>
                <w:ilvl w:val="0"/>
                <w:numId w:val="8"/>
              </w:numPr>
              <w:spacing w:before="120" w:after="120" w:line="276" w:lineRule="auto"/>
              <w:ind w:right="72"/>
              <w:contextualSpacing/>
              <w:jc w:val="both"/>
              <w:rPr>
                <w:rFonts w:ascii="Arial" w:eastAsia="Times New Roman" w:hAnsi="Arial" w:cs="Arial"/>
                <w:sz w:val="24"/>
                <w:szCs w:val="24"/>
              </w:rPr>
            </w:pPr>
            <w:r w:rsidRPr="00124B30">
              <w:rPr>
                <w:rFonts w:ascii="Arial" w:eastAsia="Times New Roman" w:hAnsi="Arial" w:cs="Arial"/>
                <w:sz w:val="24"/>
                <w:szCs w:val="24"/>
                <w:lang w:val="fr-FR"/>
              </w:rPr>
              <w:t>Elle a bénéficié de mesures ou de sanctions extrajudiciaires, puisque dans un tel cas, il n’y a jamais eu de déclaration de culpabilité.</w:t>
            </w:r>
          </w:p>
          <w:p w14:paraId="62C68E89" w14:textId="77777777" w:rsidR="00124B30" w:rsidRDefault="00124B30" w:rsidP="00124B30">
            <w:pPr>
              <w:ind w:right="74"/>
              <w:contextualSpacing/>
              <w:jc w:val="both"/>
              <w:rPr>
                <w:rFonts w:ascii="Arial" w:hAnsi="Arial" w:cs="Arial"/>
                <w:sz w:val="24"/>
                <w:szCs w:val="24"/>
              </w:rPr>
            </w:pPr>
          </w:p>
          <w:p w14:paraId="7656FC53" w14:textId="77777777" w:rsidR="00A55C52" w:rsidRDefault="00124B30" w:rsidP="00124B30">
            <w:pPr>
              <w:spacing w:before="120" w:after="120" w:line="276" w:lineRule="auto"/>
              <w:ind w:right="72"/>
              <w:contextualSpacing/>
              <w:jc w:val="both"/>
              <w:rPr>
                <w:rFonts w:ascii="Arial" w:hAnsi="Arial" w:cs="Arial"/>
                <w:sz w:val="24"/>
                <w:szCs w:val="24"/>
              </w:rPr>
            </w:pPr>
            <w:r w:rsidRPr="00124B30">
              <w:rPr>
                <w:rFonts w:ascii="Arial" w:hAnsi="Arial" w:cs="Arial"/>
                <w:sz w:val="24"/>
                <w:szCs w:val="24"/>
              </w:rPr>
              <w:t>Dans ces situations, la personne est réputée ne jamais avoir commis de crime.</w:t>
            </w:r>
          </w:p>
          <w:p w14:paraId="021B0533" w14:textId="77777777" w:rsidR="00124B30" w:rsidRPr="00124B30" w:rsidRDefault="00124B30" w:rsidP="00124B30">
            <w:pPr>
              <w:spacing w:before="120" w:after="120" w:line="276" w:lineRule="auto"/>
              <w:ind w:right="72"/>
              <w:contextualSpacing/>
              <w:jc w:val="both"/>
              <w:rPr>
                <w:rFonts w:ascii="Arial" w:eastAsia="Times New Roman" w:hAnsi="Arial" w:cs="Arial"/>
                <w:sz w:val="24"/>
                <w:szCs w:val="24"/>
              </w:rPr>
            </w:pPr>
          </w:p>
        </w:tc>
      </w:tr>
      <w:tr w:rsidR="0092335B" w:rsidRPr="00C871D8" w14:paraId="1F171700" w14:textId="77777777" w:rsidTr="15FDF7B7">
        <w:trPr>
          <w:jc w:val="center"/>
        </w:trPr>
        <w:tc>
          <w:tcPr>
            <w:tcW w:w="2032" w:type="dxa"/>
          </w:tcPr>
          <w:p w14:paraId="4CB08E4B" w14:textId="77777777" w:rsidR="0092335B" w:rsidRPr="00C871D8" w:rsidRDefault="0092335B" w:rsidP="00AB5BB8">
            <w:pPr>
              <w:spacing w:before="120" w:after="120"/>
              <w:ind w:left="72" w:right="72"/>
              <w:rPr>
                <w:rFonts w:ascii="Arial" w:hAnsi="Arial" w:cs="Arial"/>
                <w:b/>
                <w:sz w:val="24"/>
                <w:szCs w:val="24"/>
              </w:rPr>
            </w:pPr>
            <w:bookmarkStart w:id="0" w:name="_Hlk531182832"/>
            <w:r w:rsidRPr="00C871D8">
              <w:rPr>
                <w:rFonts w:ascii="Arial" w:hAnsi="Arial" w:cs="Arial"/>
                <w:b/>
                <w:sz w:val="24"/>
                <w:szCs w:val="24"/>
              </w:rPr>
              <w:lastRenderedPageBreak/>
              <w:t>Le pardon</w:t>
            </w:r>
          </w:p>
        </w:tc>
        <w:tc>
          <w:tcPr>
            <w:tcW w:w="7544" w:type="dxa"/>
          </w:tcPr>
          <w:p w14:paraId="2C4FBA33" w14:textId="77777777" w:rsidR="0092335B" w:rsidRDefault="0092335B" w:rsidP="00AB5BB8">
            <w:pPr>
              <w:autoSpaceDE w:val="0"/>
              <w:autoSpaceDN w:val="0"/>
              <w:adjustRightInd w:val="0"/>
              <w:spacing w:before="120" w:after="120"/>
              <w:ind w:left="72" w:right="72"/>
              <w:jc w:val="both"/>
              <w:rPr>
                <w:rFonts w:ascii="Arial" w:hAnsi="Arial" w:cs="Arial"/>
                <w:sz w:val="24"/>
                <w:szCs w:val="24"/>
              </w:rPr>
            </w:pPr>
            <w:r w:rsidRPr="00C871D8">
              <w:rPr>
                <w:rFonts w:ascii="Arial" w:hAnsi="Arial" w:cs="Arial"/>
                <w:sz w:val="24"/>
                <w:szCs w:val="24"/>
              </w:rPr>
              <w:t xml:space="preserve">La </w:t>
            </w:r>
            <w:r w:rsidRPr="002C716A">
              <w:rPr>
                <w:rFonts w:ascii="Arial" w:hAnsi="Arial" w:cs="Arial"/>
                <w:i/>
                <w:sz w:val="24"/>
                <w:szCs w:val="24"/>
              </w:rPr>
              <w:t>Charte québécoise</w:t>
            </w:r>
            <w:r w:rsidRPr="00C871D8">
              <w:rPr>
                <w:rFonts w:ascii="Arial" w:hAnsi="Arial" w:cs="Arial"/>
                <w:sz w:val="24"/>
                <w:szCs w:val="24"/>
              </w:rPr>
              <w:t xml:space="preserve"> ne fait aucune distinction entre les différents types de pardon</w:t>
            </w:r>
            <w:r>
              <w:rPr>
                <w:rFonts w:ascii="Arial" w:hAnsi="Arial" w:cs="Arial"/>
                <w:sz w:val="24"/>
                <w:szCs w:val="24"/>
              </w:rPr>
              <w:t xml:space="preserve"> </w:t>
            </w:r>
            <w:r w:rsidRPr="00C871D8">
              <w:rPr>
                <w:rFonts w:ascii="Arial" w:hAnsi="Arial" w:cs="Arial"/>
                <w:sz w:val="24"/>
                <w:szCs w:val="24"/>
              </w:rPr>
              <w:t>obtenus, qu'il s'agisse</w:t>
            </w:r>
            <w:r>
              <w:rPr>
                <w:rFonts w:ascii="Arial" w:hAnsi="Arial" w:cs="Arial"/>
                <w:sz w:val="24"/>
                <w:szCs w:val="24"/>
              </w:rPr>
              <w:t> :</w:t>
            </w:r>
          </w:p>
          <w:p w14:paraId="09A70009" w14:textId="77777777" w:rsidR="0092335B" w:rsidRDefault="0092335B" w:rsidP="00223846">
            <w:pPr>
              <w:pStyle w:val="Paragraphedeliste"/>
              <w:numPr>
                <w:ilvl w:val="0"/>
                <w:numId w:val="5"/>
              </w:numPr>
              <w:autoSpaceDE w:val="0"/>
              <w:autoSpaceDN w:val="0"/>
              <w:adjustRightInd w:val="0"/>
              <w:spacing w:before="120" w:after="120"/>
              <w:ind w:left="308" w:right="72" w:hanging="236"/>
              <w:contextualSpacing w:val="0"/>
              <w:jc w:val="both"/>
              <w:rPr>
                <w:rFonts w:ascii="Arial" w:hAnsi="Arial" w:cs="Arial"/>
                <w:sz w:val="24"/>
                <w:szCs w:val="24"/>
              </w:rPr>
            </w:pPr>
            <w:r w:rsidRPr="002C716A">
              <w:rPr>
                <w:rFonts w:ascii="Arial" w:hAnsi="Arial" w:cs="Arial"/>
                <w:sz w:val="24"/>
                <w:szCs w:val="24"/>
              </w:rPr>
              <w:t>De la suspension du casier judiciaire à l'égard d'une infraction anciennement connu sous le terme « réhabilitation </w:t>
            </w:r>
            <w:r w:rsidR="00575095">
              <w:rPr>
                <w:rFonts w:ascii="Arial" w:hAnsi="Arial" w:cs="Arial"/>
                <w:sz w:val="24"/>
                <w:szCs w:val="24"/>
              </w:rPr>
              <w:t>»</w:t>
            </w:r>
            <w:r w:rsidR="00BA7840">
              <w:rPr>
                <w:rFonts w:ascii="Arial" w:hAnsi="Arial" w:cs="Arial"/>
                <w:sz w:val="24"/>
                <w:szCs w:val="24"/>
              </w:rPr>
              <w:t xml:space="preserve"> </w:t>
            </w:r>
            <w:r w:rsidR="00BA7840" w:rsidRPr="00DD5A6C">
              <w:rPr>
                <w:rFonts w:ascii="Arial" w:hAnsi="Arial" w:cs="Arial"/>
                <w:sz w:val="24"/>
                <w:szCs w:val="24"/>
                <w:u w:val="single"/>
              </w:rPr>
              <w:t>- délai de cinq (5) ans ou dix (10) ans</w:t>
            </w:r>
            <w:r w:rsidR="00BA7840" w:rsidRPr="002C09D4">
              <w:rPr>
                <w:rFonts w:ascii="Arial" w:hAnsi="Arial" w:cs="Arial"/>
                <w:sz w:val="24"/>
                <w:szCs w:val="24"/>
              </w:rPr>
              <w:t xml:space="preserve"> selon le type d’infraction</w:t>
            </w:r>
            <w:r w:rsidR="00BA7840" w:rsidRPr="00514453">
              <w:rPr>
                <w:rFonts w:ascii="Arial" w:hAnsi="Arial" w:cs="Arial"/>
                <w:color w:val="FF0000"/>
                <w:sz w:val="24"/>
                <w:szCs w:val="24"/>
              </w:rPr>
              <w:t xml:space="preserve"> </w:t>
            </w:r>
            <w:r w:rsidR="00BA7840" w:rsidRPr="002C716A">
              <w:rPr>
                <w:rFonts w:ascii="Arial" w:hAnsi="Arial" w:cs="Arial"/>
                <w:sz w:val="24"/>
                <w:szCs w:val="24"/>
              </w:rPr>
              <w:t>(art.</w:t>
            </w:r>
            <w:r w:rsidR="00514453">
              <w:rPr>
                <w:rFonts w:ascii="Arial" w:hAnsi="Arial" w:cs="Arial"/>
                <w:sz w:val="24"/>
                <w:szCs w:val="24"/>
              </w:rPr>
              <w:t xml:space="preserve"> 4 et</w:t>
            </w:r>
            <w:r w:rsidR="00BA7840" w:rsidRPr="002C716A">
              <w:rPr>
                <w:rFonts w:ascii="Arial" w:hAnsi="Arial" w:cs="Arial"/>
                <w:sz w:val="24"/>
                <w:szCs w:val="24"/>
              </w:rPr>
              <w:t xml:space="preserve"> 4.1 de la </w:t>
            </w:r>
            <w:r w:rsidR="00BA7840" w:rsidRPr="002C716A">
              <w:rPr>
                <w:rFonts w:ascii="Arial" w:hAnsi="Arial" w:cs="Arial"/>
                <w:i/>
                <w:iCs/>
                <w:sz w:val="24"/>
                <w:szCs w:val="24"/>
              </w:rPr>
              <w:t xml:space="preserve">Loi sur le casier judiciaire, </w:t>
            </w:r>
            <w:r w:rsidR="00BA7840" w:rsidRPr="002C716A">
              <w:rPr>
                <w:rFonts w:ascii="Arial" w:hAnsi="Arial" w:cs="Arial"/>
                <w:sz w:val="24"/>
                <w:szCs w:val="24"/>
              </w:rPr>
              <w:t>LRC 1985, c</w:t>
            </w:r>
            <w:r w:rsidR="00BA7840">
              <w:rPr>
                <w:rFonts w:ascii="Arial" w:hAnsi="Arial" w:cs="Arial"/>
                <w:sz w:val="24"/>
                <w:szCs w:val="24"/>
              </w:rPr>
              <w:t>. C-47</w:t>
            </w:r>
            <w:r w:rsidR="00514453">
              <w:rPr>
                <w:rFonts w:ascii="Arial" w:hAnsi="Arial" w:cs="Arial"/>
                <w:sz w:val="24"/>
                <w:szCs w:val="24"/>
              </w:rPr>
              <w:t xml:space="preserve"> (la L.c.j.</w:t>
            </w:r>
            <w:r w:rsidR="00BA7840">
              <w:rPr>
                <w:rFonts w:ascii="Arial" w:hAnsi="Arial" w:cs="Arial"/>
                <w:sz w:val="24"/>
                <w:szCs w:val="24"/>
              </w:rPr>
              <w:t>)</w:t>
            </w:r>
            <w:r w:rsidR="00575095">
              <w:rPr>
                <w:rFonts w:ascii="Arial" w:hAnsi="Arial" w:cs="Arial"/>
                <w:sz w:val="24"/>
                <w:szCs w:val="24"/>
              </w:rPr>
              <w:t>;</w:t>
            </w:r>
          </w:p>
          <w:p w14:paraId="66B91403" w14:textId="77777777" w:rsidR="0092335B" w:rsidRPr="00514453" w:rsidRDefault="0092335B" w:rsidP="00223846">
            <w:pPr>
              <w:pStyle w:val="Paragraphedeliste"/>
              <w:numPr>
                <w:ilvl w:val="0"/>
                <w:numId w:val="5"/>
              </w:numPr>
              <w:autoSpaceDE w:val="0"/>
              <w:autoSpaceDN w:val="0"/>
              <w:adjustRightInd w:val="0"/>
              <w:spacing w:before="120" w:after="120"/>
              <w:ind w:left="308" w:right="72" w:hanging="236"/>
              <w:contextualSpacing w:val="0"/>
              <w:jc w:val="both"/>
              <w:rPr>
                <w:rFonts w:ascii="Arial" w:hAnsi="Arial" w:cs="Arial"/>
                <w:color w:val="FF0000"/>
                <w:sz w:val="24"/>
                <w:szCs w:val="24"/>
              </w:rPr>
            </w:pPr>
            <w:r w:rsidRPr="002C716A">
              <w:rPr>
                <w:rFonts w:ascii="Arial" w:hAnsi="Arial" w:cs="Arial"/>
                <w:sz w:val="24"/>
                <w:szCs w:val="24"/>
              </w:rPr>
              <w:t>De l'absolution conditionnelle</w:t>
            </w:r>
            <w:r w:rsidR="00D65E3D">
              <w:rPr>
                <w:rFonts w:ascii="Arial" w:hAnsi="Arial" w:cs="Arial"/>
                <w:sz w:val="24"/>
                <w:szCs w:val="24"/>
              </w:rPr>
              <w:t xml:space="preserve"> – </w:t>
            </w:r>
            <w:r w:rsidR="00D65E3D" w:rsidRPr="002C09D4">
              <w:rPr>
                <w:rFonts w:ascii="Arial" w:hAnsi="Arial" w:cs="Arial"/>
                <w:sz w:val="24"/>
                <w:szCs w:val="24"/>
              </w:rPr>
              <w:t xml:space="preserve">soit après l’écoulement d’un </w:t>
            </w:r>
            <w:r w:rsidR="00D65E3D" w:rsidRPr="002C09D4">
              <w:rPr>
                <w:rFonts w:ascii="Arial" w:hAnsi="Arial" w:cs="Arial"/>
                <w:sz w:val="24"/>
                <w:szCs w:val="24"/>
                <w:u w:val="single"/>
              </w:rPr>
              <w:t xml:space="preserve">délai </w:t>
            </w:r>
            <w:r w:rsidR="004F4DC6">
              <w:rPr>
                <w:rFonts w:ascii="Arial" w:hAnsi="Arial" w:cs="Arial"/>
                <w:sz w:val="24"/>
                <w:szCs w:val="24"/>
                <w:u w:val="single"/>
              </w:rPr>
              <w:t xml:space="preserve">de </w:t>
            </w:r>
            <w:r w:rsidR="00D65E3D" w:rsidRPr="002C09D4">
              <w:rPr>
                <w:rFonts w:ascii="Arial" w:hAnsi="Arial" w:cs="Arial"/>
                <w:sz w:val="24"/>
                <w:szCs w:val="24"/>
                <w:u w:val="single"/>
              </w:rPr>
              <w:t>trois (3) ans</w:t>
            </w:r>
            <w:r w:rsidR="00D65E3D" w:rsidRPr="002C09D4">
              <w:rPr>
                <w:rFonts w:ascii="Arial" w:hAnsi="Arial" w:cs="Arial"/>
                <w:sz w:val="24"/>
                <w:szCs w:val="24"/>
              </w:rPr>
              <w:t xml:space="preserve"> suivant la date de l’ordonnance sous conditions (art. 6.1 (1) b) L.c.j.);</w:t>
            </w:r>
          </w:p>
          <w:p w14:paraId="6541A083" w14:textId="77777777" w:rsidR="00102D17" w:rsidRDefault="0092335B" w:rsidP="00102D17">
            <w:pPr>
              <w:pStyle w:val="Paragraphedeliste"/>
              <w:numPr>
                <w:ilvl w:val="0"/>
                <w:numId w:val="5"/>
              </w:numPr>
              <w:autoSpaceDE w:val="0"/>
              <w:autoSpaceDN w:val="0"/>
              <w:adjustRightInd w:val="0"/>
              <w:spacing w:before="120" w:after="120"/>
              <w:ind w:left="308" w:right="72" w:hanging="236"/>
              <w:contextualSpacing w:val="0"/>
              <w:jc w:val="both"/>
              <w:rPr>
                <w:rFonts w:ascii="Arial" w:hAnsi="Arial" w:cs="Arial"/>
                <w:sz w:val="24"/>
                <w:szCs w:val="24"/>
              </w:rPr>
            </w:pPr>
            <w:r w:rsidRPr="002C716A">
              <w:rPr>
                <w:rFonts w:ascii="Arial" w:hAnsi="Arial" w:cs="Arial"/>
                <w:sz w:val="24"/>
                <w:szCs w:val="24"/>
              </w:rPr>
              <w:t>De l'absolution inconditionnelle</w:t>
            </w:r>
            <w:r w:rsidR="00D65E3D">
              <w:rPr>
                <w:rFonts w:ascii="Arial" w:hAnsi="Arial" w:cs="Arial"/>
                <w:sz w:val="24"/>
                <w:szCs w:val="24"/>
              </w:rPr>
              <w:t xml:space="preserve"> – </w:t>
            </w:r>
            <w:r w:rsidR="00D65E3D" w:rsidRPr="002C09D4">
              <w:rPr>
                <w:rFonts w:ascii="Arial" w:hAnsi="Arial" w:cs="Arial"/>
                <w:sz w:val="24"/>
                <w:szCs w:val="24"/>
              </w:rPr>
              <w:t xml:space="preserve">soit après l’écoulement </w:t>
            </w:r>
            <w:r w:rsidR="00D65E3D" w:rsidRPr="00DD5A6C">
              <w:rPr>
                <w:rFonts w:ascii="Arial" w:hAnsi="Arial" w:cs="Arial"/>
                <w:sz w:val="24"/>
                <w:szCs w:val="24"/>
                <w:u w:val="single"/>
              </w:rPr>
              <w:t>d’un délai d’un an (1)</w:t>
            </w:r>
            <w:r w:rsidR="00D65E3D" w:rsidRPr="002C09D4">
              <w:rPr>
                <w:rFonts w:ascii="Arial" w:hAnsi="Arial" w:cs="Arial"/>
                <w:sz w:val="24"/>
                <w:szCs w:val="24"/>
              </w:rPr>
              <w:t xml:space="preserve"> suivant la date de l’ordonnance inconditionnelle (art. 6.1 (1) a) L.c.j.)</w:t>
            </w:r>
            <w:r w:rsidRPr="002C09D4">
              <w:rPr>
                <w:rFonts w:ascii="Arial" w:hAnsi="Arial" w:cs="Arial"/>
                <w:sz w:val="24"/>
                <w:szCs w:val="24"/>
              </w:rPr>
              <w:t>;</w:t>
            </w:r>
          </w:p>
          <w:p w14:paraId="21B7B13C" w14:textId="77777777" w:rsidR="0092335B" w:rsidRPr="00102D17" w:rsidRDefault="0092335B" w:rsidP="00102D17">
            <w:pPr>
              <w:pStyle w:val="Paragraphedeliste"/>
              <w:numPr>
                <w:ilvl w:val="0"/>
                <w:numId w:val="5"/>
              </w:numPr>
              <w:autoSpaceDE w:val="0"/>
              <w:autoSpaceDN w:val="0"/>
              <w:adjustRightInd w:val="0"/>
              <w:spacing w:before="120" w:after="120"/>
              <w:ind w:left="308" w:right="72" w:hanging="236"/>
              <w:contextualSpacing w:val="0"/>
              <w:jc w:val="both"/>
              <w:rPr>
                <w:rFonts w:ascii="Arial" w:hAnsi="Arial" w:cs="Arial"/>
                <w:sz w:val="24"/>
                <w:szCs w:val="24"/>
              </w:rPr>
            </w:pPr>
            <w:r w:rsidRPr="00102D17">
              <w:rPr>
                <w:rFonts w:ascii="Arial" w:hAnsi="Arial" w:cs="Arial"/>
                <w:sz w:val="24"/>
                <w:szCs w:val="24"/>
              </w:rPr>
              <w:t>De la prérogative royale.</w:t>
            </w:r>
          </w:p>
        </w:tc>
      </w:tr>
      <w:tr w:rsidR="00605322" w:rsidRPr="00C871D8" w14:paraId="75CCC2AC" w14:textId="77777777" w:rsidTr="15FDF7B7">
        <w:trPr>
          <w:jc w:val="center"/>
        </w:trPr>
        <w:tc>
          <w:tcPr>
            <w:tcW w:w="2032" w:type="dxa"/>
          </w:tcPr>
          <w:p w14:paraId="53DA2A6C" w14:textId="77777777" w:rsidR="00605322" w:rsidRPr="00C871D8" w:rsidRDefault="00605322" w:rsidP="00AB5BB8">
            <w:pPr>
              <w:spacing w:before="120" w:after="120"/>
              <w:ind w:left="72" w:right="72"/>
              <w:rPr>
                <w:rFonts w:ascii="Arial" w:hAnsi="Arial" w:cs="Arial"/>
                <w:b/>
                <w:sz w:val="24"/>
                <w:szCs w:val="24"/>
              </w:rPr>
            </w:pPr>
            <w:r>
              <w:rPr>
                <w:rFonts w:ascii="Arial" w:hAnsi="Arial" w:cs="Arial"/>
                <w:b/>
                <w:sz w:val="24"/>
                <w:szCs w:val="24"/>
              </w:rPr>
              <w:t>La confidentialité des dossiers constitués en vertu de la LSJPA</w:t>
            </w:r>
          </w:p>
        </w:tc>
        <w:tc>
          <w:tcPr>
            <w:tcW w:w="7544" w:type="dxa"/>
          </w:tcPr>
          <w:p w14:paraId="739A5FC0" w14:textId="77777777" w:rsidR="00605322" w:rsidRPr="001E381D" w:rsidRDefault="00605322" w:rsidP="00605322">
            <w:pPr>
              <w:autoSpaceDE w:val="0"/>
              <w:autoSpaceDN w:val="0"/>
              <w:adjustRightInd w:val="0"/>
              <w:spacing w:before="120" w:after="120"/>
              <w:ind w:right="72"/>
              <w:jc w:val="both"/>
              <w:rPr>
                <w:rFonts w:ascii="Arial" w:hAnsi="Arial" w:cs="Arial"/>
                <w:sz w:val="24"/>
                <w:lang w:val="fr-FR"/>
              </w:rPr>
            </w:pPr>
            <w:r w:rsidRPr="001E381D">
              <w:rPr>
                <w:rFonts w:ascii="Arial" w:hAnsi="Arial" w:cs="Arial"/>
                <w:sz w:val="24"/>
                <w:lang w:val="fr-FR"/>
              </w:rPr>
              <w:t xml:space="preserve">La LSJPA interdit l’accès à un dossier judiciaire ou à un dossier de police constitué en vertu de cette même loi. </w:t>
            </w:r>
            <w:r>
              <w:rPr>
                <w:rFonts w:ascii="Arial" w:hAnsi="Arial" w:cs="Arial"/>
                <w:sz w:val="24"/>
                <w:lang w:val="fr-FR"/>
              </w:rPr>
              <w:t>C</w:t>
            </w:r>
            <w:r w:rsidRPr="001E381D">
              <w:rPr>
                <w:rFonts w:ascii="Arial" w:hAnsi="Arial" w:cs="Arial"/>
                <w:sz w:val="24"/>
                <w:lang w:val="fr-FR"/>
              </w:rPr>
              <w:t xml:space="preserve">es dossiers sont </w:t>
            </w:r>
            <w:r>
              <w:rPr>
                <w:rFonts w:ascii="Arial" w:hAnsi="Arial" w:cs="Arial"/>
                <w:sz w:val="24"/>
                <w:lang w:val="fr-FR"/>
              </w:rPr>
              <w:t xml:space="preserve">donc en principe </w:t>
            </w:r>
            <w:r w:rsidRPr="001E381D">
              <w:rPr>
                <w:rFonts w:ascii="Arial" w:hAnsi="Arial" w:cs="Arial"/>
                <w:sz w:val="24"/>
                <w:lang w:val="fr-FR"/>
              </w:rPr>
              <w:t>confidentiels</w:t>
            </w:r>
            <w:r>
              <w:rPr>
                <w:rFonts w:ascii="Arial" w:hAnsi="Arial" w:cs="Arial"/>
                <w:sz w:val="24"/>
                <w:lang w:val="fr-FR"/>
              </w:rPr>
              <w:t xml:space="preserve"> (il</w:t>
            </w:r>
            <w:r w:rsidRPr="001E381D">
              <w:rPr>
                <w:rFonts w:ascii="Arial" w:hAnsi="Arial" w:cs="Arial"/>
                <w:sz w:val="24"/>
                <w:lang w:val="fr-FR"/>
              </w:rPr>
              <w:t xml:space="preserve"> y a </w:t>
            </w:r>
            <w:r>
              <w:rPr>
                <w:rFonts w:ascii="Arial" w:hAnsi="Arial" w:cs="Arial"/>
                <w:sz w:val="24"/>
                <w:lang w:val="fr-FR"/>
              </w:rPr>
              <w:t>des</w:t>
            </w:r>
            <w:r w:rsidRPr="001E381D">
              <w:rPr>
                <w:rFonts w:ascii="Arial" w:hAnsi="Arial" w:cs="Arial"/>
                <w:sz w:val="24"/>
                <w:lang w:val="fr-FR"/>
              </w:rPr>
              <w:t xml:space="preserve"> </w:t>
            </w:r>
            <w:r>
              <w:rPr>
                <w:rFonts w:ascii="Arial" w:hAnsi="Arial" w:cs="Arial"/>
                <w:sz w:val="24"/>
                <w:lang w:val="fr-FR"/>
              </w:rPr>
              <w:t>exceptions).</w:t>
            </w:r>
          </w:p>
          <w:p w14:paraId="045845E2" w14:textId="77777777" w:rsidR="00605322" w:rsidRDefault="00605322" w:rsidP="00605322">
            <w:pPr>
              <w:autoSpaceDE w:val="0"/>
              <w:autoSpaceDN w:val="0"/>
              <w:adjustRightInd w:val="0"/>
              <w:spacing w:before="120" w:after="120"/>
              <w:ind w:right="72"/>
              <w:jc w:val="both"/>
              <w:rPr>
                <w:rFonts w:ascii="Arial" w:hAnsi="Arial" w:cs="Arial"/>
                <w:sz w:val="24"/>
              </w:rPr>
            </w:pPr>
            <w:r>
              <w:rPr>
                <w:rFonts w:ascii="Arial" w:hAnsi="Arial" w:cs="Arial"/>
                <w:sz w:val="24"/>
                <w:lang w:val="fr-FR"/>
              </w:rPr>
              <w:t xml:space="preserve">Malgré ceci, </w:t>
            </w:r>
            <w:r>
              <w:rPr>
                <w:rFonts w:ascii="Arial" w:hAnsi="Arial" w:cs="Arial"/>
                <w:sz w:val="24"/>
              </w:rPr>
              <w:t>c</w:t>
            </w:r>
            <w:r w:rsidRPr="006B0CEF">
              <w:rPr>
                <w:rFonts w:ascii="Arial" w:hAnsi="Arial" w:cs="Arial"/>
                <w:sz w:val="24"/>
              </w:rPr>
              <w:t>ertains employeurs</w:t>
            </w:r>
            <w:r>
              <w:rPr>
                <w:rFonts w:ascii="Arial" w:hAnsi="Arial" w:cs="Arial"/>
                <w:sz w:val="24"/>
              </w:rPr>
              <w:t xml:space="preserve">, dans le cadre d’une demande d’embauche, peuvent demander à une personne de </w:t>
            </w:r>
            <w:r w:rsidRPr="001E381D">
              <w:rPr>
                <w:rFonts w:ascii="Arial" w:hAnsi="Arial" w:cs="Arial"/>
                <w:sz w:val="24"/>
              </w:rPr>
              <w:t xml:space="preserve">fournir un </w:t>
            </w:r>
            <w:r>
              <w:rPr>
                <w:rFonts w:ascii="Arial" w:hAnsi="Arial" w:cs="Arial"/>
                <w:sz w:val="24"/>
              </w:rPr>
              <w:t>« </w:t>
            </w:r>
            <w:r w:rsidRPr="001E381D">
              <w:rPr>
                <w:rFonts w:ascii="Arial" w:hAnsi="Arial" w:cs="Arial"/>
                <w:sz w:val="24"/>
              </w:rPr>
              <w:t>certificat de bonne conduite</w:t>
            </w:r>
            <w:r>
              <w:rPr>
                <w:rFonts w:ascii="Arial" w:hAnsi="Arial" w:cs="Arial"/>
                <w:sz w:val="24"/>
              </w:rPr>
              <w:t> »</w:t>
            </w:r>
            <w:r w:rsidRPr="001E381D">
              <w:rPr>
                <w:rFonts w:ascii="Arial" w:hAnsi="Arial" w:cs="Arial"/>
                <w:sz w:val="24"/>
              </w:rPr>
              <w:t xml:space="preserve">. Ce certificat est, en </w:t>
            </w:r>
            <w:r>
              <w:rPr>
                <w:rFonts w:ascii="Arial" w:hAnsi="Arial" w:cs="Arial"/>
                <w:sz w:val="24"/>
              </w:rPr>
              <w:t>réalité,</w:t>
            </w:r>
            <w:r w:rsidRPr="001E381D">
              <w:rPr>
                <w:rFonts w:ascii="Arial" w:hAnsi="Arial" w:cs="Arial"/>
                <w:sz w:val="24"/>
              </w:rPr>
              <w:t xml:space="preserve"> une attestation du service de police indiquant qu’une personne n’a pas </w:t>
            </w:r>
            <w:r w:rsidRPr="001E381D">
              <w:rPr>
                <w:rFonts w:ascii="Arial" w:hAnsi="Arial" w:cs="Arial"/>
                <w:sz w:val="24"/>
              </w:rPr>
              <w:lastRenderedPageBreak/>
              <w:t>de dossier criminel. Certains corps policiers au Québec acceptent de</w:t>
            </w:r>
            <w:r w:rsidRPr="004676FE">
              <w:rPr>
                <w:rFonts w:ascii="Arial" w:hAnsi="Arial" w:cs="Arial"/>
                <w:sz w:val="24"/>
              </w:rPr>
              <w:t xml:space="preserve"> fournir de telles attestations</w:t>
            </w:r>
            <w:r>
              <w:rPr>
                <w:rFonts w:ascii="Arial" w:hAnsi="Arial" w:cs="Arial"/>
                <w:sz w:val="24"/>
              </w:rPr>
              <w:t>.</w:t>
            </w:r>
          </w:p>
          <w:p w14:paraId="497DAFC4" w14:textId="77777777" w:rsidR="00605322" w:rsidRPr="00605322" w:rsidRDefault="00605322" w:rsidP="00605322">
            <w:pPr>
              <w:autoSpaceDE w:val="0"/>
              <w:autoSpaceDN w:val="0"/>
              <w:adjustRightInd w:val="0"/>
              <w:spacing w:before="120" w:after="120"/>
              <w:ind w:right="72"/>
              <w:jc w:val="both"/>
              <w:rPr>
                <w:rFonts w:ascii="Arial" w:hAnsi="Arial" w:cs="Arial"/>
                <w:sz w:val="24"/>
                <w:u w:val="single"/>
              </w:rPr>
            </w:pPr>
            <w:r w:rsidRPr="00605322">
              <w:rPr>
                <w:rFonts w:ascii="Arial" w:hAnsi="Arial" w:cs="Arial"/>
                <w:sz w:val="24"/>
                <w:u w:val="single"/>
              </w:rPr>
              <w:t>C</w:t>
            </w:r>
            <w:r w:rsidRPr="001E381D">
              <w:rPr>
                <w:rFonts w:ascii="Arial" w:hAnsi="Arial" w:cs="Arial"/>
                <w:sz w:val="24"/>
                <w:u w:val="single"/>
              </w:rPr>
              <w:t>ette pratique permet de faire indirectement ce que la LSJPA interdit de faire directement, c’est-à-dire d’obtenir de l’information relative aux dossiers d’adolescents</w:t>
            </w:r>
            <w:r w:rsidRPr="004676FE">
              <w:rPr>
                <w:rFonts w:ascii="Arial" w:hAnsi="Arial" w:cs="Arial"/>
                <w:sz w:val="24"/>
                <w:u w:val="single"/>
              </w:rPr>
              <w:t xml:space="preserve"> constitués en vertu de la LSJP</w:t>
            </w:r>
            <w:r>
              <w:rPr>
                <w:rFonts w:ascii="Arial" w:hAnsi="Arial" w:cs="Arial"/>
                <w:sz w:val="24"/>
                <w:u w:val="single"/>
              </w:rPr>
              <w:t xml:space="preserve">A. Le non-respect du droit à la confidentialité prévue à la LSJPA peut être traité par la DPPDJ, en vertu du mandat que lui confère la </w:t>
            </w:r>
            <w:r w:rsidRPr="001E381D">
              <w:rPr>
                <w:rFonts w:ascii="Arial" w:hAnsi="Arial" w:cs="Arial"/>
                <w:i/>
                <w:sz w:val="24"/>
                <w:u w:val="single"/>
              </w:rPr>
              <w:t>Loi sur la protection de la jeunesse</w:t>
            </w:r>
            <w:r>
              <w:rPr>
                <w:rFonts w:ascii="Arial" w:hAnsi="Arial" w:cs="Arial"/>
                <w:sz w:val="24"/>
                <w:u w:val="single"/>
              </w:rPr>
              <w:t>.</w:t>
            </w:r>
          </w:p>
        </w:tc>
      </w:tr>
      <w:bookmarkEnd w:id="0"/>
      <w:tr w:rsidR="0092335B" w:rsidRPr="00C871D8" w14:paraId="20F8E2A5" w14:textId="77777777" w:rsidTr="15FDF7B7">
        <w:trPr>
          <w:jc w:val="center"/>
        </w:trPr>
        <w:tc>
          <w:tcPr>
            <w:tcW w:w="2032" w:type="dxa"/>
          </w:tcPr>
          <w:p w14:paraId="4B5543D5" w14:textId="77777777" w:rsidR="0092335B" w:rsidRPr="00C871D8" w:rsidRDefault="0092335B" w:rsidP="00AB5BB8">
            <w:pPr>
              <w:spacing w:before="120" w:after="120"/>
              <w:ind w:left="72" w:right="72"/>
              <w:rPr>
                <w:rFonts w:ascii="Arial" w:hAnsi="Arial" w:cs="Arial"/>
                <w:b/>
                <w:sz w:val="24"/>
                <w:szCs w:val="24"/>
              </w:rPr>
            </w:pPr>
            <w:r>
              <w:rPr>
                <w:rFonts w:ascii="Arial" w:hAnsi="Arial" w:cs="Arial"/>
                <w:b/>
                <w:sz w:val="24"/>
                <w:szCs w:val="24"/>
              </w:rPr>
              <w:lastRenderedPageBreak/>
              <w:t>Jurisprudence et documents pertinents</w:t>
            </w:r>
          </w:p>
        </w:tc>
        <w:tc>
          <w:tcPr>
            <w:tcW w:w="7544" w:type="dxa"/>
          </w:tcPr>
          <w:p w14:paraId="21182C41" w14:textId="77777777" w:rsidR="0092335B" w:rsidRPr="0049159B" w:rsidRDefault="0092335B" w:rsidP="00223846">
            <w:pPr>
              <w:pStyle w:val="Paragraphedeliste"/>
              <w:numPr>
                <w:ilvl w:val="0"/>
                <w:numId w:val="7"/>
              </w:numPr>
              <w:autoSpaceDE w:val="0"/>
              <w:autoSpaceDN w:val="0"/>
              <w:adjustRightInd w:val="0"/>
              <w:spacing w:before="120" w:after="120"/>
              <w:ind w:left="308" w:right="72" w:hanging="236"/>
              <w:contextualSpacing w:val="0"/>
              <w:jc w:val="both"/>
              <w:rPr>
                <w:rFonts w:ascii="Arial" w:hAnsi="Arial" w:cs="Arial"/>
                <w:sz w:val="24"/>
              </w:rPr>
            </w:pPr>
            <w:hyperlink r:id="rId15" w:history="1">
              <w:r w:rsidRPr="002C09D4">
                <w:rPr>
                  <w:rStyle w:val="Lienhypertexte"/>
                  <w:rFonts w:ascii="Arial" w:hAnsi="Arial" w:cs="Arial"/>
                  <w:i/>
                  <w:sz w:val="24"/>
                </w:rPr>
                <w:t>Therrien (Re),</w:t>
              </w:r>
              <w:r w:rsidRPr="002C09D4">
                <w:rPr>
                  <w:rStyle w:val="Lienhypertexte"/>
                  <w:rFonts w:ascii="Arial" w:hAnsi="Arial" w:cs="Arial"/>
                  <w:sz w:val="24"/>
                </w:rPr>
                <w:t xml:space="preserve"> [2001] 2 RCS 3</w:t>
              </w:r>
            </w:hyperlink>
            <w:r w:rsidRPr="0049159B">
              <w:rPr>
                <w:rFonts w:ascii="Arial" w:hAnsi="Arial" w:cs="Arial"/>
                <w:sz w:val="24"/>
              </w:rPr>
              <w:t>.</w:t>
            </w:r>
          </w:p>
          <w:p w14:paraId="37668657" w14:textId="77777777" w:rsidR="0092335B" w:rsidRPr="0049159B" w:rsidRDefault="0092335B" w:rsidP="00223846">
            <w:pPr>
              <w:pStyle w:val="Paragraphedeliste"/>
              <w:numPr>
                <w:ilvl w:val="0"/>
                <w:numId w:val="7"/>
              </w:numPr>
              <w:autoSpaceDE w:val="0"/>
              <w:autoSpaceDN w:val="0"/>
              <w:adjustRightInd w:val="0"/>
              <w:spacing w:before="120" w:after="120"/>
              <w:ind w:left="308" w:right="72" w:hanging="236"/>
              <w:contextualSpacing w:val="0"/>
              <w:jc w:val="both"/>
              <w:rPr>
                <w:rFonts w:ascii="Arial" w:hAnsi="Arial" w:cs="Arial"/>
                <w:sz w:val="24"/>
              </w:rPr>
            </w:pPr>
            <w:hyperlink r:id="rId16" w:history="1">
              <w:r w:rsidRPr="002C09D4">
                <w:rPr>
                  <w:rStyle w:val="Lienhypertexte"/>
                  <w:rFonts w:ascii="Arial" w:hAnsi="Arial" w:cs="Arial"/>
                  <w:i/>
                  <w:sz w:val="24"/>
                </w:rPr>
                <w:t>Québec (Commission des droits de la personne et des droits de la jeunesse)</w:t>
              </w:r>
              <w:r w:rsidRPr="002C09D4">
                <w:rPr>
                  <w:rStyle w:val="Lienhypertexte"/>
                  <w:rFonts w:ascii="Arial" w:hAnsi="Arial" w:cs="Arial"/>
                  <w:sz w:val="24"/>
                </w:rPr>
                <w:t xml:space="preserve"> c.</w:t>
              </w:r>
              <w:r w:rsidRPr="002C09D4">
                <w:rPr>
                  <w:rStyle w:val="Lienhypertexte"/>
                  <w:rFonts w:ascii="Arial" w:hAnsi="Arial" w:cs="Arial"/>
                  <w:i/>
                  <w:sz w:val="24"/>
                </w:rPr>
                <w:t xml:space="preserve"> Maksteel Québec inc.</w:t>
              </w:r>
              <w:r w:rsidRPr="002C09D4">
                <w:rPr>
                  <w:rStyle w:val="Lienhypertexte"/>
                  <w:rFonts w:ascii="Arial" w:hAnsi="Arial" w:cs="Arial"/>
                  <w:sz w:val="24"/>
                </w:rPr>
                <w:t>, [2003] 3 RCS 228.</w:t>
              </w:r>
            </w:hyperlink>
          </w:p>
          <w:p w14:paraId="733C9171" w14:textId="77777777" w:rsidR="000603FD" w:rsidRDefault="0092335B" w:rsidP="000603FD">
            <w:pPr>
              <w:pStyle w:val="Paragraphedeliste"/>
              <w:numPr>
                <w:ilvl w:val="0"/>
                <w:numId w:val="7"/>
              </w:numPr>
              <w:autoSpaceDE w:val="0"/>
              <w:autoSpaceDN w:val="0"/>
              <w:adjustRightInd w:val="0"/>
              <w:spacing w:before="120" w:after="120"/>
              <w:ind w:left="308" w:right="72" w:hanging="236"/>
              <w:contextualSpacing w:val="0"/>
              <w:jc w:val="both"/>
              <w:rPr>
                <w:rFonts w:ascii="Arial" w:hAnsi="Arial" w:cs="Arial"/>
                <w:sz w:val="24"/>
              </w:rPr>
            </w:pPr>
            <w:hyperlink r:id="rId17" w:history="1">
              <w:r w:rsidRPr="002C09D4">
                <w:rPr>
                  <w:rStyle w:val="Lienhypertexte"/>
                  <w:rFonts w:ascii="Arial" w:hAnsi="Arial" w:cs="Arial"/>
                  <w:i/>
                  <w:sz w:val="24"/>
                </w:rPr>
                <w:t>Montréal (Ville)</w:t>
              </w:r>
              <w:r w:rsidRPr="002C09D4">
                <w:rPr>
                  <w:rStyle w:val="Lienhypertexte"/>
                  <w:rFonts w:ascii="Arial" w:hAnsi="Arial" w:cs="Arial"/>
                  <w:sz w:val="24"/>
                </w:rPr>
                <w:t xml:space="preserve"> c. </w:t>
              </w:r>
              <w:r w:rsidRPr="002C09D4">
                <w:rPr>
                  <w:rStyle w:val="Lienhypertexte"/>
                  <w:rFonts w:ascii="Arial" w:hAnsi="Arial" w:cs="Arial"/>
                  <w:i/>
                  <w:sz w:val="24"/>
                </w:rPr>
                <w:t>Québec (Commission des droits de la personne et des droits de la jeunesse)</w:t>
              </w:r>
              <w:r w:rsidRPr="002C09D4">
                <w:rPr>
                  <w:rStyle w:val="Lienhypertexte"/>
                  <w:rFonts w:ascii="Arial" w:hAnsi="Arial" w:cs="Arial"/>
                  <w:sz w:val="24"/>
                </w:rPr>
                <w:t>, [2008] 2 RCS 698.</w:t>
              </w:r>
            </w:hyperlink>
          </w:p>
          <w:p w14:paraId="75A49415" w14:textId="77777777" w:rsidR="0092335B" w:rsidRPr="008354F5" w:rsidRDefault="0092335B" w:rsidP="000603FD">
            <w:pPr>
              <w:pStyle w:val="Paragraphedeliste"/>
              <w:numPr>
                <w:ilvl w:val="0"/>
                <w:numId w:val="7"/>
              </w:numPr>
              <w:autoSpaceDE w:val="0"/>
              <w:autoSpaceDN w:val="0"/>
              <w:adjustRightInd w:val="0"/>
              <w:spacing w:before="120" w:after="120"/>
              <w:ind w:left="308" w:right="72" w:hanging="236"/>
              <w:contextualSpacing w:val="0"/>
              <w:jc w:val="both"/>
              <w:rPr>
                <w:rStyle w:val="Lienhypertexte"/>
                <w:rFonts w:ascii="Arial" w:hAnsi="Arial" w:cs="Arial"/>
                <w:color w:val="auto"/>
                <w:sz w:val="24"/>
                <w:u w:val="none"/>
              </w:rPr>
            </w:pPr>
            <w:hyperlink r:id="rId18" w:history="1">
              <w:r w:rsidRPr="002C09D4">
                <w:rPr>
                  <w:rStyle w:val="Lienhypertexte"/>
                  <w:rFonts w:ascii="Arial" w:hAnsi="Arial" w:cs="Arial"/>
                  <w:i/>
                  <w:sz w:val="24"/>
                </w:rPr>
                <w:t>Commission des droits de la personne et des droits de la jeunesse</w:t>
              </w:r>
              <w:r w:rsidRPr="002C09D4">
                <w:rPr>
                  <w:rStyle w:val="Lienhypertexte"/>
                  <w:rFonts w:ascii="Arial" w:hAnsi="Arial" w:cs="Arial"/>
                  <w:sz w:val="24"/>
                </w:rPr>
                <w:t xml:space="preserve"> c. </w:t>
              </w:r>
              <w:r w:rsidRPr="002C09D4">
                <w:rPr>
                  <w:rStyle w:val="Lienhypertexte"/>
                  <w:rFonts w:ascii="Arial" w:hAnsi="Arial" w:cs="Arial"/>
                  <w:i/>
                  <w:sz w:val="24"/>
                </w:rPr>
                <w:t>Québec (ministère de la Sécurité publique)</w:t>
              </w:r>
              <w:r w:rsidRPr="002C09D4">
                <w:rPr>
                  <w:rStyle w:val="Lienhypertexte"/>
                  <w:rFonts w:ascii="Arial" w:hAnsi="Arial" w:cs="Arial"/>
                  <w:sz w:val="24"/>
                </w:rPr>
                <w:t>, 2015 QCTDP 8 (CanLII).</w:t>
              </w:r>
            </w:hyperlink>
          </w:p>
          <w:p w14:paraId="6AF4CFB2" w14:textId="7AA9E633" w:rsidR="008354F5" w:rsidRDefault="008354F5" w:rsidP="000603FD">
            <w:pPr>
              <w:pStyle w:val="Paragraphedeliste"/>
              <w:numPr>
                <w:ilvl w:val="0"/>
                <w:numId w:val="7"/>
              </w:numPr>
              <w:autoSpaceDE w:val="0"/>
              <w:autoSpaceDN w:val="0"/>
              <w:adjustRightInd w:val="0"/>
              <w:spacing w:before="120" w:after="120"/>
              <w:ind w:left="308" w:right="72" w:hanging="236"/>
              <w:contextualSpacing w:val="0"/>
              <w:jc w:val="both"/>
              <w:rPr>
                <w:rStyle w:val="Lienhypertexte"/>
                <w:rFonts w:ascii="Arial" w:hAnsi="Arial" w:cs="Arial"/>
                <w:color w:val="auto"/>
                <w:sz w:val="24"/>
                <w:u w:val="none"/>
              </w:rPr>
            </w:pPr>
            <w:hyperlink r:id="rId19" w:history="1">
              <w:r w:rsidRPr="00C602EA">
                <w:rPr>
                  <w:rStyle w:val="Lienhypertexte"/>
                  <w:rFonts w:ascii="Arial" w:hAnsi="Arial" w:cs="Arial"/>
                  <w:sz w:val="24"/>
                </w:rPr>
                <w:t>V.L. c. Ville de Gatineau, 2022 QCCA 1395</w:t>
              </w:r>
            </w:hyperlink>
          </w:p>
          <w:p w14:paraId="75DF7232" w14:textId="4EEF5372" w:rsidR="008A487C" w:rsidRPr="00C62B59" w:rsidRDefault="008A487C" w:rsidP="000603FD">
            <w:pPr>
              <w:pStyle w:val="Paragraphedeliste"/>
              <w:numPr>
                <w:ilvl w:val="0"/>
                <w:numId w:val="7"/>
              </w:numPr>
              <w:autoSpaceDE w:val="0"/>
              <w:autoSpaceDN w:val="0"/>
              <w:adjustRightInd w:val="0"/>
              <w:spacing w:before="120" w:after="120"/>
              <w:ind w:left="308" w:right="72" w:hanging="236"/>
              <w:contextualSpacing w:val="0"/>
              <w:jc w:val="both"/>
              <w:rPr>
                <w:rStyle w:val="Lienhypertexte"/>
                <w:rFonts w:ascii="Arial" w:hAnsi="Arial" w:cs="Arial"/>
                <w:color w:val="auto"/>
                <w:sz w:val="24"/>
                <w:u w:val="none"/>
              </w:rPr>
            </w:pPr>
            <w:hyperlink r:id="rId20" w:history="1">
              <w:r w:rsidRPr="00CE71BF">
                <w:rPr>
                  <w:rStyle w:val="Lienhypertexte"/>
                  <w:rFonts w:ascii="Arial" w:hAnsi="Arial" w:cs="Arial"/>
                </w:rPr>
                <w:t>B</w:t>
              </w:r>
              <w:r w:rsidRPr="00CE71BF">
                <w:rPr>
                  <w:rStyle w:val="Lienhypertexte"/>
                  <w:rFonts w:ascii="Arial" w:hAnsi="Arial" w:cs="Arial"/>
                  <w:smallCaps/>
                </w:rPr>
                <w:t>ernheim</w:t>
              </w:r>
              <w:r w:rsidRPr="00CE71BF">
                <w:rPr>
                  <w:rStyle w:val="Lienhypertexte"/>
                  <w:rFonts w:ascii="Arial" w:hAnsi="Arial" w:cs="Arial"/>
                </w:rPr>
                <w:t>, Emmanuelle ; S</w:t>
              </w:r>
              <w:r w:rsidRPr="00CE71BF">
                <w:rPr>
                  <w:rStyle w:val="Lienhypertexte"/>
                  <w:rFonts w:ascii="Arial" w:hAnsi="Arial" w:cs="Arial"/>
                  <w:smallCaps/>
                </w:rPr>
                <w:t>t-Laurent</w:t>
              </w:r>
              <w:r w:rsidRPr="00CE71BF">
                <w:rPr>
                  <w:rStyle w:val="Lienhypertexte"/>
                  <w:rFonts w:ascii="Arial" w:hAnsi="Arial" w:cs="Arial"/>
                </w:rPr>
                <w:t>, Geneviève ; P</w:t>
              </w:r>
              <w:r w:rsidRPr="00CE71BF">
                <w:rPr>
                  <w:rStyle w:val="Lienhypertexte"/>
                  <w:rFonts w:ascii="Arial" w:hAnsi="Arial" w:cs="Arial"/>
                  <w:smallCaps/>
                </w:rPr>
                <w:t>edneault</w:t>
              </w:r>
              <w:r w:rsidRPr="00CE71BF">
                <w:rPr>
                  <w:rStyle w:val="Lienhypertexte"/>
                  <w:rFonts w:ascii="Arial" w:hAnsi="Arial" w:cs="Arial"/>
                </w:rPr>
                <w:t>, Evelyne ; C</w:t>
              </w:r>
              <w:r w:rsidRPr="00CE71BF">
                <w:rPr>
                  <w:rStyle w:val="Lienhypertexte"/>
                  <w:rFonts w:ascii="Arial" w:hAnsi="Arial" w:cs="Arial"/>
                  <w:smallCaps/>
                </w:rPr>
                <w:t>isse</w:t>
              </w:r>
              <w:r w:rsidRPr="00CE71BF">
                <w:rPr>
                  <w:rStyle w:val="Lienhypertexte"/>
                  <w:rFonts w:ascii="Arial" w:hAnsi="Arial" w:cs="Arial"/>
                </w:rPr>
                <w:t xml:space="preserve">, Sekou, </w:t>
              </w:r>
              <w:r w:rsidRPr="00CE71BF">
                <w:rPr>
                  <w:rStyle w:val="Lienhypertexte"/>
                  <w:rFonts w:ascii="Arial" w:hAnsi="Arial" w:cs="Arial"/>
                  <w:i/>
                  <w:iCs/>
                </w:rPr>
                <w:t>La divulgation d’informations liées à la santé mentale dans le cadre de la vérification des antécédents judiciaires : marginal</w:t>
              </w:r>
              <w:r w:rsidR="00BD16B3" w:rsidRPr="00CE71BF">
                <w:rPr>
                  <w:rStyle w:val="Lienhypertexte"/>
                  <w:rFonts w:ascii="Arial" w:hAnsi="Arial" w:cs="Arial"/>
                  <w:i/>
                  <w:iCs/>
                </w:rPr>
                <w:t>isation et enjeux de protection des droits de la personne,</w:t>
              </w:r>
              <w:r w:rsidR="00BD16B3" w:rsidRPr="00CE71BF">
                <w:rPr>
                  <w:rStyle w:val="Lienhypertexte"/>
                  <w:rFonts w:ascii="Arial" w:hAnsi="Arial" w:cs="Arial"/>
                </w:rPr>
                <w:t xml:space="preserve"> </w:t>
              </w:r>
              <w:r w:rsidR="00A8357A" w:rsidRPr="00CE71BF">
                <w:rPr>
                  <w:rStyle w:val="Lienhypertexte"/>
                  <w:rFonts w:ascii="Arial" w:hAnsi="Arial" w:cs="Arial"/>
                </w:rPr>
                <w:t>Service de la formation permanente du Barre</w:t>
              </w:r>
              <w:r w:rsidR="005E1448" w:rsidRPr="00CE71BF">
                <w:rPr>
                  <w:rStyle w:val="Lienhypertexte"/>
                  <w:rFonts w:ascii="Arial" w:hAnsi="Arial" w:cs="Arial"/>
                </w:rPr>
                <w:t>a</w:t>
              </w:r>
              <w:r w:rsidR="00A8357A" w:rsidRPr="00CE71BF">
                <w:rPr>
                  <w:rStyle w:val="Lienhypertexte"/>
                  <w:rFonts w:ascii="Arial" w:hAnsi="Arial" w:cs="Arial"/>
                </w:rPr>
                <w:t xml:space="preserve">u du Québec, </w:t>
              </w:r>
              <w:r w:rsidR="00BD16B3" w:rsidRPr="00CE71BF">
                <w:rPr>
                  <w:rStyle w:val="Lienhypertexte"/>
                  <w:rFonts w:ascii="Arial" w:hAnsi="Arial" w:cs="Arial"/>
                </w:rPr>
                <w:t>La protection des personnes vulnérables</w:t>
              </w:r>
              <w:r w:rsidR="005E1448" w:rsidRPr="00CE71BF">
                <w:rPr>
                  <w:rStyle w:val="Lienhypertexte"/>
                  <w:rFonts w:ascii="Arial" w:hAnsi="Arial" w:cs="Arial"/>
                </w:rPr>
                <w:t xml:space="preserve">, Cowansville, </w:t>
              </w:r>
              <w:r w:rsidR="00BD16B3" w:rsidRPr="00CE71BF">
                <w:rPr>
                  <w:rStyle w:val="Lienhypertexte"/>
                  <w:rFonts w:ascii="Arial" w:hAnsi="Arial" w:cs="Arial"/>
                </w:rPr>
                <w:t>Éditions Yvon Blais</w:t>
              </w:r>
              <w:r w:rsidR="005E1448" w:rsidRPr="00CE71BF">
                <w:rPr>
                  <w:rStyle w:val="Lienhypertexte"/>
                  <w:rFonts w:ascii="Arial" w:hAnsi="Arial" w:cs="Arial"/>
                </w:rPr>
                <w:t>, 2022, p. 117</w:t>
              </w:r>
            </w:hyperlink>
            <w:r w:rsidR="00BD16B3" w:rsidRPr="2B093ADC">
              <w:rPr>
                <w:rFonts w:ascii="Arial" w:hAnsi="Arial" w:cs="Arial"/>
                <w:color w:val="272E36"/>
              </w:rPr>
              <w:t xml:space="preserve"> </w:t>
            </w:r>
          </w:p>
          <w:p w14:paraId="45D1E988" w14:textId="77777777" w:rsidR="00C62B59" w:rsidRPr="000603FD" w:rsidRDefault="611F8B9E" w:rsidP="000603FD">
            <w:pPr>
              <w:pStyle w:val="Paragraphedeliste"/>
              <w:numPr>
                <w:ilvl w:val="0"/>
                <w:numId w:val="7"/>
              </w:numPr>
              <w:autoSpaceDE w:val="0"/>
              <w:autoSpaceDN w:val="0"/>
              <w:adjustRightInd w:val="0"/>
              <w:spacing w:before="120" w:after="120"/>
              <w:ind w:left="308" w:right="72" w:hanging="236"/>
              <w:contextualSpacing w:val="0"/>
              <w:jc w:val="both"/>
              <w:rPr>
                <w:rFonts w:ascii="Arial" w:hAnsi="Arial" w:cs="Arial"/>
                <w:sz w:val="24"/>
              </w:rPr>
            </w:pPr>
            <w:hyperlink r:id="rId21">
              <w:r w:rsidRPr="2B093ADC">
                <w:rPr>
                  <w:rStyle w:val="Lienhypertexte"/>
                  <w:rFonts w:ascii="Arial" w:hAnsi="Arial" w:cs="Arial"/>
                  <w:sz w:val="24"/>
                  <w:szCs w:val="24"/>
                </w:rPr>
                <w:t xml:space="preserve">L’application de la </w:t>
              </w:r>
              <w:r w:rsidRPr="2B093ADC">
                <w:rPr>
                  <w:rStyle w:val="Lienhypertexte"/>
                  <w:rFonts w:ascii="Arial" w:hAnsi="Arial" w:cs="Arial"/>
                  <w:i/>
                  <w:iCs/>
                  <w:sz w:val="24"/>
                  <w:szCs w:val="24"/>
                </w:rPr>
                <w:t>Loi sur le système de justice pénale pour adolescents</w:t>
              </w:r>
              <w:r w:rsidRPr="2B093ADC">
                <w:rPr>
                  <w:rStyle w:val="Lienhypertexte"/>
                  <w:rFonts w:ascii="Arial" w:hAnsi="Arial" w:cs="Arial"/>
                  <w:sz w:val="24"/>
                  <w:szCs w:val="24"/>
                </w:rPr>
                <w:t xml:space="preserve"> – Manuel de référence, Ministère de la Santé et des services sociaux, mis à jour en 2017, Publication no : 16-820-02.</w:t>
              </w:r>
            </w:hyperlink>
          </w:p>
        </w:tc>
      </w:tr>
    </w:tbl>
    <w:p w14:paraId="071B9E6D" w14:textId="77777777" w:rsidR="00C62B59" w:rsidRDefault="00C62B59" w:rsidP="00793500">
      <w:pPr>
        <w:spacing w:after="0" w:line="240" w:lineRule="auto"/>
        <w:rPr>
          <w:rFonts w:ascii="Arial" w:hAnsi="Arial" w:cs="Arial"/>
        </w:rPr>
      </w:pPr>
    </w:p>
    <w:p w14:paraId="368C2582" w14:textId="4CF7FC7B" w:rsidR="00EC4A89" w:rsidRPr="00C62B59" w:rsidRDefault="00EC4A89" w:rsidP="00CE71BF">
      <w:pPr>
        <w:spacing w:after="0" w:line="240" w:lineRule="auto"/>
        <w:ind w:left="2124" w:firstLine="708"/>
        <w:rPr>
          <w:rFonts w:ascii="Arial" w:hAnsi="Arial" w:cs="Arial"/>
        </w:rPr>
      </w:pPr>
    </w:p>
    <w:sectPr w:rsidR="00EC4A89" w:rsidRPr="00C62B59" w:rsidSect="00946721">
      <w:headerReference w:type="default" r:id="rId22"/>
      <w:footerReference w:type="default" r:id="rId23"/>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032C" w14:textId="77777777" w:rsidR="007A0524" w:rsidRDefault="007A0524" w:rsidP="0084468F">
      <w:pPr>
        <w:spacing w:after="0" w:line="240" w:lineRule="auto"/>
      </w:pPr>
      <w:r>
        <w:separator/>
      </w:r>
    </w:p>
  </w:endnote>
  <w:endnote w:type="continuationSeparator" w:id="0">
    <w:p w14:paraId="4CB63DE2" w14:textId="77777777" w:rsidR="007A0524" w:rsidRDefault="007A0524" w:rsidP="0084468F">
      <w:pPr>
        <w:spacing w:after="0" w:line="240" w:lineRule="auto"/>
      </w:pPr>
      <w:r>
        <w:continuationSeparator/>
      </w:r>
    </w:p>
  </w:endnote>
  <w:endnote w:type="continuationNotice" w:id="1">
    <w:p w14:paraId="36F326E0" w14:textId="77777777" w:rsidR="007A0524" w:rsidRDefault="007A0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19596"/>
      <w:docPartObj>
        <w:docPartGallery w:val="Page Numbers (Bottom of Page)"/>
        <w:docPartUnique/>
      </w:docPartObj>
    </w:sdtPr>
    <w:sdtEndPr>
      <w:rPr>
        <w:rFonts w:ascii="Arial" w:hAnsi="Arial" w:cs="Arial"/>
      </w:rPr>
    </w:sdtEndPr>
    <w:sdtContent>
      <w:p w14:paraId="0AF6CD8B" w14:textId="77777777" w:rsidR="00793500" w:rsidRPr="00E95722" w:rsidRDefault="00793500" w:rsidP="00E95722">
        <w:pPr>
          <w:pStyle w:val="Pieddepage"/>
          <w:jc w:val="right"/>
          <w:rPr>
            <w:rFonts w:ascii="Arial" w:hAnsi="Arial" w:cs="Arial"/>
          </w:rPr>
        </w:pPr>
        <w:r w:rsidRPr="00414C1D">
          <w:rPr>
            <w:rFonts w:ascii="Arial" w:hAnsi="Arial" w:cs="Arial"/>
          </w:rPr>
          <w:fldChar w:fldCharType="begin"/>
        </w:r>
        <w:r w:rsidRPr="00414C1D">
          <w:rPr>
            <w:rFonts w:ascii="Arial" w:hAnsi="Arial" w:cs="Arial"/>
          </w:rPr>
          <w:instrText>PAGE   \* MERGEFORMAT</w:instrText>
        </w:r>
        <w:r w:rsidRPr="00414C1D">
          <w:rPr>
            <w:rFonts w:ascii="Arial" w:hAnsi="Arial" w:cs="Arial"/>
          </w:rPr>
          <w:fldChar w:fldCharType="separate"/>
        </w:r>
        <w:r w:rsidR="00B70245" w:rsidRPr="00B70245">
          <w:rPr>
            <w:rFonts w:ascii="Arial" w:hAnsi="Arial" w:cs="Arial"/>
            <w:noProof/>
            <w:lang w:val="fr-FR"/>
          </w:rPr>
          <w:t>3</w:t>
        </w:r>
        <w:r w:rsidRPr="00414C1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18EB" w14:textId="77777777" w:rsidR="007A0524" w:rsidRDefault="007A0524" w:rsidP="0084468F">
      <w:pPr>
        <w:spacing w:after="0" w:line="240" w:lineRule="auto"/>
      </w:pPr>
      <w:r>
        <w:separator/>
      </w:r>
    </w:p>
  </w:footnote>
  <w:footnote w:type="continuationSeparator" w:id="0">
    <w:p w14:paraId="73BCDDCF" w14:textId="77777777" w:rsidR="007A0524" w:rsidRDefault="007A0524" w:rsidP="0084468F">
      <w:pPr>
        <w:spacing w:after="0" w:line="240" w:lineRule="auto"/>
      </w:pPr>
      <w:r>
        <w:continuationSeparator/>
      </w:r>
    </w:p>
  </w:footnote>
  <w:footnote w:type="continuationNotice" w:id="1">
    <w:p w14:paraId="30F4DDA7" w14:textId="77777777" w:rsidR="007A0524" w:rsidRDefault="007A0524">
      <w:pPr>
        <w:spacing w:after="0" w:line="240" w:lineRule="auto"/>
      </w:pPr>
    </w:p>
  </w:footnote>
  <w:footnote w:id="2">
    <w:p w14:paraId="35F8FD6C" w14:textId="32A8CB38" w:rsidR="005E1448" w:rsidRDefault="005E1448">
      <w:pPr>
        <w:pStyle w:val="Notedebasdepage"/>
      </w:pPr>
      <w:r>
        <w:rPr>
          <w:rStyle w:val="Appelnotedebasdep"/>
        </w:rPr>
        <w:footnoteRef/>
      </w:r>
      <w:r>
        <w:t xml:space="preserve"> </w:t>
      </w:r>
      <w:r w:rsidRPr="005E1448">
        <w:t>V.L. c. Ville de Gatineau, 2022 QCCA 1395 (CanLII)</w:t>
      </w:r>
      <w:r>
        <w:t>, par. 74, 76 à 78.</w:t>
      </w:r>
    </w:p>
  </w:footnote>
  <w:footnote w:id="3">
    <w:p w14:paraId="6759CA99" w14:textId="77777777" w:rsidR="00124B30" w:rsidRPr="00C602EA" w:rsidRDefault="00124B30" w:rsidP="00C602EA">
      <w:pPr>
        <w:spacing w:after="0" w:line="240" w:lineRule="auto"/>
        <w:jc w:val="both"/>
        <w:rPr>
          <w:rFonts w:cstheme="minorHAnsi"/>
          <w:sz w:val="20"/>
          <w:szCs w:val="20"/>
        </w:rPr>
      </w:pPr>
      <w:r w:rsidRPr="00C602EA">
        <w:rPr>
          <w:rStyle w:val="Appelnotedebasdep"/>
          <w:rFonts w:cstheme="minorHAnsi"/>
          <w:sz w:val="20"/>
          <w:szCs w:val="20"/>
        </w:rPr>
        <w:footnoteRef/>
      </w:r>
      <w:r w:rsidRPr="00C602EA">
        <w:rPr>
          <w:rFonts w:cstheme="minorHAnsi"/>
          <w:sz w:val="20"/>
          <w:szCs w:val="20"/>
        </w:rPr>
        <w:t xml:space="preserve"> Si le crime a été commis avant 2002, c’est la </w:t>
      </w:r>
      <w:r w:rsidRPr="00C602EA">
        <w:rPr>
          <w:rFonts w:cstheme="minorHAnsi"/>
          <w:i/>
          <w:sz w:val="20"/>
          <w:szCs w:val="20"/>
        </w:rPr>
        <w:t xml:space="preserve">Loi sur les jeunes contrevenants </w:t>
      </w:r>
      <w:r w:rsidRPr="00C602EA">
        <w:rPr>
          <w:rFonts w:cstheme="minorHAnsi"/>
          <w:sz w:val="20"/>
          <w:szCs w:val="20"/>
        </w:rPr>
        <w:t>(L.R.C. (1985), ch. Y-1) qui s’appliquait. Pour plus de détails, consulter le conseiller juridique de la DPPDJ.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BA47" w14:textId="554FA908" w:rsidR="00793500" w:rsidRPr="001B4E51" w:rsidRDefault="00C81B08" w:rsidP="00B75F17">
    <w:pPr>
      <w:pStyle w:val="En-tte"/>
      <w:tabs>
        <w:tab w:val="clear" w:pos="4703"/>
        <w:tab w:val="clear" w:pos="9406"/>
        <w:tab w:val="right" w:pos="9360"/>
      </w:tabs>
      <w:rPr>
        <w:rFonts w:ascii="Arial" w:hAnsi="Arial" w:cs="Arial"/>
      </w:rPr>
    </w:pPr>
    <w:r>
      <w:rPr>
        <w:rFonts w:ascii="Arial" w:hAnsi="Arial" w:cs="Arial"/>
        <w:noProof/>
        <w:sz w:val="24"/>
      </w:rPr>
      <w:drawing>
        <wp:inline distT="0" distB="0" distL="0" distR="0" wp14:anchorId="31451F2D" wp14:editId="32DAF029">
          <wp:extent cx="1325394" cy="532800"/>
          <wp:effectExtent l="0" t="0" r="8255" b="635"/>
          <wp:docPr id="652307397" name="Image 2" descr="Logo de la Commission des droits de la personne et des droits de la jeun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07397" name="Image 2" descr="Logo de la Commission des droits de la personne et des droits de la jeuness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9951" cy="538652"/>
                  </a:xfrm>
                  <a:prstGeom prst="rect">
                    <a:avLst/>
                  </a:prstGeom>
                </pic:spPr>
              </pic:pic>
            </a:graphicData>
          </a:graphic>
        </wp:inline>
      </w:drawing>
    </w:r>
    <w:r w:rsidR="00793500" w:rsidRPr="0063365A">
      <w:rPr>
        <w:rFonts w:ascii="Arial" w:hAnsi="Arial" w:cs="Arial"/>
        <w:sz w:val="24"/>
      </w:rPr>
      <w:tab/>
    </w:r>
    <w:r w:rsidR="00575095">
      <w:rPr>
        <w:rFonts w:ascii="Arial" w:hAnsi="Arial" w:cs="Arial"/>
        <w:sz w:val="24"/>
      </w:rPr>
      <w:t xml:space="preserve">Mise à jour : </w:t>
    </w:r>
    <w:r w:rsidR="00D9191F">
      <w:rPr>
        <w:rFonts w:ascii="Arial" w:hAnsi="Arial" w:cs="Arial"/>
        <w:sz w:val="24"/>
      </w:rPr>
      <w:t>Février 2025</w:t>
    </w:r>
  </w:p>
  <w:p w14:paraId="14743194" w14:textId="77777777" w:rsidR="00793500" w:rsidRPr="00E95722" w:rsidRDefault="00793500" w:rsidP="00B75F17">
    <w:pPr>
      <w:pStyle w:val="En-tte"/>
      <w:tabs>
        <w:tab w:val="clear" w:pos="4703"/>
        <w:tab w:val="clear" w:pos="9406"/>
        <w:tab w:val="right" w:pos="9360"/>
      </w:tabs>
      <w:spacing w:after="480"/>
      <w:rPr>
        <w:rFonts w:ascii="Arial" w:hAnsi="Arial" w:cs="Arial"/>
        <w:b/>
        <w:u w:val="single"/>
      </w:rPr>
    </w:pPr>
    <w:r>
      <w:rPr>
        <w:rFonts w:ascii="Arial" w:hAnsi="Arial" w:cs="Arial"/>
        <w:b/>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9F9"/>
    <w:multiLevelType w:val="hybridMultilevel"/>
    <w:tmpl w:val="47004D2C"/>
    <w:lvl w:ilvl="0" w:tplc="0C0C0001">
      <w:start w:val="1"/>
      <w:numFmt w:val="bullet"/>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 w15:restartNumberingAfterBreak="0">
    <w:nsid w:val="1BC1033B"/>
    <w:multiLevelType w:val="hybridMultilevel"/>
    <w:tmpl w:val="362C93A4"/>
    <w:lvl w:ilvl="0" w:tplc="97E6FEA2">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08312E"/>
    <w:multiLevelType w:val="hybridMultilevel"/>
    <w:tmpl w:val="034CC326"/>
    <w:lvl w:ilvl="0" w:tplc="0C0C0001">
      <w:start w:val="1"/>
      <w:numFmt w:val="bullet"/>
      <w:lvlText w:val=""/>
      <w:lvlJc w:val="left"/>
      <w:pPr>
        <w:ind w:left="490" w:hanging="360"/>
      </w:pPr>
      <w:rPr>
        <w:rFonts w:ascii="Symbol" w:hAnsi="Symbol" w:hint="default"/>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3" w15:restartNumberingAfterBreak="0">
    <w:nsid w:val="2878471A"/>
    <w:multiLevelType w:val="hybridMultilevel"/>
    <w:tmpl w:val="C74C66BA"/>
    <w:lvl w:ilvl="0" w:tplc="437AEAE4">
      <w:start w:val="6"/>
      <w:numFmt w:val="bullet"/>
      <w:lvlText w:val="-"/>
      <w:lvlJc w:val="left"/>
      <w:pPr>
        <w:ind w:left="490" w:hanging="360"/>
      </w:pPr>
      <w:rPr>
        <w:rFonts w:ascii="Calibri" w:eastAsiaTheme="minorHAnsi" w:hAnsi="Calibri" w:cstheme="minorBidi" w:hint="default"/>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4" w15:restartNumberingAfterBreak="0">
    <w:nsid w:val="354F6138"/>
    <w:multiLevelType w:val="hybridMultilevel"/>
    <w:tmpl w:val="3D34730E"/>
    <w:lvl w:ilvl="0" w:tplc="B1A6E344">
      <w:start w:val="1"/>
      <w:numFmt w:val="decimal"/>
      <w:lvlText w:val="%1."/>
      <w:lvlJc w:val="left"/>
      <w:pPr>
        <w:ind w:left="712" w:hanging="588"/>
      </w:pPr>
      <w:rPr>
        <w:rFonts w:hint="default"/>
      </w:rPr>
    </w:lvl>
    <w:lvl w:ilvl="1" w:tplc="0C0C0019" w:tentative="1">
      <w:start w:val="1"/>
      <w:numFmt w:val="lowerLetter"/>
      <w:lvlText w:val="%2."/>
      <w:lvlJc w:val="left"/>
      <w:pPr>
        <w:ind w:left="1204" w:hanging="360"/>
      </w:pPr>
    </w:lvl>
    <w:lvl w:ilvl="2" w:tplc="0C0C001B" w:tentative="1">
      <w:start w:val="1"/>
      <w:numFmt w:val="lowerRoman"/>
      <w:lvlText w:val="%3."/>
      <w:lvlJc w:val="right"/>
      <w:pPr>
        <w:ind w:left="1924" w:hanging="180"/>
      </w:pPr>
    </w:lvl>
    <w:lvl w:ilvl="3" w:tplc="0C0C000F" w:tentative="1">
      <w:start w:val="1"/>
      <w:numFmt w:val="decimal"/>
      <w:lvlText w:val="%4."/>
      <w:lvlJc w:val="left"/>
      <w:pPr>
        <w:ind w:left="2644" w:hanging="360"/>
      </w:pPr>
    </w:lvl>
    <w:lvl w:ilvl="4" w:tplc="0C0C0019" w:tentative="1">
      <w:start w:val="1"/>
      <w:numFmt w:val="lowerLetter"/>
      <w:lvlText w:val="%5."/>
      <w:lvlJc w:val="left"/>
      <w:pPr>
        <w:ind w:left="3364" w:hanging="360"/>
      </w:pPr>
    </w:lvl>
    <w:lvl w:ilvl="5" w:tplc="0C0C001B" w:tentative="1">
      <w:start w:val="1"/>
      <w:numFmt w:val="lowerRoman"/>
      <w:lvlText w:val="%6."/>
      <w:lvlJc w:val="right"/>
      <w:pPr>
        <w:ind w:left="4084" w:hanging="180"/>
      </w:pPr>
    </w:lvl>
    <w:lvl w:ilvl="6" w:tplc="0C0C000F" w:tentative="1">
      <w:start w:val="1"/>
      <w:numFmt w:val="decimal"/>
      <w:lvlText w:val="%7."/>
      <w:lvlJc w:val="left"/>
      <w:pPr>
        <w:ind w:left="4804" w:hanging="360"/>
      </w:pPr>
    </w:lvl>
    <w:lvl w:ilvl="7" w:tplc="0C0C0019" w:tentative="1">
      <w:start w:val="1"/>
      <w:numFmt w:val="lowerLetter"/>
      <w:lvlText w:val="%8."/>
      <w:lvlJc w:val="left"/>
      <w:pPr>
        <w:ind w:left="5524" w:hanging="360"/>
      </w:pPr>
    </w:lvl>
    <w:lvl w:ilvl="8" w:tplc="0C0C001B" w:tentative="1">
      <w:start w:val="1"/>
      <w:numFmt w:val="lowerRoman"/>
      <w:lvlText w:val="%9."/>
      <w:lvlJc w:val="right"/>
      <w:pPr>
        <w:ind w:left="6244" w:hanging="180"/>
      </w:pPr>
    </w:lvl>
  </w:abstractNum>
  <w:abstractNum w:abstractNumId="5" w15:restartNumberingAfterBreak="0">
    <w:nsid w:val="47B2450A"/>
    <w:multiLevelType w:val="hybridMultilevel"/>
    <w:tmpl w:val="6668186A"/>
    <w:lvl w:ilvl="0" w:tplc="DA104390">
      <w:start w:val="1"/>
      <w:numFmt w:val="bullet"/>
      <w:lvlText w:val=""/>
      <w:lvlJc w:val="left"/>
      <w:pPr>
        <w:ind w:left="844" w:hanging="360"/>
      </w:pPr>
      <w:rPr>
        <w:rFonts w:ascii="Symbol" w:hAnsi="Symbol" w:hint="default"/>
        <w:color w:val="auto"/>
      </w:rPr>
    </w:lvl>
    <w:lvl w:ilvl="1" w:tplc="0C0C0003" w:tentative="1">
      <w:start w:val="1"/>
      <w:numFmt w:val="bullet"/>
      <w:lvlText w:val="o"/>
      <w:lvlJc w:val="left"/>
      <w:pPr>
        <w:ind w:left="1564" w:hanging="360"/>
      </w:pPr>
      <w:rPr>
        <w:rFonts w:ascii="Courier New" w:hAnsi="Courier New" w:cs="Courier New" w:hint="default"/>
      </w:rPr>
    </w:lvl>
    <w:lvl w:ilvl="2" w:tplc="0C0C0005" w:tentative="1">
      <w:start w:val="1"/>
      <w:numFmt w:val="bullet"/>
      <w:lvlText w:val=""/>
      <w:lvlJc w:val="left"/>
      <w:pPr>
        <w:ind w:left="2284" w:hanging="360"/>
      </w:pPr>
      <w:rPr>
        <w:rFonts w:ascii="Wingdings" w:hAnsi="Wingdings" w:hint="default"/>
      </w:rPr>
    </w:lvl>
    <w:lvl w:ilvl="3" w:tplc="0C0C0001" w:tentative="1">
      <w:start w:val="1"/>
      <w:numFmt w:val="bullet"/>
      <w:lvlText w:val=""/>
      <w:lvlJc w:val="left"/>
      <w:pPr>
        <w:ind w:left="3004" w:hanging="360"/>
      </w:pPr>
      <w:rPr>
        <w:rFonts w:ascii="Symbol" w:hAnsi="Symbol" w:hint="default"/>
      </w:rPr>
    </w:lvl>
    <w:lvl w:ilvl="4" w:tplc="0C0C0003" w:tentative="1">
      <w:start w:val="1"/>
      <w:numFmt w:val="bullet"/>
      <w:lvlText w:val="o"/>
      <w:lvlJc w:val="left"/>
      <w:pPr>
        <w:ind w:left="3724" w:hanging="360"/>
      </w:pPr>
      <w:rPr>
        <w:rFonts w:ascii="Courier New" w:hAnsi="Courier New" w:cs="Courier New" w:hint="default"/>
      </w:rPr>
    </w:lvl>
    <w:lvl w:ilvl="5" w:tplc="0C0C0005" w:tentative="1">
      <w:start w:val="1"/>
      <w:numFmt w:val="bullet"/>
      <w:lvlText w:val=""/>
      <w:lvlJc w:val="left"/>
      <w:pPr>
        <w:ind w:left="4444" w:hanging="360"/>
      </w:pPr>
      <w:rPr>
        <w:rFonts w:ascii="Wingdings" w:hAnsi="Wingdings" w:hint="default"/>
      </w:rPr>
    </w:lvl>
    <w:lvl w:ilvl="6" w:tplc="0C0C0001" w:tentative="1">
      <w:start w:val="1"/>
      <w:numFmt w:val="bullet"/>
      <w:lvlText w:val=""/>
      <w:lvlJc w:val="left"/>
      <w:pPr>
        <w:ind w:left="5164" w:hanging="360"/>
      </w:pPr>
      <w:rPr>
        <w:rFonts w:ascii="Symbol" w:hAnsi="Symbol" w:hint="default"/>
      </w:rPr>
    </w:lvl>
    <w:lvl w:ilvl="7" w:tplc="0C0C0003" w:tentative="1">
      <w:start w:val="1"/>
      <w:numFmt w:val="bullet"/>
      <w:lvlText w:val="o"/>
      <w:lvlJc w:val="left"/>
      <w:pPr>
        <w:ind w:left="5884" w:hanging="360"/>
      </w:pPr>
      <w:rPr>
        <w:rFonts w:ascii="Courier New" w:hAnsi="Courier New" w:cs="Courier New" w:hint="default"/>
      </w:rPr>
    </w:lvl>
    <w:lvl w:ilvl="8" w:tplc="0C0C0005" w:tentative="1">
      <w:start w:val="1"/>
      <w:numFmt w:val="bullet"/>
      <w:lvlText w:val=""/>
      <w:lvlJc w:val="left"/>
      <w:pPr>
        <w:ind w:left="6604" w:hanging="360"/>
      </w:pPr>
      <w:rPr>
        <w:rFonts w:ascii="Wingdings" w:hAnsi="Wingdings" w:hint="default"/>
      </w:rPr>
    </w:lvl>
  </w:abstractNum>
  <w:abstractNum w:abstractNumId="6" w15:restartNumberingAfterBreak="0">
    <w:nsid w:val="5AFC4046"/>
    <w:multiLevelType w:val="hybridMultilevel"/>
    <w:tmpl w:val="173CC1DA"/>
    <w:lvl w:ilvl="0" w:tplc="0C0C0001">
      <w:start w:val="1"/>
      <w:numFmt w:val="bullet"/>
      <w:lvlText w:val=""/>
      <w:lvlJc w:val="left"/>
      <w:pPr>
        <w:ind w:left="844" w:hanging="360"/>
      </w:pPr>
      <w:rPr>
        <w:rFonts w:ascii="Symbol" w:hAnsi="Symbol" w:hint="default"/>
      </w:rPr>
    </w:lvl>
    <w:lvl w:ilvl="1" w:tplc="0C0C0003" w:tentative="1">
      <w:start w:val="1"/>
      <w:numFmt w:val="bullet"/>
      <w:lvlText w:val="o"/>
      <w:lvlJc w:val="left"/>
      <w:pPr>
        <w:ind w:left="1564" w:hanging="360"/>
      </w:pPr>
      <w:rPr>
        <w:rFonts w:ascii="Courier New" w:hAnsi="Courier New" w:cs="Courier New" w:hint="default"/>
      </w:rPr>
    </w:lvl>
    <w:lvl w:ilvl="2" w:tplc="0C0C0005" w:tentative="1">
      <w:start w:val="1"/>
      <w:numFmt w:val="bullet"/>
      <w:lvlText w:val=""/>
      <w:lvlJc w:val="left"/>
      <w:pPr>
        <w:ind w:left="2284" w:hanging="360"/>
      </w:pPr>
      <w:rPr>
        <w:rFonts w:ascii="Wingdings" w:hAnsi="Wingdings" w:hint="default"/>
      </w:rPr>
    </w:lvl>
    <w:lvl w:ilvl="3" w:tplc="0C0C0001" w:tentative="1">
      <w:start w:val="1"/>
      <w:numFmt w:val="bullet"/>
      <w:lvlText w:val=""/>
      <w:lvlJc w:val="left"/>
      <w:pPr>
        <w:ind w:left="3004" w:hanging="360"/>
      </w:pPr>
      <w:rPr>
        <w:rFonts w:ascii="Symbol" w:hAnsi="Symbol" w:hint="default"/>
      </w:rPr>
    </w:lvl>
    <w:lvl w:ilvl="4" w:tplc="0C0C0003" w:tentative="1">
      <w:start w:val="1"/>
      <w:numFmt w:val="bullet"/>
      <w:lvlText w:val="o"/>
      <w:lvlJc w:val="left"/>
      <w:pPr>
        <w:ind w:left="3724" w:hanging="360"/>
      </w:pPr>
      <w:rPr>
        <w:rFonts w:ascii="Courier New" w:hAnsi="Courier New" w:cs="Courier New" w:hint="default"/>
      </w:rPr>
    </w:lvl>
    <w:lvl w:ilvl="5" w:tplc="0C0C0005" w:tentative="1">
      <w:start w:val="1"/>
      <w:numFmt w:val="bullet"/>
      <w:lvlText w:val=""/>
      <w:lvlJc w:val="left"/>
      <w:pPr>
        <w:ind w:left="4444" w:hanging="360"/>
      </w:pPr>
      <w:rPr>
        <w:rFonts w:ascii="Wingdings" w:hAnsi="Wingdings" w:hint="default"/>
      </w:rPr>
    </w:lvl>
    <w:lvl w:ilvl="6" w:tplc="0C0C0001" w:tentative="1">
      <w:start w:val="1"/>
      <w:numFmt w:val="bullet"/>
      <w:lvlText w:val=""/>
      <w:lvlJc w:val="left"/>
      <w:pPr>
        <w:ind w:left="5164" w:hanging="360"/>
      </w:pPr>
      <w:rPr>
        <w:rFonts w:ascii="Symbol" w:hAnsi="Symbol" w:hint="default"/>
      </w:rPr>
    </w:lvl>
    <w:lvl w:ilvl="7" w:tplc="0C0C0003" w:tentative="1">
      <w:start w:val="1"/>
      <w:numFmt w:val="bullet"/>
      <w:lvlText w:val="o"/>
      <w:lvlJc w:val="left"/>
      <w:pPr>
        <w:ind w:left="5884" w:hanging="360"/>
      </w:pPr>
      <w:rPr>
        <w:rFonts w:ascii="Courier New" w:hAnsi="Courier New" w:cs="Courier New" w:hint="default"/>
      </w:rPr>
    </w:lvl>
    <w:lvl w:ilvl="8" w:tplc="0C0C0005" w:tentative="1">
      <w:start w:val="1"/>
      <w:numFmt w:val="bullet"/>
      <w:lvlText w:val=""/>
      <w:lvlJc w:val="left"/>
      <w:pPr>
        <w:ind w:left="6604" w:hanging="360"/>
      </w:pPr>
      <w:rPr>
        <w:rFonts w:ascii="Wingdings" w:hAnsi="Wingdings" w:hint="default"/>
      </w:rPr>
    </w:lvl>
  </w:abstractNum>
  <w:abstractNum w:abstractNumId="7" w15:restartNumberingAfterBreak="0">
    <w:nsid w:val="749E10FC"/>
    <w:multiLevelType w:val="hybridMultilevel"/>
    <w:tmpl w:val="69A4536C"/>
    <w:lvl w:ilvl="0" w:tplc="0C0C0001">
      <w:start w:val="1"/>
      <w:numFmt w:val="bullet"/>
      <w:lvlText w:val=""/>
      <w:lvlJc w:val="left"/>
      <w:pPr>
        <w:ind w:left="844" w:hanging="360"/>
      </w:pPr>
      <w:rPr>
        <w:rFonts w:ascii="Symbol" w:hAnsi="Symbol" w:hint="default"/>
      </w:rPr>
    </w:lvl>
    <w:lvl w:ilvl="1" w:tplc="0C0C0003" w:tentative="1">
      <w:start w:val="1"/>
      <w:numFmt w:val="bullet"/>
      <w:lvlText w:val="o"/>
      <w:lvlJc w:val="left"/>
      <w:pPr>
        <w:ind w:left="1564" w:hanging="360"/>
      </w:pPr>
      <w:rPr>
        <w:rFonts w:ascii="Courier New" w:hAnsi="Courier New" w:cs="Courier New" w:hint="default"/>
      </w:rPr>
    </w:lvl>
    <w:lvl w:ilvl="2" w:tplc="0C0C0005" w:tentative="1">
      <w:start w:val="1"/>
      <w:numFmt w:val="bullet"/>
      <w:lvlText w:val=""/>
      <w:lvlJc w:val="left"/>
      <w:pPr>
        <w:ind w:left="2284" w:hanging="360"/>
      </w:pPr>
      <w:rPr>
        <w:rFonts w:ascii="Wingdings" w:hAnsi="Wingdings" w:hint="default"/>
      </w:rPr>
    </w:lvl>
    <w:lvl w:ilvl="3" w:tplc="0C0C0001" w:tentative="1">
      <w:start w:val="1"/>
      <w:numFmt w:val="bullet"/>
      <w:lvlText w:val=""/>
      <w:lvlJc w:val="left"/>
      <w:pPr>
        <w:ind w:left="3004" w:hanging="360"/>
      </w:pPr>
      <w:rPr>
        <w:rFonts w:ascii="Symbol" w:hAnsi="Symbol" w:hint="default"/>
      </w:rPr>
    </w:lvl>
    <w:lvl w:ilvl="4" w:tplc="0C0C0003" w:tentative="1">
      <w:start w:val="1"/>
      <w:numFmt w:val="bullet"/>
      <w:lvlText w:val="o"/>
      <w:lvlJc w:val="left"/>
      <w:pPr>
        <w:ind w:left="3724" w:hanging="360"/>
      </w:pPr>
      <w:rPr>
        <w:rFonts w:ascii="Courier New" w:hAnsi="Courier New" w:cs="Courier New" w:hint="default"/>
      </w:rPr>
    </w:lvl>
    <w:lvl w:ilvl="5" w:tplc="0C0C0005" w:tentative="1">
      <w:start w:val="1"/>
      <w:numFmt w:val="bullet"/>
      <w:lvlText w:val=""/>
      <w:lvlJc w:val="left"/>
      <w:pPr>
        <w:ind w:left="4444" w:hanging="360"/>
      </w:pPr>
      <w:rPr>
        <w:rFonts w:ascii="Wingdings" w:hAnsi="Wingdings" w:hint="default"/>
      </w:rPr>
    </w:lvl>
    <w:lvl w:ilvl="6" w:tplc="0C0C0001" w:tentative="1">
      <w:start w:val="1"/>
      <w:numFmt w:val="bullet"/>
      <w:lvlText w:val=""/>
      <w:lvlJc w:val="left"/>
      <w:pPr>
        <w:ind w:left="5164" w:hanging="360"/>
      </w:pPr>
      <w:rPr>
        <w:rFonts w:ascii="Symbol" w:hAnsi="Symbol" w:hint="default"/>
      </w:rPr>
    </w:lvl>
    <w:lvl w:ilvl="7" w:tplc="0C0C0003" w:tentative="1">
      <w:start w:val="1"/>
      <w:numFmt w:val="bullet"/>
      <w:lvlText w:val="o"/>
      <w:lvlJc w:val="left"/>
      <w:pPr>
        <w:ind w:left="5884" w:hanging="360"/>
      </w:pPr>
      <w:rPr>
        <w:rFonts w:ascii="Courier New" w:hAnsi="Courier New" w:cs="Courier New" w:hint="default"/>
      </w:rPr>
    </w:lvl>
    <w:lvl w:ilvl="8" w:tplc="0C0C0005" w:tentative="1">
      <w:start w:val="1"/>
      <w:numFmt w:val="bullet"/>
      <w:lvlText w:val=""/>
      <w:lvlJc w:val="left"/>
      <w:pPr>
        <w:ind w:left="6604" w:hanging="360"/>
      </w:pPr>
      <w:rPr>
        <w:rFonts w:ascii="Wingdings" w:hAnsi="Wingdings" w:hint="default"/>
      </w:rPr>
    </w:lvl>
  </w:abstractNum>
  <w:num w:numId="1" w16cid:durableId="372850393">
    <w:abstractNumId w:val="1"/>
  </w:num>
  <w:num w:numId="2" w16cid:durableId="1665351329">
    <w:abstractNumId w:val="4"/>
  </w:num>
  <w:num w:numId="3" w16cid:durableId="986393198">
    <w:abstractNumId w:val="6"/>
  </w:num>
  <w:num w:numId="4" w16cid:durableId="1435398485">
    <w:abstractNumId w:val="7"/>
  </w:num>
  <w:num w:numId="5" w16cid:durableId="1429155103">
    <w:abstractNumId w:val="5"/>
  </w:num>
  <w:num w:numId="6" w16cid:durableId="745110211">
    <w:abstractNumId w:val="3"/>
  </w:num>
  <w:num w:numId="7" w16cid:durableId="1064059200">
    <w:abstractNumId w:val="2"/>
  </w:num>
  <w:num w:numId="8" w16cid:durableId="117211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xRVYzAefLVTwo3GbRU0AfmINT1TH8k5XfWKD4S6JSv8LMl9pHYN9LEMKVSzapuUZmphNn2WwAgDd8qZxPi3gXQ==" w:salt="4GiZdeGWsocCI2KGZ66DZ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BF"/>
    <w:rsid w:val="00022D53"/>
    <w:rsid w:val="000561F7"/>
    <w:rsid w:val="000603FD"/>
    <w:rsid w:val="00084C02"/>
    <w:rsid w:val="000C2D6A"/>
    <w:rsid w:val="000D71ED"/>
    <w:rsid w:val="000F4F95"/>
    <w:rsid w:val="00102D17"/>
    <w:rsid w:val="0011336C"/>
    <w:rsid w:val="0011368F"/>
    <w:rsid w:val="001151FA"/>
    <w:rsid w:val="00121D69"/>
    <w:rsid w:val="00124B30"/>
    <w:rsid w:val="001302BE"/>
    <w:rsid w:val="00131642"/>
    <w:rsid w:val="00132239"/>
    <w:rsid w:val="00174203"/>
    <w:rsid w:val="00176694"/>
    <w:rsid w:val="0018574C"/>
    <w:rsid w:val="001875D4"/>
    <w:rsid w:val="00194FFF"/>
    <w:rsid w:val="001B4E51"/>
    <w:rsid w:val="001B6643"/>
    <w:rsid w:val="001F6C53"/>
    <w:rsid w:val="00223846"/>
    <w:rsid w:val="002242A2"/>
    <w:rsid w:val="0023167F"/>
    <w:rsid w:val="002575F5"/>
    <w:rsid w:val="00267D01"/>
    <w:rsid w:val="00273DBE"/>
    <w:rsid w:val="00274B99"/>
    <w:rsid w:val="00282719"/>
    <w:rsid w:val="002846D4"/>
    <w:rsid w:val="002B54A8"/>
    <w:rsid w:val="002C09D4"/>
    <w:rsid w:val="002C5F8D"/>
    <w:rsid w:val="002C716A"/>
    <w:rsid w:val="002D76AB"/>
    <w:rsid w:val="002E7A26"/>
    <w:rsid w:val="002F1615"/>
    <w:rsid w:val="002F4996"/>
    <w:rsid w:val="00311501"/>
    <w:rsid w:val="00320D69"/>
    <w:rsid w:val="003455CA"/>
    <w:rsid w:val="00353B06"/>
    <w:rsid w:val="00363931"/>
    <w:rsid w:val="00381A29"/>
    <w:rsid w:val="0038614D"/>
    <w:rsid w:val="003A7638"/>
    <w:rsid w:val="003C078D"/>
    <w:rsid w:val="003C3E5C"/>
    <w:rsid w:val="003D2EFA"/>
    <w:rsid w:val="003E57E5"/>
    <w:rsid w:val="003E7FD9"/>
    <w:rsid w:val="00400016"/>
    <w:rsid w:val="00414C1D"/>
    <w:rsid w:val="0042083E"/>
    <w:rsid w:val="004339C6"/>
    <w:rsid w:val="00440627"/>
    <w:rsid w:val="00443C33"/>
    <w:rsid w:val="004512F5"/>
    <w:rsid w:val="00472772"/>
    <w:rsid w:val="00482193"/>
    <w:rsid w:val="0049159B"/>
    <w:rsid w:val="004A4A26"/>
    <w:rsid w:val="004B3F2F"/>
    <w:rsid w:val="004C6CB7"/>
    <w:rsid w:val="004D2D2B"/>
    <w:rsid w:val="004E5307"/>
    <w:rsid w:val="004F4DC6"/>
    <w:rsid w:val="00501C03"/>
    <w:rsid w:val="005064C8"/>
    <w:rsid w:val="00514453"/>
    <w:rsid w:val="0053602B"/>
    <w:rsid w:val="00575095"/>
    <w:rsid w:val="00586FEC"/>
    <w:rsid w:val="005A1D28"/>
    <w:rsid w:val="005A6B7B"/>
    <w:rsid w:val="005E1448"/>
    <w:rsid w:val="005F4120"/>
    <w:rsid w:val="00605322"/>
    <w:rsid w:val="006650D3"/>
    <w:rsid w:val="006B048C"/>
    <w:rsid w:val="006E307B"/>
    <w:rsid w:val="006E4FA3"/>
    <w:rsid w:val="007074E1"/>
    <w:rsid w:val="00743FCC"/>
    <w:rsid w:val="00793500"/>
    <w:rsid w:val="0079558E"/>
    <w:rsid w:val="007A0524"/>
    <w:rsid w:val="007C2088"/>
    <w:rsid w:val="007D429D"/>
    <w:rsid w:val="007E20B4"/>
    <w:rsid w:val="00833CE0"/>
    <w:rsid w:val="008354F5"/>
    <w:rsid w:val="0084468F"/>
    <w:rsid w:val="0085788F"/>
    <w:rsid w:val="00860424"/>
    <w:rsid w:val="008638DC"/>
    <w:rsid w:val="0088145E"/>
    <w:rsid w:val="008A487C"/>
    <w:rsid w:val="009023CA"/>
    <w:rsid w:val="0092335B"/>
    <w:rsid w:val="00926719"/>
    <w:rsid w:val="00926A2D"/>
    <w:rsid w:val="00946721"/>
    <w:rsid w:val="00970CBF"/>
    <w:rsid w:val="00973AA8"/>
    <w:rsid w:val="00995620"/>
    <w:rsid w:val="009A45A7"/>
    <w:rsid w:val="009B3811"/>
    <w:rsid w:val="009C69A1"/>
    <w:rsid w:val="009D7BA8"/>
    <w:rsid w:val="009F2AEF"/>
    <w:rsid w:val="00A00168"/>
    <w:rsid w:val="00A07662"/>
    <w:rsid w:val="00A079F2"/>
    <w:rsid w:val="00A427D7"/>
    <w:rsid w:val="00A470D5"/>
    <w:rsid w:val="00A47228"/>
    <w:rsid w:val="00A53C15"/>
    <w:rsid w:val="00A55C52"/>
    <w:rsid w:val="00A8357A"/>
    <w:rsid w:val="00AA181B"/>
    <w:rsid w:val="00AA34BE"/>
    <w:rsid w:val="00AB25D3"/>
    <w:rsid w:val="00AB5AE0"/>
    <w:rsid w:val="00AB5BB8"/>
    <w:rsid w:val="00AC04F8"/>
    <w:rsid w:val="00AC0A02"/>
    <w:rsid w:val="00AD7EE1"/>
    <w:rsid w:val="00AF50E2"/>
    <w:rsid w:val="00B16B34"/>
    <w:rsid w:val="00B24F2A"/>
    <w:rsid w:val="00B61248"/>
    <w:rsid w:val="00B61735"/>
    <w:rsid w:val="00B70245"/>
    <w:rsid w:val="00B75F17"/>
    <w:rsid w:val="00B96530"/>
    <w:rsid w:val="00BA7840"/>
    <w:rsid w:val="00BB6EBD"/>
    <w:rsid w:val="00BD16B3"/>
    <w:rsid w:val="00BF6E93"/>
    <w:rsid w:val="00C25563"/>
    <w:rsid w:val="00C27CA9"/>
    <w:rsid w:val="00C602EA"/>
    <w:rsid w:val="00C62B59"/>
    <w:rsid w:val="00C673F5"/>
    <w:rsid w:val="00C81B08"/>
    <w:rsid w:val="00C870C9"/>
    <w:rsid w:val="00C871D8"/>
    <w:rsid w:val="00C92F56"/>
    <w:rsid w:val="00C97EF4"/>
    <w:rsid w:val="00CB6688"/>
    <w:rsid w:val="00CC1B64"/>
    <w:rsid w:val="00CD2375"/>
    <w:rsid w:val="00CE71BF"/>
    <w:rsid w:val="00CE7CD6"/>
    <w:rsid w:val="00D23CCD"/>
    <w:rsid w:val="00D521FF"/>
    <w:rsid w:val="00D54628"/>
    <w:rsid w:val="00D65E3D"/>
    <w:rsid w:val="00D67179"/>
    <w:rsid w:val="00D8784F"/>
    <w:rsid w:val="00D9191F"/>
    <w:rsid w:val="00D97C0E"/>
    <w:rsid w:val="00DB1BAA"/>
    <w:rsid w:val="00DD5889"/>
    <w:rsid w:val="00DD5A6C"/>
    <w:rsid w:val="00DE187E"/>
    <w:rsid w:val="00DF12B9"/>
    <w:rsid w:val="00E03344"/>
    <w:rsid w:val="00E25B0B"/>
    <w:rsid w:val="00E47496"/>
    <w:rsid w:val="00E47806"/>
    <w:rsid w:val="00E50AD5"/>
    <w:rsid w:val="00E5735B"/>
    <w:rsid w:val="00E70B14"/>
    <w:rsid w:val="00E95722"/>
    <w:rsid w:val="00EC4A89"/>
    <w:rsid w:val="00EC6F90"/>
    <w:rsid w:val="00F24231"/>
    <w:rsid w:val="00F55630"/>
    <w:rsid w:val="00F74E5B"/>
    <w:rsid w:val="00F934C2"/>
    <w:rsid w:val="00FD6A69"/>
    <w:rsid w:val="00FE1D93"/>
    <w:rsid w:val="00FE2965"/>
    <w:rsid w:val="010EB8D1"/>
    <w:rsid w:val="02E36ABF"/>
    <w:rsid w:val="06566CB3"/>
    <w:rsid w:val="115BE6E5"/>
    <w:rsid w:val="146B6FBF"/>
    <w:rsid w:val="15FDF7B7"/>
    <w:rsid w:val="1A933081"/>
    <w:rsid w:val="1D0BA06A"/>
    <w:rsid w:val="1D2A402F"/>
    <w:rsid w:val="1EE7F5E8"/>
    <w:rsid w:val="205E48EC"/>
    <w:rsid w:val="2256BA6B"/>
    <w:rsid w:val="2259C233"/>
    <w:rsid w:val="2A22F41A"/>
    <w:rsid w:val="2B093ADC"/>
    <w:rsid w:val="3182D3D7"/>
    <w:rsid w:val="373F20ED"/>
    <w:rsid w:val="43E36EB8"/>
    <w:rsid w:val="45F14463"/>
    <w:rsid w:val="49FF9827"/>
    <w:rsid w:val="4B94227A"/>
    <w:rsid w:val="4BD135C7"/>
    <w:rsid w:val="4F6F6C66"/>
    <w:rsid w:val="5559802D"/>
    <w:rsid w:val="5E05C8AC"/>
    <w:rsid w:val="611283F9"/>
    <w:rsid w:val="611F8B9E"/>
    <w:rsid w:val="6411165E"/>
    <w:rsid w:val="674C1947"/>
    <w:rsid w:val="6A99AE0F"/>
    <w:rsid w:val="72E201BE"/>
    <w:rsid w:val="7AD6E85E"/>
    <w:rsid w:val="7B6FA9C7"/>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DEBCC"/>
  <w15:docId w15:val="{2C1A57E4-9D2B-40C9-BBD8-044800A5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7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4468F"/>
    <w:pPr>
      <w:tabs>
        <w:tab w:val="center" w:pos="4703"/>
        <w:tab w:val="right" w:pos="9406"/>
      </w:tabs>
      <w:spacing w:after="0" w:line="240" w:lineRule="auto"/>
    </w:pPr>
  </w:style>
  <w:style w:type="character" w:customStyle="1" w:styleId="En-tteCar">
    <w:name w:val="En-tête Car"/>
    <w:basedOn w:val="Policepardfaut"/>
    <w:link w:val="En-tte"/>
    <w:uiPriority w:val="99"/>
    <w:rsid w:val="0084468F"/>
  </w:style>
  <w:style w:type="paragraph" w:styleId="Pieddepage">
    <w:name w:val="footer"/>
    <w:basedOn w:val="Normal"/>
    <w:link w:val="PieddepageCar"/>
    <w:uiPriority w:val="99"/>
    <w:unhideWhenUsed/>
    <w:rsid w:val="0084468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4468F"/>
  </w:style>
  <w:style w:type="paragraph" w:styleId="Textedebulles">
    <w:name w:val="Balloon Text"/>
    <w:basedOn w:val="Normal"/>
    <w:link w:val="TextedebullesCar"/>
    <w:uiPriority w:val="99"/>
    <w:semiHidden/>
    <w:unhideWhenUsed/>
    <w:rsid w:val="008446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468F"/>
    <w:rPr>
      <w:rFonts w:ascii="Tahoma" w:hAnsi="Tahoma" w:cs="Tahoma"/>
      <w:sz w:val="16"/>
      <w:szCs w:val="16"/>
    </w:rPr>
  </w:style>
  <w:style w:type="paragraph" w:styleId="Paragraphedeliste">
    <w:name w:val="List Paragraph"/>
    <w:basedOn w:val="Normal"/>
    <w:uiPriority w:val="34"/>
    <w:qFormat/>
    <w:rsid w:val="00A07662"/>
    <w:pPr>
      <w:ind w:left="720"/>
      <w:contextualSpacing/>
    </w:pPr>
  </w:style>
  <w:style w:type="character" w:styleId="Lienhypertexte">
    <w:name w:val="Hyperlink"/>
    <w:basedOn w:val="Policepardfaut"/>
    <w:uiPriority w:val="99"/>
    <w:unhideWhenUsed/>
    <w:rsid w:val="002C09D4"/>
    <w:rPr>
      <w:color w:val="0000FF" w:themeColor="hyperlink"/>
      <w:u w:val="single"/>
    </w:rPr>
  </w:style>
  <w:style w:type="character" w:styleId="Mentionnonrsolue">
    <w:name w:val="Unresolved Mention"/>
    <w:basedOn w:val="Policepardfaut"/>
    <w:uiPriority w:val="99"/>
    <w:semiHidden/>
    <w:unhideWhenUsed/>
    <w:rsid w:val="002C09D4"/>
    <w:rPr>
      <w:color w:val="808080"/>
      <w:shd w:val="clear" w:color="auto" w:fill="E6E6E6"/>
    </w:rPr>
  </w:style>
  <w:style w:type="character" w:styleId="Appelnotedebasdep">
    <w:name w:val="footnote reference"/>
    <w:aliases w:val="Ref,de nota al pie,Appel note de bas de p,de nota al pie + (Asian) MS Mincho,11 pt"/>
    <w:basedOn w:val="Policepardfaut"/>
    <w:uiPriority w:val="99"/>
    <w:unhideWhenUsed/>
    <w:qFormat/>
    <w:rsid w:val="00124B30"/>
    <w:rPr>
      <w:vertAlign w:val="superscript"/>
    </w:rPr>
  </w:style>
  <w:style w:type="character" w:styleId="Lienhypertextesuivivisit">
    <w:name w:val="FollowedHyperlink"/>
    <w:basedOn w:val="Policepardfaut"/>
    <w:uiPriority w:val="99"/>
    <w:semiHidden/>
    <w:unhideWhenUsed/>
    <w:rsid w:val="00353B06"/>
    <w:rPr>
      <w:color w:val="800080" w:themeColor="followedHyperlink"/>
      <w:u w:val="single"/>
    </w:rPr>
  </w:style>
  <w:style w:type="paragraph" w:styleId="Rvision">
    <w:name w:val="Revision"/>
    <w:hidden/>
    <w:uiPriority w:val="99"/>
    <w:semiHidden/>
    <w:rsid w:val="00132239"/>
    <w:pPr>
      <w:spacing w:after="0" w:line="240" w:lineRule="auto"/>
    </w:pPr>
  </w:style>
  <w:style w:type="paragraph" w:styleId="Notedebasdepage">
    <w:name w:val="footnote text"/>
    <w:basedOn w:val="Normal"/>
    <w:link w:val="NotedebasdepageCar"/>
    <w:uiPriority w:val="99"/>
    <w:semiHidden/>
    <w:unhideWhenUsed/>
    <w:rsid w:val="005E14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1448"/>
    <w:rPr>
      <w:sz w:val="20"/>
      <w:szCs w:val="20"/>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E47496"/>
    <w:rPr>
      <w:b/>
      <w:bCs/>
    </w:rPr>
  </w:style>
  <w:style w:type="character" w:customStyle="1" w:styleId="ObjetducommentaireCar">
    <w:name w:val="Objet du commentaire Car"/>
    <w:basedOn w:val="CommentaireCar"/>
    <w:link w:val="Objetducommentaire"/>
    <w:uiPriority w:val="99"/>
    <w:semiHidden/>
    <w:rsid w:val="00E474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Pyton/fra/lois/Y-1" TargetMode="External"/><Relationship Id="rId18" Type="http://schemas.openxmlformats.org/officeDocument/2006/relationships/hyperlink" Target="https://www.canlii.org/fr/qc/qctdp/doc/2015/2015qctdp8/2015qctdp8.pdf" TargetMode="External"/><Relationship Id="rId3" Type="http://schemas.openxmlformats.org/officeDocument/2006/relationships/customXml" Target="../customXml/item3.xml"/><Relationship Id="rId21" Type="http://schemas.openxmlformats.org/officeDocument/2006/relationships/hyperlink" Target="http://publications.msss.gouv.qc.ca/msss/document-001008/" TargetMode="External"/><Relationship Id="rId7" Type="http://schemas.openxmlformats.org/officeDocument/2006/relationships/styles" Target="styles.xml"/><Relationship Id="rId12" Type="http://schemas.openxmlformats.org/officeDocument/2006/relationships/hyperlink" Target="file://Pyton/fra/lois/C-5" TargetMode="External"/><Relationship Id="rId17" Type="http://schemas.openxmlformats.org/officeDocument/2006/relationships/hyperlink" Target="https://www.canlii.org/fr/ca/csc/doc/2008/2008csc48/2008csc4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lii.org/fr/ca/csc/doc/2003/2003csc68/2003csc68.pdf" TargetMode="External"/><Relationship Id="rId20" Type="http://schemas.openxmlformats.org/officeDocument/2006/relationships/hyperlink" Target="https://edoctrine.caij.qc.ca/developpements-recents/507/c-fe9320569b953bf2014148649e7c426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anlii.org/fr/ca/csc/doc/2001/2001csc35/2001csc35.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anlii.org/fr/qc/qcca/doc/2022/2022qcca1395/2022qcca139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Pyton/fra/lois/Y-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2.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E0D7C-0813-4378-B63D-FD0B592748E8}">
  <ds:schemaRefs>
    <ds:schemaRef ds:uri="http://schemas.microsoft.com/office/2006/metadata/properties"/>
    <ds:schemaRef ds:uri="http://schemas.microsoft.com/office/infopath/2007/PartnerControls"/>
    <ds:schemaRef ds:uri="3cc706f8-daeb-4c57-a93c-fdf45da762a7"/>
  </ds:schemaRefs>
</ds:datastoreItem>
</file>

<file path=customXml/itemProps2.xml><?xml version="1.0" encoding="utf-8"?>
<ds:datastoreItem xmlns:ds="http://schemas.openxmlformats.org/officeDocument/2006/customXml" ds:itemID="{DBBCFF22-F2EB-43C2-B8B4-925E73D017BF}">
  <ds:schemaRefs>
    <ds:schemaRef ds:uri="Microsoft.SharePoint.Taxonomy.ContentTypeSync"/>
  </ds:schemaRefs>
</ds:datastoreItem>
</file>

<file path=customXml/itemProps3.xml><?xml version="1.0" encoding="utf-8"?>
<ds:datastoreItem xmlns:ds="http://schemas.openxmlformats.org/officeDocument/2006/customXml" ds:itemID="{6627F1B7-155A-4D1C-8056-35E43E02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238B0-7C70-4DDD-9693-CDD464E8BC16}">
  <ds:schemaRefs>
    <ds:schemaRef ds:uri="http://schemas.openxmlformats.org/officeDocument/2006/bibliography"/>
  </ds:schemaRefs>
</ds:datastoreItem>
</file>

<file path=customXml/itemProps5.xml><?xml version="1.0" encoding="utf-8"?>
<ds:datastoreItem xmlns:ds="http://schemas.openxmlformats.org/officeDocument/2006/customXml" ds:itemID="{327910F8-6531-4B36-84D4-7DF8BF570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1807</Words>
  <Characters>9942</Characters>
  <Application>Microsoft Office Word</Application>
  <DocSecurity>8</DocSecurity>
  <Lines>82</Lines>
  <Paragraphs>23</Paragraphs>
  <ScaleCrop>false</ScaleCrop>
  <HeadingPairs>
    <vt:vector size="2" baseType="variant">
      <vt:variant>
        <vt:lpstr>Titre</vt:lpstr>
      </vt:variant>
      <vt:variant>
        <vt:i4>1</vt:i4>
      </vt:variant>
    </vt:vector>
  </HeadingPairs>
  <TitlesOfParts>
    <vt:vector size="1" baseType="lpstr">
      <vt:lpstr>Outil d'aide au traitement des dossiers : Antécédents judiciaires</vt:lpstr>
    </vt:vector>
  </TitlesOfParts>
  <Company>CDPDJ</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Outil d'aide au traitement des dossiers : Antécédents judiciaires</dc:title>
  <dc:subject/>
  <dc:creator>Commission des droits de la perosnne et des droits de la jeunesse</dc:creator>
  <cp:keywords>Enquête; Commission des droits de la personne et des droits de la jeunesse; Plainte</cp:keywords>
  <cp:lastModifiedBy>Sophie Ambrosi</cp:lastModifiedBy>
  <cp:revision>6</cp:revision>
  <cp:lastPrinted>2025-03-14T14:30:00Z</cp:lastPrinted>
  <dcterms:created xsi:type="dcterms:W3CDTF">2024-05-28T14:41:00Z</dcterms:created>
  <dcterms:modified xsi:type="dcterms:W3CDTF">2025-03-14T14:35:00Z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Order">
    <vt:r8>151200</vt:r8>
  </property>
  <property fmtid="{D5CDD505-2E9C-101B-9397-08002B2CF9AE}" pid="4" name="ComplianceAssetId">
    <vt:lpwstr/>
  </property>
  <property fmtid="{D5CDD505-2E9C-101B-9397-08002B2CF9AE}" pid="5" name="MediaServiceImageTags">
    <vt:lpwstr/>
  </property>
  <property fmtid="{D5CDD505-2E9C-101B-9397-08002B2CF9AE}" pid="6" name="TypeDocument">
    <vt:lpwstr/>
  </property>
  <property fmtid="{D5CDD505-2E9C-101B-9397-08002B2CF9AE}" pid="7" name="HUBClassification">
    <vt:lpwstr>676</vt:lpwstr>
  </property>
  <property fmtid="{D5CDD505-2E9C-101B-9397-08002B2CF9AE}" pid="8" name="lcf76f155ced4ddcb4097134ff3c332f">
    <vt:lpwstr/>
  </property>
  <property fmtid="{D5CDD505-2E9C-101B-9397-08002B2CF9AE}" pid="9" name="_docset_NoMedatataSyncRequired">
    <vt:lpwstr>True</vt:lpwstr>
  </property>
</Properties>
</file>